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B705F" w14:textId="77777777" w:rsidR="00C45C2C" w:rsidRPr="00082FCB" w:rsidRDefault="00C45C2C" w:rsidP="006475B4">
      <w:pPr>
        <w:widowControl w:val="0"/>
        <w:spacing w:line="240" w:lineRule="auto"/>
        <w:rPr>
          <w:szCs w:val="22"/>
          <w:lang w:val="hu-HU"/>
        </w:rPr>
      </w:pPr>
      <w:bookmarkStart w:id="0" w:name="_GoBack"/>
      <w:bookmarkEnd w:id="0"/>
    </w:p>
    <w:p w14:paraId="23C2B51F" w14:textId="420AF9EF" w:rsidR="001D29E6" w:rsidRPr="00082FCB" w:rsidRDefault="001D29E6" w:rsidP="006475B4">
      <w:pPr>
        <w:widowControl w:val="0"/>
        <w:spacing w:line="240" w:lineRule="auto"/>
        <w:rPr>
          <w:b/>
          <w:szCs w:val="22"/>
          <w:lang w:val="hu-HU"/>
        </w:rPr>
      </w:pPr>
      <w:r w:rsidRPr="00082FCB">
        <w:rPr>
          <w:b/>
          <w:iCs/>
          <w:noProof/>
          <w:szCs w:val="22"/>
          <w:lang w:val="hu-HU"/>
        </w:rPr>
        <w:t>1.</w:t>
      </w:r>
      <w:r w:rsidRPr="00082FCB">
        <w:rPr>
          <w:b/>
          <w:iCs/>
          <w:noProof/>
          <w:szCs w:val="22"/>
          <w:lang w:val="hu-HU"/>
        </w:rPr>
        <w:tab/>
      </w:r>
      <w:r w:rsidR="00082FCB" w:rsidRPr="00082FCB">
        <w:rPr>
          <w:b/>
          <w:szCs w:val="22"/>
          <w:lang w:val="hu-HU"/>
        </w:rPr>
        <w:t>A GYÓGYSZER NEVE</w:t>
      </w:r>
    </w:p>
    <w:p w14:paraId="7FAB1A1C" w14:textId="61231FB8" w:rsidR="001D29E6" w:rsidRPr="00082FCB" w:rsidRDefault="001D29E6" w:rsidP="006475B4">
      <w:pPr>
        <w:spacing w:line="240" w:lineRule="auto"/>
        <w:rPr>
          <w:iCs/>
          <w:szCs w:val="22"/>
          <w:lang w:val="hu-HU"/>
        </w:rPr>
      </w:pPr>
    </w:p>
    <w:p w14:paraId="37C76045" w14:textId="3CED5C30" w:rsidR="003C47B7" w:rsidRPr="00082FCB" w:rsidRDefault="000E2D4D" w:rsidP="006475B4">
      <w:pPr>
        <w:spacing w:line="240" w:lineRule="auto"/>
        <w:rPr>
          <w:color w:val="000000"/>
          <w:szCs w:val="22"/>
          <w:lang w:val="hu-HU"/>
        </w:rPr>
      </w:pPr>
      <w:bookmarkStart w:id="1" w:name="_Hlk158629417"/>
      <w:r>
        <w:rPr>
          <w:iCs/>
          <w:szCs w:val="22"/>
          <w:lang w:val="hu-HU"/>
        </w:rPr>
        <w:t>Advil</w:t>
      </w:r>
      <w:r w:rsidRPr="003F71CB">
        <w:rPr>
          <w:iCs/>
          <w:szCs w:val="22"/>
          <w:lang w:val="hu-HU"/>
        </w:rPr>
        <w:t xml:space="preserve"> </w:t>
      </w:r>
      <w:r w:rsidR="003F71CB" w:rsidRPr="003F71CB">
        <w:rPr>
          <w:iCs/>
          <w:szCs w:val="22"/>
          <w:lang w:val="hu-HU"/>
        </w:rPr>
        <w:t xml:space="preserve">Duo </w:t>
      </w:r>
      <w:r w:rsidR="00941DFA">
        <w:rPr>
          <w:szCs w:val="22"/>
          <w:lang w:val="hu-HU"/>
        </w:rPr>
        <w:t>500</w:t>
      </w:r>
      <w:r w:rsidR="00941DFA" w:rsidRPr="00082FCB">
        <w:rPr>
          <w:szCs w:val="22"/>
          <w:lang w:val="hu-HU"/>
        </w:rPr>
        <w:t xml:space="preserve"> </w:t>
      </w:r>
      <w:r w:rsidR="00082FCB" w:rsidRPr="00082FCB">
        <w:rPr>
          <w:szCs w:val="22"/>
          <w:lang w:val="hu-HU"/>
        </w:rPr>
        <w:t>mg/</w:t>
      </w:r>
      <w:r w:rsidR="00941DFA">
        <w:rPr>
          <w:szCs w:val="22"/>
          <w:lang w:val="hu-HU"/>
        </w:rPr>
        <w:t>200</w:t>
      </w:r>
      <w:r w:rsidR="00941DFA" w:rsidRPr="00082FCB">
        <w:rPr>
          <w:szCs w:val="22"/>
          <w:lang w:val="hu-HU"/>
        </w:rPr>
        <w:t xml:space="preserve"> </w:t>
      </w:r>
      <w:r w:rsidR="00082FCB" w:rsidRPr="00082FCB">
        <w:rPr>
          <w:szCs w:val="22"/>
          <w:lang w:val="hu-HU"/>
        </w:rPr>
        <w:t>mg filmtabletta</w:t>
      </w:r>
    </w:p>
    <w:bookmarkEnd w:id="1"/>
    <w:p w14:paraId="778682E4" w14:textId="10B7C3E6" w:rsidR="003C47B7" w:rsidRPr="00082FCB" w:rsidRDefault="003C47B7" w:rsidP="006475B4">
      <w:pPr>
        <w:spacing w:line="240" w:lineRule="auto"/>
        <w:rPr>
          <w:szCs w:val="22"/>
          <w:lang w:val="hu-HU"/>
        </w:rPr>
      </w:pPr>
    </w:p>
    <w:p w14:paraId="74E2F60A" w14:textId="77777777" w:rsidR="009C58B5" w:rsidRPr="00082FCB" w:rsidRDefault="009C58B5" w:rsidP="006475B4">
      <w:pPr>
        <w:spacing w:line="240" w:lineRule="auto"/>
        <w:rPr>
          <w:szCs w:val="22"/>
          <w:lang w:val="hu-HU"/>
        </w:rPr>
      </w:pPr>
    </w:p>
    <w:p w14:paraId="09B7E0D7" w14:textId="68350C79" w:rsidR="001D29E6" w:rsidRPr="00082FCB" w:rsidRDefault="001D29E6" w:rsidP="006475B4">
      <w:pPr>
        <w:widowControl w:val="0"/>
        <w:spacing w:line="240" w:lineRule="auto"/>
        <w:rPr>
          <w:szCs w:val="22"/>
          <w:lang w:val="hu-HU"/>
        </w:rPr>
      </w:pPr>
      <w:r w:rsidRPr="00082FCB">
        <w:rPr>
          <w:b/>
          <w:szCs w:val="22"/>
          <w:lang w:val="hu-HU"/>
        </w:rPr>
        <w:t>2.</w:t>
      </w:r>
      <w:r w:rsidRPr="00082FCB">
        <w:rPr>
          <w:b/>
          <w:szCs w:val="22"/>
          <w:lang w:val="hu-HU"/>
        </w:rPr>
        <w:tab/>
      </w:r>
      <w:r w:rsidR="00082FCB" w:rsidRPr="00082FCB">
        <w:rPr>
          <w:b/>
          <w:szCs w:val="22"/>
          <w:lang w:val="hu-HU"/>
        </w:rPr>
        <w:t>MINŐSÉGI ÉS MENNYISÉGI ÖSSZETÉTEL</w:t>
      </w:r>
    </w:p>
    <w:p w14:paraId="6E39582B" w14:textId="77777777" w:rsidR="001D29E6" w:rsidRPr="00082FCB" w:rsidRDefault="001D29E6" w:rsidP="006475B4">
      <w:pPr>
        <w:spacing w:line="240" w:lineRule="auto"/>
        <w:rPr>
          <w:szCs w:val="22"/>
          <w:lang w:val="hu-HU"/>
        </w:rPr>
      </w:pPr>
    </w:p>
    <w:p w14:paraId="25A720C7" w14:textId="6664E1BD" w:rsidR="00BC109C" w:rsidRPr="00082FCB" w:rsidRDefault="00082FCB" w:rsidP="006475B4">
      <w:pPr>
        <w:spacing w:line="240" w:lineRule="auto"/>
        <w:rPr>
          <w:szCs w:val="22"/>
          <w:lang w:val="hu-HU"/>
        </w:rPr>
      </w:pPr>
      <w:r w:rsidRPr="00BA5943">
        <w:rPr>
          <w:bCs/>
          <w:szCs w:val="22"/>
          <w:lang w:val="hu-HU"/>
        </w:rPr>
        <w:t xml:space="preserve">500 mg paracetamolt </w:t>
      </w:r>
      <w:r w:rsidR="00941DFA">
        <w:rPr>
          <w:bCs/>
          <w:szCs w:val="22"/>
          <w:lang w:val="hu-HU"/>
        </w:rPr>
        <w:t xml:space="preserve">és </w:t>
      </w:r>
      <w:r w:rsidR="00941DFA" w:rsidRPr="00BA5943">
        <w:rPr>
          <w:bCs/>
          <w:szCs w:val="22"/>
          <w:lang w:val="hu-HU"/>
        </w:rPr>
        <w:t xml:space="preserve">200 mg ibuprofént </w:t>
      </w:r>
      <w:r w:rsidRPr="00BA5943">
        <w:rPr>
          <w:bCs/>
          <w:szCs w:val="22"/>
          <w:lang w:val="hu-HU"/>
        </w:rPr>
        <w:t>tartalmaz filmtablettánként</w:t>
      </w:r>
      <w:r w:rsidR="00BC109C" w:rsidRPr="00082FCB">
        <w:rPr>
          <w:szCs w:val="22"/>
          <w:lang w:val="hu-HU"/>
        </w:rPr>
        <w:t>.</w:t>
      </w:r>
    </w:p>
    <w:p w14:paraId="1DDBD9DC" w14:textId="77777777" w:rsidR="00BC109C" w:rsidRPr="00082FCB" w:rsidRDefault="00BC109C" w:rsidP="006475B4">
      <w:pPr>
        <w:spacing w:line="240" w:lineRule="auto"/>
        <w:rPr>
          <w:szCs w:val="22"/>
          <w:lang w:val="hu-HU"/>
        </w:rPr>
      </w:pPr>
    </w:p>
    <w:p w14:paraId="1641801A" w14:textId="525377E5" w:rsidR="00BC109C" w:rsidRPr="00082FCB" w:rsidRDefault="00082FCB" w:rsidP="006475B4">
      <w:pPr>
        <w:spacing w:line="240" w:lineRule="auto"/>
        <w:rPr>
          <w:szCs w:val="22"/>
          <w:lang w:val="hu-HU"/>
        </w:rPr>
      </w:pPr>
      <w:r w:rsidRPr="00BA5943">
        <w:rPr>
          <w:szCs w:val="22"/>
          <w:lang w:val="hu-HU"/>
        </w:rPr>
        <w:t xml:space="preserve">A segédanyagok teljes </w:t>
      </w:r>
      <w:r w:rsidRPr="00BA5943">
        <w:rPr>
          <w:bCs/>
          <w:szCs w:val="22"/>
          <w:lang w:val="hu-HU"/>
        </w:rPr>
        <w:t>listáját</w:t>
      </w:r>
      <w:r w:rsidRPr="00BA5943">
        <w:rPr>
          <w:szCs w:val="22"/>
          <w:lang w:val="hu-HU"/>
        </w:rPr>
        <w:t xml:space="preserve"> lásd a 6.1 pontban</w:t>
      </w:r>
      <w:r w:rsidR="00BC109C" w:rsidRPr="00082FCB">
        <w:rPr>
          <w:szCs w:val="22"/>
          <w:lang w:val="hu-HU"/>
        </w:rPr>
        <w:t>.</w:t>
      </w:r>
    </w:p>
    <w:p w14:paraId="15BE201E" w14:textId="77777777" w:rsidR="001D29E6" w:rsidRPr="00082FCB" w:rsidRDefault="001D29E6" w:rsidP="006475B4">
      <w:pPr>
        <w:spacing w:line="240" w:lineRule="auto"/>
        <w:rPr>
          <w:szCs w:val="22"/>
          <w:lang w:val="hu-HU"/>
        </w:rPr>
      </w:pPr>
    </w:p>
    <w:p w14:paraId="39E2E2A2" w14:textId="77777777" w:rsidR="001D29E6" w:rsidRPr="00082FCB" w:rsidRDefault="001D29E6" w:rsidP="006475B4">
      <w:pPr>
        <w:spacing w:line="240" w:lineRule="auto"/>
        <w:rPr>
          <w:szCs w:val="22"/>
          <w:lang w:val="hu-HU"/>
        </w:rPr>
      </w:pPr>
    </w:p>
    <w:p w14:paraId="501D427C" w14:textId="2B77EF8C" w:rsidR="001D29E6" w:rsidRPr="00082FCB" w:rsidRDefault="001D29E6" w:rsidP="006475B4">
      <w:pPr>
        <w:spacing w:line="240" w:lineRule="auto"/>
        <w:ind w:left="567" w:hanging="567"/>
        <w:rPr>
          <w:b/>
          <w:caps/>
          <w:szCs w:val="22"/>
          <w:lang w:val="hu-HU"/>
        </w:rPr>
      </w:pPr>
      <w:r w:rsidRPr="00082FCB">
        <w:rPr>
          <w:b/>
          <w:szCs w:val="22"/>
          <w:lang w:val="hu-HU"/>
        </w:rPr>
        <w:t>3.</w:t>
      </w:r>
      <w:r w:rsidRPr="00082FCB">
        <w:rPr>
          <w:b/>
          <w:szCs w:val="22"/>
          <w:lang w:val="hu-HU"/>
        </w:rPr>
        <w:tab/>
      </w:r>
      <w:r w:rsidR="00082FCB" w:rsidRPr="00BA5943">
        <w:rPr>
          <w:b/>
          <w:szCs w:val="22"/>
          <w:lang w:val="hu-HU"/>
        </w:rPr>
        <w:t>GYÓGYSZERFORMA</w:t>
      </w:r>
    </w:p>
    <w:p w14:paraId="0D8C5C87" w14:textId="77777777" w:rsidR="001D29E6" w:rsidRPr="00082FCB" w:rsidRDefault="001D29E6" w:rsidP="006475B4">
      <w:pPr>
        <w:spacing w:line="240" w:lineRule="auto"/>
        <w:rPr>
          <w:szCs w:val="22"/>
          <w:lang w:val="hu-HU"/>
        </w:rPr>
      </w:pPr>
    </w:p>
    <w:p w14:paraId="546BE362" w14:textId="6B29089D" w:rsidR="00BC109C" w:rsidRPr="00082FCB" w:rsidRDefault="00082FCB" w:rsidP="006475B4">
      <w:pPr>
        <w:spacing w:line="240" w:lineRule="auto"/>
        <w:rPr>
          <w:szCs w:val="22"/>
          <w:lang w:val="hu-HU"/>
        </w:rPr>
      </w:pPr>
      <w:r w:rsidRPr="00BA5943">
        <w:rPr>
          <w:szCs w:val="22"/>
          <w:lang w:val="hu-HU"/>
        </w:rPr>
        <w:t>Filmtabletta</w:t>
      </w:r>
      <w:r>
        <w:rPr>
          <w:szCs w:val="22"/>
          <w:lang w:val="hu-HU"/>
        </w:rPr>
        <w:t>.</w:t>
      </w:r>
    </w:p>
    <w:p w14:paraId="49FF09BB" w14:textId="77777777" w:rsidR="00BC109C" w:rsidRPr="00082FCB" w:rsidRDefault="00BC109C" w:rsidP="006475B4">
      <w:pPr>
        <w:spacing w:line="240" w:lineRule="auto"/>
        <w:rPr>
          <w:szCs w:val="22"/>
          <w:lang w:val="hu-HU"/>
        </w:rPr>
      </w:pPr>
    </w:p>
    <w:p w14:paraId="244793C2" w14:textId="01354951" w:rsidR="00BA6782" w:rsidRPr="00BA6782" w:rsidRDefault="00BA6782" w:rsidP="00BA6782">
      <w:pPr>
        <w:rPr>
          <w:lang w:val="hu-HU"/>
        </w:rPr>
      </w:pPr>
      <w:r w:rsidRPr="00BA6782">
        <w:rPr>
          <w:lang w:val="hu-HU"/>
        </w:rPr>
        <w:t>Szürke</w:t>
      </w:r>
      <w:r>
        <w:rPr>
          <w:lang w:val="hu-HU"/>
        </w:rPr>
        <w:t xml:space="preserve"> színű</w:t>
      </w:r>
      <w:r w:rsidRPr="00BA6782">
        <w:rPr>
          <w:lang w:val="hu-HU"/>
        </w:rPr>
        <w:t>, ovális filmtabletta</w:t>
      </w:r>
      <w:r w:rsidR="00941DFA">
        <w:rPr>
          <w:lang w:val="hu-HU"/>
        </w:rPr>
        <w:t xml:space="preserve"> (</w:t>
      </w:r>
      <w:r w:rsidR="00941DFA" w:rsidRPr="00941DFA">
        <w:rPr>
          <w:lang w:val="hu-HU"/>
        </w:rPr>
        <w:t>kb. 19,2 mm hosszú és 9,1 mm széles)</w:t>
      </w:r>
      <w:r w:rsidR="002E223F">
        <w:rPr>
          <w:lang w:val="hu-HU"/>
        </w:rPr>
        <w:t>.</w:t>
      </w:r>
    </w:p>
    <w:p w14:paraId="76F8C2AD" w14:textId="405158D0" w:rsidR="001D356D" w:rsidRPr="00082FCB" w:rsidRDefault="001D356D" w:rsidP="001D356D">
      <w:pPr>
        <w:rPr>
          <w:lang w:val="hu-HU"/>
        </w:rPr>
      </w:pPr>
    </w:p>
    <w:p w14:paraId="0BC9080B" w14:textId="77777777" w:rsidR="001D356D" w:rsidRPr="00082FCB" w:rsidRDefault="001D356D" w:rsidP="001D356D">
      <w:pPr>
        <w:rPr>
          <w:lang w:val="hu-HU"/>
        </w:rPr>
      </w:pPr>
    </w:p>
    <w:p w14:paraId="2BE3268C" w14:textId="6AAE4166" w:rsidR="001D29E6" w:rsidRPr="00082FCB" w:rsidRDefault="001D29E6" w:rsidP="006475B4">
      <w:pPr>
        <w:spacing w:line="240" w:lineRule="auto"/>
        <w:ind w:left="567" w:hanging="567"/>
        <w:rPr>
          <w:caps/>
          <w:szCs w:val="22"/>
          <w:lang w:val="hu-HU"/>
        </w:rPr>
      </w:pPr>
      <w:r w:rsidRPr="00082FCB">
        <w:rPr>
          <w:b/>
          <w:caps/>
          <w:szCs w:val="22"/>
          <w:lang w:val="hu-HU"/>
        </w:rPr>
        <w:t>4.</w:t>
      </w:r>
      <w:r w:rsidRPr="00082FCB">
        <w:rPr>
          <w:b/>
          <w:caps/>
          <w:szCs w:val="22"/>
          <w:lang w:val="hu-HU"/>
        </w:rPr>
        <w:tab/>
      </w:r>
      <w:r w:rsidR="00BA6782" w:rsidRPr="00BA5943">
        <w:rPr>
          <w:b/>
          <w:szCs w:val="22"/>
          <w:lang w:val="hu-HU"/>
        </w:rPr>
        <w:t>KLINIKAI JELLEMZŐK</w:t>
      </w:r>
    </w:p>
    <w:p w14:paraId="444A8913" w14:textId="77777777" w:rsidR="001D29E6" w:rsidRPr="00082FCB" w:rsidRDefault="001D29E6" w:rsidP="006475B4">
      <w:pPr>
        <w:spacing w:line="240" w:lineRule="auto"/>
        <w:rPr>
          <w:szCs w:val="22"/>
          <w:lang w:val="hu-HU"/>
        </w:rPr>
      </w:pPr>
    </w:p>
    <w:p w14:paraId="7A796AED" w14:textId="0AC016C5" w:rsidR="001D29E6" w:rsidRPr="00082FCB" w:rsidRDefault="001D29E6" w:rsidP="006475B4">
      <w:pPr>
        <w:spacing w:line="240" w:lineRule="auto"/>
        <w:ind w:left="567" w:hanging="567"/>
        <w:rPr>
          <w:szCs w:val="22"/>
          <w:lang w:val="hu-HU"/>
        </w:rPr>
      </w:pPr>
      <w:r w:rsidRPr="00082FCB">
        <w:rPr>
          <w:b/>
          <w:szCs w:val="22"/>
          <w:lang w:val="hu-HU"/>
        </w:rPr>
        <w:t>4.1</w:t>
      </w:r>
      <w:r w:rsidRPr="00082FCB">
        <w:rPr>
          <w:b/>
          <w:szCs w:val="22"/>
          <w:lang w:val="hu-HU"/>
        </w:rPr>
        <w:tab/>
      </w:r>
      <w:r w:rsidR="00BA6782" w:rsidRPr="00BA5943">
        <w:rPr>
          <w:b/>
          <w:szCs w:val="22"/>
          <w:lang w:val="hu-HU"/>
        </w:rPr>
        <w:t>Terápiás javallatok</w:t>
      </w:r>
    </w:p>
    <w:p w14:paraId="1F07FBD0" w14:textId="77777777" w:rsidR="001D29E6" w:rsidRPr="00082FCB" w:rsidRDefault="001D29E6" w:rsidP="006475B4">
      <w:pPr>
        <w:spacing w:line="240" w:lineRule="auto"/>
        <w:rPr>
          <w:szCs w:val="22"/>
          <w:lang w:val="hu-HU"/>
        </w:rPr>
      </w:pPr>
    </w:p>
    <w:p w14:paraId="4D62EC0C" w14:textId="18DD2716" w:rsidR="00D81069" w:rsidRDefault="00BA6782" w:rsidP="006475B4">
      <w:pPr>
        <w:spacing w:line="240" w:lineRule="auto"/>
        <w:rPr>
          <w:szCs w:val="22"/>
          <w:lang w:val="hu-HU"/>
        </w:rPr>
      </w:pPr>
      <w:bookmarkStart w:id="2" w:name="_Hlk19880499"/>
      <w:r w:rsidRPr="00BA5943">
        <w:rPr>
          <w:szCs w:val="22"/>
          <w:lang w:val="hu-HU"/>
        </w:rPr>
        <w:t xml:space="preserve">Enyhe és közepesen súlyos fájdalmak </w:t>
      </w:r>
      <w:r w:rsidR="00941DFA">
        <w:rPr>
          <w:szCs w:val="22"/>
          <w:lang w:val="hu-HU"/>
        </w:rPr>
        <w:t>rövid</w:t>
      </w:r>
      <w:r w:rsidR="003C397C">
        <w:rPr>
          <w:szCs w:val="22"/>
          <w:lang w:val="hu-HU"/>
        </w:rPr>
        <w:t xml:space="preserve"> </w:t>
      </w:r>
      <w:r w:rsidR="00941DFA">
        <w:rPr>
          <w:szCs w:val="22"/>
          <w:lang w:val="hu-HU"/>
        </w:rPr>
        <w:t>távú</w:t>
      </w:r>
      <w:r w:rsidR="00941DFA" w:rsidRPr="00BA5943">
        <w:rPr>
          <w:szCs w:val="22"/>
          <w:lang w:val="hu-HU"/>
        </w:rPr>
        <w:t xml:space="preserve"> </w:t>
      </w:r>
      <w:r w:rsidR="00941DFA">
        <w:rPr>
          <w:szCs w:val="22"/>
          <w:lang w:val="hu-HU"/>
        </w:rPr>
        <w:t>tüneti kezelése</w:t>
      </w:r>
      <w:r w:rsidR="00941DFA" w:rsidRPr="00BA5943">
        <w:rPr>
          <w:szCs w:val="22"/>
          <w:lang w:val="hu-HU"/>
        </w:rPr>
        <w:t xml:space="preserve"> </w:t>
      </w:r>
      <w:r w:rsidRPr="00BA5943">
        <w:rPr>
          <w:szCs w:val="22"/>
          <w:lang w:val="hu-HU"/>
        </w:rPr>
        <w:t xml:space="preserve">a következő állapotokban: migrén, fejfájás, hátfájás, menstruációs fájdalmak, fogfájás, </w:t>
      </w:r>
      <w:r>
        <w:rPr>
          <w:szCs w:val="22"/>
          <w:lang w:val="hu-HU"/>
        </w:rPr>
        <w:t xml:space="preserve">reumatikus és </w:t>
      </w:r>
      <w:r w:rsidRPr="00BA5943">
        <w:rPr>
          <w:szCs w:val="22"/>
          <w:lang w:val="hu-HU"/>
        </w:rPr>
        <w:t xml:space="preserve">izomfájdalmak, </w:t>
      </w:r>
      <w:r>
        <w:rPr>
          <w:szCs w:val="22"/>
          <w:lang w:val="hu-HU"/>
        </w:rPr>
        <w:t xml:space="preserve">nem súlyos </w:t>
      </w:r>
      <w:r w:rsidRPr="004062FC">
        <w:rPr>
          <w:szCs w:val="22"/>
          <w:lang w:val="hu-HU"/>
        </w:rPr>
        <w:t>ízületi gyulladás okozta fájdalom</w:t>
      </w:r>
      <w:r>
        <w:rPr>
          <w:szCs w:val="22"/>
          <w:lang w:val="hu-HU"/>
        </w:rPr>
        <w:t>,</w:t>
      </w:r>
      <w:r w:rsidRPr="00BA5943">
        <w:rPr>
          <w:szCs w:val="22"/>
          <w:lang w:val="hu-HU"/>
        </w:rPr>
        <w:t xml:space="preserve"> megfázás és influenza tünetei, torokfájás és láz. Ez a gyógyszer különösen alkalmas olyan fájdalmak kezelésére, amelyeket az ibuprofén vagy a paracetamol önmagában nem enyhített</w:t>
      </w:r>
      <w:r>
        <w:rPr>
          <w:szCs w:val="22"/>
          <w:lang w:val="hu-HU"/>
        </w:rPr>
        <w:t>.</w:t>
      </w:r>
    </w:p>
    <w:p w14:paraId="3C8B4B47" w14:textId="77777777" w:rsidR="00941DFA" w:rsidRDefault="00941DFA" w:rsidP="006475B4">
      <w:pPr>
        <w:spacing w:line="240" w:lineRule="auto"/>
        <w:rPr>
          <w:szCs w:val="22"/>
          <w:lang w:val="hu-HU"/>
        </w:rPr>
      </w:pPr>
    </w:p>
    <w:p w14:paraId="729B3E5F" w14:textId="23C5A8BE" w:rsidR="00941DFA" w:rsidRPr="00082FCB" w:rsidRDefault="00941DFA" w:rsidP="006475B4">
      <w:pPr>
        <w:spacing w:line="240" w:lineRule="auto"/>
        <w:rPr>
          <w:color w:val="000000"/>
          <w:szCs w:val="22"/>
          <w:lang w:val="hu-HU"/>
        </w:rPr>
      </w:pPr>
      <w:r w:rsidRPr="00941DFA">
        <w:rPr>
          <w:color w:val="000000"/>
          <w:szCs w:val="22"/>
          <w:lang w:val="hu-HU"/>
        </w:rPr>
        <w:t>Ez a gyógyszer 18 éves és idősebb felnőtteknél javallott.</w:t>
      </w:r>
    </w:p>
    <w:bookmarkEnd w:id="2"/>
    <w:p w14:paraId="3BE0F71B" w14:textId="77777777" w:rsidR="001D29E6" w:rsidRPr="00082FCB" w:rsidRDefault="001D29E6" w:rsidP="006475B4">
      <w:pPr>
        <w:spacing w:line="240" w:lineRule="auto"/>
        <w:rPr>
          <w:szCs w:val="22"/>
          <w:lang w:val="hu-HU"/>
        </w:rPr>
      </w:pPr>
    </w:p>
    <w:p w14:paraId="407496C2" w14:textId="4C59D3B0" w:rsidR="001D29E6" w:rsidRPr="00082FCB" w:rsidRDefault="001D29E6" w:rsidP="006475B4">
      <w:pPr>
        <w:spacing w:line="240" w:lineRule="auto"/>
        <w:ind w:left="567" w:hanging="567"/>
        <w:rPr>
          <w:b/>
          <w:szCs w:val="22"/>
          <w:lang w:val="hu-HU"/>
        </w:rPr>
      </w:pPr>
      <w:r w:rsidRPr="00082FCB">
        <w:rPr>
          <w:b/>
          <w:szCs w:val="22"/>
          <w:lang w:val="hu-HU"/>
        </w:rPr>
        <w:t>4.2</w:t>
      </w:r>
      <w:r w:rsidRPr="00082FCB">
        <w:rPr>
          <w:b/>
          <w:szCs w:val="22"/>
          <w:lang w:val="hu-HU"/>
        </w:rPr>
        <w:tab/>
      </w:r>
      <w:r w:rsidR="00BA6782" w:rsidRPr="00BA5943">
        <w:rPr>
          <w:b/>
          <w:szCs w:val="22"/>
          <w:lang w:val="hu-HU"/>
        </w:rPr>
        <w:t>Adagolás és alkalmazás</w:t>
      </w:r>
    </w:p>
    <w:p w14:paraId="53C8630C" w14:textId="77777777" w:rsidR="001D29E6" w:rsidRPr="00082FCB" w:rsidRDefault="001D29E6" w:rsidP="006475B4">
      <w:pPr>
        <w:spacing w:line="240" w:lineRule="auto"/>
        <w:ind w:left="567" w:hanging="567"/>
        <w:rPr>
          <w:szCs w:val="22"/>
          <w:lang w:val="hu-HU"/>
        </w:rPr>
      </w:pPr>
    </w:p>
    <w:p w14:paraId="4F1A132A" w14:textId="77777777" w:rsidR="00BA6782" w:rsidRPr="00BA5943" w:rsidRDefault="00BA6782" w:rsidP="00BA6782">
      <w:pPr>
        <w:spacing w:line="240" w:lineRule="auto"/>
        <w:rPr>
          <w:szCs w:val="22"/>
          <w:u w:val="single"/>
          <w:lang w:val="hu-HU"/>
        </w:rPr>
      </w:pPr>
      <w:r w:rsidRPr="00BA5943">
        <w:rPr>
          <w:szCs w:val="22"/>
          <w:u w:val="single"/>
          <w:lang w:val="hu-HU"/>
        </w:rPr>
        <w:t>Adagolás</w:t>
      </w:r>
    </w:p>
    <w:p w14:paraId="336EB414" w14:textId="77777777" w:rsidR="00C53ACC" w:rsidRPr="00082FCB" w:rsidRDefault="00C53ACC" w:rsidP="006475B4">
      <w:pPr>
        <w:tabs>
          <w:tab w:val="clear" w:pos="567"/>
        </w:tabs>
        <w:spacing w:line="240" w:lineRule="auto"/>
        <w:rPr>
          <w:szCs w:val="22"/>
          <w:u w:val="single"/>
          <w:lang w:val="hu-HU"/>
        </w:rPr>
      </w:pPr>
    </w:p>
    <w:p w14:paraId="0ADDCBE7" w14:textId="1A32F30A" w:rsidR="00C037EF" w:rsidRPr="00082FCB" w:rsidRDefault="00BA6782" w:rsidP="006475B4">
      <w:pPr>
        <w:spacing w:line="240" w:lineRule="auto"/>
        <w:rPr>
          <w:color w:val="000000"/>
          <w:szCs w:val="22"/>
          <w:lang w:val="hu-HU"/>
        </w:rPr>
      </w:pPr>
      <w:r w:rsidRPr="00BA5943">
        <w:rPr>
          <w:szCs w:val="22"/>
          <w:lang w:val="hu-HU"/>
        </w:rPr>
        <w:t>Kizárólag rövid távú alkalmazásra</w:t>
      </w:r>
      <w:r w:rsidR="00C037EF" w:rsidRPr="00082FCB">
        <w:rPr>
          <w:color w:val="000000"/>
          <w:szCs w:val="22"/>
          <w:lang w:val="hu-HU"/>
        </w:rPr>
        <w:t>.</w:t>
      </w:r>
    </w:p>
    <w:p w14:paraId="28FFC559" w14:textId="6D4AA1D5" w:rsidR="002D5634" w:rsidRPr="00082FCB" w:rsidRDefault="00BA6782" w:rsidP="006475B4">
      <w:pPr>
        <w:spacing w:line="240" w:lineRule="auto"/>
        <w:rPr>
          <w:szCs w:val="22"/>
          <w:lang w:val="hu-HU"/>
        </w:rPr>
      </w:pPr>
      <w:r w:rsidRPr="00BA5943">
        <w:rPr>
          <w:color w:val="000000"/>
          <w:szCs w:val="22"/>
          <w:lang w:val="hu-HU"/>
        </w:rPr>
        <w:t>A mellékhatások minimalizálhatók oly módon, hogy a legalacsonyabb hatásos dózist alkalmazzák a tünetek kontrollálásához szükséges legrövidebb ideig (lásd 4.4 pont)</w:t>
      </w:r>
      <w:r w:rsidR="002D5634" w:rsidRPr="00082FCB">
        <w:rPr>
          <w:szCs w:val="22"/>
          <w:lang w:val="hu-HU"/>
        </w:rPr>
        <w:t>.</w:t>
      </w:r>
    </w:p>
    <w:p w14:paraId="3B8CB8ED" w14:textId="2738D1C8" w:rsidR="00C037EF" w:rsidRPr="00082FCB" w:rsidRDefault="00BA6782" w:rsidP="006475B4">
      <w:pPr>
        <w:spacing w:line="240" w:lineRule="auto"/>
        <w:rPr>
          <w:color w:val="000000"/>
          <w:szCs w:val="22"/>
          <w:lang w:val="hu-HU"/>
        </w:rPr>
      </w:pPr>
      <w:r w:rsidRPr="00BA5943">
        <w:rPr>
          <w:szCs w:val="22"/>
          <w:lang w:val="hu-HU"/>
        </w:rPr>
        <w:t xml:space="preserve">A betegnek orvoshoz kell fordulnia, </w:t>
      </w:r>
      <w:r w:rsidRPr="00BA5943">
        <w:rPr>
          <w:color w:val="000000"/>
          <w:szCs w:val="22"/>
          <w:lang w:val="hu-HU"/>
        </w:rPr>
        <w:t>ha a tünetek továbbra is fennállnak vagy rosszabbodnak, vagy ha a gyógyszer alkalmazására 3 napnál hosszabb ideig van szükség</w:t>
      </w:r>
      <w:r w:rsidR="00C037EF" w:rsidRPr="00082FCB">
        <w:rPr>
          <w:color w:val="000000"/>
          <w:szCs w:val="22"/>
          <w:lang w:val="hu-HU"/>
        </w:rPr>
        <w:t>.</w:t>
      </w:r>
    </w:p>
    <w:p w14:paraId="77187036" w14:textId="77777777" w:rsidR="00C037EF" w:rsidRPr="00082FCB" w:rsidRDefault="00C037EF" w:rsidP="006475B4">
      <w:pPr>
        <w:spacing w:line="240" w:lineRule="auto"/>
        <w:rPr>
          <w:color w:val="000000"/>
          <w:szCs w:val="22"/>
          <w:lang w:val="hu-HU"/>
        </w:rPr>
      </w:pPr>
    </w:p>
    <w:p w14:paraId="7B4896C1" w14:textId="181088C0" w:rsidR="00C037EF" w:rsidRPr="00082FCB" w:rsidRDefault="00BA6782" w:rsidP="006475B4">
      <w:pPr>
        <w:spacing w:line="240" w:lineRule="auto"/>
        <w:rPr>
          <w:color w:val="000000"/>
          <w:szCs w:val="22"/>
          <w:u w:val="single"/>
          <w:lang w:val="hu-HU"/>
        </w:rPr>
      </w:pPr>
      <w:r>
        <w:rPr>
          <w:color w:val="000000"/>
          <w:szCs w:val="22"/>
          <w:u w:val="single"/>
          <w:lang w:val="hu-HU"/>
        </w:rPr>
        <w:t>Felnőttek</w:t>
      </w:r>
    </w:p>
    <w:p w14:paraId="209F38A3" w14:textId="32935ED7" w:rsidR="00C037EF" w:rsidRPr="00082FCB" w:rsidRDefault="005364E9" w:rsidP="006475B4">
      <w:pPr>
        <w:spacing w:line="240" w:lineRule="auto"/>
        <w:rPr>
          <w:color w:val="000000"/>
          <w:szCs w:val="22"/>
          <w:lang w:val="hu-HU"/>
        </w:rPr>
      </w:pPr>
      <w:r>
        <w:rPr>
          <w:iCs/>
          <w:color w:val="000000"/>
          <w:szCs w:val="22"/>
          <w:lang w:val="hu-HU"/>
        </w:rPr>
        <w:t>1</w:t>
      </w:r>
      <w:r w:rsidR="00BA6782" w:rsidRPr="00BA5943">
        <w:rPr>
          <w:iCs/>
          <w:color w:val="000000"/>
          <w:szCs w:val="22"/>
          <w:lang w:val="hu-HU"/>
        </w:rPr>
        <w:t xml:space="preserve"> tabletta</w:t>
      </w:r>
      <w:r>
        <w:rPr>
          <w:iCs/>
          <w:color w:val="000000"/>
          <w:szCs w:val="22"/>
          <w:lang w:val="hu-HU"/>
        </w:rPr>
        <w:t xml:space="preserve"> naponta legfeljebb 3-szor</w:t>
      </w:r>
      <w:r w:rsidR="00BA6782" w:rsidRPr="00BA5943">
        <w:rPr>
          <w:iCs/>
          <w:color w:val="000000"/>
          <w:szCs w:val="22"/>
          <w:lang w:val="hu-HU"/>
        </w:rPr>
        <w:t>. A dózisok bevétele között legalább 6 órának kell eltelnie</w:t>
      </w:r>
      <w:r w:rsidR="00BA6782">
        <w:rPr>
          <w:iCs/>
          <w:color w:val="000000"/>
          <w:szCs w:val="22"/>
          <w:lang w:val="hu-HU"/>
        </w:rPr>
        <w:t>.</w:t>
      </w:r>
    </w:p>
    <w:p w14:paraId="174C8535" w14:textId="021CE40D" w:rsidR="00C037EF" w:rsidRPr="00082FCB" w:rsidRDefault="00BA6782" w:rsidP="006475B4">
      <w:pPr>
        <w:spacing w:line="240" w:lineRule="auto"/>
        <w:rPr>
          <w:color w:val="000000"/>
          <w:szCs w:val="22"/>
          <w:lang w:val="hu-HU"/>
        </w:rPr>
      </w:pPr>
      <w:r w:rsidRPr="00BA5943">
        <w:rPr>
          <w:iCs/>
          <w:color w:val="000000"/>
          <w:szCs w:val="22"/>
          <w:lang w:val="hu-HU"/>
        </w:rPr>
        <w:t xml:space="preserve">Ha az egy </w:t>
      </w:r>
      <w:r w:rsidRPr="00BA5943">
        <w:rPr>
          <w:color w:val="000000"/>
          <w:szCs w:val="22"/>
          <w:lang w:val="hu-HU"/>
        </w:rPr>
        <w:t xml:space="preserve">tablettás egyszeri </w:t>
      </w:r>
      <w:r w:rsidR="00F1153A">
        <w:rPr>
          <w:color w:val="000000"/>
          <w:szCs w:val="22"/>
          <w:lang w:val="hu-HU"/>
        </w:rPr>
        <w:t>dózisok</w:t>
      </w:r>
      <w:r w:rsidR="00F1153A" w:rsidRPr="00BA5943">
        <w:rPr>
          <w:color w:val="000000"/>
          <w:szCs w:val="22"/>
          <w:lang w:val="hu-HU"/>
        </w:rPr>
        <w:t xml:space="preserve"> </w:t>
      </w:r>
      <w:r w:rsidRPr="00BA5943">
        <w:rPr>
          <w:color w:val="000000"/>
          <w:szCs w:val="22"/>
          <w:lang w:val="hu-HU"/>
        </w:rPr>
        <w:t xml:space="preserve">nem kontrollálják a tüneteket, legfeljebb két tablettát lehet bevenni naponta legfeljebb háromszor. </w:t>
      </w:r>
      <w:r w:rsidR="003C397C" w:rsidRPr="003C397C">
        <w:rPr>
          <w:color w:val="000000"/>
          <w:szCs w:val="22"/>
          <w:lang w:val="hu-HU"/>
        </w:rPr>
        <w:t xml:space="preserve">A két tablettából álló egyszeri </w:t>
      </w:r>
      <w:r w:rsidR="003C397C">
        <w:rPr>
          <w:color w:val="000000"/>
          <w:szCs w:val="22"/>
          <w:lang w:val="hu-HU"/>
        </w:rPr>
        <w:t xml:space="preserve">dózis </w:t>
      </w:r>
      <w:r w:rsidR="003C397C" w:rsidRPr="003C397C">
        <w:rPr>
          <w:color w:val="000000"/>
          <w:szCs w:val="22"/>
          <w:lang w:val="hu-HU"/>
        </w:rPr>
        <w:t>csak 60</w:t>
      </w:r>
      <w:r w:rsidR="009E505A">
        <w:rPr>
          <w:color w:val="000000"/>
          <w:szCs w:val="22"/>
          <w:lang w:val="hu-HU"/>
        </w:rPr>
        <w:t> </w:t>
      </w:r>
      <w:r w:rsidR="003C397C" w:rsidRPr="003C397C">
        <w:rPr>
          <w:color w:val="000000"/>
          <w:szCs w:val="22"/>
          <w:lang w:val="hu-HU"/>
        </w:rPr>
        <w:t xml:space="preserve">kg vagy annál nagyobb testtömegű betegek számára </w:t>
      </w:r>
      <w:r w:rsidR="003C397C">
        <w:rPr>
          <w:color w:val="000000"/>
          <w:szCs w:val="22"/>
          <w:lang w:val="hu-HU"/>
        </w:rPr>
        <w:t>alkalmazható</w:t>
      </w:r>
      <w:r w:rsidR="003C397C" w:rsidRPr="003C397C">
        <w:rPr>
          <w:color w:val="000000"/>
          <w:szCs w:val="22"/>
          <w:lang w:val="hu-HU"/>
        </w:rPr>
        <w:t xml:space="preserve">. </w:t>
      </w:r>
      <w:r w:rsidRPr="00BA5943">
        <w:rPr>
          <w:color w:val="000000"/>
          <w:szCs w:val="22"/>
          <w:lang w:val="hu-HU"/>
        </w:rPr>
        <w:t xml:space="preserve">A </w:t>
      </w:r>
      <w:r w:rsidR="00F1153A">
        <w:rPr>
          <w:color w:val="000000"/>
          <w:szCs w:val="22"/>
          <w:lang w:val="hu-HU"/>
        </w:rPr>
        <w:t>dózisok</w:t>
      </w:r>
      <w:r w:rsidR="00F1153A" w:rsidRPr="00BA5943">
        <w:rPr>
          <w:color w:val="000000"/>
          <w:szCs w:val="22"/>
          <w:lang w:val="hu-HU"/>
        </w:rPr>
        <w:t xml:space="preserve"> </w:t>
      </w:r>
      <w:r w:rsidRPr="00BA5943">
        <w:rPr>
          <w:iCs/>
          <w:color w:val="000000"/>
          <w:szCs w:val="22"/>
          <w:lang w:val="hu-HU"/>
        </w:rPr>
        <w:t>bevétele között legalább 6 órának kell eltelnie</w:t>
      </w:r>
      <w:r w:rsidR="00C037EF" w:rsidRPr="00082FCB">
        <w:rPr>
          <w:color w:val="000000"/>
          <w:szCs w:val="22"/>
          <w:lang w:val="hu-HU"/>
        </w:rPr>
        <w:t>.</w:t>
      </w:r>
    </w:p>
    <w:p w14:paraId="06F81097" w14:textId="7ADF4A39" w:rsidR="00C037EF" w:rsidRPr="00082FCB" w:rsidRDefault="003C397C" w:rsidP="006475B4">
      <w:pPr>
        <w:spacing w:line="240" w:lineRule="auto"/>
        <w:rPr>
          <w:color w:val="000000"/>
          <w:szCs w:val="22"/>
          <w:lang w:val="hu-HU"/>
        </w:rPr>
      </w:pPr>
      <w:r>
        <w:rPr>
          <w:iCs/>
          <w:color w:val="000000"/>
          <w:szCs w:val="22"/>
          <w:lang w:val="hu-HU"/>
        </w:rPr>
        <w:t>A maximális napi dózis</w:t>
      </w:r>
      <w:r w:rsidR="00BA6782" w:rsidRPr="00BA5943">
        <w:rPr>
          <w:iCs/>
          <w:color w:val="000000"/>
          <w:szCs w:val="22"/>
          <w:lang w:val="hu-HU"/>
        </w:rPr>
        <w:t xml:space="preserve"> hat tablett</w:t>
      </w:r>
      <w:r>
        <w:rPr>
          <w:iCs/>
          <w:color w:val="000000"/>
          <w:szCs w:val="22"/>
          <w:lang w:val="hu-HU"/>
        </w:rPr>
        <w:t>a</w:t>
      </w:r>
      <w:r w:rsidR="00BA6782" w:rsidRPr="00BA5943">
        <w:rPr>
          <w:iCs/>
          <w:color w:val="000000"/>
          <w:szCs w:val="22"/>
          <w:lang w:val="hu-HU"/>
        </w:rPr>
        <w:t xml:space="preserve"> (3000 mg paracetamol</w:t>
      </w:r>
      <w:r>
        <w:rPr>
          <w:iCs/>
          <w:color w:val="000000"/>
          <w:szCs w:val="22"/>
          <w:lang w:val="hu-HU"/>
        </w:rPr>
        <w:t xml:space="preserve">, </w:t>
      </w:r>
      <w:r w:rsidRPr="00BA5943">
        <w:rPr>
          <w:iCs/>
          <w:color w:val="000000"/>
          <w:szCs w:val="22"/>
          <w:lang w:val="hu-HU"/>
        </w:rPr>
        <w:t>1200 mg ibuprofén,</w:t>
      </w:r>
      <w:r w:rsidR="00BA6782" w:rsidRPr="00BA5943">
        <w:rPr>
          <w:iCs/>
          <w:color w:val="000000"/>
          <w:szCs w:val="22"/>
          <w:lang w:val="hu-HU"/>
        </w:rPr>
        <w:t xml:space="preserve">) </w:t>
      </w:r>
      <w:r>
        <w:rPr>
          <w:iCs/>
          <w:color w:val="000000"/>
          <w:szCs w:val="22"/>
          <w:lang w:val="hu-HU"/>
        </w:rPr>
        <w:t xml:space="preserve">amelyet </w:t>
      </w:r>
      <w:r w:rsidR="00BA6782" w:rsidRPr="00BA5943">
        <w:rPr>
          <w:iCs/>
          <w:color w:val="000000"/>
          <w:szCs w:val="22"/>
          <w:lang w:val="hu-HU"/>
        </w:rPr>
        <w:t>24 órás időszakban</w:t>
      </w:r>
      <w:r>
        <w:rPr>
          <w:iCs/>
          <w:color w:val="000000"/>
          <w:szCs w:val="22"/>
          <w:lang w:val="hu-HU"/>
        </w:rPr>
        <w:t xml:space="preserve"> nem szabad túllépni</w:t>
      </w:r>
      <w:r w:rsidR="00C037EF" w:rsidRPr="00082FCB">
        <w:rPr>
          <w:color w:val="000000"/>
          <w:szCs w:val="22"/>
          <w:lang w:val="hu-HU"/>
        </w:rPr>
        <w:t xml:space="preserve">. </w:t>
      </w:r>
    </w:p>
    <w:p w14:paraId="4721CF21" w14:textId="77777777" w:rsidR="00C037EF" w:rsidRPr="00082FCB" w:rsidRDefault="00C037EF" w:rsidP="006475B4">
      <w:pPr>
        <w:spacing w:line="240" w:lineRule="auto"/>
        <w:rPr>
          <w:color w:val="000000"/>
          <w:szCs w:val="22"/>
          <w:lang w:val="hu-HU"/>
        </w:rPr>
      </w:pPr>
    </w:p>
    <w:p w14:paraId="134AF182" w14:textId="632F6484" w:rsidR="00C037EF" w:rsidRPr="00082FCB" w:rsidRDefault="007C4EA9" w:rsidP="006475B4">
      <w:pPr>
        <w:spacing w:line="240" w:lineRule="auto"/>
        <w:rPr>
          <w:color w:val="000000"/>
          <w:szCs w:val="22"/>
          <w:u w:val="single"/>
          <w:lang w:val="hu-HU"/>
        </w:rPr>
      </w:pPr>
      <w:r>
        <w:rPr>
          <w:color w:val="000000"/>
          <w:szCs w:val="22"/>
          <w:u w:val="single"/>
          <w:lang w:val="hu-HU"/>
        </w:rPr>
        <w:t>Idősek</w:t>
      </w:r>
    </w:p>
    <w:p w14:paraId="75A130EB" w14:textId="0DD89122" w:rsidR="00C037EF" w:rsidRPr="00082FCB" w:rsidRDefault="007C4EA9" w:rsidP="006475B4">
      <w:pPr>
        <w:spacing w:line="240" w:lineRule="auto"/>
        <w:rPr>
          <w:color w:val="000000"/>
          <w:szCs w:val="22"/>
          <w:lang w:val="hu-HU"/>
        </w:rPr>
      </w:pPr>
      <w:r w:rsidRPr="00BA5943">
        <w:rPr>
          <w:szCs w:val="22"/>
          <w:lang w:val="hu-HU"/>
        </w:rPr>
        <w:t>Nincs szükség dózismódosításra (lásd 4.4 pont)</w:t>
      </w:r>
      <w:r w:rsidR="00C037EF" w:rsidRPr="00082FCB">
        <w:rPr>
          <w:color w:val="000000"/>
          <w:szCs w:val="22"/>
          <w:lang w:val="hu-HU"/>
        </w:rPr>
        <w:t>.</w:t>
      </w:r>
    </w:p>
    <w:p w14:paraId="43DE8CD3" w14:textId="4C67A49E" w:rsidR="00C037EF" w:rsidRPr="00082FCB" w:rsidRDefault="007C4EA9" w:rsidP="006475B4">
      <w:pPr>
        <w:spacing w:line="240" w:lineRule="auto"/>
        <w:rPr>
          <w:color w:val="000000"/>
          <w:szCs w:val="22"/>
          <w:lang w:val="hu-HU"/>
        </w:rPr>
      </w:pPr>
      <w:r w:rsidRPr="00BA5943">
        <w:rPr>
          <w:szCs w:val="22"/>
          <w:lang w:val="hu-HU"/>
        </w:rPr>
        <w:t>Időseknél magasabb a súlyos mellékhatások megjelenésének kockázata. Ha NSAID alkalmazása szükséges, akkor a legkisebb hatásos dózist a lehető legrövidebb ideig kell szedni. Az NSAID-kezelés alatt a beteget gastrointestinalis vérzés tekintetében rendszeresen ellenőrizni kell</w:t>
      </w:r>
      <w:r w:rsidR="00C037EF" w:rsidRPr="00082FCB">
        <w:rPr>
          <w:color w:val="000000"/>
          <w:szCs w:val="22"/>
          <w:lang w:val="hu-HU"/>
        </w:rPr>
        <w:t>.</w:t>
      </w:r>
    </w:p>
    <w:p w14:paraId="5E7D55A3" w14:textId="77777777" w:rsidR="001E6258" w:rsidRDefault="001E6258" w:rsidP="006475B4">
      <w:pPr>
        <w:spacing w:line="240" w:lineRule="auto"/>
        <w:rPr>
          <w:color w:val="000000"/>
          <w:szCs w:val="22"/>
          <w:lang w:val="hu-HU"/>
        </w:rPr>
      </w:pPr>
    </w:p>
    <w:p w14:paraId="579DB3D9" w14:textId="756162DF" w:rsidR="0098074F" w:rsidRPr="00ED50E8" w:rsidRDefault="0098074F" w:rsidP="0098074F">
      <w:pPr>
        <w:spacing w:line="240" w:lineRule="auto"/>
        <w:rPr>
          <w:color w:val="000000"/>
          <w:szCs w:val="22"/>
          <w:u w:val="single"/>
          <w:lang w:val="hu-HU"/>
        </w:rPr>
      </w:pPr>
      <w:r w:rsidRPr="00ED50E8">
        <w:rPr>
          <w:color w:val="000000"/>
          <w:szCs w:val="22"/>
          <w:u w:val="single"/>
          <w:lang w:val="hu-HU"/>
        </w:rPr>
        <w:lastRenderedPageBreak/>
        <w:t>Vese- vagy májkárosodás</w:t>
      </w:r>
    </w:p>
    <w:p w14:paraId="4FB2A4B9" w14:textId="5B71EA02" w:rsidR="003C397C" w:rsidRPr="00ED50E8" w:rsidRDefault="0098074F" w:rsidP="0098074F">
      <w:pPr>
        <w:spacing w:line="240" w:lineRule="auto"/>
        <w:rPr>
          <w:color w:val="000000"/>
          <w:szCs w:val="22"/>
          <w:lang w:val="hu-HU"/>
        </w:rPr>
      </w:pPr>
      <w:r w:rsidRPr="00ED50E8">
        <w:rPr>
          <w:color w:val="000000"/>
          <w:szCs w:val="22"/>
          <w:lang w:val="hu-HU"/>
        </w:rPr>
        <w:t>Enyhe vagy közepesen súlyos vese-</w:t>
      </w:r>
      <w:r>
        <w:rPr>
          <w:color w:val="000000"/>
          <w:szCs w:val="22"/>
          <w:lang w:val="hu-HU"/>
        </w:rPr>
        <w:t xml:space="preserve"> vagy </w:t>
      </w:r>
      <w:r w:rsidRPr="00ED50E8">
        <w:rPr>
          <w:color w:val="000000"/>
          <w:szCs w:val="22"/>
          <w:lang w:val="hu-HU"/>
        </w:rPr>
        <w:t xml:space="preserve">májkárosodásban szenvedő betegeknél </w:t>
      </w:r>
      <w:r>
        <w:rPr>
          <w:color w:val="000000"/>
          <w:szCs w:val="22"/>
          <w:lang w:val="hu-HU"/>
        </w:rPr>
        <w:t>elővigyázatosságra</w:t>
      </w:r>
      <w:r w:rsidRPr="00ED50E8">
        <w:rPr>
          <w:color w:val="000000"/>
          <w:szCs w:val="22"/>
          <w:lang w:val="hu-HU"/>
        </w:rPr>
        <w:t xml:space="preserve"> van szükség. Az adagolást egyénileg kell értékelni, és a lehető legalacsonyabb szinten kell tartani. Ez a gyógyszer ellenjavallt súlyos vese-</w:t>
      </w:r>
      <w:r>
        <w:rPr>
          <w:color w:val="000000"/>
          <w:szCs w:val="22"/>
          <w:lang w:val="hu-HU"/>
        </w:rPr>
        <w:t xml:space="preserve"> vagy </w:t>
      </w:r>
      <w:r w:rsidRPr="00ED50E8">
        <w:rPr>
          <w:color w:val="000000"/>
          <w:szCs w:val="22"/>
          <w:lang w:val="hu-HU"/>
        </w:rPr>
        <w:t>májelégtelenségben szenvedő betegeknél (lásd 4.3. pont).</w:t>
      </w:r>
    </w:p>
    <w:p w14:paraId="66317BCA" w14:textId="77777777" w:rsidR="0098074F" w:rsidRPr="0098074F" w:rsidRDefault="0098074F" w:rsidP="0098074F">
      <w:pPr>
        <w:spacing w:line="240" w:lineRule="auto"/>
        <w:rPr>
          <w:color w:val="000000"/>
          <w:szCs w:val="22"/>
          <w:lang w:val="hu-HU"/>
        </w:rPr>
      </w:pPr>
    </w:p>
    <w:p w14:paraId="25859927" w14:textId="15D0E7C1" w:rsidR="001E6258" w:rsidRPr="00082FCB" w:rsidRDefault="007C4EA9" w:rsidP="000A15A2">
      <w:pPr>
        <w:keepNext/>
        <w:spacing w:line="240" w:lineRule="auto"/>
        <w:rPr>
          <w:color w:val="000000"/>
          <w:szCs w:val="22"/>
          <w:u w:val="single"/>
          <w:lang w:val="hu-HU"/>
        </w:rPr>
      </w:pPr>
      <w:r>
        <w:rPr>
          <w:u w:val="single"/>
          <w:lang w:val="hu-HU"/>
        </w:rPr>
        <w:t>Gyermekek és serdülők</w:t>
      </w:r>
    </w:p>
    <w:p w14:paraId="4BCD5265" w14:textId="7BBCDBA5" w:rsidR="00C037EF" w:rsidRPr="00082FCB" w:rsidRDefault="007C4EA9" w:rsidP="000A15A2">
      <w:pPr>
        <w:keepNext/>
        <w:spacing w:line="240" w:lineRule="auto"/>
        <w:rPr>
          <w:color w:val="000000"/>
          <w:szCs w:val="22"/>
          <w:lang w:val="hu-HU"/>
        </w:rPr>
      </w:pPr>
      <w:r w:rsidRPr="00BA5943">
        <w:rPr>
          <w:szCs w:val="22"/>
          <w:lang w:val="hu-HU"/>
        </w:rPr>
        <w:t>Ne alkalmazza ezt a gyógyszert 18 évesnél fiatalabb gyermekeknél és serdülőknél</w:t>
      </w:r>
      <w:r w:rsidR="00C037EF" w:rsidRPr="00082FCB">
        <w:rPr>
          <w:color w:val="000000"/>
          <w:szCs w:val="22"/>
          <w:lang w:val="hu-HU"/>
        </w:rPr>
        <w:t>.</w:t>
      </w:r>
    </w:p>
    <w:p w14:paraId="44CD77E3" w14:textId="77777777" w:rsidR="00C53ACC" w:rsidRPr="00082FCB" w:rsidRDefault="00C53ACC" w:rsidP="006475B4">
      <w:pPr>
        <w:tabs>
          <w:tab w:val="clear" w:pos="567"/>
        </w:tabs>
        <w:autoSpaceDE w:val="0"/>
        <w:autoSpaceDN w:val="0"/>
        <w:adjustRightInd w:val="0"/>
        <w:spacing w:line="240" w:lineRule="auto"/>
        <w:jc w:val="both"/>
        <w:rPr>
          <w:bCs/>
          <w:iCs/>
          <w:szCs w:val="22"/>
          <w:lang w:val="hu-HU"/>
        </w:rPr>
      </w:pPr>
    </w:p>
    <w:p w14:paraId="1D531AFC" w14:textId="77777777" w:rsidR="007C4EA9" w:rsidRPr="00BA5943" w:rsidRDefault="007C4EA9" w:rsidP="007C4EA9">
      <w:pPr>
        <w:spacing w:line="240" w:lineRule="auto"/>
        <w:rPr>
          <w:szCs w:val="22"/>
          <w:u w:val="single"/>
          <w:lang w:val="hu-HU"/>
        </w:rPr>
      </w:pPr>
      <w:r w:rsidRPr="00BA5943">
        <w:rPr>
          <w:szCs w:val="22"/>
          <w:u w:val="single"/>
          <w:lang w:val="hu-HU"/>
        </w:rPr>
        <w:t>Az alkalmazás módja</w:t>
      </w:r>
    </w:p>
    <w:p w14:paraId="1F73E490" w14:textId="77777777" w:rsidR="007C4EA9" w:rsidRDefault="007C4EA9" w:rsidP="007C4EA9">
      <w:pPr>
        <w:spacing w:line="240" w:lineRule="auto"/>
        <w:rPr>
          <w:bCs/>
          <w:iCs/>
          <w:szCs w:val="22"/>
          <w:lang w:val="hu-HU"/>
        </w:rPr>
      </w:pPr>
      <w:r w:rsidRPr="00BA5943">
        <w:rPr>
          <w:bCs/>
          <w:iCs/>
          <w:szCs w:val="22"/>
          <w:lang w:val="hu-HU"/>
        </w:rPr>
        <w:t>Szájon át történő alkalmazásra.</w:t>
      </w:r>
    </w:p>
    <w:p w14:paraId="0547060D" w14:textId="10BAB24A" w:rsidR="00040838" w:rsidRDefault="00040838" w:rsidP="007C4EA9">
      <w:pPr>
        <w:spacing w:line="240" w:lineRule="auto"/>
        <w:rPr>
          <w:bCs/>
          <w:iCs/>
          <w:szCs w:val="22"/>
          <w:lang w:val="hu-HU"/>
        </w:rPr>
      </w:pPr>
      <w:r>
        <w:rPr>
          <w:bCs/>
          <w:iCs/>
          <w:szCs w:val="22"/>
          <w:lang w:val="hu-HU"/>
        </w:rPr>
        <w:t>A</w:t>
      </w:r>
      <w:r w:rsidR="000E2D4D">
        <w:rPr>
          <w:bCs/>
          <w:iCs/>
          <w:szCs w:val="22"/>
          <w:lang w:val="hu-HU"/>
        </w:rPr>
        <w:t>z</w:t>
      </w:r>
      <w:r>
        <w:rPr>
          <w:bCs/>
          <w:iCs/>
          <w:szCs w:val="22"/>
          <w:lang w:val="hu-HU"/>
        </w:rPr>
        <w:t xml:space="preserve"> </w:t>
      </w:r>
      <w:r w:rsidR="000E2D4D">
        <w:rPr>
          <w:bCs/>
          <w:iCs/>
          <w:szCs w:val="22"/>
          <w:lang w:val="hu-HU"/>
        </w:rPr>
        <w:t>Advil</w:t>
      </w:r>
      <w:r w:rsidR="000E2D4D" w:rsidRPr="003C397C">
        <w:rPr>
          <w:bCs/>
          <w:iCs/>
          <w:szCs w:val="22"/>
          <w:lang w:val="hu-HU"/>
        </w:rPr>
        <w:t xml:space="preserve"> </w:t>
      </w:r>
      <w:r w:rsidRPr="003C397C">
        <w:rPr>
          <w:bCs/>
          <w:iCs/>
          <w:szCs w:val="22"/>
          <w:lang w:val="hu-HU"/>
        </w:rPr>
        <w:t xml:space="preserve">Duo </w:t>
      </w:r>
      <w:r>
        <w:rPr>
          <w:bCs/>
          <w:iCs/>
          <w:szCs w:val="22"/>
          <w:lang w:val="hu-HU"/>
        </w:rPr>
        <w:t>500</w:t>
      </w:r>
      <w:r w:rsidRPr="003C397C">
        <w:rPr>
          <w:bCs/>
          <w:iCs/>
          <w:szCs w:val="22"/>
          <w:lang w:val="hu-HU"/>
        </w:rPr>
        <w:t xml:space="preserve"> mg/</w:t>
      </w:r>
      <w:r>
        <w:rPr>
          <w:bCs/>
          <w:iCs/>
          <w:szCs w:val="22"/>
          <w:lang w:val="hu-HU"/>
        </w:rPr>
        <w:t>2</w:t>
      </w:r>
      <w:r w:rsidRPr="003C397C">
        <w:rPr>
          <w:bCs/>
          <w:iCs/>
          <w:szCs w:val="22"/>
          <w:lang w:val="hu-HU"/>
        </w:rPr>
        <w:t>00 mg filmtablettát</w:t>
      </w:r>
      <w:r>
        <w:rPr>
          <w:bCs/>
          <w:iCs/>
          <w:szCs w:val="22"/>
          <w:lang w:val="hu-HU"/>
        </w:rPr>
        <w:t xml:space="preserve"> egy pohár vízzel szükséges bevenni.</w:t>
      </w:r>
    </w:p>
    <w:p w14:paraId="07BE63B0" w14:textId="65567063" w:rsidR="003C397C" w:rsidRPr="00BA5943" w:rsidRDefault="003C397C" w:rsidP="007C4EA9">
      <w:pPr>
        <w:spacing w:line="240" w:lineRule="auto"/>
        <w:rPr>
          <w:bCs/>
          <w:iCs/>
          <w:szCs w:val="22"/>
          <w:lang w:val="hu-HU"/>
        </w:rPr>
      </w:pPr>
      <w:r w:rsidRPr="003C397C">
        <w:rPr>
          <w:bCs/>
          <w:iCs/>
          <w:szCs w:val="22"/>
          <w:lang w:val="hu-HU"/>
        </w:rPr>
        <w:t>A mellékhatások minimalizálása érdekében a</w:t>
      </w:r>
      <w:r w:rsidR="000E2D4D">
        <w:rPr>
          <w:bCs/>
          <w:iCs/>
          <w:szCs w:val="22"/>
          <w:lang w:val="hu-HU"/>
        </w:rPr>
        <w:t>z</w:t>
      </w:r>
      <w:r w:rsidRPr="003C397C">
        <w:rPr>
          <w:bCs/>
          <w:iCs/>
          <w:szCs w:val="22"/>
          <w:lang w:val="hu-HU"/>
        </w:rPr>
        <w:t xml:space="preserve"> </w:t>
      </w:r>
      <w:r w:rsidR="000E2D4D">
        <w:rPr>
          <w:bCs/>
          <w:iCs/>
          <w:szCs w:val="22"/>
          <w:lang w:val="hu-HU"/>
        </w:rPr>
        <w:t>Advil</w:t>
      </w:r>
      <w:r w:rsidR="000E2D4D" w:rsidRPr="003C397C">
        <w:rPr>
          <w:bCs/>
          <w:iCs/>
          <w:szCs w:val="22"/>
          <w:lang w:val="hu-HU"/>
        </w:rPr>
        <w:t xml:space="preserve"> </w:t>
      </w:r>
      <w:r w:rsidRPr="003C397C">
        <w:rPr>
          <w:bCs/>
          <w:iCs/>
          <w:szCs w:val="22"/>
          <w:lang w:val="hu-HU"/>
        </w:rPr>
        <w:t xml:space="preserve">Duo </w:t>
      </w:r>
      <w:r>
        <w:rPr>
          <w:bCs/>
          <w:iCs/>
          <w:szCs w:val="22"/>
          <w:lang w:val="hu-HU"/>
        </w:rPr>
        <w:t>500</w:t>
      </w:r>
      <w:r w:rsidRPr="003C397C">
        <w:rPr>
          <w:bCs/>
          <w:iCs/>
          <w:szCs w:val="22"/>
          <w:lang w:val="hu-HU"/>
        </w:rPr>
        <w:t xml:space="preserve"> mg/</w:t>
      </w:r>
      <w:r>
        <w:rPr>
          <w:bCs/>
          <w:iCs/>
          <w:szCs w:val="22"/>
          <w:lang w:val="hu-HU"/>
        </w:rPr>
        <w:t>2</w:t>
      </w:r>
      <w:r w:rsidRPr="003C397C">
        <w:rPr>
          <w:bCs/>
          <w:iCs/>
          <w:szCs w:val="22"/>
          <w:lang w:val="hu-HU"/>
        </w:rPr>
        <w:t>00 mg filmtablettát étkezés közben</w:t>
      </w:r>
      <w:r w:rsidR="004E288C">
        <w:rPr>
          <w:bCs/>
          <w:iCs/>
          <w:szCs w:val="22"/>
          <w:lang w:val="hu-HU"/>
        </w:rPr>
        <w:t xml:space="preserve"> kell bevenni</w:t>
      </w:r>
      <w:r w:rsidRPr="003C397C">
        <w:rPr>
          <w:bCs/>
          <w:iCs/>
          <w:szCs w:val="22"/>
          <w:lang w:val="hu-HU"/>
        </w:rPr>
        <w:t>.</w:t>
      </w:r>
    </w:p>
    <w:p w14:paraId="7783B1F3" w14:textId="77777777" w:rsidR="001D29E6" w:rsidRPr="00082FCB" w:rsidRDefault="001D29E6" w:rsidP="006475B4">
      <w:pPr>
        <w:spacing w:line="240" w:lineRule="auto"/>
        <w:rPr>
          <w:szCs w:val="22"/>
          <w:lang w:val="hu-HU"/>
        </w:rPr>
      </w:pPr>
    </w:p>
    <w:p w14:paraId="124EB084" w14:textId="32CB0527" w:rsidR="001D29E6" w:rsidRPr="00082FCB" w:rsidRDefault="001D29E6" w:rsidP="006475B4">
      <w:pPr>
        <w:spacing w:line="240" w:lineRule="auto"/>
        <w:ind w:left="567" w:hanging="567"/>
        <w:rPr>
          <w:szCs w:val="22"/>
          <w:lang w:val="hu-HU"/>
        </w:rPr>
      </w:pPr>
      <w:r w:rsidRPr="00082FCB">
        <w:rPr>
          <w:b/>
          <w:szCs w:val="22"/>
          <w:lang w:val="hu-HU"/>
        </w:rPr>
        <w:t>4.3</w:t>
      </w:r>
      <w:r w:rsidRPr="00082FCB">
        <w:rPr>
          <w:b/>
          <w:szCs w:val="22"/>
          <w:lang w:val="hu-HU"/>
        </w:rPr>
        <w:tab/>
      </w:r>
      <w:r w:rsidR="007C4EA9" w:rsidRPr="00BA5943">
        <w:rPr>
          <w:b/>
          <w:szCs w:val="22"/>
          <w:lang w:val="hu-HU"/>
        </w:rPr>
        <w:t>Ellenjavallatok</w:t>
      </w:r>
    </w:p>
    <w:p w14:paraId="6FD66788" w14:textId="77777777" w:rsidR="001D29E6" w:rsidRPr="00082FCB" w:rsidRDefault="001D29E6" w:rsidP="006475B4">
      <w:pPr>
        <w:spacing w:line="240" w:lineRule="auto"/>
        <w:rPr>
          <w:szCs w:val="22"/>
          <w:lang w:val="hu-HU"/>
        </w:rPr>
      </w:pPr>
    </w:p>
    <w:p w14:paraId="5CCDDBD5" w14:textId="1620A0D5" w:rsidR="00C037EF" w:rsidRPr="007C4EA9" w:rsidRDefault="007C4EA9" w:rsidP="006475B4">
      <w:pPr>
        <w:spacing w:line="240" w:lineRule="auto"/>
        <w:rPr>
          <w:szCs w:val="22"/>
          <w:lang w:val="hu-HU"/>
        </w:rPr>
      </w:pPr>
      <w:r w:rsidRPr="00BA5943">
        <w:rPr>
          <w:szCs w:val="22"/>
          <w:lang w:val="hu-HU"/>
        </w:rPr>
        <w:t>A gyógyszer ellenjavallt:</w:t>
      </w:r>
    </w:p>
    <w:p w14:paraId="78D611F2" w14:textId="4984A0EE"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 xml:space="preserve">a hatóanyagokkal vagy a </w:t>
      </w:r>
      <w:r w:rsidR="005364E9">
        <w:rPr>
          <w:szCs w:val="22"/>
          <w:lang w:val="hu-HU"/>
        </w:rPr>
        <w:t xml:space="preserve">gyógyszer </w:t>
      </w:r>
      <w:r w:rsidRPr="00BA5943">
        <w:rPr>
          <w:szCs w:val="22"/>
          <w:lang w:val="hu-HU"/>
        </w:rPr>
        <w:t>6.1 pontban felsorolt bármely segédanyagával szembeni túlérzékenység esetén</w:t>
      </w:r>
      <w:r>
        <w:rPr>
          <w:szCs w:val="22"/>
          <w:lang w:val="hu-HU"/>
        </w:rPr>
        <w:t>.</w:t>
      </w:r>
    </w:p>
    <w:p w14:paraId="5C274B39" w14:textId="001EB756"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egyéb paracetamol-tartalmú gyógyszerek egyidejű alkalmazása esetén (lásd 4.5 pont)</w:t>
      </w:r>
      <w:r w:rsidR="00C037EF" w:rsidRPr="00082FCB">
        <w:rPr>
          <w:color w:val="000000"/>
          <w:szCs w:val="22"/>
          <w:lang w:val="hu-HU"/>
        </w:rPr>
        <w:t>.</w:t>
      </w:r>
    </w:p>
    <w:p w14:paraId="7F78EDA4" w14:textId="356C0ECC"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 xml:space="preserve">ha a beteg </w:t>
      </w:r>
      <w:r w:rsidR="00E340F8">
        <w:rPr>
          <w:szCs w:val="22"/>
          <w:lang w:val="hu-HU"/>
        </w:rPr>
        <w:t>anamnézisében</w:t>
      </w:r>
      <w:r w:rsidR="00E340F8" w:rsidRPr="00BA5943">
        <w:rPr>
          <w:szCs w:val="22"/>
          <w:lang w:val="hu-HU"/>
        </w:rPr>
        <w:t xml:space="preserve"> </w:t>
      </w:r>
      <w:r w:rsidRPr="00BA5943">
        <w:rPr>
          <w:szCs w:val="22"/>
          <w:lang w:val="hu-HU"/>
        </w:rPr>
        <w:t>acetilszalicilsavval vagy egyéb nem-szteroid gyulladáscsökkentőkkel (NSAID-okkal) összefüggő túlérzékenységi reakciók szerepelnek (például bronchospasmus, angioedema, asthma, rhinitis vagy urticaria)</w:t>
      </w:r>
      <w:r w:rsidR="00C037EF" w:rsidRPr="00082FCB">
        <w:rPr>
          <w:color w:val="000000"/>
          <w:szCs w:val="22"/>
          <w:lang w:val="hu-HU"/>
        </w:rPr>
        <w:t>.</w:t>
      </w:r>
    </w:p>
    <w:p w14:paraId="03F2EDB7" w14:textId="0D807690"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aktív vagy a</w:t>
      </w:r>
      <w:r w:rsidR="00E340F8">
        <w:rPr>
          <w:szCs w:val="22"/>
          <w:lang w:val="hu-HU"/>
        </w:rPr>
        <w:t xml:space="preserve">z anamnézisben </w:t>
      </w:r>
      <w:r w:rsidRPr="00BA5943">
        <w:rPr>
          <w:szCs w:val="22"/>
          <w:lang w:val="hu-HU"/>
        </w:rPr>
        <w:t>szereplő rekurrens peptikus fekély/haemorrhagia (igazolt fekélyképződés vagy vérzés két vagy több, időben különálló epizódja) esetén</w:t>
      </w:r>
      <w:r w:rsidR="00C037EF" w:rsidRPr="00082FCB">
        <w:rPr>
          <w:color w:val="000000"/>
          <w:szCs w:val="22"/>
          <w:lang w:val="hu-HU"/>
        </w:rPr>
        <w:t>.</w:t>
      </w:r>
    </w:p>
    <w:p w14:paraId="13F343CF" w14:textId="46943F89" w:rsidR="00C037EF" w:rsidRPr="00082FCB" w:rsidRDefault="007C4EA9" w:rsidP="00ED50E8">
      <w:pPr>
        <w:numPr>
          <w:ilvl w:val="0"/>
          <w:numId w:val="38"/>
        </w:numPr>
        <w:spacing w:line="240" w:lineRule="auto"/>
        <w:ind w:left="567" w:hanging="567"/>
        <w:rPr>
          <w:color w:val="000000"/>
          <w:szCs w:val="22"/>
          <w:lang w:val="hu-HU"/>
        </w:rPr>
      </w:pPr>
      <w:r w:rsidRPr="00BA5943">
        <w:rPr>
          <w:szCs w:val="22"/>
          <w:lang w:val="hu-HU"/>
        </w:rPr>
        <w:t>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 xml:space="preserve">szereplő vagy fennálló gastrointestinalis </w:t>
      </w:r>
      <w:r w:rsidR="00040838">
        <w:rPr>
          <w:szCs w:val="22"/>
          <w:lang w:val="hu-HU"/>
        </w:rPr>
        <w:t xml:space="preserve">vérzés vagy </w:t>
      </w:r>
      <w:r w:rsidRPr="00BA5943">
        <w:rPr>
          <w:szCs w:val="22"/>
          <w:lang w:val="hu-HU"/>
        </w:rPr>
        <w:t xml:space="preserve">perforatio, </w:t>
      </w:r>
      <w:r w:rsidR="00040838">
        <w:rPr>
          <w:szCs w:val="22"/>
          <w:lang w:val="hu-HU"/>
        </w:rPr>
        <w:t>ami korábbi</w:t>
      </w:r>
      <w:r w:rsidRPr="00BA5943">
        <w:rPr>
          <w:szCs w:val="22"/>
          <w:lang w:val="hu-HU"/>
        </w:rPr>
        <w:t xml:space="preserve"> NSAID-ok </w:t>
      </w:r>
      <w:r w:rsidR="00040838">
        <w:rPr>
          <w:szCs w:val="22"/>
          <w:lang w:val="hu-HU"/>
        </w:rPr>
        <w:t>kezeléssel</w:t>
      </w:r>
      <w:r w:rsidR="00040838" w:rsidRPr="00BA5943">
        <w:rPr>
          <w:szCs w:val="22"/>
          <w:lang w:val="hu-HU"/>
        </w:rPr>
        <w:t xml:space="preserve"> </w:t>
      </w:r>
      <w:r w:rsidRPr="00BA5943">
        <w:rPr>
          <w:szCs w:val="22"/>
          <w:lang w:val="hu-HU"/>
        </w:rPr>
        <w:t>összefügg (lásd 4.4 pont)</w:t>
      </w:r>
      <w:r w:rsidR="00C037EF" w:rsidRPr="00082FCB">
        <w:rPr>
          <w:color w:val="000000"/>
          <w:szCs w:val="22"/>
          <w:lang w:val="hu-HU"/>
        </w:rPr>
        <w:t>.</w:t>
      </w:r>
    </w:p>
    <w:p w14:paraId="1F50E7B1" w14:textId="18389305"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véralvadási zavarban szenvedő betegeknél</w:t>
      </w:r>
      <w:r w:rsidR="00C037EF" w:rsidRPr="00082FCB">
        <w:rPr>
          <w:color w:val="000000"/>
          <w:szCs w:val="22"/>
          <w:lang w:val="hu-HU"/>
        </w:rPr>
        <w:t>.</w:t>
      </w:r>
    </w:p>
    <w:p w14:paraId="48884690" w14:textId="4895C637"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 xml:space="preserve">súlyos </w:t>
      </w:r>
      <w:r w:rsidR="00A35269" w:rsidRPr="00BA5943">
        <w:rPr>
          <w:szCs w:val="22"/>
          <w:lang w:val="hu-HU"/>
        </w:rPr>
        <w:t>máj</w:t>
      </w:r>
      <w:r w:rsidR="00A35269">
        <w:rPr>
          <w:szCs w:val="22"/>
          <w:lang w:val="hu-HU"/>
        </w:rPr>
        <w:t>károsodásban</w:t>
      </w:r>
      <w:r w:rsidRPr="00BA5943">
        <w:rPr>
          <w:szCs w:val="22"/>
          <w:lang w:val="hu-HU"/>
        </w:rPr>
        <w:t xml:space="preserve">, súlyos </w:t>
      </w:r>
      <w:r w:rsidR="00A35269" w:rsidRPr="00BA5943">
        <w:rPr>
          <w:szCs w:val="22"/>
          <w:lang w:val="hu-HU"/>
        </w:rPr>
        <w:t>vese</w:t>
      </w:r>
      <w:r w:rsidR="00A35269">
        <w:rPr>
          <w:szCs w:val="22"/>
          <w:lang w:val="hu-HU"/>
        </w:rPr>
        <w:t>károsodásban</w:t>
      </w:r>
      <w:r w:rsidR="00A35269" w:rsidRPr="00BA5943">
        <w:rPr>
          <w:szCs w:val="22"/>
          <w:lang w:val="hu-HU"/>
        </w:rPr>
        <w:t xml:space="preserve"> </w:t>
      </w:r>
      <w:r w:rsidRPr="00BA5943">
        <w:rPr>
          <w:szCs w:val="22"/>
          <w:lang w:val="hu-HU"/>
        </w:rPr>
        <w:t>vagy súlyos szívelégtelenségben (NYHA IV. osztály) (lásd 4.4 pont)</w:t>
      </w:r>
      <w:r w:rsidR="00C037EF" w:rsidRPr="00082FCB">
        <w:rPr>
          <w:color w:val="000000"/>
          <w:szCs w:val="22"/>
          <w:lang w:val="hu-HU"/>
        </w:rPr>
        <w:t>.</w:t>
      </w:r>
    </w:p>
    <w:p w14:paraId="70DEB85F" w14:textId="4E0A4C55"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más NSAID-tartalmú gyógyszerekkel való egyidejű alkalmazás esetén, beleértve a ciklo-oxigenáz-2 (COX-2) specifikus gátló</w:t>
      </w:r>
      <w:r w:rsidR="004A2F41">
        <w:rPr>
          <w:szCs w:val="22"/>
          <w:lang w:val="hu-HU"/>
        </w:rPr>
        <w:t>it</w:t>
      </w:r>
      <w:r w:rsidRPr="00BA5943">
        <w:rPr>
          <w:szCs w:val="22"/>
          <w:lang w:val="hu-HU"/>
        </w:rPr>
        <w:t xml:space="preserve"> és a napi 75 mg feletti acetilszalicilsav dózisokat (lásd 4.5 pont)</w:t>
      </w:r>
      <w:r w:rsidR="00C037EF" w:rsidRPr="00082FCB">
        <w:rPr>
          <w:color w:val="000000"/>
          <w:szCs w:val="22"/>
          <w:lang w:val="hu-HU"/>
        </w:rPr>
        <w:t>.</w:t>
      </w:r>
    </w:p>
    <w:p w14:paraId="189F6ACD" w14:textId="553F9F20" w:rsidR="00C037EF" w:rsidRPr="00082FCB" w:rsidRDefault="007C4EA9" w:rsidP="006475B4">
      <w:pPr>
        <w:numPr>
          <w:ilvl w:val="0"/>
          <w:numId w:val="38"/>
        </w:numPr>
        <w:spacing w:line="240" w:lineRule="auto"/>
        <w:ind w:left="567" w:hanging="567"/>
        <w:rPr>
          <w:color w:val="000000"/>
          <w:szCs w:val="22"/>
          <w:lang w:val="hu-HU"/>
        </w:rPr>
      </w:pPr>
      <w:r w:rsidRPr="00BA5943">
        <w:rPr>
          <w:szCs w:val="22"/>
          <w:lang w:val="hu-HU"/>
        </w:rPr>
        <w:t>a terhesség utolsó trimeszterében (lásd 4.6 pont)</w:t>
      </w:r>
      <w:r w:rsidR="00C037EF" w:rsidRPr="00082FCB">
        <w:rPr>
          <w:color w:val="000000"/>
          <w:szCs w:val="22"/>
          <w:lang w:val="hu-HU"/>
        </w:rPr>
        <w:t>.</w:t>
      </w:r>
    </w:p>
    <w:p w14:paraId="59439A13" w14:textId="77777777" w:rsidR="001D29E6" w:rsidRPr="00082FCB" w:rsidRDefault="001D29E6" w:rsidP="006475B4">
      <w:pPr>
        <w:spacing w:line="240" w:lineRule="auto"/>
        <w:rPr>
          <w:szCs w:val="22"/>
          <w:lang w:val="hu-HU"/>
        </w:rPr>
      </w:pPr>
    </w:p>
    <w:p w14:paraId="117AB9F3" w14:textId="77411C2D" w:rsidR="001D29E6" w:rsidRPr="00082FCB" w:rsidRDefault="001D29E6" w:rsidP="006475B4">
      <w:pPr>
        <w:spacing w:line="240" w:lineRule="auto"/>
        <w:ind w:left="567" w:hanging="567"/>
        <w:rPr>
          <w:b/>
          <w:szCs w:val="22"/>
          <w:lang w:val="hu-HU"/>
        </w:rPr>
      </w:pPr>
      <w:r w:rsidRPr="00082FCB">
        <w:rPr>
          <w:b/>
          <w:szCs w:val="22"/>
          <w:lang w:val="hu-HU"/>
        </w:rPr>
        <w:t>4.4</w:t>
      </w:r>
      <w:r w:rsidRPr="00082FCB">
        <w:rPr>
          <w:b/>
          <w:szCs w:val="22"/>
          <w:lang w:val="hu-HU"/>
        </w:rPr>
        <w:tab/>
      </w:r>
      <w:r w:rsidR="007C4EA9" w:rsidRPr="00BA5943">
        <w:rPr>
          <w:b/>
          <w:szCs w:val="22"/>
          <w:lang w:val="hu-HU"/>
        </w:rPr>
        <w:t>Különleges figyelmeztetések és az alkalmazással kapcsolatos óvintézkedések</w:t>
      </w:r>
    </w:p>
    <w:p w14:paraId="2C3C5A19" w14:textId="77777777" w:rsidR="00C53ACC" w:rsidRPr="00082FCB" w:rsidRDefault="00C53ACC" w:rsidP="006475B4">
      <w:pPr>
        <w:spacing w:line="240" w:lineRule="auto"/>
        <w:ind w:left="567" w:hanging="567"/>
        <w:rPr>
          <w:szCs w:val="22"/>
          <w:lang w:val="hu-HU"/>
        </w:rPr>
      </w:pPr>
    </w:p>
    <w:p w14:paraId="31D2B998" w14:textId="4983E113" w:rsidR="00DA06EC" w:rsidRPr="00082FCB" w:rsidRDefault="00DA06EC" w:rsidP="006475B4">
      <w:pPr>
        <w:spacing w:line="240" w:lineRule="auto"/>
        <w:rPr>
          <w:color w:val="000000"/>
          <w:szCs w:val="22"/>
          <w:u w:val="single"/>
          <w:lang w:val="hu-HU"/>
        </w:rPr>
      </w:pPr>
      <w:r w:rsidRPr="00082FCB">
        <w:rPr>
          <w:color w:val="000000"/>
          <w:szCs w:val="22"/>
          <w:u w:val="single"/>
          <w:lang w:val="hu-HU"/>
        </w:rPr>
        <w:t>Paracetamol:</w:t>
      </w:r>
    </w:p>
    <w:p w14:paraId="1FB710A2" w14:textId="0B62736C" w:rsidR="00DA06EC" w:rsidRPr="00082FCB" w:rsidRDefault="00353FB0" w:rsidP="006475B4">
      <w:pPr>
        <w:spacing w:line="240" w:lineRule="auto"/>
        <w:rPr>
          <w:color w:val="000000"/>
          <w:szCs w:val="22"/>
          <w:lang w:val="hu-HU"/>
        </w:rPr>
      </w:pPr>
      <w:r w:rsidRPr="00BA5943">
        <w:rPr>
          <w:szCs w:val="22"/>
          <w:lang w:val="hu-HU"/>
        </w:rPr>
        <w:t>A paracetamol-túladagolás kockázata magasabb a nem cirrhotikus alkoholos májbetegségben szenvedő betegeknél</w:t>
      </w:r>
      <w:r w:rsidR="00DA06EC" w:rsidRPr="00082FCB">
        <w:rPr>
          <w:color w:val="000000"/>
          <w:szCs w:val="22"/>
          <w:lang w:val="hu-HU"/>
        </w:rPr>
        <w:t xml:space="preserve">. </w:t>
      </w:r>
      <w:r w:rsidRPr="00BA5943">
        <w:rPr>
          <w:szCs w:val="22"/>
          <w:lang w:val="hu-HU"/>
        </w:rPr>
        <w:t>Túladagolás esetén azonnal orvoshoz kell fordulni a késői, súlyos májkárosodás kockázata miatt, még akkor is, ha a beteg jól érzi magát</w:t>
      </w:r>
      <w:r w:rsidR="0048225F">
        <w:rPr>
          <w:color w:val="000000"/>
          <w:szCs w:val="22"/>
          <w:lang w:val="hu-HU"/>
        </w:rPr>
        <w:t xml:space="preserve"> </w:t>
      </w:r>
      <w:r w:rsidR="0048225F" w:rsidRPr="00BA5943">
        <w:rPr>
          <w:szCs w:val="22"/>
          <w:lang w:val="hu-HU"/>
        </w:rPr>
        <w:t>(lásd 4.</w:t>
      </w:r>
      <w:r w:rsidR="0048225F">
        <w:rPr>
          <w:szCs w:val="22"/>
          <w:lang w:val="hu-HU"/>
        </w:rPr>
        <w:t>9</w:t>
      </w:r>
      <w:r w:rsidR="0048225F" w:rsidRPr="00BA5943">
        <w:rPr>
          <w:szCs w:val="22"/>
          <w:lang w:val="hu-HU"/>
        </w:rPr>
        <w:t xml:space="preserve"> pont)</w:t>
      </w:r>
      <w:r w:rsidR="0048225F" w:rsidRPr="00082FCB">
        <w:rPr>
          <w:color w:val="000000"/>
          <w:szCs w:val="22"/>
          <w:lang w:val="hu-HU"/>
        </w:rPr>
        <w:t>.</w:t>
      </w:r>
    </w:p>
    <w:p w14:paraId="73607C7A" w14:textId="3991B3AD" w:rsidR="00DA06EC" w:rsidRPr="00082FCB" w:rsidRDefault="00DA06EC" w:rsidP="006475B4">
      <w:pPr>
        <w:spacing w:line="240" w:lineRule="auto"/>
        <w:rPr>
          <w:szCs w:val="22"/>
          <w:lang w:val="hu-HU"/>
        </w:rPr>
      </w:pPr>
    </w:p>
    <w:p w14:paraId="25A6D16F" w14:textId="4A8EA3A8" w:rsidR="002A53AD" w:rsidRPr="00792EFE" w:rsidRDefault="00792EFE" w:rsidP="006475B4">
      <w:pPr>
        <w:spacing w:line="240" w:lineRule="auto"/>
        <w:rPr>
          <w:szCs w:val="22"/>
          <w:lang w:val="hu-HU"/>
        </w:rPr>
      </w:pPr>
      <w:r w:rsidRPr="00792EFE">
        <w:rPr>
          <w:szCs w:val="22"/>
          <w:lang w:val="hu-HU"/>
        </w:rPr>
        <w:t>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5-oxoprolin-szintjének ellenőrzése célszerű lehet a piroglutamát-acidózis – mint a HAGMA mögöttes okának – azonosításához olyan betegek esetében, akiknél több kockázati tényező is fennáll.</w:t>
      </w:r>
    </w:p>
    <w:p w14:paraId="521B1A7B" w14:textId="77777777" w:rsidR="002A53AD" w:rsidRPr="00082FCB" w:rsidRDefault="002A53AD" w:rsidP="006475B4">
      <w:pPr>
        <w:spacing w:line="240" w:lineRule="auto"/>
        <w:rPr>
          <w:szCs w:val="22"/>
          <w:lang w:val="hu-HU"/>
        </w:rPr>
      </w:pPr>
    </w:p>
    <w:p w14:paraId="77877F49" w14:textId="5AF2A61D" w:rsidR="00DA06EC" w:rsidRPr="00082FCB" w:rsidRDefault="00DA06EC" w:rsidP="006475B4">
      <w:pPr>
        <w:spacing w:line="240" w:lineRule="auto"/>
        <w:rPr>
          <w:color w:val="000000"/>
          <w:szCs w:val="22"/>
          <w:u w:val="single"/>
          <w:lang w:val="hu-HU"/>
        </w:rPr>
      </w:pPr>
      <w:r w:rsidRPr="00082FCB">
        <w:rPr>
          <w:color w:val="000000"/>
          <w:szCs w:val="22"/>
          <w:u w:val="single"/>
          <w:lang w:val="hu-HU"/>
        </w:rPr>
        <w:t>Ibuprof</w:t>
      </w:r>
      <w:r w:rsidR="007C4EA9">
        <w:rPr>
          <w:color w:val="000000"/>
          <w:szCs w:val="22"/>
          <w:u w:val="single"/>
          <w:lang w:val="hu-HU"/>
        </w:rPr>
        <w:t>é</w:t>
      </w:r>
      <w:r w:rsidRPr="00082FCB">
        <w:rPr>
          <w:color w:val="000000"/>
          <w:szCs w:val="22"/>
          <w:u w:val="single"/>
          <w:lang w:val="hu-HU"/>
        </w:rPr>
        <w:t>n</w:t>
      </w:r>
    </w:p>
    <w:p w14:paraId="242AFD65" w14:textId="29DB8300" w:rsidR="00DA06EC" w:rsidRPr="00082FCB" w:rsidRDefault="00353FB0" w:rsidP="006475B4">
      <w:pPr>
        <w:spacing w:line="240" w:lineRule="auto"/>
        <w:rPr>
          <w:color w:val="000000"/>
          <w:szCs w:val="22"/>
          <w:lang w:val="hu-HU"/>
        </w:rPr>
      </w:pPr>
      <w:r w:rsidRPr="00BA5943">
        <w:rPr>
          <w:szCs w:val="22"/>
          <w:lang w:val="hu-HU"/>
        </w:rPr>
        <w:t>A nemkívánatos hatások csökkenthetők a tünetek kontrollálásához szükséges legalacsonyabb dózis lehető legrövidebb ideig történő alkalmazásával (lásd 4.2 pont és lentebb a gastrointestinalis és cardiovascularis kockázatokat), valamint a dózis étkezés közben történő bevételével (lásd 4.2 pont)</w:t>
      </w:r>
      <w:r w:rsidR="00DA06EC" w:rsidRPr="00082FCB">
        <w:rPr>
          <w:color w:val="000000"/>
          <w:szCs w:val="22"/>
          <w:lang w:val="hu-HU"/>
        </w:rPr>
        <w:t>.</w:t>
      </w:r>
    </w:p>
    <w:p w14:paraId="6D55AAC3" w14:textId="77777777" w:rsidR="00DA06EC" w:rsidRPr="00082FCB" w:rsidRDefault="00DA06EC" w:rsidP="006475B4">
      <w:pPr>
        <w:spacing w:line="240" w:lineRule="auto"/>
        <w:rPr>
          <w:color w:val="000000"/>
          <w:szCs w:val="22"/>
          <w:lang w:val="hu-HU"/>
        </w:rPr>
      </w:pPr>
    </w:p>
    <w:p w14:paraId="2047D87F" w14:textId="653D5005" w:rsidR="00DA06EC" w:rsidRPr="00082FCB" w:rsidRDefault="00353FB0" w:rsidP="006475B4">
      <w:pPr>
        <w:spacing w:line="240" w:lineRule="auto"/>
        <w:rPr>
          <w:color w:val="000000"/>
          <w:szCs w:val="22"/>
          <w:u w:val="single"/>
          <w:lang w:val="hu-HU"/>
        </w:rPr>
      </w:pPr>
      <w:r>
        <w:rPr>
          <w:color w:val="000000"/>
          <w:szCs w:val="22"/>
          <w:u w:val="single"/>
          <w:lang w:val="hu-HU"/>
        </w:rPr>
        <w:t>Idősek</w:t>
      </w:r>
    </w:p>
    <w:p w14:paraId="7F493A94" w14:textId="404BF520" w:rsidR="00DA06EC" w:rsidRPr="00082FCB" w:rsidRDefault="00353FB0" w:rsidP="006475B4">
      <w:pPr>
        <w:spacing w:line="240" w:lineRule="auto"/>
        <w:rPr>
          <w:color w:val="000000"/>
          <w:szCs w:val="22"/>
          <w:lang w:val="hu-HU"/>
        </w:rPr>
      </w:pPr>
      <w:r w:rsidRPr="00BA5943">
        <w:rPr>
          <w:szCs w:val="22"/>
          <w:lang w:val="hu-HU"/>
        </w:rPr>
        <w:t>Az időseknél fokozottabb az NSAID-okra jelentkező mellékhatások kockázata, különös tekintettel a gastrointestinalis vérzésre és a perforatióra, amely halálos kimenetelű is lehet (lásd 4.2 pont)</w:t>
      </w:r>
      <w:r w:rsidR="00DA06EC" w:rsidRPr="00082FCB">
        <w:rPr>
          <w:color w:val="000000"/>
          <w:szCs w:val="22"/>
          <w:lang w:val="hu-HU"/>
        </w:rPr>
        <w:t>.</w:t>
      </w:r>
    </w:p>
    <w:p w14:paraId="5EA8EF6E" w14:textId="77777777" w:rsidR="00DA06EC" w:rsidRPr="00082FCB" w:rsidRDefault="00DA06EC" w:rsidP="006475B4">
      <w:pPr>
        <w:spacing w:line="240" w:lineRule="auto"/>
        <w:rPr>
          <w:color w:val="000000"/>
          <w:szCs w:val="22"/>
          <w:lang w:val="hu-HU"/>
        </w:rPr>
      </w:pPr>
    </w:p>
    <w:p w14:paraId="26523FA0" w14:textId="77777777" w:rsidR="00353FB0" w:rsidRPr="00BA5943" w:rsidRDefault="00353FB0" w:rsidP="00353FB0">
      <w:pPr>
        <w:spacing w:line="240" w:lineRule="auto"/>
        <w:rPr>
          <w:szCs w:val="22"/>
          <w:lang w:val="hu-HU"/>
        </w:rPr>
      </w:pPr>
      <w:r w:rsidRPr="00BA5943">
        <w:rPr>
          <w:szCs w:val="22"/>
          <w:lang w:val="hu-HU"/>
        </w:rPr>
        <w:t>Óvatosság szükséges bizonyos állapotok fennállása esetén:</w:t>
      </w:r>
    </w:p>
    <w:p w14:paraId="0058DD62" w14:textId="77777777" w:rsidR="00455F2A" w:rsidRPr="00082FCB" w:rsidRDefault="00455F2A" w:rsidP="006475B4">
      <w:pPr>
        <w:spacing w:line="240" w:lineRule="auto"/>
        <w:rPr>
          <w:color w:val="000000"/>
          <w:szCs w:val="22"/>
          <w:lang w:val="hu-HU"/>
        </w:rPr>
      </w:pPr>
    </w:p>
    <w:p w14:paraId="7420740C" w14:textId="466EE6B3" w:rsidR="00DA06EC" w:rsidRPr="00ED50E8" w:rsidRDefault="00353FB0" w:rsidP="00ED50E8">
      <w:pPr>
        <w:numPr>
          <w:ilvl w:val="1"/>
          <w:numId w:val="38"/>
        </w:numPr>
        <w:spacing w:line="240" w:lineRule="auto"/>
        <w:ind w:hanging="1440"/>
        <w:rPr>
          <w:color w:val="000000"/>
          <w:szCs w:val="22"/>
          <w:u w:val="single"/>
          <w:lang w:val="hu-HU"/>
        </w:rPr>
      </w:pPr>
      <w:r w:rsidRPr="00ED50E8">
        <w:rPr>
          <w:color w:val="000000"/>
          <w:szCs w:val="22"/>
          <w:u w:val="single"/>
          <w:lang w:val="hu-HU"/>
        </w:rPr>
        <w:t>Légzőszervi betegségek</w:t>
      </w:r>
      <w:r w:rsidR="00DA06EC" w:rsidRPr="00ED50E8">
        <w:rPr>
          <w:color w:val="000000"/>
          <w:szCs w:val="22"/>
          <w:u w:val="single"/>
          <w:lang w:val="hu-HU"/>
        </w:rPr>
        <w:t>:</w:t>
      </w:r>
    </w:p>
    <w:p w14:paraId="1C10E866" w14:textId="6650B492" w:rsidR="00DA06EC" w:rsidRDefault="00353FB0" w:rsidP="004E4343">
      <w:pPr>
        <w:spacing w:line="240" w:lineRule="auto"/>
        <w:rPr>
          <w:color w:val="000000"/>
          <w:szCs w:val="22"/>
          <w:lang w:val="hu-HU"/>
        </w:rPr>
      </w:pPr>
      <w:r w:rsidRPr="00BA5943">
        <w:rPr>
          <w:szCs w:val="22"/>
          <w:lang w:val="hu-HU"/>
        </w:rPr>
        <w:t>Az asthma broncialéban vagy allergiás betegségben szenvedő, vagy 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ilyen betegségekkel rendelkező betegeknél az NSAID-okról bronchospasmus kiváltását jelentették</w:t>
      </w:r>
      <w:r w:rsidR="00DA06EC" w:rsidRPr="00082FCB">
        <w:rPr>
          <w:color w:val="000000"/>
          <w:szCs w:val="22"/>
          <w:lang w:val="hu-HU"/>
        </w:rPr>
        <w:t>.</w:t>
      </w:r>
    </w:p>
    <w:p w14:paraId="316ECF9A" w14:textId="77777777" w:rsidR="004E4343" w:rsidRPr="00082FCB" w:rsidRDefault="004E4343" w:rsidP="00ED50E8">
      <w:pPr>
        <w:spacing w:line="240" w:lineRule="auto"/>
        <w:rPr>
          <w:color w:val="000000"/>
          <w:szCs w:val="22"/>
          <w:lang w:val="hu-HU"/>
        </w:rPr>
      </w:pPr>
    </w:p>
    <w:p w14:paraId="4FB0443B" w14:textId="47EEB77D" w:rsidR="00DA06EC" w:rsidRPr="00ED50E8" w:rsidRDefault="00353FB0" w:rsidP="00ED50E8">
      <w:pPr>
        <w:numPr>
          <w:ilvl w:val="1"/>
          <w:numId w:val="38"/>
        </w:numPr>
        <w:spacing w:line="240" w:lineRule="auto"/>
        <w:ind w:hanging="1440"/>
        <w:rPr>
          <w:color w:val="000000"/>
          <w:szCs w:val="22"/>
          <w:u w:val="single"/>
          <w:lang w:val="hu-HU"/>
        </w:rPr>
      </w:pPr>
      <w:r w:rsidRPr="00ED50E8">
        <w:rPr>
          <w:szCs w:val="22"/>
          <w:u w:val="single"/>
          <w:lang w:val="hu-HU"/>
        </w:rPr>
        <w:t xml:space="preserve">SLE </w:t>
      </w:r>
      <w:r w:rsidR="007D3F69" w:rsidRPr="00ED50E8">
        <w:rPr>
          <w:szCs w:val="22"/>
          <w:u w:val="single"/>
          <w:lang w:val="hu-HU"/>
        </w:rPr>
        <w:t xml:space="preserve">(szisztémás lupus erythematosus) </w:t>
      </w:r>
      <w:r w:rsidRPr="00ED50E8">
        <w:rPr>
          <w:szCs w:val="22"/>
          <w:u w:val="single"/>
          <w:lang w:val="hu-HU"/>
        </w:rPr>
        <w:t>és kevert kötőszöveti betegség</w:t>
      </w:r>
      <w:r w:rsidR="00DA06EC" w:rsidRPr="00ED50E8">
        <w:rPr>
          <w:color w:val="000000"/>
          <w:szCs w:val="22"/>
          <w:u w:val="single"/>
          <w:lang w:val="hu-HU"/>
        </w:rPr>
        <w:t>:</w:t>
      </w:r>
    </w:p>
    <w:p w14:paraId="38366799" w14:textId="0E8D40EC" w:rsidR="00DA06EC" w:rsidRDefault="00353FB0" w:rsidP="004E4343">
      <w:pPr>
        <w:spacing w:line="240" w:lineRule="auto"/>
        <w:rPr>
          <w:color w:val="000000"/>
          <w:szCs w:val="22"/>
          <w:lang w:val="hu-HU"/>
        </w:rPr>
      </w:pPr>
      <w:r w:rsidRPr="00BA5943">
        <w:rPr>
          <w:szCs w:val="22"/>
          <w:lang w:val="hu-HU"/>
        </w:rPr>
        <w:t>SLE</w:t>
      </w:r>
      <w:r w:rsidR="007D3F69">
        <w:rPr>
          <w:szCs w:val="22"/>
          <w:lang w:val="hu-HU"/>
        </w:rPr>
        <w:t>-ben</w:t>
      </w:r>
      <w:r w:rsidRPr="00BA5943">
        <w:rPr>
          <w:szCs w:val="22"/>
          <w:lang w:val="hu-HU"/>
        </w:rPr>
        <w:t xml:space="preserve"> és kevert kötőszöveti betegségben szenvedőknél nagyobb lehet az </w:t>
      </w:r>
      <w:r w:rsidR="007D3F69">
        <w:rPr>
          <w:szCs w:val="22"/>
          <w:lang w:val="hu-HU"/>
        </w:rPr>
        <w:t>asepticus</w:t>
      </w:r>
      <w:r w:rsidRPr="00BA5943">
        <w:rPr>
          <w:szCs w:val="22"/>
          <w:lang w:val="hu-HU"/>
        </w:rPr>
        <w:t xml:space="preserve"> meningitis kockázata (lásd 4.8 pont)</w:t>
      </w:r>
      <w:r w:rsidR="00DA06EC" w:rsidRPr="00082FCB">
        <w:rPr>
          <w:color w:val="000000"/>
          <w:szCs w:val="22"/>
          <w:lang w:val="hu-HU"/>
        </w:rPr>
        <w:t>.</w:t>
      </w:r>
    </w:p>
    <w:p w14:paraId="502FCBE8" w14:textId="77777777" w:rsidR="004E4343" w:rsidRPr="00082FCB" w:rsidRDefault="004E4343" w:rsidP="00ED50E8">
      <w:pPr>
        <w:spacing w:line="240" w:lineRule="auto"/>
        <w:rPr>
          <w:color w:val="000000"/>
          <w:szCs w:val="22"/>
          <w:lang w:val="hu-HU"/>
        </w:rPr>
      </w:pPr>
    </w:p>
    <w:p w14:paraId="1A311C18" w14:textId="78E94F04" w:rsidR="00DA06EC" w:rsidRPr="00ED50E8" w:rsidRDefault="00353FB0" w:rsidP="00ED50E8">
      <w:pPr>
        <w:numPr>
          <w:ilvl w:val="1"/>
          <w:numId w:val="38"/>
        </w:numPr>
        <w:spacing w:line="240" w:lineRule="auto"/>
        <w:ind w:hanging="1440"/>
        <w:rPr>
          <w:color w:val="000000"/>
          <w:szCs w:val="22"/>
          <w:u w:val="single"/>
          <w:lang w:val="hu-HU"/>
        </w:rPr>
      </w:pPr>
      <w:r w:rsidRPr="00ED50E8">
        <w:rPr>
          <w:szCs w:val="22"/>
          <w:u w:val="single"/>
          <w:lang w:val="hu-HU"/>
        </w:rPr>
        <w:t>Cardiovascularis és cerebrovascularis hatások</w:t>
      </w:r>
      <w:r w:rsidR="0048225F" w:rsidRPr="00ED50E8">
        <w:rPr>
          <w:szCs w:val="22"/>
          <w:u w:val="single"/>
          <w:lang w:val="hu-HU"/>
        </w:rPr>
        <w:t>:</w:t>
      </w:r>
    </w:p>
    <w:p w14:paraId="690F9171" w14:textId="4E183B19" w:rsidR="00DA06EC" w:rsidRPr="00082FCB" w:rsidRDefault="00353FB0" w:rsidP="00ED50E8">
      <w:pPr>
        <w:spacing w:line="240" w:lineRule="auto"/>
        <w:rPr>
          <w:color w:val="000000"/>
          <w:szCs w:val="22"/>
          <w:lang w:val="hu-HU"/>
        </w:rPr>
      </w:pPr>
      <w:r w:rsidRPr="00BA5943">
        <w:rPr>
          <w:szCs w:val="22"/>
          <w:lang w:val="hu-HU"/>
        </w:rPr>
        <w:t>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 xml:space="preserve">hypertoniával és/vagy enyhe, illetve közepesen súlyos pangásos szívelégtelenséggel rendelkező betegeknél megfelelő monitorozás és orvosi tanácsadás szükséges, mert az NSAID-kezeléssel összefüggésben folyadékretenciót, </w:t>
      </w:r>
      <w:r w:rsidR="004A1710" w:rsidRPr="00BA5943">
        <w:rPr>
          <w:szCs w:val="22"/>
          <w:lang w:val="hu-HU"/>
        </w:rPr>
        <w:t>hypert</w:t>
      </w:r>
      <w:r w:rsidR="004A1710">
        <w:rPr>
          <w:szCs w:val="22"/>
          <w:lang w:val="hu-HU"/>
        </w:rPr>
        <w:t>ensió</w:t>
      </w:r>
      <w:r w:rsidR="004A1710" w:rsidRPr="00BA5943">
        <w:rPr>
          <w:szCs w:val="22"/>
          <w:lang w:val="hu-HU"/>
        </w:rPr>
        <w:t xml:space="preserve">t </w:t>
      </w:r>
      <w:r w:rsidRPr="00BA5943">
        <w:rPr>
          <w:szCs w:val="22"/>
          <w:lang w:val="hu-HU"/>
        </w:rPr>
        <w:t>és oedemát jelentettek</w:t>
      </w:r>
      <w:r w:rsidR="00DA06EC" w:rsidRPr="00082FCB">
        <w:rPr>
          <w:color w:val="000000"/>
          <w:szCs w:val="22"/>
          <w:lang w:val="hu-HU"/>
        </w:rPr>
        <w:t>.</w:t>
      </w:r>
    </w:p>
    <w:p w14:paraId="37116742" w14:textId="77777777" w:rsidR="00455F2A" w:rsidRPr="00082FCB" w:rsidRDefault="00455F2A" w:rsidP="006475B4">
      <w:pPr>
        <w:spacing w:line="240" w:lineRule="auto"/>
        <w:ind w:left="567"/>
        <w:rPr>
          <w:color w:val="000000"/>
          <w:szCs w:val="22"/>
          <w:lang w:val="hu-HU"/>
        </w:rPr>
      </w:pPr>
    </w:p>
    <w:p w14:paraId="154B9C42" w14:textId="129FFD96" w:rsidR="00DA06EC" w:rsidRPr="00082FCB" w:rsidRDefault="00353FB0" w:rsidP="00ED50E8">
      <w:pPr>
        <w:spacing w:line="240" w:lineRule="auto"/>
        <w:rPr>
          <w:color w:val="000000"/>
          <w:szCs w:val="22"/>
          <w:lang w:val="hu-HU"/>
        </w:rPr>
      </w:pPr>
      <w:r w:rsidRPr="00BA5943">
        <w:rPr>
          <w:szCs w:val="22"/>
          <w:lang w:val="hu-HU"/>
        </w:rPr>
        <w:t xml:space="preserve">A klinikai vizsgálatok arra utalnak, hogy az ibuprofén alkalmazása – különösen nagy (2400 mg/nap) dózisokban </w:t>
      </w:r>
      <w:r w:rsidR="00217193">
        <w:rPr>
          <w:szCs w:val="22"/>
          <w:lang w:val="hu-HU"/>
        </w:rPr>
        <w:t xml:space="preserve">– </w:t>
      </w:r>
      <w:r w:rsidRPr="00BA5943">
        <w:rPr>
          <w:szCs w:val="22"/>
          <w:lang w:val="hu-HU"/>
        </w:rPr>
        <w:t>összefügghet az artériás thrombotikus események (például szívinfarctus vagy stroke) kockázatának kismértékű emelkedésével. Összességében az epidemiológiai vizsgálatok nem utalnak arra, hogy az alacsony dózisú ibuprofén (például ≤1200 mg/nap) összefüggene az arteriás thrombotikus események kockázatának fokozódásával</w:t>
      </w:r>
      <w:r w:rsidR="00DA06EC" w:rsidRPr="00082FCB">
        <w:rPr>
          <w:color w:val="000000"/>
          <w:szCs w:val="22"/>
          <w:lang w:val="hu-HU"/>
        </w:rPr>
        <w:t>.</w:t>
      </w:r>
    </w:p>
    <w:p w14:paraId="3D85B5E3" w14:textId="77777777" w:rsidR="00455F2A" w:rsidRPr="00082FCB" w:rsidRDefault="00455F2A" w:rsidP="006475B4">
      <w:pPr>
        <w:spacing w:line="240" w:lineRule="auto"/>
        <w:ind w:left="567"/>
        <w:rPr>
          <w:color w:val="000000"/>
          <w:szCs w:val="22"/>
          <w:lang w:val="hu-HU"/>
        </w:rPr>
      </w:pPr>
    </w:p>
    <w:p w14:paraId="10B63B4A" w14:textId="68BA4AD2" w:rsidR="00DA06EC" w:rsidRPr="00082FCB" w:rsidRDefault="00353FB0" w:rsidP="00ED50E8">
      <w:pPr>
        <w:spacing w:line="240" w:lineRule="auto"/>
        <w:rPr>
          <w:color w:val="000000"/>
          <w:szCs w:val="22"/>
          <w:lang w:val="hu-HU"/>
        </w:rPr>
      </w:pPr>
      <w:r w:rsidRPr="00BA5943">
        <w:rPr>
          <w:szCs w:val="22"/>
          <w:lang w:val="hu-HU"/>
        </w:rPr>
        <w:t>A kontrollálatlan hypertoniában, pangásos szívelégtelenségben (NYHA II-III), diagnosztizált ischaemiás szívbetegségben, perifériás artériás betegségben és/vagy cerebrovascularis betegségben szenvedő betegeket csak gondos mérlegelés után szabad ibuprofénnel kezelni és kerülni kell a nagy (2400 mg/nap) dózisokat</w:t>
      </w:r>
      <w:r>
        <w:rPr>
          <w:szCs w:val="22"/>
          <w:lang w:val="hu-HU"/>
        </w:rPr>
        <w:t xml:space="preserve">. </w:t>
      </w:r>
      <w:r w:rsidRPr="00BA5943">
        <w:rPr>
          <w:szCs w:val="22"/>
          <w:lang w:val="hu-HU"/>
        </w:rPr>
        <w:t>A szív- és érrendszeri események kockázati tényezőivel (például hypertonia, hyperlipidaemia, diabetes mellitus, dohányzás) rendelkező betegeknél gondos mérlegelés szükséges a hosszú időtartamú kezelés megkezdése előtt, különösen, ha nagy ibuprofén dózisok (2400 mg/nap) szükségesek</w:t>
      </w:r>
      <w:r w:rsidR="00DA06EC" w:rsidRPr="00082FCB">
        <w:rPr>
          <w:color w:val="000000"/>
          <w:szCs w:val="22"/>
          <w:lang w:val="hu-HU"/>
        </w:rPr>
        <w:t>.</w:t>
      </w:r>
    </w:p>
    <w:p w14:paraId="5B1D2930" w14:textId="77777777" w:rsidR="00DA06EC" w:rsidRPr="00082FCB" w:rsidRDefault="00DA06EC" w:rsidP="006475B4">
      <w:pPr>
        <w:spacing w:line="240" w:lineRule="auto"/>
        <w:rPr>
          <w:color w:val="000000"/>
          <w:szCs w:val="22"/>
          <w:lang w:val="hu-HU"/>
        </w:rPr>
      </w:pPr>
    </w:p>
    <w:p w14:paraId="3A0D38E9" w14:textId="256AEF34" w:rsidR="00DA06EC" w:rsidRPr="00082FCB" w:rsidRDefault="00353FB0" w:rsidP="00ED50E8">
      <w:pPr>
        <w:numPr>
          <w:ilvl w:val="1"/>
          <w:numId w:val="38"/>
        </w:numPr>
        <w:spacing w:line="240" w:lineRule="auto"/>
        <w:ind w:hanging="1440"/>
        <w:rPr>
          <w:color w:val="000000"/>
          <w:szCs w:val="22"/>
          <w:u w:val="single"/>
          <w:lang w:val="hu-HU"/>
        </w:rPr>
      </w:pPr>
      <w:r w:rsidRPr="00353FB0">
        <w:rPr>
          <w:color w:val="000000"/>
          <w:szCs w:val="22"/>
          <w:u w:val="single"/>
          <w:lang w:val="hu-HU"/>
        </w:rPr>
        <w:t>Cardiovascularis, vese- és májkárosodások</w:t>
      </w:r>
      <w:r w:rsidR="00DA06EC" w:rsidRPr="00082FCB">
        <w:rPr>
          <w:color w:val="000000"/>
          <w:szCs w:val="22"/>
          <w:u w:val="single"/>
          <w:lang w:val="hu-HU"/>
        </w:rPr>
        <w:t>:</w:t>
      </w:r>
    </w:p>
    <w:p w14:paraId="284D10DF" w14:textId="38F6A173" w:rsidR="00DA06EC" w:rsidRDefault="00353FB0" w:rsidP="00ED50E8">
      <w:pPr>
        <w:spacing w:line="240" w:lineRule="auto"/>
        <w:rPr>
          <w:color w:val="000000"/>
          <w:szCs w:val="22"/>
          <w:lang w:val="hu-HU"/>
        </w:rPr>
      </w:pPr>
      <w:r w:rsidRPr="00BA5943">
        <w:rPr>
          <w:szCs w:val="22"/>
          <w:lang w:val="hu-HU"/>
        </w:rPr>
        <w:t xml:space="preserve">Az NSAID-ok alkalmazása a prosztaglandin-képződés dózisfüggő csökkenését eredményezheti, ami </w:t>
      </w:r>
      <w:r w:rsidR="003B67DB" w:rsidRPr="00BA5943">
        <w:rPr>
          <w:szCs w:val="22"/>
          <w:lang w:val="hu-HU"/>
        </w:rPr>
        <w:t>vese</w:t>
      </w:r>
      <w:r w:rsidR="003B67DB">
        <w:rPr>
          <w:szCs w:val="22"/>
          <w:lang w:val="hu-HU"/>
        </w:rPr>
        <w:t>károsodást</w:t>
      </w:r>
      <w:r w:rsidR="003B67DB" w:rsidRPr="00BA5943">
        <w:rPr>
          <w:szCs w:val="22"/>
          <w:lang w:val="hu-HU"/>
        </w:rPr>
        <w:t xml:space="preserve"> </w:t>
      </w:r>
      <w:r w:rsidRPr="00BA5943">
        <w:rPr>
          <w:szCs w:val="22"/>
          <w:lang w:val="hu-HU"/>
        </w:rPr>
        <w:t xml:space="preserve">okozhat. Az ilyen reakció legnagyobb kockázatával rendelkező betegek közé a vesekárosodásban, </w:t>
      </w:r>
      <w:r w:rsidR="00217193" w:rsidRPr="00BA5943">
        <w:rPr>
          <w:szCs w:val="22"/>
          <w:lang w:val="hu-HU"/>
        </w:rPr>
        <w:t>szív</w:t>
      </w:r>
      <w:r w:rsidR="00217193">
        <w:rPr>
          <w:szCs w:val="22"/>
          <w:lang w:val="hu-HU"/>
        </w:rPr>
        <w:t>elégtelenségbe</w:t>
      </w:r>
      <w:r w:rsidR="00217193" w:rsidRPr="00BA5943">
        <w:rPr>
          <w:szCs w:val="22"/>
          <w:lang w:val="hu-HU"/>
        </w:rPr>
        <w:t>n</w:t>
      </w:r>
      <w:r w:rsidRPr="00BA5943">
        <w:rPr>
          <w:szCs w:val="22"/>
          <w:lang w:val="hu-HU"/>
        </w:rPr>
        <w:t>, máj</w:t>
      </w:r>
      <w:r w:rsidR="00217193">
        <w:rPr>
          <w:szCs w:val="22"/>
          <w:lang w:val="hu-HU"/>
        </w:rPr>
        <w:t>károsodásba</w:t>
      </w:r>
      <w:r w:rsidRPr="00BA5943">
        <w:rPr>
          <w:szCs w:val="22"/>
          <w:lang w:val="hu-HU"/>
        </w:rPr>
        <w:t>n szenvedő betegek tartoznak, akik vizelethajtókat szednek és az idősek. Ezeknél a betegeknél rendszeresen kell monitorozni a vesefunkciót</w:t>
      </w:r>
      <w:r w:rsidR="0048225F">
        <w:rPr>
          <w:szCs w:val="22"/>
          <w:lang w:val="hu-HU"/>
        </w:rPr>
        <w:t xml:space="preserve">. </w:t>
      </w:r>
      <w:r w:rsidR="0048225F" w:rsidRPr="0048225F">
        <w:rPr>
          <w:szCs w:val="22"/>
          <w:lang w:val="hu-HU"/>
        </w:rPr>
        <w:t>A kezelést meg kell szakítani azoknál a betegeknél, akiknél súlyos vese</w:t>
      </w:r>
      <w:r w:rsidR="0096670B">
        <w:rPr>
          <w:szCs w:val="22"/>
          <w:lang w:val="hu-HU"/>
        </w:rPr>
        <w:t>károsodás</w:t>
      </w:r>
      <w:r w:rsidR="0048225F" w:rsidRPr="0048225F">
        <w:rPr>
          <w:szCs w:val="22"/>
          <w:lang w:val="hu-HU"/>
        </w:rPr>
        <w:t xml:space="preserve"> alakul ki.</w:t>
      </w:r>
      <w:r w:rsidRPr="00BA5943">
        <w:rPr>
          <w:szCs w:val="22"/>
          <w:lang w:val="hu-HU"/>
        </w:rPr>
        <w:t xml:space="preserve"> (lásd 4.3 pont)</w:t>
      </w:r>
      <w:r w:rsidR="00DA06EC" w:rsidRPr="00082FCB">
        <w:rPr>
          <w:color w:val="000000"/>
          <w:szCs w:val="22"/>
          <w:lang w:val="hu-HU"/>
        </w:rPr>
        <w:t>.</w:t>
      </w:r>
    </w:p>
    <w:p w14:paraId="15E324F2" w14:textId="689C8966" w:rsidR="0048225F" w:rsidRPr="00082FCB" w:rsidRDefault="0048225F" w:rsidP="004E4343">
      <w:pPr>
        <w:spacing w:line="240" w:lineRule="auto"/>
        <w:rPr>
          <w:color w:val="000000"/>
          <w:szCs w:val="22"/>
          <w:lang w:val="hu-HU"/>
        </w:rPr>
      </w:pPr>
      <w:r w:rsidRPr="0048225F">
        <w:rPr>
          <w:color w:val="000000"/>
          <w:szCs w:val="22"/>
          <w:lang w:val="hu-HU"/>
        </w:rPr>
        <w:t xml:space="preserve">A májfunkció romlásának jeleit mutató betegeknél a dózis csökkentése javasolt. A kezelést </w:t>
      </w:r>
      <w:r>
        <w:rPr>
          <w:color w:val="000000"/>
          <w:szCs w:val="22"/>
          <w:lang w:val="hu-HU"/>
        </w:rPr>
        <w:t>meg kell szakítani</w:t>
      </w:r>
      <w:r w:rsidRPr="0048225F">
        <w:rPr>
          <w:color w:val="000000"/>
          <w:szCs w:val="22"/>
          <w:lang w:val="hu-HU"/>
        </w:rPr>
        <w:t xml:space="preserve"> azoknál a betegeknél, akiknél súlyos máj</w:t>
      </w:r>
      <w:r w:rsidR="0096670B">
        <w:rPr>
          <w:color w:val="000000"/>
          <w:szCs w:val="22"/>
          <w:lang w:val="hu-HU"/>
        </w:rPr>
        <w:t>károsodás</w:t>
      </w:r>
      <w:r w:rsidRPr="0048225F">
        <w:rPr>
          <w:color w:val="000000"/>
          <w:szCs w:val="22"/>
          <w:lang w:val="hu-HU"/>
        </w:rPr>
        <w:t xml:space="preserve"> alakul ki (lásd 4.3. pont).</w:t>
      </w:r>
    </w:p>
    <w:p w14:paraId="5544DC1F" w14:textId="77777777" w:rsidR="00DA06EC" w:rsidRPr="00082FCB" w:rsidRDefault="00DA06EC" w:rsidP="006475B4">
      <w:pPr>
        <w:spacing w:line="240" w:lineRule="auto"/>
        <w:rPr>
          <w:color w:val="000000"/>
          <w:szCs w:val="22"/>
          <w:lang w:val="hu-HU"/>
        </w:rPr>
      </w:pPr>
    </w:p>
    <w:p w14:paraId="2F8D06C4" w14:textId="51301B56" w:rsidR="00DA06EC" w:rsidRPr="00082FCB" w:rsidRDefault="00DA06EC" w:rsidP="00ED50E8">
      <w:pPr>
        <w:numPr>
          <w:ilvl w:val="1"/>
          <w:numId w:val="38"/>
        </w:numPr>
        <w:spacing w:line="240" w:lineRule="auto"/>
        <w:ind w:hanging="1440"/>
        <w:rPr>
          <w:color w:val="000000"/>
          <w:szCs w:val="22"/>
          <w:u w:val="single"/>
          <w:lang w:val="hu-HU"/>
        </w:rPr>
      </w:pPr>
      <w:r w:rsidRPr="00082FCB">
        <w:rPr>
          <w:color w:val="000000"/>
          <w:szCs w:val="22"/>
          <w:u w:val="single"/>
          <w:lang w:val="hu-HU"/>
        </w:rPr>
        <w:t>Gastrointestina</w:t>
      </w:r>
      <w:r w:rsidR="00353FB0">
        <w:rPr>
          <w:color w:val="000000"/>
          <w:szCs w:val="22"/>
          <w:u w:val="single"/>
          <w:lang w:val="hu-HU"/>
        </w:rPr>
        <w:t>lis hatások</w:t>
      </w:r>
      <w:r w:rsidRPr="00082FCB">
        <w:rPr>
          <w:color w:val="000000"/>
          <w:szCs w:val="22"/>
          <w:u w:val="single"/>
          <w:lang w:val="hu-HU"/>
        </w:rPr>
        <w:t>:</w:t>
      </w:r>
    </w:p>
    <w:p w14:paraId="5049592E" w14:textId="584FF8FA" w:rsidR="00DA06EC" w:rsidRPr="00082FCB" w:rsidRDefault="00353FB0" w:rsidP="006475B4">
      <w:pPr>
        <w:spacing w:line="240" w:lineRule="auto"/>
        <w:rPr>
          <w:color w:val="000000"/>
          <w:szCs w:val="22"/>
          <w:lang w:val="hu-HU"/>
        </w:rPr>
      </w:pPr>
      <w:r w:rsidRPr="00BA5943">
        <w:rPr>
          <w:szCs w:val="22"/>
          <w:lang w:val="hu-HU"/>
        </w:rPr>
        <w:t>Az NSAID-okat óvatosan kell adni olyan betegeknek, akiknél 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GI betegség (colitis ulcerosa, Crohn-betegség) szerepel, mert ezek a kórállapotok súlyosbodhatnak (lásd 4.8 pont)</w:t>
      </w:r>
      <w:r w:rsidR="00DA06EC" w:rsidRPr="00082FCB">
        <w:rPr>
          <w:color w:val="000000"/>
          <w:szCs w:val="22"/>
          <w:lang w:val="hu-HU"/>
        </w:rPr>
        <w:t>.</w:t>
      </w:r>
    </w:p>
    <w:p w14:paraId="5EC249D4" w14:textId="77777777" w:rsidR="00D02563" w:rsidRPr="00082FCB" w:rsidRDefault="00D02563" w:rsidP="006475B4">
      <w:pPr>
        <w:spacing w:line="240" w:lineRule="auto"/>
        <w:rPr>
          <w:color w:val="000000"/>
          <w:szCs w:val="22"/>
          <w:lang w:val="hu-HU"/>
        </w:rPr>
      </w:pPr>
    </w:p>
    <w:p w14:paraId="28EF1A98" w14:textId="4C7EE0D3" w:rsidR="00DA06EC" w:rsidRPr="00082FCB" w:rsidRDefault="00353FB0" w:rsidP="006475B4">
      <w:pPr>
        <w:spacing w:line="240" w:lineRule="auto"/>
        <w:rPr>
          <w:color w:val="000000"/>
          <w:szCs w:val="22"/>
          <w:lang w:val="hu-HU"/>
        </w:rPr>
      </w:pPr>
      <w:r w:rsidRPr="00BA5943">
        <w:rPr>
          <w:szCs w:val="22"/>
          <w:lang w:val="hu-HU"/>
        </w:rPr>
        <w:t xml:space="preserve">Gastrointestinalis (GI) vérzést, fekélyesedést és </w:t>
      </w:r>
      <w:r w:rsidR="006B42BC">
        <w:rPr>
          <w:szCs w:val="22"/>
          <w:lang w:val="hu-HU"/>
        </w:rPr>
        <w:t xml:space="preserve">– </w:t>
      </w:r>
      <w:r w:rsidRPr="00BA5943">
        <w:rPr>
          <w:szCs w:val="22"/>
          <w:lang w:val="hu-HU"/>
        </w:rPr>
        <w:t xml:space="preserve">esetlegesen halálos kimenetelű </w:t>
      </w:r>
      <w:r w:rsidR="006B42BC">
        <w:rPr>
          <w:szCs w:val="22"/>
          <w:lang w:val="hu-HU"/>
        </w:rPr>
        <w:t xml:space="preserve">– </w:t>
      </w:r>
      <w:r w:rsidRPr="00BA5943">
        <w:rPr>
          <w:szCs w:val="22"/>
          <w:lang w:val="hu-HU"/>
        </w:rPr>
        <w:t>perforatiót jelentettek az összes NSAID-dal, a kezelés bármelyik időpontjában, figyelmeztető tünetekkel</w:t>
      </w:r>
      <w:r w:rsidR="006B42BC">
        <w:rPr>
          <w:szCs w:val="22"/>
          <w:lang w:val="hu-HU"/>
        </w:rPr>
        <w:t xml:space="preserve"> vagy</w:t>
      </w:r>
      <w:r w:rsidRPr="00BA5943">
        <w:rPr>
          <w:szCs w:val="22"/>
          <w:lang w:val="hu-HU"/>
        </w:rPr>
        <w:t xml:space="preserve"> </w:t>
      </w:r>
      <w:r w:rsidR="006B42BC" w:rsidRPr="00BA5943">
        <w:rPr>
          <w:szCs w:val="22"/>
          <w:lang w:val="hu-HU"/>
        </w:rPr>
        <w:t>a</w:t>
      </w:r>
      <w:r w:rsidR="006B42BC">
        <w:rPr>
          <w:szCs w:val="22"/>
          <w:lang w:val="hu-HU"/>
        </w:rPr>
        <w:t>z</w:t>
      </w:r>
      <w:r w:rsidR="006B42BC" w:rsidRPr="00BA5943">
        <w:rPr>
          <w:szCs w:val="22"/>
          <w:lang w:val="hu-HU"/>
        </w:rPr>
        <w:t xml:space="preserve"> </w:t>
      </w:r>
      <w:r w:rsidR="006B42BC" w:rsidRPr="00E340F8">
        <w:rPr>
          <w:szCs w:val="22"/>
          <w:lang w:val="hu-HU"/>
        </w:rPr>
        <w:t xml:space="preserve">anamnézisben </w:t>
      </w:r>
      <w:r w:rsidR="006B42BC">
        <w:rPr>
          <w:szCs w:val="22"/>
          <w:lang w:val="hu-HU"/>
        </w:rPr>
        <w:t xml:space="preserve">szereplő </w:t>
      </w:r>
      <w:r w:rsidRPr="00BA5943">
        <w:rPr>
          <w:szCs w:val="22"/>
          <w:lang w:val="hu-HU"/>
        </w:rPr>
        <w:t xml:space="preserve">súlyos GI eseményekkel vagy </w:t>
      </w:r>
      <w:r w:rsidR="006B42BC">
        <w:rPr>
          <w:szCs w:val="22"/>
          <w:lang w:val="hu-HU"/>
        </w:rPr>
        <w:t xml:space="preserve">ezek </w:t>
      </w:r>
      <w:r w:rsidRPr="00BA5943">
        <w:rPr>
          <w:szCs w:val="22"/>
          <w:lang w:val="hu-HU"/>
        </w:rPr>
        <w:t>nélkül</w:t>
      </w:r>
      <w:r>
        <w:rPr>
          <w:szCs w:val="22"/>
          <w:lang w:val="hu-HU"/>
        </w:rPr>
        <w:t>.</w:t>
      </w:r>
    </w:p>
    <w:p w14:paraId="6BF3246E" w14:textId="77777777" w:rsidR="00D02563" w:rsidRPr="00082FCB" w:rsidRDefault="00D02563" w:rsidP="006475B4">
      <w:pPr>
        <w:spacing w:line="240" w:lineRule="auto"/>
        <w:rPr>
          <w:color w:val="000000"/>
          <w:szCs w:val="22"/>
          <w:lang w:val="hu-HU"/>
        </w:rPr>
      </w:pPr>
    </w:p>
    <w:p w14:paraId="77DC0DBC" w14:textId="0E2BA3E4" w:rsidR="00DA06EC" w:rsidRPr="00082FCB" w:rsidRDefault="00353FB0" w:rsidP="006475B4">
      <w:pPr>
        <w:spacing w:line="240" w:lineRule="auto"/>
        <w:rPr>
          <w:color w:val="000000"/>
          <w:szCs w:val="22"/>
          <w:lang w:val="hu-HU"/>
        </w:rPr>
      </w:pPr>
      <w:r w:rsidRPr="00BA5943">
        <w:rPr>
          <w:szCs w:val="22"/>
          <w:lang w:val="hu-HU"/>
        </w:rPr>
        <w:t>A GI vérzés, a fekélyesedés, illetve a perforatio kockázata a növekvő NSAID dózisokkal együtt magasabb az olyan betegeknél, akiknek 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fekély szerepel</w:t>
      </w:r>
      <w:r>
        <w:rPr>
          <w:szCs w:val="22"/>
          <w:lang w:val="hu-HU"/>
        </w:rPr>
        <w:t>,</w:t>
      </w:r>
      <w:r w:rsidRPr="00BA5943">
        <w:rPr>
          <w:szCs w:val="22"/>
          <w:lang w:val="hu-HU"/>
        </w:rPr>
        <w:t xml:space="preserve"> különösen, ha vérzéssel vagy perforatióval szövődött (lásd a 4.3 pontot), továbbá az időseknél. Ilyen betegeknél a lehető legalacsonyabb dózisokat kell alkalmazni. Ezeknél a betegeknél mérlegelni kell a protektív gyógyszerekkel (például mizoprosztollal vagy protonpumpa-gátlókkal) való kombinált kezelést, csakúgy, mint azoknál, akik</w:t>
      </w:r>
      <w:r w:rsidR="00CA7C0C">
        <w:rPr>
          <w:szCs w:val="22"/>
          <w:lang w:val="hu-HU"/>
        </w:rPr>
        <w:t>nek</w:t>
      </w:r>
      <w:r w:rsidRPr="00BA5943">
        <w:rPr>
          <w:szCs w:val="22"/>
          <w:lang w:val="hu-HU"/>
        </w:rPr>
        <w:t xml:space="preserve"> egyidejűleg alacsony dózisú acetilszalicilsav kezelés</w:t>
      </w:r>
      <w:r w:rsidR="00CA7C0C">
        <w:rPr>
          <w:szCs w:val="22"/>
          <w:lang w:val="hu-HU"/>
        </w:rPr>
        <w:t>re</w:t>
      </w:r>
      <w:r w:rsidRPr="00BA5943">
        <w:rPr>
          <w:szCs w:val="22"/>
          <w:lang w:val="hu-HU"/>
        </w:rPr>
        <w:t xml:space="preserve"> vagy más olyan gyógyszerek</w:t>
      </w:r>
      <w:r w:rsidR="00CA7C0C">
        <w:rPr>
          <w:szCs w:val="22"/>
          <w:lang w:val="hu-HU"/>
        </w:rPr>
        <w:t>kel való kezelésre van</w:t>
      </w:r>
      <w:r w:rsidRPr="00BA5943">
        <w:rPr>
          <w:szCs w:val="22"/>
          <w:lang w:val="hu-HU"/>
        </w:rPr>
        <w:t xml:space="preserve"> szükség</w:t>
      </w:r>
      <w:r w:rsidR="00CA7C0C">
        <w:rPr>
          <w:szCs w:val="22"/>
          <w:lang w:val="hu-HU"/>
        </w:rPr>
        <w:t>ü</w:t>
      </w:r>
      <w:r w:rsidRPr="00BA5943">
        <w:rPr>
          <w:szCs w:val="22"/>
          <w:lang w:val="hu-HU"/>
        </w:rPr>
        <w:t>k, amelyek fokozzák a gastrointestinalis kockázatot (lásd lentebb, illetve a 4.5 pontot)</w:t>
      </w:r>
      <w:r w:rsidR="00DA06EC" w:rsidRPr="00082FCB">
        <w:rPr>
          <w:color w:val="000000"/>
          <w:szCs w:val="22"/>
          <w:lang w:val="hu-HU"/>
        </w:rPr>
        <w:t>.</w:t>
      </w:r>
    </w:p>
    <w:p w14:paraId="70A75B4D" w14:textId="77777777" w:rsidR="00D02563" w:rsidRPr="00082FCB" w:rsidRDefault="00D02563" w:rsidP="006475B4">
      <w:pPr>
        <w:spacing w:line="240" w:lineRule="auto"/>
        <w:rPr>
          <w:color w:val="000000"/>
          <w:szCs w:val="22"/>
          <w:lang w:val="hu-HU"/>
        </w:rPr>
      </w:pPr>
    </w:p>
    <w:p w14:paraId="5007E14D" w14:textId="63543286" w:rsidR="00DA06EC" w:rsidRPr="00082FCB" w:rsidRDefault="00353FB0" w:rsidP="006475B4">
      <w:pPr>
        <w:spacing w:line="240" w:lineRule="auto"/>
        <w:rPr>
          <w:color w:val="000000"/>
          <w:szCs w:val="22"/>
          <w:lang w:val="hu-HU"/>
        </w:rPr>
      </w:pPr>
      <w:r w:rsidRPr="00BA5943">
        <w:rPr>
          <w:szCs w:val="22"/>
          <w:lang w:val="hu-HU"/>
        </w:rPr>
        <w:t>A</w:t>
      </w:r>
      <w:r w:rsidR="00E340F8">
        <w:rPr>
          <w:szCs w:val="22"/>
          <w:lang w:val="hu-HU"/>
        </w:rPr>
        <w:t>z</w:t>
      </w:r>
      <w:r w:rsidRPr="00BA5943">
        <w:rPr>
          <w:szCs w:val="22"/>
          <w:lang w:val="hu-HU"/>
        </w:rPr>
        <w:t xml:space="preserve"> </w:t>
      </w:r>
      <w:r w:rsidR="00E340F8" w:rsidRPr="00E340F8">
        <w:rPr>
          <w:szCs w:val="22"/>
          <w:lang w:val="hu-HU"/>
        </w:rPr>
        <w:t xml:space="preserve">anamnézisben </w:t>
      </w:r>
      <w:r w:rsidRPr="00BA5943">
        <w:rPr>
          <w:szCs w:val="22"/>
          <w:lang w:val="hu-HU"/>
        </w:rPr>
        <w:t>GI toxicitással rendelkező betegeknek</w:t>
      </w:r>
      <w:r w:rsidR="00AD60B6">
        <w:rPr>
          <w:szCs w:val="22"/>
          <w:lang w:val="hu-HU"/>
        </w:rPr>
        <w:t>,</w:t>
      </w:r>
      <w:r w:rsidRPr="00BA5943">
        <w:rPr>
          <w:szCs w:val="22"/>
          <w:lang w:val="hu-HU"/>
        </w:rPr>
        <w:t xml:space="preserve"> </w:t>
      </w:r>
      <w:r w:rsidR="00AD60B6">
        <w:rPr>
          <w:szCs w:val="22"/>
          <w:lang w:val="hu-HU"/>
        </w:rPr>
        <w:t>kiemelten</w:t>
      </w:r>
      <w:r w:rsidR="00AD60B6" w:rsidRPr="00BA5943">
        <w:rPr>
          <w:szCs w:val="22"/>
          <w:lang w:val="hu-HU"/>
        </w:rPr>
        <w:t xml:space="preserve"> </w:t>
      </w:r>
      <w:r w:rsidRPr="00BA5943">
        <w:rPr>
          <w:szCs w:val="22"/>
          <w:lang w:val="hu-HU"/>
        </w:rPr>
        <w:t>az időseknek</w:t>
      </w:r>
      <w:r w:rsidR="00AD60B6">
        <w:rPr>
          <w:szCs w:val="22"/>
          <w:lang w:val="hu-HU"/>
        </w:rPr>
        <w:t>,</w:t>
      </w:r>
      <w:r w:rsidRPr="00BA5943">
        <w:rPr>
          <w:szCs w:val="22"/>
          <w:lang w:val="hu-HU"/>
        </w:rPr>
        <w:t xml:space="preserve"> bármilyen szokatlan hasi tünet (például GI vérzés) előfordulását jelentenie kell, különösen a kezelés kezdeti szakaszaiban</w:t>
      </w:r>
      <w:r w:rsidR="00DA06EC" w:rsidRPr="00082FCB">
        <w:rPr>
          <w:color w:val="000000"/>
          <w:szCs w:val="22"/>
          <w:lang w:val="hu-HU"/>
        </w:rPr>
        <w:t>.</w:t>
      </w:r>
    </w:p>
    <w:p w14:paraId="7BEA1DB8" w14:textId="77777777" w:rsidR="00D02563" w:rsidRPr="00082FCB" w:rsidRDefault="00D02563" w:rsidP="006475B4">
      <w:pPr>
        <w:spacing w:line="240" w:lineRule="auto"/>
        <w:rPr>
          <w:color w:val="000000"/>
          <w:szCs w:val="22"/>
          <w:lang w:val="hu-HU"/>
        </w:rPr>
      </w:pPr>
    </w:p>
    <w:p w14:paraId="595B387D" w14:textId="30233A3D" w:rsidR="00DA06EC" w:rsidRPr="00082FCB" w:rsidRDefault="00353FB0" w:rsidP="006475B4">
      <w:pPr>
        <w:spacing w:line="240" w:lineRule="auto"/>
        <w:rPr>
          <w:color w:val="000000"/>
          <w:szCs w:val="22"/>
          <w:lang w:val="hu-HU"/>
        </w:rPr>
      </w:pPr>
      <w:r w:rsidRPr="00BA5943">
        <w:rPr>
          <w:szCs w:val="22"/>
          <w:lang w:val="hu-HU"/>
        </w:rPr>
        <w:t xml:space="preserve">Óvatosság ajánlott akkor, ha a betegek </w:t>
      </w:r>
      <w:r w:rsidR="00A47B74" w:rsidRPr="00BA5943">
        <w:rPr>
          <w:szCs w:val="22"/>
          <w:lang w:val="hu-HU"/>
        </w:rPr>
        <w:t>egyidejű</w:t>
      </w:r>
      <w:r w:rsidR="00A47B74">
        <w:rPr>
          <w:szCs w:val="22"/>
          <w:lang w:val="hu-HU"/>
        </w:rPr>
        <w:t>leg</w:t>
      </w:r>
      <w:r w:rsidR="00A47B74" w:rsidRPr="00BA5943">
        <w:rPr>
          <w:szCs w:val="22"/>
          <w:lang w:val="hu-HU"/>
        </w:rPr>
        <w:t xml:space="preserve"> </w:t>
      </w:r>
      <w:r w:rsidRPr="00BA5943">
        <w:rPr>
          <w:szCs w:val="22"/>
          <w:lang w:val="hu-HU"/>
        </w:rPr>
        <w:t>olyan gyógyszereket kapnak, amelyek fokozhatják a fekélyesedés vagy a vérzés kockázatát, mint például orális kortikoszteroidok, antikoagulánsok (például warfarin), szelektív szerotoninvisszavétel-gátlók, illetve thromobocytaaggregáció-gátlók (például acetilszalicilsav) (lásd 4.5 pont)</w:t>
      </w:r>
      <w:r w:rsidR="00DA06EC" w:rsidRPr="00082FCB">
        <w:rPr>
          <w:color w:val="000000"/>
          <w:szCs w:val="22"/>
          <w:lang w:val="hu-HU"/>
        </w:rPr>
        <w:t>.</w:t>
      </w:r>
    </w:p>
    <w:p w14:paraId="41008AE7" w14:textId="77777777" w:rsidR="00D02563" w:rsidRPr="00082FCB" w:rsidRDefault="00D02563" w:rsidP="006475B4">
      <w:pPr>
        <w:spacing w:line="240" w:lineRule="auto"/>
        <w:rPr>
          <w:color w:val="000000"/>
          <w:szCs w:val="22"/>
          <w:lang w:val="hu-HU"/>
        </w:rPr>
      </w:pPr>
    </w:p>
    <w:p w14:paraId="1B92F45F" w14:textId="7A487D50" w:rsidR="00DA06EC" w:rsidRPr="00082FCB" w:rsidRDefault="00353FB0" w:rsidP="006475B4">
      <w:pPr>
        <w:spacing w:line="240" w:lineRule="auto"/>
        <w:rPr>
          <w:color w:val="000000"/>
          <w:szCs w:val="22"/>
          <w:lang w:val="hu-HU"/>
        </w:rPr>
      </w:pPr>
      <w:r w:rsidRPr="00BA5943">
        <w:rPr>
          <w:szCs w:val="22"/>
          <w:lang w:val="hu-HU"/>
        </w:rPr>
        <w:t>Ha GI vérzés vagy fekélyesedés fordul elő ibuprofén-tartalmú gyógyszereket szedő betegeknél, a kezelést abba kell hagyni</w:t>
      </w:r>
      <w:r w:rsidR="00DA06EC" w:rsidRPr="00082FCB">
        <w:rPr>
          <w:color w:val="000000"/>
          <w:szCs w:val="22"/>
          <w:lang w:val="hu-HU"/>
        </w:rPr>
        <w:t>.</w:t>
      </w:r>
    </w:p>
    <w:p w14:paraId="01310F47" w14:textId="77777777" w:rsidR="00DA06EC" w:rsidRPr="00082FCB" w:rsidRDefault="00DA06EC" w:rsidP="006475B4">
      <w:pPr>
        <w:spacing w:line="240" w:lineRule="auto"/>
        <w:rPr>
          <w:color w:val="000000"/>
          <w:szCs w:val="22"/>
          <w:lang w:val="hu-HU"/>
        </w:rPr>
      </w:pPr>
    </w:p>
    <w:p w14:paraId="6FB595A2" w14:textId="45976F55" w:rsidR="00DA06EC" w:rsidRPr="00082FCB" w:rsidRDefault="00353FB0" w:rsidP="006475B4">
      <w:pPr>
        <w:numPr>
          <w:ilvl w:val="0"/>
          <w:numId w:val="38"/>
        </w:numPr>
        <w:spacing w:line="240" w:lineRule="auto"/>
        <w:ind w:left="567" w:hanging="567"/>
        <w:rPr>
          <w:color w:val="000000"/>
          <w:szCs w:val="22"/>
          <w:u w:val="single"/>
          <w:lang w:val="hu-HU"/>
        </w:rPr>
      </w:pPr>
      <w:r w:rsidRPr="00082FCB">
        <w:rPr>
          <w:color w:val="000000"/>
          <w:szCs w:val="22"/>
          <w:u w:val="single"/>
          <w:lang w:val="hu-HU"/>
        </w:rPr>
        <w:t>Dermatológia</w:t>
      </w:r>
      <w:r>
        <w:rPr>
          <w:color w:val="000000"/>
          <w:szCs w:val="22"/>
          <w:u w:val="single"/>
          <w:lang w:val="hu-HU"/>
        </w:rPr>
        <w:t>i hatások</w:t>
      </w:r>
      <w:r w:rsidR="00DA06EC" w:rsidRPr="00082FCB">
        <w:rPr>
          <w:color w:val="000000"/>
          <w:szCs w:val="22"/>
          <w:u w:val="single"/>
          <w:lang w:val="hu-HU"/>
        </w:rPr>
        <w:t>:</w:t>
      </w:r>
    </w:p>
    <w:p w14:paraId="20847139" w14:textId="77777777" w:rsidR="00353FB0" w:rsidRPr="00BA5943" w:rsidRDefault="00353FB0" w:rsidP="00353FB0">
      <w:pPr>
        <w:keepNext/>
        <w:tabs>
          <w:tab w:val="clear" w:pos="567"/>
          <w:tab w:val="left" w:pos="284"/>
        </w:tabs>
        <w:spacing w:line="240" w:lineRule="auto"/>
        <w:rPr>
          <w:i/>
          <w:iCs/>
          <w:szCs w:val="22"/>
          <w:lang w:val="hu-HU"/>
        </w:rPr>
      </w:pPr>
      <w:r w:rsidRPr="00BA5943">
        <w:rPr>
          <w:i/>
          <w:iCs/>
          <w:szCs w:val="22"/>
          <w:lang w:val="hu-HU"/>
        </w:rPr>
        <w:t>Súlyos bőrreakciók</w:t>
      </w:r>
    </w:p>
    <w:p w14:paraId="243A5FBD" w14:textId="6FC89971" w:rsidR="00DA06EC" w:rsidRPr="00082FCB" w:rsidRDefault="00353FB0" w:rsidP="00B125A8">
      <w:pPr>
        <w:spacing w:line="240" w:lineRule="auto"/>
        <w:rPr>
          <w:color w:val="000000"/>
          <w:szCs w:val="22"/>
          <w:lang w:val="hu-HU"/>
        </w:rPr>
      </w:pPr>
      <w:r w:rsidRPr="00BA5943">
        <w:rPr>
          <w:szCs w:val="22"/>
          <w:lang w:val="hu-HU"/>
        </w:rPr>
        <w:t>Nagyon ritkán súlyos, esetenként halálos bőrreakciókat, köztük exfoliatív dermatitist, Stevens</w:t>
      </w:r>
      <w:r w:rsidR="00E7192E">
        <w:rPr>
          <w:szCs w:val="22"/>
          <w:lang w:val="hu-HU"/>
        </w:rPr>
        <w:t>–</w:t>
      </w:r>
      <w:r w:rsidRPr="00BA5943">
        <w:rPr>
          <w:szCs w:val="22"/>
          <w:lang w:val="hu-HU"/>
        </w:rPr>
        <w:t xml:space="preserve">Johnson-szindrómát és toxicus epidermalis necrolysist jelentettek NSAID-ok alkalmazásával kapcsolatban (lásd 4.8 pont). A betegeknél az ilyen reakciók kockázata a kezelés legelején a legnagyobb. A betegek többségénél a reakció a kezelés első hónapjában </w:t>
      </w:r>
      <w:r w:rsidR="00AD60B6">
        <w:rPr>
          <w:szCs w:val="22"/>
          <w:lang w:val="hu-HU"/>
        </w:rPr>
        <w:t>alakul ki</w:t>
      </w:r>
      <w:r w:rsidRPr="00BA5943">
        <w:rPr>
          <w:szCs w:val="22"/>
          <w:lang w:val="hu-HU"/>
        </w:rPr>
        <w:t>. Az ibuprofén-tartalmú gyógyszerekkel kapcsolatban akut generalizált exanthemás pustulosist (AGEP) jelentettek. E gyógyszer alkalmazását súlyos bőrreakciók első jelének vagy tünetének megjelenésekor (mint pl. bőrkiütés, nyálkahártya-károsodások vagy túlérzékenység bármely egyéb jele) abba kell hagyni</w:t>
      </w:r>
      <w:r w:rsidR="00DA06EC" w:rsidRPr="00082FCB">
        <w:rPr>
          <w:color w:val="000000"/>
          <w:szCs w:val="22"/>
          <w:lang w:val="hu-HU"/>
        </w:rPr>
        <w:t>.</w:t>
      </w:r>
    </w:p>
    <w:p w14:paraId="489C5C6D" w14:textId="77777777" w:rsidR="002A53AD" w:rsidRPr="00082FCB" w:rsidRDefault="002A53AD" w:rsidP="00B125A8">
      <w:pPr>
        <w:spacing w:line="240" w:lineRule="auto"/>
        <w:rPr>
          <w:color w:val="000000"/>
          <w:szCs w:val="22"/>
          <w:lang w:val="hu-HU"/>
        </w:rPr>
      </w:pPr>
    </w:p>
    <w:p w14:paraId="6E77A11C" w14:textId="5B417659" w:rsidR="00DA06EC" w:rsidRPr="00082FCB" w:rsidRDefault="00353FB0" w:rsidP="00502D6A">
      <w:pPr>
        <w:numPr>
          <w:ilvl w:val="0"/>
          <w:numId w:val="38"/>
        </w:numPr>
        <w:spacing w:line="240" w:lineRule="auto"/>
        <w:ind w:left="567" w:hanging="567"/>
        <w:rPr>
          <w:color w:val="000000"/>
          <w:szCs w:val="22"/>
          <w:u w:val="single"/>
          <w:lang w:val="hu-HU"/>
        </w:rPr>
      </w:pPr>
      <w:r w:rsidRPr="00353FB0">
        <w:rPr>
          <w:color w:val="000000"/>
          <w:szCs w:val="22"/>
          <w:u w:val="single"/>
          <w:lang w:val="hu-HU"/>
        </w:rPr>
        <w:t>A női termékenység károsodása</w:t>
      </w:r>
      <w:r w:rsidR="00DA06EC" w:rsidRPr="00082FCB">
        <w:rPr>
          <w:color w:val="000000"/>
          <w:szCs w:val="22"/>
          <w:u w:val="single"/>
          <w:lang w:val="hu-HU"/>
        </w:rPr>
        <w:t>:</w:t>
      </w:r>
    </w:p>
    <w:p w14:paraId="03351ADB" w14:textId="77777777" w:rsidR="004E288C" w:rsidRDefault="004E4343" w:rsidP="006475B4">
      <w:pPr>
        <w:spacing w:line="240" w:lineRule="auto"/>
        <w:rPr>
          <w:szCs w:val="22"/>
          <w:lang w:val="hu-HU"/>
        </w:rPr>
      </w:pPr>
      <w:r>
        <w:rPr>
          <w:szCs w:val="22"/>
          <w:lang w:val="hu-HU"/>
        </w:rPr>
        <w:t>Lásd 4.6 pont</w:t>
      </w:r>
    </w:p>
    <w:p w14:paraId="543D8CB1" w14:textId="0106D563" w:rsidR="001D29E6" w:rsidRPr="00082FCB" w:rsidRDefault="001D29E6" w:rsidP="006475B4">
      <w:pPr>
        <w:spacing w:line="240" w:lineRule="auto"/>
        <w:rPr>
          <w:szCs w:val="22"/>
          <w:lang w:val="hu-HU"/>
        </w:rPr>
      </w:pPr>
    </w:p>
    <w:p w14:paraId="06E87147" w14:textId="4585C2F9" w:rsidR="002D5634" w:rsidRPr="00082FCB" w:rsidRDefault="0080133A" w:rsidP="002D5634">
      <w:pPr>
        <w:numPr>
          <w:ilvl w:val="0"/>
          <w:numId w:val="39"/>
        </w:numPr>
        <w:tabs>
          <w:tab w:val="clear" w:pos="567"/>
        </w:tabs>
        <w:autoSpaceDE w:val="0"/>
        <w:autoSpaceDN w:val="0"/>
        <w:adjustRightInd w:val="0"/>
        <w:spacing w:line="240" w:lineRule="auto"/>
        <w:ind w:hanging="720"/>
        <w:rPr>
          <w:color w:val="000000"/>
          <w:szCs w:val="22"/>
          <w:u w:val="single"/>
          <w:lang w:val="hu-HU"/>
        </w:rPr>
      </w:pPr>
      <w:r>
        <w:rPr>
          <w:color w:val="000000"/>
          <w:szCs w:val="22"/>
          <w:u w:val="single"/>
          <w:lang w:val="hu-HU"/>
        </w:rPr>
        <w:t>Fertőzések tüneteinek elfedése</w:t>
      </w:r>
      <w:r w:rsidR="004E4343">
        <w:rPr>
          <w:color w:val="000000"/>
          <w:szCs w:val="22"/>
          <w:u w:val="single"/>
          <w:lang w:val="hu-HU"/>
        </w:rPr>
        <w:t>:</w:t>
      </w:r>
    </w:p>
    <w:p w14:paraId="7E34EF62" w14:textId="02ADE8E8" w:rsidR="002D5634" w:rsidRPr="00082FCB" w:rsidRDefault="0080133A" w:rsidP="002D5634">
      <w:pPr>
        <w:spacing w:line="240" w:lineRule="auto"/>
        <w:rPr>
          <w:color w:val="000000"/>
          <w:szCs w:val="22"/>
          <w:lang w:val="hu-HU"/>
        </w:rPr>
      </w:pPr>
      <w:r>
        <w:rPr>
          <w:color w:val="000000"/>
          <w:szCs w:val="22"/>
          <w:lang w:val="hu-HU"/>
        </w:rPr>
        <w:t>A</w:t>
      </w:r>
      <w:r w:rsidR="000E2D4D">
        <w:rPr>
          <w:color w:val="000000"/>
          <w:szCs w:val="22"/>
          <w:lang w:val="hu-HU"/>
        </w:rPr>
        <w:t>z</w:t>
      </w:r>
      <w:r>
        <w:rPr>
          <w:color w:val="000000"/>
          <w:szCs w:val="22"/>
          <w:lang w:val="hu-HU"/>
        </w:rPr>
        <w:t xml:space="preserve"> </w:t>
      </w:r>
      <w:r w:rsidR="000E2D4D">
        <w:rPr>
          <w:color w:val="000000"/>
          <w:szCs w:val="22"/>
          <w:lang w:val="hu-HU"/>
        </w:rPr>
        <w:t>Advil</w:t>
      </w:r>
      <w:r w:rsidR="000E2D4D" w:rsidRPr="00A31125">
        <w:rPr>
          <w:color w:val="000000"/>
          <w:szCs w:val="22"/>
          <w:lang w:val="hu-HU"/>
        </w:rPr>
        <w:t xml:space="preserve"> </w:t>
      </w:r>
      <w:r w:rsidR="00A31125" w:rsidRPr="00A31125">
        <w:rPr>
          <w:color w:val="000000"/>
          <w:szCs w:val="22"/>
          <w:lang w:val="hu-HU"/>
        </w:rPr>
        <w:t xml:space="preserve">Duo </w:t>
      </w:r>
      <w:r w:rsidR="004E4343">
        <w:rPr>
          <w:color w:val="000000"/>
          <w:szCs w:val="22"/>
          <w:lang w:val="hu-HU"/>
        </w:rPr>
        <w:t>5</w:t>
      </w:r>
      <w:r w:rsidR="00A31125" w:rsidRPr="00A31125">
        <w:rPr>
          <w:color w:val="000000"/>
          <w:szCs w:val="22"/>
          <w:lang w:val="hu-HU"/>
        </w:rPr>
        <w:t>00 mg/</w:t>
      </w:r>
      <w:r w:rsidR="004E4343">
        <w:rPr>
          <w:color w:val="000000"/>
          <w:szCs w:val="22"/>
          <w:lang w:val="hu-HU"/>
        </w:rPr>
        <w:t>2</w:t>
      </w:r>
      <w:r w:rsidR="00A31125" w:rsidRPr="00A31125">
        <w:rPr>
          <w:color w:val="000000"/>
          <w:szCs w:val="22"/>
          <w:lang w:val="hu-HU"/>
        </w:rPr>
        <w:t>00 mg filmtabletta</w:t>
      </w:r>
      <w:r w:rsidRPr="007D1C42">
        <w:rPr>
          <w:color w:val="000000"/>
          <w:szCs w:val="22"/>
          <w:lang w:val="hu-HU"/>
        </w:rPr>
        <w:t xml:space="preserve"> </w:t>
      </w:r>
      <w:r w:rsidRPr="005C5C62">
        <w:rPr>
          <w:szCs w:val="22"/>
          <w:lang w:val="hu-HU"/>
        </w:rPr>
        <w:t>elfedheti a fertőzések tüneteit, például a lázat és a fájdalmat. Ezért lehetséges, hogy a</w:t>
      </w:r>
      <w:r w:rsidR="000E2D4D">
        <w:rPr>
          <w:szCs w:val="22"/>
          <w:lang w:val="hu-HU"/>
        </w:rPr>
        <w:t>z</w:t>
      </w:r>
      <w:r w:rsidR="00A31125" w:rsidRPr="00ED50E8">
        <w:rPr>
          <w:lang w:val="hu-HU"/>
        </w:rPr>
        <w:t xml:space="preserve"> </w:t>
      </w:r>
      <w:r w:rsidR="000E2D4D">
        <w:rPr>
          <w:szCs w:val="22"/>
          <w:lang w:val="hu-HU"/>
        </w:rPr>
        <w:t>Advil</w:t>
      </w:r>
      <w:r w:rsidR="000E2D4D" w:rsidRPr="00A31125">
        <w:rPr>
          <w:szCs w:val="22"/>
          <w:lang w:val="hu-HU"/>
        </w:rPr>
        <w:t xml:space="preserve"> </w:t>
      </w:r>
      <w:r w:rsidR="00A31125" w:rsidRPr="00A31125">
        <w:rPr>
          <w:szCs w:val="22"/>
          <w:lang w:val="hu-HU"/>
        </w:rPr>
        <w:t xml:space="preserve">Duo </w:t>
      </w:r>
      <w:r w:rsidR="004E4343">
        <w:rPr>
          <w:szCs w:val="22"/>
          <w:lang w:val="hu-HU"/>
        </w:rPr>
        <w:t>5</w:t>
      </w:r>
      <w:r w:rsidR="00A31125" w:rsidRPr="00A31125">
        <w:rPr>
          <w:szCs w:val="22"/>
          <w:lang w:val="hu-HU"/>
        </w:rPr>
        <w:t>00 mg/</w:t>
      </w:r>
      <w:r w:rsidR="004E4343">
        <w:rPr>
          <w:szCs w:val="22"/>
          <w:lang w:val="hu-HU"/>
        </w:rPr>
        <w:t>2</w:t>
      </w:r>
      <w:r w:rsidR="00A31125" w:rsidRPr="00A31125">
        <w:rPr>
          <w:szCs w:val="22"/>
          <w:lang w:val="hu-HU"/>
        </w:rPr>
        <w:t>00 mg filmtabletta</w:t>
      </w:r>
      <w:r w:rsidR="00A31125">
        <w:rPr>
          <w:szCs w:val="22"/>
          <w:lang w:val="hu-HU"/>
        </w:rPr>
        <w:t xml:space="preserve"> </w:t>
      </w:r>
      <w:r w:rsidRPr="005C5C62">
        <w:rPr>
          <w:szCs w:val="22"/>
          <w:lang w:val="hu-HU"/>
        </w:rPr>
        <w:t xml:space="preserve">késleltetheti a fertőzés megfelelő kezelését, ami növelheti a szövődmények kialakulásának kockázatát. Ezt baktériumok okozta </w:t>
      </w:r>
      <w:r w:rsidR="00E7192E">
        <w:rPr>
          <w:szCs w:val="22"/>
          <w:lang w:val="hu-HU"/>
        </w:rPr>
        <w:t xml:space="preserve">területen szerzett </w:t>
      </w:r>
      <w:r w:rsidRPr="005C5C62">
        <w:rPr>
          <w:szCs w:val="22"/>
          <w:lang w:val="hu-HU"/>
        </w:rPr>
        <w:t xml:space="preserve">tüdőgyulladás és a bárányhimlőhöz társuló, baktériumok okozta bőrfertőzések esetén észlelték. Ha ezt a gyógyszert egy éppen zajló fertőzés során </w:t>
      </w:r>
      <w:r w:rsidRPr="0080133A">
        <w:rPr>
          <w:szCs w:val="22"/>
          <w:lang w:val="hu-HU"/>
        </w:rPr>
        <w:t>láz</w:t>
      </w:r>
      <w:r>
        <w:rPr>
          <w:szCs w:val="22"/>
          <w:lang w:val="hu-HU"/>
        </w:rPr>
        <w:t>-</w:t>
      </w:r>
      <w:r w:rsidRPr="0080133A">
        <w:rPr>
          <w:szCs w:val="22"/>
          <w:lang w:val="hu-HU"/>
        </w:rPr>
        <w:t xml:space="preserve"> vagy fájdalomcsillapítás céljából</w:t>
      </w:r>
      <w:r>
        <w:rPr>
          <w:szCs w:val="22"/>
          <w:lang w:val="hu-HU"/>
        </w:rPr>
        <w:t xml:space="preserve"> </w:t>
      </w:r>
      <w:r w:rsidRPr="005C5C62">
        <w:rPr>
          <w:szCs w:val="22"/>
          <w:lang w:val="hu-HU"/>
        </w:rPr>
        <w:t xml:space="preserve">szedi, </w:t>
      </w:r>
      <w:r w:rsidRPr="0080133A">
        <w:rPr>
          <w:szCs w:val="22"/>
          <w:lang w:val="hu-HU"/>
        </w:rPr>
        <w:t>a fertőzés nyomon követése javasolt. Nem kórházi körülmények között</w:t>
      </w:r>
      <w:r>
        <w:rPr>
          <w:szCs w:val="22"/>
          <w:lang w:val="hu-HU"/>
        </w:rPr>
        <w:t>,</w:t>
      </w:r>
      <w:r w:rsidRPr="0080133A">
        <w:rPr>
          <w:szCs w:val="22"/>
          <w:lang w:val="hu-HU"/>
        </w:rPr>
        <w:t xml:space="preserve"> </w:t>
      </w:r>
      <w:r>
        <w:rPr>
          <w:szCs w:val="22"/>
          <w:lang w:val="hu-HU"/>
        </w:rPr>
        <w:t>ha</w:t>
      </w:r>
      <w:r w:rsidRPr="005C5C62">
        <w:rPr>
          <w:szCs w:val="22"/>
          <w:lang w:val="hu-HU"/>
        </w:rPr>
        <w:t xml:space="preserve"> a fertőzés tünetei továbbra is fennállnak vagy súlyosbodnak, azonnal forduljon orvoshoz!</w:t>
      </w:r>
    </w:p>
    <w:p w14:paraId="291B9A61" w14:textId="77777777" w:rsidR="002D5634" w:rsidRPr="00082FCB" w:rsidRDefault="002D5634" w:rsidP="002D5634">
      <w:pPr>
        <w:spacing w:line="240" w:lineRule="auto"/>
        <w:rPr>
          <w:szCs w:val="22"/>
          <w:lang w:val="hu-HU"/>
        </w:rPr>
      </w:pPr>
    </w:p>
    <w:p w14:paraId="06278CB2" w14:textId="37D0AB24" w:rsidR="00E53CF3" w:rsidRPr="00082FCB" w:rsidRDefault="0080133A" w:rsidP="000C5872">
      <w:pPr>
        <w:tabs>
          <w:tab w:val="clear" w:pos="567"/>
        </w:tabs>
        <w:autoSpaceDE w:val="0"/>
        <w:autoSpaceDN w:val="0"/>
        <w:adjustRightInd w:val="0"/>
        <w:spacing w:line="240" w:lineRule="auto"/>
        <w:rPr>
          <w:color w:val="000000"/>
          <w:szCs w:val="22"/>
          <w:u w:val="single"/>
          <w:lang w:val="hu-HU"/>
        </w:rPr>
      </w:pPr>
      <w:r>
        <w:rPr>
          <w:color w:val="000000"/>
          <w:szCs w:val="22"/>
          <w:u w:val="single"/>
          <w:lang w:val="hu-HU"/>
        </w:rPr>
        <w:t>Nátrium</w:t>
      </w:r>
    </w:p>
    <w:p w14:paraId="76CF0930" w14:textId="6A323C97" w:rsidR="001D2A30" w:rsidRDefault="001D2A30" w:rsidP="006475B4">
      <w:pPr>
        <w:spacing w:line="240" w:lineRule="auto"/>
        <w:rPr>
          <w:color w:val="000000"/>
          <w:szCs w:val="22"/>
          <w:lang w:val="hu-HU"/>
        </w:rPr>
      </w:pPr>
      <w:r w:rsidRPr="001D2A30">
        <w:rPr>
          <w:color w:val="000000"/>
          <w:szCs w:val="22"/>
          <w:lang w:val="hu-HU"/>
        </w:rPr>
        <w:t>A készítmény kevesebb, mint 1 mmol (23 mg) nátriumot tartalmaz</w:t>
      </w:r>
      <w:r>
        <w:rPr>
          <w:color w:val="000000"/>
          <w:szCs w:val="22"/>
          <w:lang w:val="hu-HU"/>
        </w:rPr>
        <w:t xml:space="preserve"> tablettánként</w:t>
      </w:r>
      <w:r w:rsidRPr="001D2A30">
        <w:rPr>
          <w:color w:val="000000"/>
          <w:szCs w:val="22"/>
          <w:lang w:val="hu-HU"/>
        </w:rPr>
        <w:t>, azaz gyakorlatilag „nátriummentes”.</w:t>
      </w:r>
    </w:p>
    <w:p w14:paraId="68FF8A23" w14:textId="77777777" w:rsidR="000C5872" w:rsidRPr="00082FCB" w:rsidRDefault="000C5872" w:rsidP="006475B4">
      <w:pPr>
        <w:spacing w:line="240" w:lineRule="auto"/>
        <w:rPr>
          <w:szCs w:val="22"/>
          <w:lang w:val="hu-HU"/>
        </w:rPr>
      </w:pPr>
    </w:p>
    <w:p w14:paraId="584B553D" w14:textId="11317AC5" w:rsidR="001D29E6" w:rsidRPr="00082FCB" w:rsidRDefault="001D29E6" w:rsidP="00D02563">
      <w:pPr>
        <w:spacing w:line="240" w:lineRule="auto"/>
        <w:ind w:left="567" w:hanging="567"/>
        <w:rPr>
          <w:szCs w:val="22"/>
          <w:lang w:val="hu-HU"/>
        </w:rPr>
      </w:pPr>
      <w:r w:rsidRPr="00082FCB">
        <w:rPr>
          <w:b/>
          <w:szCs w:val="22"/>
          <w:lang w:val="hu-HU"/>
        </w:rPr>
        <w:t>4.5</w:t>
      </w:r>
      <w:r w:rsidRPr="00082FCB">
        <w:rPr>
          <w:b/>
          <w:szCs w:val="22"/>
          <w:lang w:val="hu-HU"/>
        </w:rPr>
        <w:tab/>
      </w:r>
      <w:r w:rsidR="00472300" w:rsidRPr="00BA5943">
        <w:rPr>
          <w:b/>
          <w:szCs w:val="22"/>
          <w:lang w:val="hu-HU"/>
        </w:rPr>
        <w:t>Gyógyszerkölcsönhatások és egyéb interakciók</w:t>
      </w:r>
    </w:p>
    <w:p w14:paraId="5D11F76D" w14:textId="77777777" w:rsidR="001D29E6" w:rsidRPr="00082FCB" w:rsidRDefault="001D29E6" w:rsidP="00D02563">
      <w:pPr>
        <w:spacing w:line="240" w:lineRule="auto"/>
        <w:rPr>
          <w:szCs w:val="22"/>
          <w:lang w:val="hu-HU"/>
        </w:rPr>
      </w:pPr>
    </w:p>
    <w:p w14:paraId="039E476E" w14:textId="23BA8CBA" w:rsidR="00BC359C" w:rsidRDefault="00643609" w:rsidP="00D02563">
      <w:pPr>
        <w:spacing w:line="240" w:lineRule="auto"/>
        <w:rPr>
          <w:szCs w:val="22"/>
          <w:lang w:val="hu-HU"/>
        </w:rPr>
      </w:pPr>
      <w:r w:rsidRPr="00643609">
        <w:rPr>
          <w:szCs w:val="22"/>
          <w:lang w:val="hu-HU"/>
        </w:rPr>
        <w:t>Ez a gyógyszer</w:t>
      </w:r>
      <w:r w:rsidRPr="00BA5943">
        <w:rPr>
          <w:szCs w:val="22"/>
          <w:lang w:val="hu-HU"/>
        </w:rPr>
        <w:t xml:space="preserve"> (paracetamol</w:t>
      </w:r>
      <w:r w:rsidR="00060CD0">
        <w:rPr>
          <w:szCs w:val="22"/>
          <w:lang w:val="hu-HU"/>
        </w:rPr>
        <w:t xml:space="preserve"> </w:t>
      </w:r>
      <w:r w:rsidR="00BC359C">
        <w:rPr>
          <w:szCs w:val="22"/>
          <w:lang w:val="hu-HU"/>
        </w:rPr>
        <w:t>és ibuprofén</w:t>
      </w:r>
      <w:r w:rsidR="0096670B">
        <w:rPr>
          <w:szCs w:val="22"/>
          <w:lang w:val="hu-HU"/>
        </w:rPr>
        <w:t xml:space="preserve"> </w:t>
      </w:r>
      <w:r w:rsidRPr="00BA5943">
        <w:rPr>
          <w:szCs w:val="22"/>
          <w:lang w:val="hu-HU"/>
        </w:rPr>
        <w:t>tartalm</w:t>
      </w:r>
      <w:r w:rsidR="00BC359C">
        <w:rPr>
          <w:szCs w:val="22"/>
          <w:lang w:val="hu-HU"/>
        </w:rPr>
        <w:t>a</w:t>
      </w:r>
      <w:r w:rsidRPr="00BA5943">
        <w:rPr>
          <w:szCs w:val="22"/>
          <w:lang w:val="hu-HU"/>
        </w:rPr>
        <w:t xml:space="preserve"> </w:t>
      </w:r>
      <w:r w:rsidR="00BC359C">
        <w:rPr>
          <w:szCs w:val="22"/>
          <w:lang w:val="hu-HU"/>
        </w:rPr>
        <w:t>miatt</w:t>
      </w:r>
      <w:r w:rsidRPr="00BA5943">
        <w:rPr>
          <w:szCs w:val="22"/>
          <w:lang w:val="hu-HU"/>
        </w:rPr>
        <w:t xml:space="preserve">) ellenjavallott </w:t>
      </w:r>
      <w:r w:rsidR="00BC359C">
        <w:rPr>
          <w:szCs w:val="22"/>
          <w:lang w:val="hu-HU"/>
        </w:rPr>
        <w:t>az alábbi gyógyszerekkel való kombinációkban:</w:t>
      </w:r>
    </w:p>
    <w:p w14:paraId="3EE01DF6" w14:textId="77777777" w:rsidR="00BC359C" w:rsidRDefault="00BC359C" w:rsidP="00D02563">
      <w:pPr>
        <w:spacing w:line="240" w:lineRule="auto"/>
        <w:rPr>
          <w:szCs w:val="22"/>
          <w:lang w:val="hu-HU"/>
        </w:rPr>
      </w:pPr>
    </w:p>
    <w:p w14:paraId="42CD460B" w14:textId="3C04336B" w:rsidR="002A4C6E" w:rsidRPr="00ED50E8" w:rsidRDefault="00643609" w:rsidP="00ED50E8">
      <w:pPr>
        <w:numPr>
          <w:ilvl w:val="0"/>
          <w:numId w:val="38"/>
        </w:numPr>
        <w:spacing w:line="240" w:lineRule="auto"/>
        <w:ind w:left="567" w:hanging="567"/>
        <w:rPr>
          <w:color w:val="000000"/>
          <w:szCs w:val="22"/>
          <w:lang w:val="hu-HU"/>
        </w:rPr>
      </w:pPr>
      <w:r w:rsidRPr="00BC359C">
        <w:rPr>
          <w:szCs w:val="22"/>
          <w:lang w:val="hu-HU"/>
        </w:rPr>
        <w:t xml:space="preserve">más </w:t>
      </w:r>
      <w:r w:rsidRPr="00ED50E8">
        <w:rPr>
          <w:color w:val="000000"/>
          <w:szCs w:val="22"/>
          <w:lang w:val="hu-HU"/>
        </w:rPr>
        <w:t>paracetamolt</w:t>
      </w:r>
      <w:r w:rsidRPr="00BC359C">
        <w:rPr>
          <w:szCs w:val="22"/>
          <w:lang w:val="hu-HU"/>
        </w:rPr>
        <w:t xml:space="preserve"> tartalmazó készítmények</w:t>
      </w:r>
      <w:r w:rsidR="0096670B">
        <w:rPr>
          <w:szCs w:val="22"/>
          <w:lang w:val="hu-HU"/>
        </w:rPr>
        <w:t xml:space="preserve"> </w:t>
      </w:r>
      <w:r w:rsidRPr="00BC359C">
        <w:rPr>
          <w:szCs w:val="22"/>
          <w:lang w:val="hu-HU"/>
        </w:rPr>
        <w:t>– a súlyos mellékhatások kockázatának növekedése miatt (lásd 4.3 pont).</w:t>
      </w:r>
    </w:p>
    <w:p w14:paraId="01AD2A8A" w14:textId="03D54544" w:rsidR="00BC359C" w:rsidRPr="00082FCB" w:rsidRDefault="00BC359C" w:rsidP="00BC359C">
      <w:pPr>
        <w:numPr>
          <w:ilvl w:val="0"/>
          <w:numId w:val="38"/>
        </w:numPr>
        <w:spacing w:line="240" w:lineRule="auto"/>
        <w:ind w:left="567" w:hanging="567"/>
        <w:rPr>
          <w:color w:val="000000"/>
          <w:szCs w:val="22"/>
          <w:lang w:val="hu-HU"/>
        </w:rPr>
      </w:pPr>
      <w:r>
        <w:rPr>
          <w:color w:val="000000"/>
          <w:szCs w:val="22"/>
          <w:lang w:val="hu-HU"/>
        </w:rPr>
        <w:t xml:space="preserve">75 mg-nál nagyobb napi dózisú </w:t>
      </w:r>
      <w:r w:rsidRPr="00643609">
        <w:rPr>
          <w:color w:val="000000"/>
          <w:szCs w:val="22"/>
          <w:lang w:val="hu-HU"/>
        </w:rPr>
        <w:t>acetilszalicilsav</w:t>
      </w:r>
      <w:r w:rsidR="0096670B">
        <w:rPr>
          <w:color w:val="000000"/>
          <w:szCs w:val="22"/>
          <w:lang w:val="hu-HU"/>
        </w:rPr>
        <w:t>,</w:t>
      </w:r>
      <w:r>
        <w:rPr>
          <w:color w:val="000000"/>
          <w:szCs w:val="22"/>
          <w:lang w:val="hu-HU"/>
        </w:rPr>
        <w:t xml:space="preserve"> illetve </w:t>
      </w:r>
      <w:r w:rsidRPr="00BA5943">
        <w:rPr>
          <w:szCs w:val="22"/>
          <w:lang w:val="hu-HU"/>
        </w:rPr>
        <w:t>egyéb NSAID-ok, köztük szelektív ciklooxigenáz-2</w:t>
      </w:r>
      <w:r>
        <w:rPr>
          <w:szCs w:val="22"/>
          <w:lang w:val="hu-HU"/>
        </w:rPr>
        <w:t>-</w:t>
      </w:r>
      <w:r w:rsidRPr="00BA5943">
        <w:rPr>
          <w:szCs w:val="22"/>
          <w:lang w:val="hu-HU"/>
        </w:rPr>
        <w:t>gátlók, mert ezek növelhetik a mellékhatások kockázatát (lásd 4.3 pont)</w:t>
      </w:r>
      <w:r w:rsidRPr="00082FCB">
        <w:rPr>
          <w:color w:val="000000"/>
          <w:szCs w:val="22"/>
          <w:lang w:val="hu-HU"/>
        </w:rPr>
        <w:t>.</w:t>
      </w:r>
    </w:p>
    <w:p w14:paraId="41D97DA1" w14:textId="77777777" w:rsidR="002A4C6E" w:rsidRPr="00082FCB" w:rsidRDefault="002A4C6E" w:rsidP="006475B4">
      <w:pPr>
        <w:spacing w:line="240" w:lineRule="auto"/>
        <w:rPr>
          <w:color w:val="000000"/>
          <w:szCs w:val="22"/>
          <w:lang w:val="hu-HU"/>
        </w:rPr>
      </w:pPr>
    </w:p>
    <w:p w14:paraId="331A0993" w14:textId="501BB4D5" w:rsidR="002A4C6E" w:rsidRPr="00082FCB" w:rsidRDefault="00643609" w:rsidP="006475B4">
      <w:pPr>
        <w:spacing w:line="240" w:lineRule="auto"/>
        <w:rPr>
          <w:color w:val="000000"/>
          <w:szCs w:val="22"/>
          <w:lang w:val="hu-HU"/>
        </w:rPr>
      </w:pPr>
      <w:r w:rsidRPr="00643609">
        <w:rPr>
          <w:szCs w:val="22"/>
          <w:lang w:val="hu-HU"/>
        </w:rPr>
        <w:t>Ezt a gyógyszert</w:t>
      </w:r>
      <w:r w:rsidRPr="00BA5943">
        <w:rPr>
          <w:b/>
          <w:bCs/>
          <w:szCs w:val="22"/>
          <w:lang w:val="hu-HU"/>
        </w:rPr>
        <w:t xml:space="preserve"> </w:t>
      </w:r>
      <w:r w:rsidRPr="00BA5943">
        <w:rPr>
          <w:szCs w:val="22"/>
          <w:lang w:val="hu-HU"/>
        </w:rPr>
        <w:t>(paracetamol-tartalm</w:t>
      </w:r>
      <w:r w:rsidR="00060CD0">
        <w:rPr>
          <w:szCs w:val="22"/>
          <w:lang w:val="hu-HU"/>
        </w:rPr>
        <w:t>a miatt</w:t>
      </w:r>
      <w:r w:rsidRPr="00BA5943">
        <w:rPr>
          <w:szCs w:val="22"/>
          <w:lang w:val="hu-HU"/>
        </w:rPr>
        <w:t xml:space="preserve">) </w:t>
      </w:r>
      <w:r>
        <w:rPr>
          <w:szCs w:val="22"/>
          <w:lang w:val="hu-HU"/>
        </w:rPr>
        <w:t>körültekintően kell</w:t>
      </w:r>
      <w:r w:rsidRPr="00BA5943">
        <w:rPr>
          <w:szCs w:val="22"/>
          <w:lang w:val="hu-HU"/>
        </w:rPr>
        <w:t xml:space="preserve"> alkalmaz</w:t>
      </w:r>
      <w:r>
        <w:rPr>
          <w:szCs w:val="22"/>
          <w:lang w:val="hu-HU"/>
        </w:rPr>
        <w:t>ni</w:t>
      </w:r>
      <w:r w:rsidRPr="00BA5943">
        <w:rPr>
          <w:szCs w:val="22"/>
          <w:lang w:val="hu-HU"/>
        </w:rPr>
        <w:t xml:space="preserve"> az alábbi gyógyszerekkel való kombinációkban</w:t>
      </w:r>
      <w:r w:rsidR="002A4C6E" w:rsidRPr="00082FCB">
        <w:rPr>
          <w:color w:val="000000"/>
          <w:szCs w:val="22"/>
          <w:lang w:val="hu-HU"/>
        </w:rPr>
        <w:t>:</w:t>
      </w:r>
    </w:p>
    <w:p w14:paraId="08EE1550" w14:textId="50FDFDCD" w:rsidR="002A4C6E" w:rsidRPr="00082FCB" w:rsidRDefault="00643609" w:rsidP="006475B4">
      <w:pPr>
        <w:numPr>
          <w:ilvl w:val="0"/>
          <w:numId w:val="38"/>
        </w:numPr>
        <w:spacing w:line="240" w:lineRule="auto"/>
        <w:ind w:left="567" w:hanging="567"/>
        <w:rPr>
          <w:color w:val="000000"/>
          <w:szCs w:val="22"/>
          <w:lang w:val="hu-HU"/>
        </w:rPr>
      </w:pPr>
      <w:r w:rsidRPr="00BA5943">
        <w:rPr>
          <w:szCs w:val="22"/>
          <w:lang w:val="hu-HU"/>
        </w:rPr>
        <w:t>kolesztiramin: a paracetamol felszívódásának sebességét a kolesztiramin csökkenti. Ezért a kolesztiramin nem szedhető egy órán belül, ha maximális fájdalomcsillapító hatás szükséges</w:t>
      </w:r>
      <w:r w:rsidR="002A4C6E" w:rsidRPr="00082FCB">
        <w:rPr>
          <w:color w:val="000000"/>
          <w:szCs w:val="22"/>
          <w:lang w:val="hu-HU"/>
        </w:rPr>
        <w:t>.</w:t>
      </w:r>
    </w:p>
    <w:p w14:paraId="30B4476D" w14:textId="4365EF7D" w:rsidR="002A4C6E" w:rsidRPr="00082FCB" w:rsidRDefault="00643609" w:rsidP="006475B4">
      <w:pPr>
        <w:numPr>
          <w:ilvl w:val="0"/>
          <w:numId w:val="38"/>
        </w:numPr>
        <w:spacing w:line="240" w:lineRule="auto"/>
        <w:ind w:left="567" w:hanging="567"/>
        <w:rPr>
          <w:color w:val="000000"/>
          <w:szCs w:val="22"/>
          <w:lang w:val="hu-HU"/>
        </w:rPr>
      </w:pPr>
      <w:r w:rsidRPr="00BA5943">
        <w:rPr>
          <w:szCs w:val="22"/>
          <w:lang w:val="hu-HU"/>
        </w:rPr>
        <w:t>metoklopramid és domperidon: a paracetamol felszívódását a metoklopramid és a domperidon fokozza. Azonban az egyidejű alkalmazást nem kell kerülni</w:t>
      </w:r>
      <w:r w:rsidR="002A4C6E" w:rsidRPr="00082FCB">
        <w:rPr>
          <w:color w:val="000000"/>
          <w:szCs w:val="22"/>
          <w:lang w:val="hu-HU"/>
        </w:rPr>
        <w:t>.</w:t>
      </w:r>
    </w:p>
    <w:p w14:paraId="0F24DE44" w14:textId="3AADD764" w:rsidR="002A4C6E" w:rsidRPr="00082FCB" w:rsidRDefault="00643609" w:rsidP="006475B4">
      <w:pPr>
        <w:numPr>
          <w:ilvl w:val="0"/>
          <w:numId w:val="38"/>
        </w:numPr>
        <w:spacing w:line="240" w:lineRule="auto"/>
        <w:ind w:left="567" w:hanging="567"/>
        <w:rPr>
          <w:color w:val="000000"/>
          <w:szCs w:val="22"/>
          <w:lang w:val="hu-HU"/>
        </w:rPr>
      </w:pPr>
      <w:r w:rsidRPr="00BA5943">
        <w:rPr>
          <w:szCs w:val="22"/>
          <w:lang w:val="hu-HU"/>
        </w:rPr>
        <w:t>warfarin: a warfarin és egyéb kumarinok antikoaguláns hatása fokozódhat a paracetamol hosszú időtartamú, rendszeres alkalmazásával, amely növeli a vérzés kockázatát; az esetenkénti dózisoknak nincs jelentős hatásuk</w:t>
      </w:r>
      <w:r w:rsidR="002A4C6E" w:rsidRPr="00082FCB">
        <w:rPr>
          <w:color w:val="000000"/>
          <w:szCs w:val="22"/>
          <w:lang w:val="hu-HU"/>
        </w:rPr>
        <w:t>.</w:t>
      </w:r>
    </w:p>
    <w:p w14:paraId="4AC163FB" w14:textId="3B23957C" w:rsidR="002A4C6E" w:rsidRPr="00082FCB" w:rsidRDefault="00643609" w:rsidP="002A53AD">
      <w:pPr>
        <w:numPr>
          <w:ilvl w:val="0"/>
          <w:numId w:val="38"/>
        </w:numPr>
        <w:spacing w:line="240" w:lineRule="auto"/>
        <w:ind w:left="567" w:hanging="567"/>
        <w:rPr>
          <w:iCs/>
          <w:szCs w:val="22"/>
          <w:lang w:val="hu-HU"/>
        </w:rPr>
      </w:pPr>
      <w:r w:rsidRPr="00BA5943">
        <w:rPr>
          <w:szCs w:val="22"/>
          <w:lang w:val="hu-HU"/>
        </w:rPr>
        <w:t>elővigyázatossággal kell eljárni olyankor, amikor a paracetamolt flukloxacillinnel párhuzamosan alkalmazzák, mivel egyidejű alkalmazásukkor</w:t>
      </w:r>
      <w:r w:rsidR="00792EFE">
        <w:rPr>
          <w:szCs w:val="22"/>
          <w:lang w:val="hu-HU"/>
        </w:rPr>
        <w:t xml:space="preserve"> </w:t>
      </w:r>
      <w:r w:rsidR="00792EFE" w:rsidRPr="00792EFE">
        <w:rPr>
          <w:szCs w:val="22"/>
          <w:lang w:val="hu-HU"/>
        </w:rPr>
        <w:t>piroglutamát-acidózis miatt kialakuló</w:t>
      </w:r>
      <w:r w:rsidRPr="00BA5943">
        <w:rPr>
          <w:szCs w:val="22"/>
          <w:lang w:val="hu-HU"/>
        </w:rPr>
        <w:t xml:space="preserve"> emelkedett anionréssel járó metabolikus acidózis alakulhat ki, különösen olyan betegeknél, akiknél ennek kockázati tényezői fennállnak (lásd 4.4 pont)</w:t>
      </w:r>
      <w:r w:rsidR="002A53AD" w:rsidRPr="00082FCB">
        <w:rPr>
          <w:szCs w:val="22"/>
          <w:lang w:val="hu-HU"/>
        </w:rPr>
        <w:t>.</w:t>
      </w:r>
    </w:p>
    <w:p w14:paraId="78EBCD9B" w14:textId="77777777" w:rsidR="002A53AD" w:rsidRPr="00082FCB" w:rsidRDefault="002A53AD" w:rsidP="006475B4">
      <w:pPr>
        <w:spacing w:line="240" w:lineRule="auto"/>
        <w:rPr>
          <w:iCs/>
          <w:szCs w:val="22"/>
          <w:lang w:val="hu-HU"/>
        </w:rPr>
      </w:pPr>
    </w:p>
    <w:p w14:paraId="146F9CFD" w14:textId="5F57F7CD" w:rsidR="002A4C6E" w:rsidRDefault="00643609" w:rsidP="006475B4">
      <w:pPr>
        <w:spacing w:line="240" w:lineRule="auto"/>
        <w:rPr>
          <w:color w:val="000000"/>
          <w:szCs w:val="22"/>
          <w:lang w:val="hu-HU"/>
        </w:rPr>
      </w:pPr>
      <w:r w:rsidRPr="001A5036">
        <w:rPr>
          <w:szCs w:val="22"/>
          <w:lang w:val="hu-HU"/>
        </w:rPr>
        <w:t>Ezt a gyógyszert</w:t>
      </w:r>
      <w:r w:rsidRPr="00BA5943">
        <w:rPr>
          <w:szCs w:val="22"/>
          <w:lang w:val="hu-HU"/>
        </w:rPr>
        <w:t xml:space="preserve"> (ibuprofén-tartalm</w:t>
      </w:r>
      <w:r w:rsidR="00060CD0">
        <w:rPr>
          <w:szCs w:val="22"/>
          <w:lang w:val="hu-HU"/>
        </w:rPr>
        <w:t>a miatt</w:t>
      </w:r>
      <w:r w:rsidRPr="00BA5943">
        <w:rPr>
          <w:szCs w:val="22"/>
          <w:lang w:val="hu-HU"/>
        </w:rPr>
        <w:t xml:space="preserve">) </w:t>
      </w:r>
      <w:r>
        <w:rPr>
          <w:szCs w:val="22"/>
          <w:lang w:val="hu-HU"/>
        </w:rPr>
        <w:t>körültekintően</w:t>
      </w:r>
      <w:r w:rsidRPr="00BA5943">
        <w:rPr>
          <w:szCs w:val="22"/>
          <w:lang w:val="hu-HU"/>
        </w:rPr>
        <w:t xml:space="preserve"> </w:t>
      </w:r>
      <w:r>
        <w:rPr>
          <w:szCs w:val="22"/>
          <w:lang w:val="hu-HU"/>
        </w:rPr>
        <w:t>kell alkalmazni</w:t>
      </w:r>
      <w:r w:rsidRPr="00BA5943">
        <w:rPr>
          <w:szCs w:val="22"/>
          <w:lang w:val="hu-HU"/>
        </w:rPr>
        <w:t xml:space="preserve"> az alábbi gyógyszerekkel való kombinációkban</w:t>
      </w:r>
      <w:r w:rsidR="002A4C6E" w:rsidRPr="00082FCB">
        <w:rPr>
          <w:color w:val="000000"/>
          <w:szCs w:val="22"/>
          <w:lang w:val="hu-HU"/>
        </w:rPr>
        <w:t>:</w:t>
      </w:r>
    </w:p>
    <w:p w14:paraId="455C90BF" w14:textId="1F2323B5" w:rsidR="00060CD0" w:rsidRPr="00ED50E8" w:rsidRDefault="00060CD0" w:rsidP="00ED50E8">
      <w:pPr>
        <w:pStyle w:val="Listaszerbekezds"/>
        <w:numPr>
          <w:ilvl w:val="0"/>
          <w:numId w:val="42"/>
        </w:numPr>
        <w:spacing w:line="240" w:lineRule="auto"/>
        <w:ind w:left="540" w:hanging="540"/>
        <w:rPr>
          <w:color w:val="000000"/>
          <w:szCs w:val="22"/>
          <w:lang w:val="hu-HU"/>
        </w:rPr>
      </w:pPr>
      <w:r w:rsidRPr="00ED50E8">
        <w:rPr>
          <w:color w:val="000000"/>
          <w:szCs w:val="22"/>
          <w:lang w:val="hu-HU"/>
        </w:rPr>
        <w:t>acetilszalicilsav (napi 75 mg alatt</w:t>
      </w:r>
      <w:r w:rsidRPr="00467DBA">
        <w:rPr>
          <w:color w:val="000000"/>
          <w:szCs w:val="22"/>
          <w:lang w:val="hu-HU"/>
        </w:rPr>
        <w:t>i mennyiségben</w:t>
      </w:r>
      <w:r w:rsidRPr="00ED50E8">
        <w:rPr>
          <w:color w:val="000000"/>
          <w:szCs w:val="22"/>
          <w:lang w:val="hu-HU"/>
        </w:rPr>
        <w:t xml:space="preserve">): </w:t>
      </w:r>
      <w:r w:rsidR="00467DBA" w:rsidRPr="00467DBA">
        <w:rPr>
          <w:color w:val="000000"/>
          <w:szCs w:val="22"/>
          <w:lang w:val="hu-HU"/>
        </w:rPr>
        <w:t>kísérleti adatok arra utalnak, hogy az ibuprofén kompetitíven gátolhatja az alacsony dózisú acetilszalicilsav trombocita-aggregációra gyakorolt hatását, ha egyidejűleg alkalmazzák őket.</w:t>
      </w:r>
      <w:r w:rsidR="00467DBA" w:rsidRPr="00ED50E8">
        <w:rPr>
          <w:lang w:val="hu-HU"/>
        </w:rPr>
        <w:t xml:space="preserve"> </w:t>
      </w:r>
      <w:r w:rsidR="00467DBA" w:rsidRPr="00467DBA">
        <w:rPr>
          <w:color w:val="000000"/>
          <w:szCs w:val="22"/>
          <w:lang w:val="hu-HU"/>
        </w:rPr>
        <w:t>Bár bizonytalanságok vannak eze</w:t>
      </w:r>
      <w:r w:rsidR="00087739">
        <w:rPr>
          <w:color w:val="000000"/>
          <w:szCs w:val="22"/>
          <w:lang w:val="hu-HU"/>
        </w:rPr>
        <w:t>knek az</w:t>
      </w:r>
      <w:r w:rsidR="00467DBA" w:rsidRPr="00467DBA">
        <w:rPr>
          <w:color w:val="000000"/>
          <w:szCs w:val="22"/>
          <w:lang w:val="hu-HU"/>
        </w:rPr>
        <w:t xml:space="preserve"> adatok</w:t>
      </w:r>
      <w:r w:rsidR="00087739">
        <w:rPr>
          <w:color w:val="000000"/>
          <w:szCs w:val="22"/>
          <w:lang w:val="hu-HU"/>
        </w:rPr>
        <w:t>nak a</w:t>
      </w:r>
      <w:r w:rsidR="00467DBA" w:rsidRPr="00467DBA">
        <w:rPr>
          <w:color w:val="000000"/>
          <w:szCs w:val="22"/>
          <w:lang w:val="hu-HU"/>
        </w:rPr>
        <w:t xml:space="preserve"> klinikai helyzetre való extrapolá</w:t>
      </w:r>
      <w:r w:rsidR="00087739">
        <w:rPr>
          <w:color w:val="000000"/>
          <w:szCs w:val="22"/>
          <w:lang w:val="hu-HU"/>
        </w:rPr>
        <w:t>lásával kapcsolatban,</w:t>
      </w:r>
      <w:r w:rsidR="00467DBA" w:rsidRPr="00467DBA">
        <w:rPr>
          <w:color w:val="000000"/>
          <w:szCs w:val="22"/>
          <w:lang w:val="hu-HU"/>
        </w:rPr>
        <w:t xml:space="preserve"> nem zárható ki annak lehetősége, hogy az ibuprofén rendszeres, hosszú távú alkalmazása csökkentheti az alacsony dózisú acetilszalicilsav kardioprotektív hatását. Alkalmi ibuprofén-használat esetén klinikailag releváns hatás nem valószínűsíthető (lásd 5.1. pont).</w:t>
      </w:r>
    </w:p>
    <w:p w14:paraId="18E657ED" w14:textId="06E96EC6" w:rsidR="002A4C6E" w:rsidRPr="00082FCB" w:rsidRDefault="00643609" w:rsidP="006475B4">
      <w:pPr>
        <w:numPr>
          <w:ilvl w:val="0"/>
          <w:numId w:val="38"/>
        </w:numPr>
        <w:spacing w:line="240" w:lineRule="auto"/>
        <w:ind w:left="567" w:hanging="567"/>
        <w:rPr>
          <w:color w:val="000000"/>
          <w:szCs w:val="22"/>
          <w:lang w:val="hu-HU"/>
        </w:rPr>
      </w:pPr>
      <w:r w:rsidRPr="00BA5943">
        <w:rPr>
          <w:szCs w:val="22"/>
          <w:lang w:val="hu-HU"/>
        </w:rPr>
        <w:t>antikoagulánsok: az NSAID-ok fokozhatják az antikoagulánsok (például a warfarin) hatásait (lásd 4.4 pont)</w:t>
      </w:r>
      <w:r w:rsidR="002A4C6E" w:rsidRPr="00082FCB">
        <w:rPr>
          <w:color w:val="000000"/>
          <w:szCs w:val="22"/>
          <w:lang w:val="hu-HU"/>
        </w:rPr>
        <w:t>.</w:t>
      </w:r>
    </w:p>
    <w:p w14:paraId="57C7D38C" w14:textId="254FF37F" w:rsidR="002A4C6E" w:rsidRPr="00082FCB" w:rsidRDefault="00F424A1" w:rsidP="006475B4">
      <w:pPr>
        <w:numPr>
          <w:ilvl w:val="0"/>
          <w:numId w:val="38"/>
        </w:numPr>
        <w:spacing w:line="240" w:lineRule="auto"/>
        <w:ind w:left="567" w:hanging="567"/>
        <w:rPr>
          <w:color w:val="000000"/>
          <w:szCs w:val="22"/>
          <w:lang w:val="hu-HU"/>
        </w:rPr>
      </w:pPr>
      <w:r w:rsidRPr="00BA5943">
        <w:rPr>
          <w:szCs w:val="22"/>
          <w:lang w:val="hu-HU"/>
        </w:rPr>
        <w:t>vérnyomáscsökkentők (ACE-gátlók és angiotenzin II</w:t>
      </w:r>
      <w:r w:rsidR="00A97728">
        <w:rPr>
          <w:szCs w:val="22"/>
          <w:lang w:val="hu-HU"/>
        </w:rPr>
        <w:t>-</w:t>
      </w:r>
      <w:r w:rsidRPr="00BA5943">
        <w:rPr>
          <w:szCs w:val="22"/>
          <w:lang w:val="hu-HU"/>
        </w:rPr>
        <w:t>antagonisták), illetve diuretikumok: az NSAID-ok csökkenthetik e gyógyszerek hatásait. Néhány vesekárosodásban szenvedő betegben (például dehidrált vagy idős, vesekárosodásban szenvedő beteg) az ACE-gátlók vagy az angiotenzin II</w:t>
      </w:r>
      <w:r w:rsidR="00A97728">
        <w:rPr>
          <w:szCs w:val="22"/>
          <w:lang w:val="hu-HU"/>
        </w:rPr>
        <w:t>-</w:t>
      </w:r>
      <w:r w:rsidRPr="00BA5943">
        <w:rPr>
          <w:szCs w:val="22"/>
          <w:lang w:val="hu-HU"/>
        </w:rPr>
        <w:t>antagonisták ciklooxigenáz enzimet gátló gyógyszerekkel történő együttadása a vesefunkció további romlását eredményezheti, beleértve az esetleges akut veseelégtelenséget, amely rendszerint reverzíbilis. Ezeket a kölcsönhatásokat figyelembe kell venni olyan betegeknél, akik koxibokat szednek egyidejűleg ACE-gátlókkal vagy angiotenzin II</w:t>
      </w:r>
      <w:r w:rsidR="00A97728">
        <w:rPr>
          <w:szCs w:val="22"/>
          <w:lang w:val="hu-HU"/>
        </w:rPr>
        <w:t>-</w:t>
      </w:r>
      <w:r w:rsidRPr="00BA5943">
        <w:rPr>
          <w:szCs w:val="22"/>
          <w:lang w:val="hu-HU"/>
        </w:rPr>
        <w:t xml:space="preserve">antagonistákkal. Ezért az ilyen kombinációt </w:t>
      </w:r>
      <w:r>
        <w:rPr>
          <w:szCs w:val="22"/>
          <w:lang w:val="hu-HU"/>
        </w:rPr>
        <w:t>körültekintően</w:t>
      </w:r>
      <w:r w:rsidRPr="00BA5943">
        <w:rPr>
          <w:szCs w:val="22"/>
          <w:lang w:val="hu-HU"/>
        </w:rPr>
        <w:t xml:space="preserve"> kell adni, különösen időseknek. A betegeket megfelelően kell hidr</w:t>
      </w:r>
      <w:r w:rsidR="00431932">
        <w:rPr>
          <w:szCs w:val="22"/>
          <w:lang w:val="hu-HU"/>
        </w:rPr>
        <w:t>at</w:t>
      </w:r>
      <w:r w:rsidRPr="00BA5943">
        <w:rPr>
          <w:szCs w:val="22"/>
          <w:lang w:val="hu-HU"/>
        </w:rPr>
        <w:t>álni és figyelmet kell fordítani a vesefunkció monitorozására az egyidejű kezelés megkezdése után, majd azt követően rendszeresen. A diuretikumok fokozhatják az NSAID-ok nephrotoxicitását</w:t>
      </w:r>
      <w:r w:rsidR="002A4C6E" w:rsidRPr="00082FCB">
        <w:rPr>
          <w:color w:val="000000"/>
          <w:szCs w:val="22"/>
          <w:lang w:val="hu-HU"/>
        </w:rPr>
        <w:t>.</w:t>
      </w:r>
    </w:p>
    <w:p w14:paraId="280B8165" w14:textId="6BFFA98F" w:rsidR="002A4C6E" w:rsidRPr="00082FCB" w:rsidRDefault="00F424A1" w:rsidP="006475B4">
      <w:pPr>
        <w:numPr>
          <w:ilvl w:val="0"/>
          <w:numId w:val="38"/>
        </w:numPr>
        <w:spacing w:line="240" w:lineRule="auto"/>
        <w:ind w:left="567" w:hanging="567"/>
        <w:rPr>
          <w:color w:val="000000"/>
          <w:szCs w:val="22"/>
          <w:lang w:val="hu-HU"/>
        </w:rPr>
      </w:pPr>
      <w:r w:rsidRPr="00BA5943">
        <w:rPr>
          <w:szCs w:val="22"/>
          <w:lang w:val="hu-HU"/>
        </w:rPr>
        <w:t>vérlemezke-aggregációt gátló gyógyszerek és szelektív szerotoninvisszavétel-gátlók (SSRI-k): a gastrointestinalis vérzés fokozott kockázata (lásd 4.4 pont)</w:t>
      </w:r>
      <w:r w:rsidR="002A4C6E" w:rsidRPr="00082FCB">
        <w:rPr>
          <w:color w:val="000000"/>
          <w:szCs w:val="22"/>
          <w:lang w:val="hu-HU"/>
        </w:rPr>
        <w:t>.</w:t>
      </w:r>
    </w:p>
    <w:p w14:paraId="5C6FC9DE" w14:textId="7239AFC9"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szívglikozidok: az NSAID-ok súlyosbíthatják a szívelégtelenséget, csökkenthetik a GFR-t és növelhetik a plazma glikozidszintet</w:t>
      </w:r>
      <w:r w:rsidR="002A4C6E" w:rsidRPr="00082FCB">
        <w:rPr>
          <w:color w:val="000000"/>
          <w:szCs w:val="22"/>
          <w:lang w:val="hu-HU"/>
        </w:rPr>
        <w:t>.</w:t>
      </w:r>
    </w:p>
    <w:p w14:paraId="47A0431B" w14:textId="3D56E0D6"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ciklosporin: nő a nefrotoxicitás kockázata</w:t>
      </w:r>
      <w:r w:rsidR="002A4C6E" w:rsidRPr="00082FCB">
        <w:rPr>
          <w:color w:val="000000"/>
          <w:szCs w:val="22"/>
          <w:lang w:val="hu-HU"/>
        </w:rPr>
        <w:t>.</w:t>
      </w:r>
    </w:p>
    <w:p w14:paraId="6A3B4D81" w14:textId="7CB5A240"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kortikoszteroidok: a gastrointestinalis fekélyesedés vagy vérzés kockázata emelkedik (lásd 4.4 pont</w:t>
      </w:r>
      <w:r w:rsidR="002A4C6E" w:rsidRPr="00082FCB">
        <w:rPr>
          <w:color w:val="000000"/>
          <w:szCs w:val="22"/>
          <w:lang w:val="hu-HU"/>
        </w:rPr>
        <w:t>).</w:t>
      </w:r>
    </w:p>
    <w:p w14:paraId="001940E2" w14:textId="4C9C6174"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lítium: a lítium eliminációja csökken</w:t>
      </w:r>
      <w:r w:rsidR="002A4C6E" w:rsidRPr="00082FCB">
        <w:rPr>
          <w:color w:val="000000"/>
          <w:szCs w:val="22"/>
          <w:lang w:val="hu-HU"/>
        </w:rPr>
        <w:t>.</w:t>
      </w:r>
    </w:p>
    <w:p w14:paraId="63DACA9B" w14:textId="1958B92A"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metotrexát: a metotrexát eliminációja csökken</w:t>
      </w:r>
      <w:r w:rsidR="002A4C6E" w:rsidRPr="00082FCB">
        <w:rPr>
          <w:color w:val="000000"/>
          <w:szCs w:val="22"/>
          <w:lang w:val="hu-HU"/>
        </w:rPr>
        <w:t>.</w:t>
      </w:r>
    </w:p>
    <w:p w14:paraId="5B9B9877" w14:textId="4732D2C1"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mifepriszton: az NSAID-ok 8-12 napon át nem alkalmazhatók a mifepriszton alkalmazását követően, mivel az NSAID-ok csökkenthetik a mifepriszton hatását</w:t>
      </w:r>
      <w:r w:rsidR="002A4C6E" w:rsidRPr="00082FCB">
        <w:rPr>
          <w:color w:val="000000"/>
          <w:szCs w:val="22"/>
          <w:lang w:val="hu-HU"/>
        </w:rPr>
        <w:t>.</w:t>
      </w:r>
    </w:p>
    <w:p w14:paraId="7B34F3E1" w14:textId="4064CC5C"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kinolon antibiotikumok: állatkísérletes adatok jelzik, hogy az NSAID-ok növelhetik a kinolon antibiotikumokkal összefüggő görcs</w:t>
      </w:r>
      <w:r w:rsidR="00242477">
        <w:rPr>
          <w:szCs w:val="22"/>
          <w:lang w:val="hu-HU"/>
        </w:rPr>
        <w:t>rohamo</w:t>
      </w:r>
      <w:r w:rsidRPr="00BA5943">
        <w:rPr>
          <w:szCs w:val="22"/>
          <w:lang w:val="hu-HU"/>
        </w:rPr>
        <w:t>k kockázatát. Az NSAID-ot és kinolont szedő betegeknél fokozódhat a görcs</w:t>
      </w:r>
      <w:r w:rsidR="00242477">
        <w:rPr>
          <w:szCs w:val="22"/>
          <w:lang w:val="hu-HU"/>
        </w:rPr>
        <w:t>rohamo</w:t>
      </w:r>
      <w:r w:rsidRPr="00BA5943">
        <w:rPr>
          <w:szCs w:val="22"/>
          <w:lang w:val="hu-HU"/>
        </w:rPr>
        <w:t>k kialakulásának a kockázata</w:t>
      </w:r>
      <w:r w:rsidR="002A4C6E" w:rsidRPr="00082FCB">
        <w:rPr>
          <w:color w:val="000000"/>
          <w:szCs w:val="22"/>
          <w:lang w:val="hu-HU"/>
        </w:rPr>
        <w:t>.</w:t>
      </w:r>
    </w:p>
    <w:p w14:paraId="397CF919" w14:textId="5F7F87B1" w:rsidR="002A4C6E" w:rsidRPr="00082FCB" w:rsidRDefault="00D800DA" w:rsidP="006475B4">
      <w:pPr>
        <w:numPr>
          <w:ilvl w:val="0"/>
          <w:numId w:val="38"/>
        </w:numPr>
        <w:spacing w:line="240" w:lineRule="auto"/>
        <w:ind w:left="567" w:hanging="567"/>
        <w:rPr>
          <w:color w:val="000000"/>
          <w:szCs w:val="22"/>
          <w:lang w:val="hu-HU"/>
        </w:rPr>
      </w:pPr>
      <w:r w:rsidRPr="00BA5943">
        <w:rPr>
          <w:szCs w:val="22"/>
          <w:lang w:val="hu-HU"/>
        </w:rPr>
        <w:t>takrolimusz: a nephrotoxicitás kockázata nőhet, ha NSAID-ot adnak egyidejűleg takrolimusszal</w:t>
      </w:r>
      <w:r w:rsidR="002A4C6E" w:rsidRPr="00082FCB">
        <w:rPr>
          <w:color w:val="000000"/>
          <w:szCs w:val="22"/>
          <w:lang w:val="hu-HU"/>
        </w:rPr>
        <w:t>.</w:t>
      </w:r>
    </w:p>
    <w:p w14:paraId="0A6CFF63" w14:textId="7F782873" w:rsidR="002A4C6E" w:rsidRDefault="00D800DA" w:rsidP="006475B4">
      <w:pPr>
        <w:numPr>
          <w:ilvl w:val="0"/>
          <w:numId w:val="38"/>
        </w:numPr>
        <w:spacing w:line="240" w:lineRule="auto"/>
        <w:ind w:left="567" w:hanging="567"/>
        <w:rPr>
          <w:color w:val="000000"/>
          <w:szCs w:val="22"/>
          <w:lang w:val="hu-HU"/>
        </w:rPr>
      </w:pPr>
      <w:r w:rsidRPr="00BA5943">
        <w:rPr>
          <w:szCs w:val="22"/>
          <w:lang w:val="hu-HU"/>
        </w:rPr>
        <w:t>zidovudin: az NSAID-k és a zidovudin egyidejű alkalmazása esetén fokozódik a hematol</w:t>
      </w:r>
      <w:r w:rsidR="00AC2D4E">
        <w:rPr>
          <w:szCs w:val="22"/>
          <w:lang w:val="hu-HU"/>
        </w:rPr>
        <w:t>ó</w:t>
      </w:r>
      <w:r w:rsidRPr="00BA5943">
        <w:rPr>
          <w:szCs w:val="22"/>
          <w:lang w:val="hu-HU"/>
        </w:rPr>
        <w:t>giai toxicitás kockázata. HIV</w:t>
      </w:r>
      <w:r w:rsidR="00AC2D4E">
        <w:rPr>
          <w:szCs w:val="22"/>
          <w:lang w:val="hu-HU"/>
        </w:rPr>
        <w:t>-fertőzött</w:t>
      </w:r>
      <w:r w:rsidRPr="00BA5943">
        <w:rPr>
          <w:szCs w:val="22"/>
          <w:lang w:val="hu-HU"/>
        </w:rPr>
        <w:t xml:space="preserve"> haemophiliásoknál bizonyíték áll rendelkezésre arról, hogy a zidovudin és az ibuprofén egyidejű alkalmazása fokozza a haemarthrosisok és a haematoma kockázatát</w:t>
      </w:r>
      <w:r w:rsidR="002A4C6E" w:rsidRPr="00082FCB">
        <w:rPr>
          <w:color w:val="000000"/>
          <w:szCs w:val="22"/>
          <w:lang w:val="hu-HU"/>
        </w:rPr>
        <w:t>.</w:t>
      </w:r>
    </w:p>
    <w:p w14:paraId="480926DB" w14:textId="1716CBC1" w:rsidR="00060CD0" w:rsidRPr="00082FCB" w:rsidRDefault="00060CD0" w:rsidP="006475B4">
      <w:pPr>
        <w:numPr>
          <w:ilvl w:val="0"/>
          <w:numId w:val="38"/>
        </w:numPr>
        <w:spacing w:line="240" w:lineRule="auto"/>
        <w:ind w:left="567" w:hanging="567"/>
        <w:rPr>
          <w:color w:val="000000"/>
          <w:szCs w:val="22"/>
          <w:lang w:val="hu-HU"/>
        </w:rPr>
      </w:pPr>
      <w:r w:rsidRPr="00060CD0">
        <w:rPr>
          <w:color w:val="000000"/>
          <w:szCs w:val="22"/>
          <w:lang w:val="hu-HU"/>
        </w:rPr>
        <w:t>ibuprof</w:t>
      </w:r>
      <w:r>
        <w:rPr>
          <w:color w:val="000000"/>
          <w:szCs w:val="22"/>
          <w:lang w:val="hu-HU"/>
        </w:rPr>
        <w:t>é</w:t>
      </w:r>
      <w:r w:rsidRPr="00060CD0">
        <w:rPr>
          <w:color w:val="000000"/>
          <w:szCs w:val="22"/>
          <w:lang w:val="hu-HU"/>
        </w:rPr>
        <w:t xml:space="preserve">nt tartalmazó egyéb </w:t>
      </w:r>
      <w:r w:rsidR="00B30FA4">
        <w:rPr>
          <w:color w:val="000000"/>
          <w:szCs w:val="22"/>
          <w:lang w:val="hu-HU"/>
        </w:rPr>
        <w:t>gyógyszerek, a</w:t>
      </w:r>
      <w:r w:rsidRPr="00060CD0">
        <w:rPr>
          <w:color w:val="000000"/>
          <w:szCs w:val="22"/>
          <w:lang w:val="hu-HU"/>
        </w:rPr>
        <w:t xml:space="preserve"> túladagolás kockázata</w:t>
      </w:r>
      <w:r w:rsidR="00B30FA4">
        <w:rPr>
          <w:color w:val="000000"/>
          <w:szCs w:val="22"/>
          <w:lang w:val="hu-HU"/>
        </w:rPr>
        <w:t xml:space="preserve"> miatt</w:t>
      </w:r>
      <w:r w:rsidRPr="00060CD0">
        <w:rPr>
          <w:color w:val="000000"/>
          <w:szCs w:val="22"/>
          <w:lang w:val="hu-HU"/>
        </w:rPr>
        <w:t>.</w:t>
      </w:r>
    </w:p>
    <w:p w14:paraId="5F2E8199" w14:textId="77777777" w:rsidR="001D29E6" w:rsidRPr="00082FCB" w:rsidRDefault="001D29E6" w:rsidP="006475B4">
      <w:pPr>
        <w:spacing w:line="240" w:lineRule="auto"/>
        <w:rPr>
          <w:szCs w:val="22"/>
          <w:lang w:val="hu-HU"/>
        </w:rPr>
      </w:pPr>
    </w:p>
    <w:p w14:paraId="162EAD6A" w14:textId="2A395C99" w:rsidR="001D29E6" w:rsidRPr="00082FCB" w:rsidRDefault="001D29E6" w:rsidP="006475B4">
      <w:pPr>
        <w:spacing w:line="240" w:lineRule="auto"/>
        <w:ind w:left="567" w:hanging="567"/>
        <w:rPr>
          <w:szCs w:val="22"/>
          <w:lang w:val="hu-HU"/>
        </w:rPr>
      </w:pPr>
      <w:r w:rsidRPr="00082FCB">
        <w:rPr>
          <w:b/>
          <w:szCs w:val="22"/>
          <w:lang w:val="hu-HU"/>
        </w:rPr>
        <w:t>4.6</w:t>
      </w:r>
      <w:r w:rsidRPr="00082FCB">
        <w:rPr>
          <w:b/>
          <w:szCs w:val="22"/>
          <w:lang w:val="hu-HU"/>
        </w:rPr>
        <w:tab/>
      </w:r>
      <w:r w:rsidR="00D800DA" w:rsidRPr="00BA5943">
        <w:rPr>
          <w:b/>
          <w:szCs w:val="22"/>
          <w:lang w:val="hu-HU"/>
        </w:rPr>
        <w:t>Termékenység, terhesség és szoptatás</w:t>
      </w:r>
    </w:p>
    <w:p w14:paraId="17BF8564" w14:textId="77777777" w:rsidR="00C53ACC" w:rsidRPr="00082FCB" w:rsidRDefault="00C53ACC" w:rsidP="006475B4">
      <w:pPr>
        <w:spacing w:line="240" w:lineRule="auto"/>
        <w:rPr>
          <w:i/>
          <w:szCs w:val="22"/>
          <w:lang w:val="hu-HU"/>
        </w:rPr>
      </w:pPr>
    </w:p>
    <w:p w14:paraId="728669C6" w14:textId="77777777" w:rsidR="00D800DA" w:rsidRPr="00BA5943" w:rsidRDefault="00D800DA" w:rsidP="00D800DA">
      <w:pPr>
        <w:keepNext/>
        <w:spacing w:line="240" w:lineRule="auto"/>
        <w:rPr>
          <w:szCs w:val="22"/>
          <w:lang w:val="hu-HU"/>
        </w:rPr>
      </w:pPr>
      <w:r w:rsidRPr="00BA5943">
        <w:rPr>
          <w:szCs w:val="22"/>
          <w:u w:val="single"/>
          <w:lang w:val="hu-HU"/>
        </w:rPr>
        <w:t>Terhesség</w:t>
      </w:r>
    </w:p>
    <w:p w14:paraId="45317E4F" w14:textId="2DFDD7C6" w:rsidR="002A4C6E" w:rsidRPr="00082FCB" w:rsidRDefault="00D800DA" w:rsidP="006475B4">
      <w:pPr>
        <w:spacing w:line="240" w:lineRule="auto"/>
        <w:rPr>
          <w:color w:val="000000"/>
          <w:szCs w:val="22"/>
          <w:lang w:val="hu-HU"/>
        </w:rPr>
      </w:pPr>
      <w:r>
        <w:rPr>
          <w:color w:val="000000"/>
          <w:szCs w:val="22"/>
          <w:lang w:val="hu-HU"/>
        </w:rPr>
        <w:t xml:space="preserve">A gyógyszer </w:t>
      </w:r>
      <w:r w:rsidRPr="00BA5943">
        <w:rPr>
          <w:szCs w:val="22"/>
          <w:lang w:val="hu-HU"/>
        </w:rPr>
        <w:t>humán terhesség alatti alkalmazásáról nincs tapasztalat</w:t>
      </w:r>
      <w:r w:rsidR="002A4C6E" w:rsidRPr="00082FCB">
        <w:rPr>
          <w:color w:val="000000"/>
          <w:szCs w:val="22"/>
          <w:lang w:val="hu-HU"/>
        </w:rPr>
        <w:t>.</w:t>
      </w:r>
      <w:r w:rsidR="00551FBC">
        <w:rPr>
          <w:color w:val="000000"/>
          <w:szCs w:val="22"/>
          <w:lang w:val="hu-HU"/>
        </w:rPr>
        <w:t xml:space="preserve"> Az ibuprofén-tartalom miatt a készítmény ellenjavallt a terhesség harmadik trimeszterében </w:t>
      </w:r>
      <w:r w:rsidR="00551FBC" w:rsidRPr="00BA5943">
        <w:rPr>
          <w:szCs w:val="22"/>
          <w:lang w:val="hu-HU"/>
        </w:rPr>
        <w:t>(lásd 4.</w:t>
      </w:r>
      <w:r w:rsidR="00551FBC">
        <w:rPr>
          <w:szCs w:val="22"/>
          <w:lang w:val="hu-HU"/>
        </w:rPr>
        <w:t>3 és 5.3</w:t>
      </w:r>
      <w:r w:rsidR="00551FBC" w:rsidRPr="00BA5943">
        <w:rPr>
          <w:szCs w:val="22"/>
          <w:lang w:val="hu-HU"/>
        </w:rPr>
        <w:t xml:space="preserve"> pont</w:t>
      </w:r>
      <w:r w:rsidR="00551FBC">
        <w:rPr>
          <w:szCs w:val="22"/>
          <w:lang w:val="hu-HU"/>
        </w:rPr>
        <w:t>ok</w:t>
      </w:r>
      <w:r w:rsidR="00551FBC" w:rsidRPr="00BA5943">
        <w:rPr>
          <w:szCs w:val="22"/>
          <w:lang w:val="hu-HU"/>
        </w:rPr>
        <w:t>)</w:t>
      </w:r>
      <w:r w:rsidR="00551FBC" w:rsidRPr="00082FCB">
        <w:rPr>
          <w:color w:val="000000"/>
          <w:szCs w:val="22"/>
          <w:lang w:val="hu-HU"/>
        </w:rPr>
        <w:t>.</w:t>
      </w:r>
    </w:p>
    <w:p w14:paraId="572ADDE8" w14:textId="77777777" w:rsidR="00D14F20" w:rsidRPr="00082FCB" w:rsidRDefault="00D14F20" w:rsidP="006475B4">
      <w:pPr>
        <w:spacing w:line="240" w:lineRule="auto"/>
        <w:rPr>
          <w:color w:val="000000"/>
          <w:szCs w:val="22"/>
          <w:u w:val="single"/>
          <w:lang w:val="hu-HU"/>
        </w:rPr>
      </w:pPr>
    </w:p>
    <w:p w14:paraId="439BDA93" w14:textId="33BF9103" w:rsidR="00B16C01" w:rsidRPr="00082FCB" w:rsidRDefault="00D14F20" w:rsidP="006475B4">
      <w:pPr>
        <w:spacing w:line="240" w:lineRule="auto"/>
        <w:rPr>
          <w:color w:val="000000"/>
          <w:szCs w:val="22"/>
          <w:lang w:val="hu-HU"/>
        </w:rPr>
      </w:pPr>
      <w:r w:rsidRPr="00082FCB">
        <w:rPr>
          <w:color w:val="000000"/>
          <w:szCs w:val="22"/>
          <w:lang w:val="hu-HU"/>
        </w:rPr>
        <w:t>Paracetamol</w:t>
      </w:r>
    </w:p>
    <w:p w14:paraId="160FAC65" w14:textId="6093737E" w:rsidR="00B30FA4" w:rsidRDefault="00496D3B" w:rsidP="006475B4">
      <w:pPr>
        <w:spacing w:line="240" w:lineRule="auto"/>
        <w:rPr>
          <w:szCs w:val="22"/>
          <w:lang w:val="hu-HU"/>
        </w:rPr>
      </w:pPr>
      <w:r w:rsidRPr="00496D3B">
        <w:rPr>
          <w:szCs w:val="22"/>
          <w:lang w:val="hu-HU"/>
        </w:rPr>
        <w:t>A terhes nők</w:t>
      </w:r>
      <w:r>
        <w:rPr>
          <w:szCs w:val="22"/>
          <w:lang w:val="hu-HU"/>
        </w:rPr>
        <w:t>re vonatkozó</w:t>
      </w:r>
      <w:r w:rsidRPr="00496D3B">
        <w:rPr>
          <w:szCs w:val="22"/>
          <w:lang w:val="hu-HU"/>
        </w:rPr>
        <w:t xml:space="preserve"> nagy mennyiségű adat nem utal sem malformatív, sem magzati/újszülött toxicitásra</w:t>
      </w:r>
      <w:r>
        <w:rPr>
          <w:szCs w:val="22"/>
          <w:lang w:val="hu-HU"/>
        </w:rPr>
        <w:t xml:space="preserve">. </w:t>
      </w:r>
      <w:r w:rsidRPr="00496D3B">
        <w:rPr>
          <w:szCs w:val="22"/>
          <w:lang w:val="hu-HU"/>
        </w:rPr>
        <w:t>Az in utero paracetamol</w:t>
      </w:r>
      <w:r>
        <w:rPr>
          <w:szCs w:val="22"/>
          <w:lang w:val="hu-HU"/>
        </w:rPr>
        <w:t>nak</w:t>
      </w:r>
      <w:r w:rsidRPr="00496D3B">
        <w:rPr>
          <w:szCs w:val="22"/>
          <w:lang w:val="hu-HU"/>
        </w:rPr>
        <w:t xml:space="preserve"> kitett gyermekek neurológiai fejlődésével kapcsolatos epidemiológiai tanulmányok nem </w:t>
      </w:r>
      <w:r>
        <w:rPr>
          <w:szCs w:val="22"/>
          <w:lang w:val="hu-HU"/>
        </w:rPr>
        <w:t xml:space="preserve">mutattak ki </w:t>
      </w:r>
      <w:r w:rsidRPr="00496D3B">
        <w:rPr>
          <w:szCs w:val="22"/>
          <w:lang w:val="hu-HU"/>
        </w:rPr>
        <w:t>egyértelmű eredményeket.</w:t>
      </w:r>
      <w:r>
        <w:rPr>
          <w:szCs w:val="22"/>
          <w:lang w:val="hu-HU"/>
        </w:rPr>
        <w:t xml:space="preserve"> Amennyiben</w:t>
      </w:r>
      <w:r w:rsidRPr="00496D3B">
        <w:rPr>
          <w:szCs w:val="22"/>
          <w:lang w:val="hu-HU"/>
        </w:rPr>
        <w:t xml:space="preserve"> klinikailag </w:t>
      </w:r>
      <w:r>
        <w:rPr>
          <w:szCs w:val="22"/>
          <w:lang w:val="hu-HU"/>
        </w:rPr>
        <w:t>indokolt</w:t>
      </w:r>
      <w:r w:rsidRPr="00496D3B">
        <w:rPr>
          <w:szCs w:val="22"/>
          <w:lang w:val="hu-HU"/>
        </w:rPr>
        <w:t>, a paracetamol</w:t>
      </w:r>
      <w:r>
        <w:rPr>
          <w:szCs w:val="22"/>
          <w:lang w:val="hu-HU"/>
        </w:rPr>
        <w:t>t</w:t>
      </w:r>
      <w:r w:rsidRPr="00496D3B">
        <w:rPr>
          <w:szCs w:val="22"/>
          <w:lang w:val="hu-HU"/>
        </w:rPr>
        <w:t xml:space="preserve"> terhesség alatt a lehető legalacsonyabb </w:t>
      </w:r>
      <w:r w:rsidR="00B30FA4">
        <w:rPr>
          <w:szCs w:val="22"/>
          <w:lang w:val="hu-HU"/>
        </w:rPr>
        <w:t>hatásos</w:t>
      </w:r>
      <w:r w:rsidRPr="00496D3B">
        <w:rPr>
          <w:szCs w:val="22"/>
          <w:lang w:val="hu-HU"/>
        </w:rPr>
        <w:t xml:space="preserve"> </w:t>
      </w:r>
      <w:r>
        <w:rPr>
          <w:szCs w:val="22"/>
          <w:lang w:val="hu-HU"/>
        </w:rPr>
        <w:t>dózisban</w:t>
      </w:r>
      <w:r w:rsidRPr="00496D3B">
        <w:rPr>
          <w:szCs w:val="22"/>
          <w:lang w:val="hu-HU"/>
        </w:rPr>
        <w:t xml:space="preserve">, a lehető legrövidebb ideig és a lehető legalacsonyabb gyakorisággal </w:t>
      </w:r>
      <w:r>
        <w:rPr>
          <w:szCs w:val="22"/>
          <w:lang w:val="hu-HU"/>
        </w:rPr>
        <w:t xml:space="preserve">szükséges </w:t>
      </w:r>
      <w:r w:rsidRPr="00496D3B">
        <w:rPr>
          <w:szCs w:val="22"/>
          <w:lang w:val="hu-HU"/>
        </w:rPr>
        <w:t>alkalmazni</w:t>
      </w:r>
      <w:r>
        <w:rPr>
          <w:szCs w:val="22"/>
          <w:lang w:val="hu-HU"/>
        </w:rPr>
        <w:t>.</w:t>
      </w:r>
    </w:p>
    <w:p w14:paraId="55458179" w14:textId="5EA43D6A" w:rsidR="002A4C6E" w:rsidRPr="00082FCB" w:rsidRDefault="002A4C6E" w:rsidP="006475B4">
      <w:pPr>
        <w:spacing w:line="240" w:lineRule="auto"/>
        <w:rPr>
          <w:color w:val="000000"/>
          <w:szCs w:val="22"/>
          <w:lang w:val="hu-HU"/>
        </w:rPr>
      </w:pPr>
    </w:p>
    <w:p w14:paraId="755F37A1" w14:textId="0A311386" w:rsidR="002A4C6E" w:rsidRPr="00082FCB" w:rsidRDefault="00D14F20" w:rsidP="006475B4">
      <w:pPr>
        <w:spacing w:line="240" w:lineRule="auto"/>
        <w:rPr>
          <w:color w:val="000000"/>
          <w:szCs w:val="22"/>
          <w:lang w:val="hu-HU"/>
        </w:rPr>
      </w:pPr>
      <w:r w:rsidRPr="00082FCB">
        <w:rPr>
          <w:color w:val="000000"/>
          <w:szCs w:val="22"/>
          <w:lang w:val="hu-HU"/>
        </w:rPr>
        <w:t>Ibuprof</w:t>
      </w:r>
      <w:r w:rsidR="00AA7AB1">
        <w:rPr>
          <w:color w:val="000000"/>
          <w:szCs w:val="22"/>
          <w:lang w:val="hu-HU"/>
        </w:rPr>
        <w:t>é</w:t>
      </w:r>
      <w:r w:rsidRPr="00082FCB">
        <w:rPr>
          <w:color w:val="000000"/>
          <w:szCs w:val="22"/>
          <w:lang w:val="hu-HU"/>
        </w:rPr>
        <w:t>n</w:t>
      </w:r>
    </w:p>
    <w:p w14:paraId="4B6D9870" w14:textId="6559D21E" w:rsidR="00D14F20" w:rsidRPr="00082FCB" w:rsidRDefault="00AA7AB1" w:rsidP="001A0579">
      <w:pPr>
        <w:pStyle w:val="NormlWeb"/>
        <w:spacing w:after="0"/>
        <w:rPr>
          <w:color w:val="000000"/>
          <w:sz w:val="22"/>
          <w:szCs w:val="22"/>
          <w:lang w:val="hu-HU"/>
        </w:rPr>
      </w:pPr>
      <w:r w:rsidRPr="00AA7AB1">
        <w:rPr>
          <w:color w:val="000000"/>
          <w:sz w:val="22"/>
          <w:szCs w:val="22"/>
          <w:lang w:val="hu-HU"/>
        </w:rPr>
        <w:t>A prosztaglandinszintézis gátlása károsan befolyásolhatja a terhességet és/vagy az embryo/magzat fejlődését. Epidemiológiai vizsgálatokból származó adatok a vetélés és a cardialis malformatiók, valamint a gastroschisis fokozott kockázatára utalnak prosztaglandinszintézis-gátló terhesség korai szakaszában történő alkalmazása esetén. A cardiovascularis malformatio abszolút kockázata kevesebb, mint 1%-ról kb. 1,5%-ra emelkedett. Úgy tűnik, hogy a kockázat a dózis és a kezelés időtartamának emelkedésével fokozódik. Állatkísérletekben a prosztaglandinszintézis-gátló alkalmazása emelkedett pre- és postimplantációs veszteséget, valamint embryo-foetalis toxicitást eredményezett. Ezen felül a különböző malformatiók (köztük a cardiovascularis malformatiók) előfordulási gyakoriságának emelkedését jelentették olyan állatokban, amelyeknek az organogenesis időszakában prosztaglandin-szintézis-gátlót adtak</w:t>
      </w:r>
      <w:r w:rsidR="00D14F20" w:rsidRPr="00082FCB">
        <w:rPr>
          <w:color w:val="000000"/>
          <w:sz w:val="22"/>
          <w:szCs w:val="22"/>
          <w:lang w:val="hu-HU"/>
        </w:rPr>
        <w:t>.</w:t>
      </w:r>
    </w:p>
    <w:p w14:paraId="098D5E08" w14:textId="77777777" w:rsidR="00D14F20" w:rsidRPr="00082FCB" w:rsidRDefault="00D14F20" w:rsidP="00D14F20">
      <w:pPr>
        <w:pStyle w:val="NormlWeb"/>
        <w:spacing w:after="0"/>
        <w:rPr>
          <w:sz w:val="22"/>
          <w:szCs w:val="22"/>
          <w:lang w:val="hu-HU"/>
        </w:rPr>
      </w:pPr>
    </w:p>
    <w:p w14:paraId="467DD2E2" w14:textId="18CA93A8" w:rsidR="00D14F20" w:rsidRPr="00082FCB" w:rsidRDefault="00AA7AB1" w:rsidP="001A0579">
      <w:pPr>
        <w:pStyle w:val="NormlWeb"/>
        <w:spacing w:after="0"/>
        <w:rPr>
          <w:color w:val="000000"/>
          <w:sz w:val="22"/>
          <w:szCs w:val="22"/>
          <w:lang w:val="hu-HU"/>
        </w:rPr>
      </w:pPr>
      <w:r w:rsidRPr="00AA7AB1">
        <w:rPr>
          <w:sz w:val="22"/>
          <w:szCs w:val="22"/>
          <w:lang w:val="hu-HU"/>
        </w:rPr>
        <w:t xml:space="preserve">A terhesség 20. hetétől kezdődően az ibuprofén alkalmazása </w:t>
      </w:r>
      <w:r w:rsidR="003F50BB" w:rsidRPr="003F50BB">
        <w:rPr>
          <w:sz w:val="22"/>
          <w:szCs w:val="22"/>
          <w:lang w:val="hu-HU"/>
        </w:rPr>
        <w:t>a magzati veseműködési zavarból eredő oligohydramniont okozhat. Ez röviddel a kezelés megkezdése után jelentkezhet, és a kezelés abbahagyása után általában reverzibilis. Ezen felül – a második trimeszterben végzett kezelést követően – ductus arteriosus-szűkületről is beszámoltak, mely a legtöbb esetben a kezelés leállítása után helyreállt.</w:t>
      </w:r>
      <w:r w:rsidRPr="00AA7AB1">
        <w:rPr>
          <w:sz w:val="22"/>
          <w:szCs w:val="22"/>
          <w:lang w:val="hu-HU"/>
        </w:rPr>
        <w:t xml:space="preserve"> Ezért a terhesség első és második trimesztere alatt csak akkor adható ibuprofén, ha az egyértelműen szükséges. Ha gyermeket vállaló vagy a terhesség első, illetve második trimeszterében lévő nő szed ibuprofént, a dózisnak a lehető legalacsonyabbnak és a kezelés időtartamának a lehető legrövidebbnek kell lennie</w:t>
      </w:r>
      <w:r w:rsidR="00D14F20" w:rsidRPr="00082FCB">
        <w:rPr>
          <w:color w:val="000000"/>
          <w:sz w:val="22"/>
          <w:szCs w:val="22"/>
          <w:lang w:val="hu-HU"/>
        </w:rPr>
        <w:t>.</w:t>
      </w:r>
    </w:p>
    <w:p w14:paraId="7A8B9CF7" w14:textId="7406D5C4" w:rsidR="003F50BB" w:rsidRPr="003F50BB" w:rsidRDefault="003F50BB" w:rsidP="003F50BB">
      <w:pPr>
        <w:rPr>
          <w:szCs w:val="22"/>
          <w:lang w:val="hu-HU"/>
        </w:rPr>
      </w:pPr>
      <w:r w:rsidRPr="003F50BB">
        <w:rPr>
          <w:szCs w:val="22"/>
          <w:lang w:val="hu-HU"/>
        </w:rPr>
        <w:t>Megfontolandó az oligohydramnion és a ductus arteriosus</w:t>
      </w:r>
      <w:r>
        <w:rPr>
          <w:szCs w:val="22"/>
          <w:lang w:val="hu-HU"/>
        </w:rPr>
        <w:t>-</w:t>
      </w:r>
      <w:r w:rsidRPr="003F50BB">
        <w:rPr>
          <w:szCs w:val="22"/>
          <w:lang w:val="hu-HU"/>
        </w:rPr>
        <w:t>szűkület antenatalis monitorozása, ha</w:t>
      </w:r>
      <w:r>
        <w:rPr>
          <w:szCs w:val="22"/>
          <w:lang w:val="hu-HU"/>
        </w:rPr>
        <w:t xml:space="preserve"> az</w:t>
      </w:r>
      <w:r w:rsidR="00AA7AB1" w:rsidRPr="00AA7AB1">
        <w:rPr>
          <w:szCs w:val="22"/>
          <w:lang w:val="hu-HU"/>
        </w:rPr>
        <w:t xml:space="preserve"> ibuprofén-kezelés </w:t>
      </w:r>
      <w:r w:rsidRPr="003F50BB">
        <w:rPr>
          <w:szCs w:val="22"/>
          <w:lang w:val="hu-HU"/>
        </w:rPr>
        <w:t>a 20. terhességi héttől több napon át történt.</w:t>
      </w:r>
      <w:r w:rsidRPr="003F50BB" w:rsidDel="003F50BB">
        <w:rPr>
          <w:szCs w:val="22"/>
          <w:lang w:val="hu-HU"/>
        </w:rPr>
        <w:t xml:space="preserve"> </w:t>
      </w:r>
      <w:r>
        <w:rPr>
          <w:szCs w:val="22"/>
          <w:lang w:val="hu-HU"/>
        </w:rPr>
        <w:t xml:space="preserve">Az ibuprofén </w:t>
      </w:r>
      <w:r w:rsidRPr="003F50BB">
        <w:rPr>
          <w:szCs w:val="22"/>
          <w:lang w:val="hu-HU"/>
        </w:rPr>
        <w:t>alkalmazását abba kell hagyni oligohydramnion vagy ductus arteriosus-szűkület észlelése esetén.</w:t>
      </w:r>
    </w:p>
    <w:p w14:paraId="128F2A33" w14:textId="77777777" w:rsidR="00D14F20" w:rsidRPr="00082FCB" w:rsidRDefault="00D14F20" w:rsidP="003F50BB">
      <w:pPr>
        <w:pStyle w:val="Default"/>
        <w:rPr>
          <w:color w:val="000000"/>
          <w:sz w:val="22"/>
          <w:szCs w:val="22"/>
          <w:lang w:val="hu-HU"/>
        </w:rPr>
      </w:pPr>
    </w:p>
    <w:p w14:paraId="14E1D182" w14:textId="77777777" w:rsidR="003F50BB" w:rsidRPr="00ED50E8" w:rsidRDefault="003F50BB" w:rsidP="003F50BB">
      <w:pPr>
        <w:pStyle w:val="Default"/>
        <w:rPr>
          <w:rFonts w:eastAsia="SimSun"/>
          <w:snapToGrid w:val="0"/>
          <w:sz w:val="22"/>
          <w:szCs w:val="22"/>
          <w:lang w:val="hu-HU" w:eastAsia="zh-CN"/>
        </w:rPr>
      </w:pPr>
      <w:r w:rsidRPr="00ED50E8">
        <w:rPr>
          <w:rFonts w:eastAsia="SimSun"/>
          <w:snapToGrid w:val="0"/>
          <w:sz w:val="22"/>
          <w:szCs w:val="22"/>
          <w:lang w:val="hu-HU" w:eastAsia="zh-CN"/>
        </w:rPr>
        <w:t>A terhesség harmadik trimeszterében alkalmazott bármely prosztaglandinszintézis-gátló a következő hatásokat fejtheti ki a magzatra:</w:t>
      </w:r>
    </w:p>
    <w:p w14:paraId="362F26CB" w14:textId="77777777" w:rsidR="003F50BB" w:rsidRPr="00ED50E8" w:rsidRDefault="003F50BB" w:rsidP="003F50BB">
      <w:pPr>
        <w:pStyle w:val="Default"/>
        <w:rPr>
          <w:rFonts w:eastAsia="SimSun"/>
          <w:snapToGrid w:val="0"/>
          <w:sz w:val="22"/>
          <w:szCs w:val="22"/>
          <w:lang w:val="hu-HU" w:eastAsia="zh-CN"/>
        </w:rPr>
      </w:pPr>
    </w:p>
    <w:p w14:paraId="49F006EC" w14:textId="38D1B0E9" w:rsidR="003F50BB" w:rsidRPr="00ED50E8" w:rsidRDefault="003F50BB" w:rsidP="00ED50E8">
      <w:pPr>
        <w:pStyle w:val="Default"/>
        <w:numPr>
          <w:ilvl w:val="0"/>
          <w:numId w:val="41"/>
        </w:numPr>
        <w:rPr>
          <w:rFonts w:eastAsia="SimSun"/>
          <w:snapToGrid w:val="0"/>
          <w:sz w:val="22"/>
          <w:szCs w:val="22"/>
          <w:lang w:val="hu-HU" w:eastAsia="zh-CN"/>
        </w:rPr>
      </w:pPr>
      <w:r w:rsidRPr="00ED50E8">
        <w:rPr>
          <w:rFonts w:eastAsia="SimSun"/>
          <w:snapToGrid w:val="0"/>
          <w:sz w:val="22"/>
          <w:szCs w:val="22"/>
          <w:lang w:val="hu-HU" w:eastAsia="zh-CN"/>
        </w:rPr>
        <w:t>cardiopulmonalis toxicitás (a ductus arteriosus korai </w:t>
      </w:r>
      <w:r w:rsidRPr="00ED50E8">
        <w:rPr>
          <w:rFonts w:eastAsia="SimSun"/>
          <w:bCs/>
          <w:snapToGrid w:val="0"/>
          <w:sz w:val="22"/>
          <w:szCs w:val="22"/>
          <w:lang w:val="hu-HU" w:eastAsia="zh-CN"/>
        </w:rPr>
        <w:t>szűkületéhez</w:t>
      </w:r>
      <w:r w:rsidRPr="00ED50E8">
        <w:rPr>
          <w:rFonts w:eastAsia="SimSun"/>
          <w:snapToGrid w:val="0"/>
          <w:sz w:val="22"/>
          <w:szCs w:val="22"/>
          <w:lang w:val="hu-HU" w:eastAsia="zh-CN"/>
        </w:rPr>
        <w:t>/elzáródásához és pulmonalis hypertensiohoz vezethet),</w:t>
      </w:r>
    </w:p>
    <w:p w14:paraId="18466906" w14:textId="1E95C7A1" w:rsidR="003F50BB" w:rsidRPr="00ED50E8" w:rsidRDefault="003F50BB" w:rsidP="00ED50E8">
      <w:pPr>
        <w:pStyle w:val="Default"/>
        <w:numPr>
          <w:ilvl w:val="0"/>
          <w:numId w:val="41"/>
        </w:numPr>
        <w:rPr>
          <w:rFonts w:eastAsia="SimSun"/>
          <w:snapToGrid w:val="0"/>
          <w:sz w:val="22"/>
          <w:szCs w:val="22"/>
          <w:lang w:val="hu-HU" w:eastAsia="zh-CN"/>
        </w:rPr>
      </w:pPr>
      <w:r w:rsidRPr="00ED50E8">
        <w:rPr>
          <w:rFonts w:eastAsia="SimSun"/>
          <w:snapToGrid w:val="0"/>
          <w:sz w:val="22"/>
          <w:szCs w:val="22"/>
          <w:lang w:val="hu-HU" w:eastAsia="zh-CN"/>
        </w:rPr>
        <w:t>vesekárosodás </w:t>
      </w:r>
      <w:r w:rsidRPr="00ED50E8">
        <w:rPr>
          <w:rFonts w:eastAsia="SimSun"/>
          <w:bCs/>
          <w:snapToGrid w:val="0"/>
          <w:sz w:val="22"/>
          <w:szCs w:val="22"/>
          <w:lang w:val="hu-HU" w:eastAsia="zh-CN"/>
        </w:rPr>
        <w:t>(lásd fent)</w:t>
      </w:r>
      <w:r w:rsidRPr="00ED50E8">
        <w:rPr>
          <w:rFonts w:eastAsia="SimSun"/>
          <w:snapToGrid w:val="0"/>
          <w:sz w:val="22"/>
          <w:szCs w:val="22"/>
          <w:lang w:val="hu-HU" w:eastAsia="zh-CN"/>
        </w:rPr>
        <w:t>.</w:t>
      </w:r>
    </w:p>
    <w:p w14:paraId="6037C420" w14:textId="77777777" w:rsidR="003F50BB" w:rsidRPr="00ED50E8" w:rsidRDefault="003F50BB" w:rsidP="003F50BB">
      <w:pPr>
        <w:pStyle w:val="Default"/>
        <w:rPr>
          <w:rFonts w:eastAsia="SimSun"/>
          <w:snapToGrid w:val="0"/>
          <w:sz w:val="22"/>
          <w:szCs w:val="22"/>
          <w:lang w:val="hu-HU" w:eastAsia="zh-CN"/>
        </w:rPr>
      </w:pPr>
    </w:p>
    <w:p w14:paraId="566BDB43" w14:textId="77777777" w:rsidR="003F50BB" w:rsidRPr="00ED50E8" w:rsidRDefault="003F50BB" w:rsidP="003F50BB">
      <w:pPr>
        <w:pStyle w:val="Default"/>
        <w:rPr>
          <w:rFonts w:eastAsia="SimSun"/>
          <w:snapToGrid w:val="0"/>
          <w:sz w:val="22"/>
          <w:szCs w:val="22"/>
          <w:lang w:val="hu-HU" w:eastAsia="zh-CN"/>
        </w:rPr>
      </w:pPr>
      <w:r w:rsidRPr="00ED50E8">
        <w:rPr>
          <w:rFonts w:eastAsia="SimSun"/>
          <w:snapToGrid w:val="0"/>
          <w:sz w:val="22"/>
          <w:szCs w:val="22"/>
          <w:lang w:val="hu-HU" w:eastAsia="zh-CN"/>
        </w:rPr>
        <w:t>A terhesség végén az anyára és az újszülöttre a következő hatásokat fejtheti ki:</w:t>
      </w:r>
    </w:p>
    <w:p w14:paraId="02C778CD" w14:textId="77777777" w:rsidR="003F50BB" w:rsidRPr="00ED50E8" w:rsidRDefault="003F50BB" w:rsidP="003F50BB">
      <w:pPr>
        <w:pStyle w:val="Default"/>
        <w:rPr>
          <w:rFonts w:eastAsia="SimSun"/>
          <w:snapToGrid w:val="0"/>
          <w:sz w:val="22"/>
          <w:szCs w:val="22"/>
          <w:lang w:val="hu-HU" w:eastAsia="zh-CN"/>
        </w:rPr>
      </w:pPr>
    </w:p>
    <w:p w14:paraId="397213AF" w14:textId="37B1FBE0" w:rsidR="003F50BB" w:rsidRPr="00ED50E8" w:rsidRDefault="003F50BB" w:rsidP="00ED50E8">
      <w:pPr>
        <w:pStyle w:val="Default"/>
        <w:numPr>
          <w:ilvl w:val="0"/>
          <w:numId w:val="41"/>
        </w:numPr>
        <w:rPr>
          <w:rFonts w:eastAsia="SimSun"/>
          <w:snapToGrid w:val="0"/>
          <w:sz w:val="22"/>
          <w:szCs w:val="22"/>
          <w:lang w:val="hu-HU" w:eastAsia="zh-CN"/>
        </w:rPr>
      </w:pPr>
      <w:r w:rsidRPr="00ED50E8">
        <w:rPr>
          <w:rFonts w:eastAsia="SimSun"/>
          <w:snapToGrid w:val="0"/>
          <w:sz w:val="22"/>
          <w:szCs w:val="22"/>
          <w:lang w:val="hu-HU" w:eastAsia="zh-CN"/>
        </w:rPr>
        <w:t>a vérzési idő esetleges meghosszabbodása, mely a thrombocytaaggregáció gátlására vezethető vissza, és ami már nagyon kis dózisok esetén is előfordulhat;</w:t>
      </w:r>
    </w:p>
    <w:p w14:paraId="6869F7CA" w14:textId="7B9E4455" w:rsidR="003F50BB" w:rsidRPr="00ED50E8" w:rsidRDefault="003F50BB" w:rsidP="00ED50E8">
      <w:pPr>
        <w:pStyle w:val="Default"/>
        <w:numPr>
          <w:ilvl w:val="0"/>
          <w:numId w:val="41"/>
        </w:numPr>
        <w:rPr>
          <w:rFonts w:eastAsia="SimSun"/>
          <w:snapToGrid w:val="0"/>
          <w:sz w:val="22"/>
          <w:szCs w:val="22"/>
          <w:lang w:val="hu-HU" w:eastAsia="zh-CN"/>
        </w:rPr>
      </w:pPr>
      <w:r w:rsidRPr="00ED50E8">
        <w:rPr>
          <w:rFonts w:eastAsia="SimSun"/>
          <w:snapToGrid w:val="0"/>
          <w:sz w:val="22"/>
          <w:szCs w:val="22"/>
          <w:lang w:val="hu-HU" w:eastAsia="zh-CN"/>
        </w:rPr>
        <w:t>gátolhatja a méh összehúzódását, ezáltal késleltetheti vagy elnyújthatja a vajúdást.</w:t>
      </w:r>
    </w:p>
    <w:p w14:paraId="0395DF52" w14:textId="77777777" w:rsidR="00810271" w:rsidRPr="00082FCB" w:rsidRDefault="00810271" w:rsidP="00D14F20">
      <w:pPr>
        <w:pStyle w:val="NormlWeb"/>
        <w:spacing w:after="0"/>
        <w:rPr>
          <w:color w:val="000000"/>
          <w:sz w:val="22"/>
          <w:szCs w:val="22"/>
          <w:lang w:val="hu-HU"/>
        </w:rPr>
      </w:pPr>
    </w:p>
    <w:p w14:paraId="72F3DD53" w14:textId="50924CD2" w:rsidR="00D14F20" w:rsidRPr="00082FCB" w:rsidRDefault="00AA7AB1" w:rsidP="001A0579">
      <w:pPr>
        <w:pStyle w:val="NormlWeb"/>
        <w:spacing w:after="0"/>
        <w:rPr>
          <w:color w:val="000000"/>
          <w:sz w:val="22"/>
          <w:szCs w:val="22"/>
          <w:lang w:val="hu-HU"/>
        </w:rPr>
      </w:pPr>
      <w:r w:rsidRPr="00AA7AB1">
        <w:rPr>
          <w:color w:val="000000"/>
          <w:sz w:val="22"/>
          <w:szCs w:val="22"/>
          <w:lang w:val="hu-HU"/>
        </w:rPr>
        <w:t>Következésképpen</w:t>
      </w:r>
      <w:r>
        <w:rPr>
          <w:color w:val="000000"/>
          <w:sz w:val="22"/>
          <w:szCs w:val="22"/>
          <w:lang w:val="hu-HU"/>
        </w:rPr>
        <w:t xml:space="preserve"> az</w:t>
      </w:r>
      <w:r w:rsidR="00D14F20" w:rsidRPr="00082FCB">
        <w:rPr>
          <w:color w:val="000000"/>
          <w:sz w:val="22"/>
          <w:szCs w:val="22"/>
          <w:lang w:val="hu-HU"/>
        </w:rPr>
        <w:t xml:space="preserve"> </w:t>
      </w:r>
      <w:r w:rsidR="001B547C" w:rsidRPr="00082FCB">
        <w:rPr>
          <w:color w:val="000000"/>
          <w:sz w:val="22"/>
          <w:szCs w:val="22"/>
          <w:lang w:val="hu-HU"/>
        </w:rPr>
        <w:t>i</w:t>
      </w:r>
      <w:r w:rsidR="00D14F20" w:rsidRPr="00082FCB">
        <w:rPr>
          <w:color w:val="000000"/>
          <w:sz w:val="22"/>
          <w:szCs w:val="22"/>
          <w:lang w:val="hu-HU"/>
        </w:rPr>
        <w:t>buprof</w:t>
      </w:r>
      <w:r>
        <w:rPr>
          <w:color w:val="000000"/>
          <w:sz w:val="22"/>
          <w:szCs w:val="22"/>
          <w:lang w:val="hu-HU"/>
        </w:rPr>
        <w:t>é</w:t>
      </w:r>
      <w:r w:rsidR="00D14F20" w:rsidRPr="00082FCB">
        <w:rPr>
          <w:color w:val="000000"/>
          <w:sz w:val="22"/>
          <w:szCs w:val="22"/>
          <w:lang w:val="hu-HU"/>
        </w:rPr>
        <w:t xml:space="preserve">n </w:t>
      </w:r>
      <w:r w:rsidRPr="00AA7AB1">
        <w:rPr>
          <w:color w:val="000000"/>
          <w:sz w:val="22"/>
          <w:szCs w:val="22"/>
          <w:lang w:val="hu-HU"/>
        </w:rPr>
        <w:t>ellenjavallott a terhesség harmadik trimeszterében (lásd 4.3</w:t>
      </w:r>
      <w:r>
        <w:rPr>
          <w:color w:val="000000"/>
          <w:sz w:val="22"/>
          <w:szCs w:val="22"/>
          <w:lang w:val="hu-HU"/>
        </w:rPr>
        <w:t xml:space="preserve"> és 5.3</w:t>
      </w:r>
      <w:r w:rsidRPr="00AA7AB1">
        <w:rPr>
          <w:color w:val="000000"/>
          <w:sz w:val="22"/>
          <w:szCs w:val="22"/>
          <w:lang w:val="hu-HU"/>
        </w:rPr>
        <w:t xml:space="preserve"> pont)</w:t>
      </w:r>
      <w:r w:rsidR="00D14F20" w:rsidRPr="00082FCB">
        <w:rPr>
          <w:color w:val="000000"/>
          <w:sz w:val="22"/>
          <w:szCs w:val="22"/>
          <w:lang w:val="hu-HU"/>
        </w:rPr>
        <w:t>.</w:t>
      </w:r>
    </w:p>
    <w:p w14:paraId="57083A4C" w14:textId="77777777" w:rsidR="00810271" w:rsidRPr="00082FCB" w:rsidRDefault="00810271" w:rsidP="00D14F20">
      <w:pPr>
        <w:pStyle w:val="NormlWeb"/>
        <w:spacing w:after="0"/>
        <w:rPr>
          <w:color w:val="000000"/>
          <w:sz w:val="22"/>
          <w:szCs w:val="22"/>
          <w:lang w:val="hu-HU"/>
        </w:rPr>
      </w:pPr>
    </w:p>
    <w:p w14:paraId="107EA2F4" w14:textId="0664D6F6" w:rsidR="00D14F20" w:rsidRPr="00082FCB" w:rsidRDefault="00AA7AB1" w:rsidP="001A0579">
      <w:pPr>
        <w:pStyle w:val="NormlWeb"/>
        <w:spacing w:after="0"/>
        <w:rPr>
          <w:color w:val="000000"/>
          <w:sz w:val="22"/>
          <w:szCs w:val="22"/>
          <w:lang w:val="hu-HU"/>
        </w:rPr>
      </w:pPr>
      <w:r w:rsidRPr="00AA7AB1">
        <w:rPr>
          <w:color w:val="000000"/>
          <w:sz w:val="22"/>
          <w:szCs w:val="22"/>
          <w:lang w:val="hu-HU"/>
        </w:rPr>
        <w:t xml:space="preserve">Ezért lehetőség szerint kerülni kell a </w:t>
      </w:r>
      <w:r w:rsidR="00BF63BD">
        <w:rPr>
          <w:color w:val="000000"/>
          <w:sz w:val="22"/>
          <w:szCs w:val="22"/>
          <w:lang w:val="hu-HU"/>
        </w:rPr>
        <w:t>gyógyszer</w:t>
      </w:r>
      <w:r w:rsidR="00BF63BD" w:rsidRPr="00AA7AB1">
        <w:rPr>
          <w:color w:val="000000"/>
          <w:sz w:val="22"/>
          <w:szCs w:val="22"/>
          <w:lang w:val="hu-HU"/>
        </w:rPr>
        <w:t xml:space="preserve"> </w:t>
      </w:r>
      <w:r w:rsidRPr="00AA7AB1">
        <w:rPr>
          <w:color w:val="000000"/>
          <w:sz w:val="22"/>
          <w:szCs w:val="22"/>
          <w:lang w:val="hu-HU"/>
        </w:rPr>
        <w:t>használatát a terhesség első hat hónapjában, és ellenjavallt a terhesség utolsó három hónapjában (lásd 4.3 pont)</w:t>
      </w:r>
      <w:r w:rsidR="00D14F20" w:rsidRPr="00082FCB">
        <w:rPr>
          <w:color w:val="000000"/>
          <w:sz w:val="22"/>
          <w:szCs w:val="22"/>
          <w:lang w:val="hu-HU"/>
        </w:rPr>
        <w:t>.</w:t>
      </w:r>
    </w:p>
    <w:p w14:paraId="339045EC" w14:textId="77777777" w:rsidR="00D14F20" w:rsidRPr="00082FCB" w:rsidRDefault="00D14F20" w:rsidP="00D14F20">
      <w:pPr>
        <w:spacing w:line="240" w:lineRule="auto"/>
        <w:rPr>
          <w:color w:val="000000"/>
          <w:szCs w:val="22"/>
          <w:lang w:val="hu-HU"/>
        </w:rPr>
      </w:pPr>
    </w:p>
    <w:p w14:paraId="0B74040E" w14:textId="77777777" w:rsidR="00AA7AB1" w:rsidRPr="00BA5943" w:rsidRDefault="00AA7AB1" w:rsidP="00AA7AB1">
      <w:pPr>
        <w:spacing w:line="240" w:lineRule="auto"/>
        <w:rPr>
          <w:szCs w:val="22"/>
          <w:lang w:val="hu-HU"/>
        </w:rPr>
      </w:pPr>
      <w:r w:rsidRPr="00BA5943">
        <w:rPr>
          <w:szCs w:val="22"/>
          <w:u w:val="single"/>
          <w:lang w:val="hu-HU"/>
        </w:rPr>
        <w:t>Szoptatás</w:t>
      </w:r>
    </w:p>
    <w:p w14:paraId="16CDC73F" w14:textId="5AD0AEA2" w:rsidR="002A4C6E" w:rsidRPr="00082FCB" w:rsidRDefault="00AA7AB1" w:rsidP="006475B4">
      <w:pPr>
        <w:spacing w:line="240" w:lineRule="auto"/>
        <w:rPr>
          <w:color w:val="000000"/>
          <w:szCs w:val="22"/>
          <w:lang w:val="hu-HU"/>
        </w:rPr>
      </w:pPr>
      <w:r w:rsidRPr="00BA5943">
        <w:rPr>
          <w:szCs w:val="22"/>
          <w:lang w:val="hu-HU"/>
        </w:rPr>
        <w:t>Az ibuprofén és metabolitjai nagyon kis mennyiségben átjuthatnak az anyatejbe (az anyai dózis 0,0008%-a). Nem ismert az ibuprofén csecsemőkre gyakorolt káros hatása</w:t>
      </w:r>
      <w:r w:rsidR="002A4C6E" w:rsidRPr="00082FCB">
        <w:rPr>
          <w:color w:val="000000"/>
          <w:szCs w:val="22"/>
          <w:lang w:val="hu-HU"/>
        </w:rPr>
        <w:t>.</w:t>
      </w:r>
    </w:p>
    <w:p w14:paraId="70441A03" w14:textId="77777777" w:rsidR="00B16C01" w:rsidRPr="00082FCB" w:rsidRDefault="00B16C01" w:rsidP="006475B4">
      <w:pPr>
        <w:spacing w:line="240" w:lineRule="auto"/>
        <w:rPr>
          <w:color w:val="000000"/>
          <w:szCs w:val="22"/>
          <w:lang w:val="hu-HU"/>
        </w:rPr>
      </w:pPr>
    </w:p>
    <w:p w14:paraId="5F08955A" w14:textId="3FD7B3B9" w:rsidR="002A4C6E" w:rsidRPr="00082FCB" w:rsidRDefault="00AA7AB1" w:rsidP="006475B4">
      <w:pPr>
        <w:spacing w:line="240" w:lineRule="auto"/>
        <w:rPr>
          <w:color w:val="000000"/>
          <w:szCs w:val="22"/>
          <w:lang w:val="hu-HU"/>
        </w:rPr>
      </w:pPr>
      <w:r w:rsidRPr="00BA5943">
        <w:rPr>
          <w:szCs w:val="22"/>
          <w:lang w:val="hu-HU"/>
        </w:rPr>
        <w:t>A paracetamol kis, de klinikailag jelentéktelen mennyiségben kiválasztódik az anyatejbe. A rendelkezésre álló szakirodalmi adatok alapján a szoptatás nem ellenjavallt</w:t>
      </w:r>
      <w:r w:rsidR="002A4C6E" w:rsidRPr="00082FCB">
        <w:rPr>
          <w:color w:val="000000"/>
          <w:szCs w:val="22"/>
          <w:lang w:val="hu-HU"/>
        </w:rPr>
        <w:t>.</w:t>
      </w:r>
    </w:p>
    <w:p w14:paraId="7B2914F5" w14:textId="77777777" w:rsidR="002A4C6E" w:rsidRPr="00082FCB" w:rsidRDefault="002A4C6E" w:rsidP="006475B4">
      <w:pPr>
        <w:spacing w:line="240" w:lineRule="auto"/>
        <w:rPr>
          <w:color w:val="000000"/>
          <w:szCs w:val="22"/>
          <w:lang w:val="hu-HU"/>
        </w:rPr>
      </w:pPr>
    </w:p>
    <w:p w14:paraId="075EDB72" w14:textId="65975104" w:rsidR="002A4C6E" w:rsidRPr="00082FCB" w:rsidRDefault="00AA7AB1" w:rsidP="006475B4">
      <w:pPr>
        <w:spacing w:line="240" w:lineRule="auto"/>
        <w:rPr>
          <w:color w:val="000000"/>
          <w:szCs w:val="22"/>
          <w:lang w:val="hu-HU"/>
        </w:rPr>
      </w:pPr>
      <w:r w:rsidRPr="00BA5943">
        <w:rPr>
          <w:szCs w:val="22"/>
          <w:lang w:val="hu-HU"/>
        </w:rPr>
        <w:t xml:space="preserve">Ily módon nem szükséges megszakítani a szoptatást a készítmény ajánlott </w:t>
      </w:r>
      <w:r w:rsidR="00BF63BD">
        <w:rPr>
          <w:szCs w:val="22"/>
          <w:lang w:val="hu-HU"/>
        </w:rPr>
        <w:t>dózisával</w:t>
      </w:r>
      <w:r w:rsidR="00BF63BD" w:rsidRPr="00BA5943">
        <w:rPr>
          <w:szCs w:val="22"/>
          <w:lang w:val="hu-HU"/>
        </w:rPr>
        <w:t xml:space="preserve"> </w:t>
      </w:r>
      <w:r w:rsidRPr="00BA5943">
        <w:rPr>
          <w:szCs w:val="22"/>
          <w:lang w:val="hu-HU"/>
        </w:rPr>
        <w:t>történő rövid időtartamú kezelés miatt</w:t>
      </w:r>
      <w:r w:rsidR="002A4C6E" w:rsidRPr="00082FCB">
        <w:rPr>
          <w:color w:val="000000"/>
          <w:szCs w:val="22"/>
          <w:lang w:val="hu-HU"/>
        </w:rPr>
        <w:t>.</w:t>
      </w:r>
    </w:p>
    <w:p w14:paraId="731AF127" w14:textId="77777777" w:rsidR="002A4C6E" w:rsidRPr="00082FCB" w:rsidRDefault="002A4C6E" w:rsidP="006475B4">
      <w:pPr>
        <w:spacing w:line="240" w:lineRule="auto"/>
        <w:rPr>
          <w:color w:val="000000"/>
          <w:szCs w:val="22"/>
          <w:lang w:val="hu-HU"/>
        </w:rPr>
      </w:pPr>
    </w:p>
    <w:p w14:paraId="4F1FB55F" w14:textId="77777777" w:rsidR="00AA7AB1" w:rsidRPr="00BA5943" w:rsidRDefault="00AA7AB1" w:rsidP="00AA7AB1">
      <w:pPr>
        <w:spacing w:line="240" w:lineRule="auto"/>
        <w:rPr>
          <w:szCs w:val="22"/>
          <w:lang w:val="hu-HU"/>
        </w:rPr>
      </w:pPr>
      <w:r w:rsidRPr="00BA5943">
        <w:rPr>
          <w:szCs w:val="22"/>
          <w:u w:val="single"/>
          <w:lang w:val="hu-HU"/>
        </w:rPr>
        <w:t>Termékenység</w:t>
      </w:r>
    </w:p>
    <w:p w14:paraId="64582BB8" w14:textId="57F8EB4C" w:rsidR="00AA7AB1" w:rsidRPr="00BA5943" w:rsidRDefault="006002F5" w:rsidP="00AA7AB1">
      <w:pPr>
        <w:spacing w:line="240" w:lineRule="auto"/>
        <w:rPr>
          <w:szCs w:val="22"/>
          <w:lang w:val="hu-HU"/>
        </w:rPr>
      </w:pPr>
      <w:r w:rsidRPr="006002F5">
        <w:rPr>
          <w:szCs w:val="22"/>
          <w:lang w:val="hu-HU"/>
        </w:rPr>
        <w:t>Korlátozott bizonyíték áll rendelkezésre arra vonatkozóan, hogy a ciklooxig</w:t>
      </w:r>
      <w:r>
        <w:rPr>
          <w:szCs w:val="22"/>
          <w:lang w:val="hu-HU"/>
        </w:rPr>
        <w:t>enáz</w:t>
      </w:r>
      <w:r w:rsidRPr="006002F5">
        <w:rPr>
          <w:szCs w:val="22"/>
          <w:lang w:val="hu-HU"/>
        </w:rPr>
        <w:t xml:space="preserve">/ prosztaglandin szintézist gátló gyógyszerek befolyásolhatják a női termékenységet az ovulációra gyakorolt hatásuk révén, és nem ajánlottak azoknak a nőknek, akik gyermeket </w:t>
      </w:r>
      <w:r>
        <w:rPr>
          <w:szCs w:val="22"/>
          <w:lang w:val="hu-HU"/>
        </w:rPr>
        <w:t>terveznek</w:t>
      </w:r>
      <w:r w:rsidRPr="006002F5">
        <w:rPr>
          <w:szCs w:val="22"/>
          <w:lang w:val="hu-HU"/>
        </w:rPr>
        <w:t xml:space="preserve">. Ez a hatás visszafordítható a kezelés megszüntetése után. Azoknál a nőknél, akiknek nehézségeik vannak a teherbeeséssel, vagy akiknél a meddőség vizsgálata folyik, fontolóra kell venni a </w:t>
      </w:r>
      <w:r w:rsidR="00DC0521">
        <w:rPr>
          <w:szCs w:val="22"/>
          <w:lang w:val="hu-HU"/>
        </w:rPr>
        <w:t>gyógyszer</w:t>
      </w:r>
      <w:r w:rsidRPr="006002F5">
        <w:rPr>
          <w:szCs w:val="22"/>
          <w:lang w:val="hu-HU"/>
        </w:rPr>
        <w:t xml:space="preserve"> elhagyását.</w:t>
      </w:r>
      <w:r w:rsidR="00AA7AB1" w:rsidRPr="00BA5943">
        <w:rPr>
          <w:szCs w:val="22"/>
          <w:lang w:val="hu-HU"/>
        </w:rPr>
        <w:t>.</w:t>
      </w:r>
    </w:p>
    <w:p w14:paraId="44A0D9C3" w14:textId="77777777" w:rsidR="001D29E6" w:rsidRPr="00082FCB" w:rsidRDefault="001D29E6" w:rsidP="006475B4">
      <w:pPr>
        <w:spacing w:line="240" w:lineRule="auto"/>
        <w:ind w:left="567" w:hanging="567"/>
        <w:rPr>
          <w:bCs/>
          <w:szCs w:val="22"/>
          <w:lang w:val="hu-HU"/>
        </w:rPr>
      </w:pPr>
    </w:p>
    <w:p w14:paraId="69CEE97A" w14:textId="13E6B01A" w:rsidR="001D29E6" w:rsidRPr="00082FCB" w:rsidRDefault="001D29E6" w:rsidP="00502D6A">
      <w:pPr>
        <w:spacing w:line="240" w:lineRule="auto"/>
        <w:ind w:left="567" w:hanging="567"/>
        <w:rPr>
          <w:szCs w:val="22"/>
          <w:lang w:val="hu-HU"/>
        </w:rPr>
      </w:pPr>
      <w:r w:rsidRPr="00082FCB">
        <w:rPr>
          <w:b/>
          <w:szCs w:val="22"/>
          <w:lang w:val="hu-HU"/>
        </w:rPr>
        <w:t>4.7</w:t>
      </w:r>
      <w:r w:rsidRPr="00082FCB">
        <w:rPr>
          <w:b/>
          <w:szCs w:val="22"/>
          <w:lang w:val="hu-HU"/>
        </w:rPr>
        <w:tab/>
      </w:r>
      <w:r w:rsidR="00597B63" w:rsidRPr="00BA5943">
        <w:rPr>
          <w:b/>
          <w:szCs w:val="22"/>
          <w:lang w:val="hu-HU"/>
        </w:rPr>
        <w:t>A készítmény hatásai a gépjárművezetéshez és a gépek kezeléséhez szükséges képességekre</w:t>
      </w:r>
    </w:p>
    <w:p w14:paraId="41DFCCC7" w14:textId="77777777" w:rsidR="001D29E6" w:rsidRPr="00082FCB" w:rsidRDefault="001D29E6" w:rsidP="00502D6A">
      <w:pPr>
        <w:spacing w:line="240" w:lineRule="auto"/>
        <w:rPr>
          <w:szCs w:val="22"/>
          <w:lang w:val="hu-HU"/>
        </w:rPr>
      </w:pPr>
    </w:p>
    <w:p w14:paraId="737C0CAA" w14:textId="37784B13" w:rsidR="00FE4FD0" w:rsidRPr="00082FCB" w:rsidRDefault="00241CE3" w:rsidP="00502D6A">
      <w:pPr>
        <w:spacing w:line="240" w:lineRule="auto"/>
        <w:rPr>
          <w:color w:val="000000"/>
          <w:szCs w:val="22"/>
          <w:lang w:val="hu-HU"/>
        </w:rPr>
      </w:pPr>
      <w:r w:rsidRPr="00BA5943">
        <w:rPr>
          <w:szCs w:val="22"/>
          <w:lang w:val="hu-HU"/>
        </w:rPr>
        <w:t>Az NSAID-ok bevétele után előfordulhatnak mellékhatások, mint például szédülés, álmosság, fáradtság és látászavarok. Mellékhatások fellépése esetén a betegek nem vezethetnek gépjárművet és nem kezelhetnek gépeket</w:t>
      </w:r>
      <w:r w:rsidR="00FE4FD0" w:rsidRPr="00082FCB">
        <w:rPr>
          <w:color w:val="000000"/>
          <w:szCs w:val="22"/>
          <w:lang w:val="hu-HU"/>
        </w:rPr>
        <w:t>.</w:t>
      </w:r>
    </w:p>
    <w:p w14:paraId="7D4AA69B" w14:textId="77777777" w:rsidR="001D29E6" w:rsidRPr="00082FCB" w:rsidRDefault="001D29E6" w:rsidP="006D1968">
      <w:pPr>
        <w:spacing w:line="240" w:lineRule="auto"/>
        <w:rPr>
          <w:szCs w:val="22"/>
          <w:lang w:val="hu-HU"/>
        </w:rPr>
      </w:pPr>
    </w:p>
    <w:p w14:paraId="33E67EEC" w14:textId="41A283AF" w:rsidR="001D29E6" w:rsidRPr="00082FCB" w:rsidRDefault="00241CE3" w:rsidP="00502D6A">
      <w:pPr>
        <w:numPr>
          <w:ilvl w:val="1"/>
          <w:numId w:val="10"/>
        </w:numPr>
        <w:spacing w:line="240" w:lineRule="auto"/>
        <w:rPr>
          <w:b/>
          <w:szCs w:val="22"/>
          <w:lang w:val="hu-HU"/>
        </w:rPr>
      </w:pPr>
      <w:r w:rsidRPr="00BA5943">
        <w:rPr>
          <w:b/>
          <w:szCs w:val="22"/>
          <w:lang w:val="hu-HU"/>
        </w:rPr>
        <w:t>Nemkívánatos hatások, mellékhatások</w:t>
      </w:r>
    </w:p>
    <w:p w14:paraId="2C9FEBE4" w14:textId="77777777" w:rsidR="001D29E6" w:rsidRPr="00082FCB" w:rsidRDefault="001D29E6" w:rsidP="00502D6A">
      <w:pPr>
        <w:spacing w:line="240" w:lineRule="auto"/>
        <w:rPr>
          <w:szCs w:val="22"/>
          <w:lang w:val="hu-HU"/>
        </w:rPr>
      </w:pPr>
    </w:p>
    <w:p w14:paraId="4A4F586C" w14:textId="1211195B" w:rsidR="000838E2" w:rsidRPr="00082FCB" w:rsidRDefault="00241CE3" w:rsidP="00502D6A">
      <w:pPr>
        <w:spacing w:line="240" w:lineRule="auto"/>
        <w:rPr>
          <w:color w:val="000000"/>
          <w:szCs w:val="22"/>
          <w:lang w:val="hu-HU"/>
        </w:rPr>
      </w:pPr>
      <w:r w:rsidRPr="00BA5943">
        <w:rPr>
          <w:szCs w:val="22"/>
          <w:lang w:val="hu-HU"/>
        </w:rPr>
        <w:t>Ezen készítménnyel végzett klinikai vizsgálatok nem mutattak egyéb mellékhatásokat, mint amelyek a paracetamol vagy az ibuprofén monoterápiában történő alkalmazásakor is előfordulnak</w:t>
      </w:r>
      <w:r w:rsidR="000838E2" w:rsidRPr="00082FCB">
        <w:rPr>
          <w:color w:val="000000"/>
          <w:szCs w:val="22"/>
          <w:lang w:val="hu-HU"/>
        </w:rPr>
        <w:t>.</w:t>
      </w:r>
    </w:p>
    <w:p w14:paraId="3C09BD60" w14:textId="77777777" w:rsidR="000838E2" w:rsidRPr="00082FCB" w:rsidRDefault="000838E2" w:rsidP="006475B4">
      <w:pPr>
        <w:spacing w:line="240" w:lineRule="auto"/>
        <w:rPr>
          <w:color w:val="000000"/>
          <w:szCs w:val="22"/>
          <w:lang w:val="hu-HU"/>
        </w:rPr>
      </w:pPr>
    </w:p>
    <w:p w14:paraId="60FFF6BB" w14:textId="5D09A3C3" w:rsidR="000838E2" w:rsidRPr="00082FCB" w:rsidRDefault="00241CE3" w:rsidP="006475B4">
      <w:pPr>
        <w:spacing w:line="240" w:lineRule="auto"/>
        <w:rPr>
          <w:color w:val="000000"/>
          <w:szCs w:val="22"/>
          <w:lang w:val="hu-HU"/>
        </w:rPr>
      </w:pPr>
      <w:r w:rsidRPr="00BA5943">
        <w:rPr>
          <w:szCs w:val="22"/>
          <w:lang w:val="hu-HU"/>
        </w:rPr>
        <w:t>Az alábbi táblázat szervrendszer és gyakoriság szerinti csoportosításban sorolja fel azokat a mellékhatásokat, amelyek az ibuprofént vagy paracetamolt önmagában, rövid vagy hosszú időtartamon át szedő betegek farmakovigilancia adataiból állnak rendelkezésre</w:t>
      </w:r>
      <w:r w:rsidR="000838E2" w:rsidRPr="00082FCB">
        <w:rPr>
          <w:color w:val="000000"/>
          <w:szCs w:val="22"/>
          <w:lang w:val="hu-HU"/>
        </w:rPr>
        <w:t>.</w:t>
      </w:r>
    </w:p>
    <w:p w14:paraId="567F6B03" w14:textId="77777777" w:rsidR="000838E2" w:rsidRPr="00082FCB" w:rsidRDefault="000838E2" w:rsidP="006475B4">
      <w:pPr>
        <w:spacing w:line="240" w:lineRule="auto"/>
        <w:rPr>
          <w:color w:val="000000"/>
          <w:szCs w:val="22"/>
          <w:lang w:val="hu-HU"/>
        </w:rPr>
      </w:pPr>
    </w:p>
    <w:p w14:paraId="56A9596C" w14:textId="38D2BA7C" w:rsidR="000838E2" w:rsidRPr="00082FCB" w:rsidRDefault="00241CE3" w:rsidP="006475B4">
      <w:pPr>
        <w:spacing w:line="240" w:lineRule="auto"/>
        <w:rPr>
          <w:color w:val="000000"/>
          <w:szCs w:val="22"/>
          <w:lang w:val="hu-HU"/>
        </w:rPr>
      </w:pPr>
      <w:r w:rsidRPr="00241CE3">
        <w:rPr>
          <w:color w:val="000000"/>
          <w:szCs w:val="22"/>
          <w:lang w:val="hu-HU"/>
        </w:rPr>
        <w:t>A</w:t>
      </w:r>
      <w:r>
        <w:rPr>
          <w:color w:val="000000"/>
          <w:szCs w:val="22"/>
          <w:lang w:val="hu-HU"/>
        </w:rPr>
        <w:t>z önmagában adott</w:t>
      </w:r>
      <w:r w:rsidRPr="00241CE3">
        <w:rPr>
          <w:color w:val="000000"/>
          <w:szCs w:val="22"/>
          <w:lang w:val="hu-HU"/>
        </w:rPr>
        <w:t xml:space="preserve"> ibuprof</w:t>
      </w:r>
      <w:r>
        <w:rPr>
          <w:color w:val="000000"/>
          <w:szCs w:val="22"/>
          <w:lang w:val="hu-HU"/>
        </w:rPr>
        <w:t>é</w:t>
      </w:r>
      <w:r w:rsidRPr="00241CE3">
        <w:rPr>
          <w:color w:val="000000"/>
          <w:szCs w:val="22"/>
          <w:lang w:val="hu-HU"/>
        </w:rPr>
        <w:t xml:space="preserve">nnel vagy a paracetamollal összefüggésbe hozott nemkívánatos eseményeket az alábbi táblázat tartalmazza, szervrendszer és gyakoriság szerinti bontásban. </w:t>
      </w:r>
      <w:r w:rsidRPr="00BA5943">
        <w:rPr>
          <w:szCs w:val="22"/>
          <w:lang w:val="hu-HU"/>
        </w:rPr>
        <w:t>A gyakoriságok definíciója: nagyon gyakori (≥ 1/10), gyakori (≥ 1/100, &lt; 1/10), nem gyakori (≥ 1/1000, &lt; 1/100), ritka (≥ 1/10</w:t>
      </w:r>
      <w:r w:rsidR="00BF63BD">
        <w:rPr>
          <w:szCs w:val="22"/>
          <w:lang w:val="hu-HU"/>
        </w:rPr>
        <w:t> </w:t>
      </w:r>
      <w:r w:rsidRPr="00BA5943">
        <w:rPr>
          <w:szCs w:val="22"/>
          <w:lang w:val="hu-HU"/>
        </w:rPr>
        <w:t>000, &lt; 1/1000), nagyon ritka (&lt; 1/10</w:t>
      </w:r>
      <w:r w:rsidR="0061029F">
        <w:rPr>
          <w:szCs w:val="22"/>
          <w:lang w:val="hu-HU"/>
        </w:rPr>
        <w:t> </w:t>
      </w:r>
      <w:r w:rsidRPr="00BA5943">
        <w:rPr>
          <w:szCs w:val="22"/>
          <w:lang w:val="hu-HU"/>
        </w:rPr>
        <w:t>000) és nem ismert (a gyakoriság a rendelkezésre álló adatokból nem állapítható meg). Minden gyakorisági csoporton belül a mellékhatások a súlyosság csökkenő sorrendjében kerülnek felsorolásra</w:t>
      </w:r>
      <w:r w:rsidR="000838E2" w:rsidRPr="00082FCB">
        <w:rPr>
          <w:color w:val="000000"/>
          <w:szCs w:val="22"/>
          <w:lang w:val="hu-HU"/>
        </w:rPr>
        <w:t>.</w:t>
      </w:r>
    </w:p>
    <w:p w14:paraId="22D20063" w14:textId="77777777" w:rsidR="000838E2" w:rsidRPr="00082FCB" w:rsidRDefault="000838E2" w:rsidP="006475B4">
      <w:pPr>
        <w:autoSpaceDE w:val="0"/>
        <w:autoSpaceDN w:val="0"/>
        <w:adjustRightInd w:val="0"/>
        <w:spacing w:line="240" w:lineRule="auto"/>
        <w:rPr>
          <w:szCs w:val="22"/>
          <w:u w:val="single"/>
          <w:lang w:val="hu-HU"/>
        </w:rPr>
      </w:pPr>
    </w:p>
    <w:tbl>
      <w:tblPr>
        <w:tblW w:w="9102" w:type="dxa"/>
        <w:tblBorders>
          <w:top w:val="outset" w:sz="6" w:space="0" w:color="7B7B7B"/>
          <w:left w:val="outset" w:sz="6" w:space="0" w:color="7B7B7B"/>
          <w:bottom w:val="outset" w:sz="6" w:space="0" w:color="7B7B7B"/>
          <w:right w:val="outset" w:sz="6" w:space="0" w:color="7B7B7B"/>
        </w:tblBorders>
        <w:tblCellMar>
          <w:top w:w="30" w:type="dxa"/>
          <w:left w:w="30" w:type="dxa"/>
          <w:bottom w:w="30" w:type="dxa"/>
          <w:right w:w="30" w:type="dxa"/>
        </w:tblCellMar>
        <w:tblLook w:val="04A0" w:firstRow="1" w:lastRow="0" w:firstColumn="1" w:lastColumn="0" w:noHBand="0" w:noVBand="1"/>
      </w:tblPr>
      <w:tblGrid>
        <w:gridCol w:w="3319"/>
        <w:gridCol w:w="1762"/>
        <w:gridCol w:w="4021"/>
      </w:tblGrid>
      <w:tr w:rsidR="00241CE3" w:rsidRPr="00082FCB" w14:paraId="6D6BE519"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1B8E42D4" w14:textId="0748FB0C" w:rsidR="00241CE3" w:rsidRPr="00082FCB" w:rsidRDefault="00241CE3" w:rsidP="00BF63BD">
            <w:pPr>
              <w:keepNext/>
              <w:spacing w:line="240" w:lineRule="auto"/>
              <w:jc w:val="center"/>
              <w:rPr>
                <w:b/>
                <w:bCs/>
                <w:color w:val="000000"/>
                <w:szCs w:val="22"/>
                <w:lang w:val="hu-HU"/>
              </w:rPr>
            </w:pPr>
            <w:r w:rsidRPr="00BA5943">
              <w:rPr>
                <w:b/>
                <w:szCs w:val="22"/>
                <w:lang w:val="hu-HU"/>
              </w:rPr>
              <w:t>Szervrendszer</w:t>
            </w:r>
          </w:p>
        </w:tc>
        <w:tc>
          <w:tcPr>
            <w:tcW w:w="968" w:type="pct"/>
            <w:tcBorders>
              <w:top w:val="outset" w:sz="6" w:space="0" w:color="7B7B7B"/>
              <w:left w:val="outset" w:sz="6" w:space="0" w:color="7B7B7B"/>
              <w:bottom w:val="outset" w:sz="6" w:space="0" w:color="7B7B7B"/>
              <w:right w:val="outset" w:sz="6" w:space="0" w:color="7B7B7B"/>
            </w:tcBorders>
            <w:hideMark/>
          </w:tcPr>
          <w:p w14:paraId="3BA68D04" w14:textId="340E3CBF" w:rsidR="00241CE3" w:rsidRPr="00082FCB" w:rsidRDefault="00241CE3" w:rsidP="00241CE3">
            <w:pPr>
              <w:keepNext/>
              <w:spacing w:line="240" w:lineRule="auto"/>
              <w:jc w:val="center"/>
              <w:rPr>
                <w:b/>
                <w:bCs/>
                <w:color w:val="000000"/>
                <w:szCs w:val="22"/>
                <w:lang w:val="hu-HU"/>
              </w:rPr>
            </w:pPr>
            <w:r w:rsidRPr="00BA5943">
              <w:rPr>
                <w:b/>
                <w:szCs w:val="22"/>
                <w:lang w:val="hu-HU"/>
              </w:rPr>
              <w:t>Gyakoriság</w:t>
            </w:r>
          </w:p>
        </w:tc>
        <w:tc>
          <w:tcPr>
            <w:tcW w:w="2209" w:type="pct"/>
            <w:tcBorders>
              <w:top w:val="outset" w:sz="6" w:space="0" w:color="7B7B7B"/>
              <w:left w:val="outset" w:sz="6" w:space="0" w:color="7B7B7B"/>
              <w:bottom w:val="outset" w:sz="6" w:space="0" w:color="7B7B7B"/>
              <w:right w:val="outset" w:sz="6" w:space="0" w:color="7B7B7B"/>
            </w:tcBorders>
            <w:hideMark/>
          </w:tcPr>
          <w:p w14:paraId="7F7CAFA9" w14:textId="4778A986" w:rsidR="00241CE3" w:rsidRPr="00082FCB" w:rsidRDefault="00241CE3" w:rsidP="00241CE3">
            <w:pPr>
              <w:keepNext/>
              <w:spacing w:line="240" w:lineRule="auto"/>
              <w:jc w:val="center"/>
              <w:rPr>
                <w:b/>
                <w:bCs/>
                <w:color w:val="000000"/>
                <w:szCs w:val="22"/>
                <w:lang w:val="hu-HU"/>
              </w:rPr>
            </w:pPr>
            <w:r w:rsidRPr="00BA5943">
              <w:rPr>
                <w:b/>
                <w:szCs w:val="22"/>
                <w:lang w:val="hu-HU"/>
              </w:rPr>
              <w:t>Mellékhatás</w:t>
            </w:r>
          </w:p>
        </w:tc>
      </w:tr>
      <w:tr w:rsidR="00241CE3" w:rsidRPr="00082FCB" w14:paraId="43D50752"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5F40CFEA" w14:textId="637EB887" w:rsidR="00241CE3" w:rsidRPr="00082FCB" w:rsidRDefault="00241CE3" w:rsidP="00241CE3">
            <w:pPr>
              <w:keepNext/>
              <w:spacing w:line="240" w:lineRule="auto"/>
              <w:rPr>
                <w:color w:val="000000"/>
                <w:szCs w:val="22"/>
                <w:lang w:val="hu-HU"/>
              </w:rPr>
            </w:pPr>
            <w:r w:rsidRPr="00BA5943">
              <w:rPr>
                <w:bCs/>
                <w:szCs w:val="22"/>
                <w:lang w:val="hu-HU"/>
              </w:rPr>
              <w:t>Vérképzőszervi és nyirokrendszeri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54752A22" w14:textId="53D4C806" w:rsidR="00241CE3" w:rsidRPr="00082FCB" w:rsidRDefault="00241CE3" w:rsidP="00241CE3">
            <w:pPr>
              <w:keepNext/>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2DDE4A4C" w14:textId="70ABFB88" w:rsidR="00241CE3" w:rsidRPr="00082FCB" w:rsidRDefault="00241CE3" w:rsidP="00241CE3">
            <w:pPr>
              <w:keepNext/>
              <w:spacing w:line="240" w:lineRule="auto"/>
              <w:rPr>
                <w:color w:val="000000"/>
                <w:szCs w:val="22"/>
                <w:lang w:val="hu-HU"/>
              </w:rPr>
            </w:pPr>
            <w:r w:rsidRPr="00082FCB">
              <w:rPr>
                <w:color w:val="000000"/>
                <w:szCs w:val="22"/>
                <w:lang w:val="hu-HU"/>
              </w:rPr>
              <w:t>Haematopoeti</w:t>
            </w:r>
            <w:r>
              <w:rPr>
                <w:color w:val="000000"/>
                <w:szCs w:val="22"/>
                <w:lang w:val="hu-HU"/>
              </w:rPr>
              <w:t>kus betegségek</w:t>
            </w:r>
            <w:r w:rsidRPr="00082FCB">
              <w:rPr>
                <w:b/>
                <w:bCs/>
                <w:color w:val="000000"/>
                <w:szCs w:val="22"/>
                <w:vertAlign w:val="superscript"/>
                <w:lang w:val="hu-HU"/>
              </w:rPr>
              <w:t>1</w:t>
            </w:r>
          </w:p>
        </w:tc>
      </w:tr>
      <w:tr w:rsidR="00241CE3" w:rsidRPr="000E2D4D" w14:paraId="5A8B5BEB" w14:textId="77777777" w:rsidTr="00241CE3">
        <w:tc>
          <w:tcPr>
            <w:tcW w:w="1823" w:type="pct"/>
            <w:vMerge w:val="restart"/>
            <w:tcBorders>
              <w:top w:val="outset" w:sz="6" w:space="0" w:color="7B7B7B"/>
              <w:left w:val="outset" w:sz="6" w:space="0" w:color="7B7B7B"/>
              <w:bottom w:val="outset" w:sz="6" w:space="0" w:color="7B7B7B"/>
              <w:right w:val="outset" w:sz="6" w:space="0" w:color="7B7B7B"/>
            </w:tcBorders>
            <w:hideMark/>
          </w:tcPr>
          <w:p w14:paraId="5E86BA17" w14:textId="5D3D1F3D" w:rsidR="00241CE3" w:rsidRPr="00082FCB" w:rsidRDefault="00241CE3" w:rsidP="00241CE3">
            <w:pPr>
              <w:spacing w:line="240" w:lineRule="auto"/>
              <w:rPr>
                <w:color w:val="000000"/>
                <w:szCs w:val="22"/>
                <w:lang w:val="hu-HU"/>
              </w:rPr>
            </w:pPr>
            <w:r w:rsidRPr="00BA5943">
              <w:rPr>
                <w:bCs/>
                <w:szCs w:val="22"/>
                <w:lang w:val="hu-HU"/>
              </w:rPr>
              <w:t>Immunrendszeri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719DF45F" w14:textId="2FBCA743" w:rsidR="00241CE3" w:rsidRPr="00082FCB" w:rsidRDefault="00241CE3" w:rsidP="00241CE3">
            <w:pPr>
              <w:spacing w:line="240" w:lineRule="auto"/>
              <w:rPr>
                <w:color w:val="000000"/>
                <w:szCs w:val="22"/>
                <w:lang w:val="hu-HU"/>
              </w:rPr>
            </w:pPr>
            <w:r w:rsidRPr="00BA5943">
              <w:rPr>
                <w:bCs/>
                <w:szCs w:val="22"/>
                <w:lang w:val="hu-HU"/>
              </w:rPr>
              <w:t>Nem gyakori</w:t>
            </w:r>
          </w:p>
        </w:tc>
        <w:tc>
          <w:tcPr>
            <w:tcW w:w="2209" w:type="pct"/>
            <w:tcBorders>
              <w:top w:val="outset" w:sz="6" w:space="0" w:color="7B7B7B"/>
              <w:left w:val="outset" w:sz="6" w:space="0" w:color="7B7B7B"/>
              <w:bottom w:val="outset" w:sz="6" w:space="0" w:color="7B7B7B"/>
              <w:right w:val="outset" w:sz="6" w:space="0" w:color="7B7B7B"/>
            </w:tcBorders>
            <w:hideMark/>
          </w:tcPr>
          <w:p w14:paraId="53B4CF8E" w14:textId="656BCB6E" w:rsidR="00241CE3" w:rsidRPr="00082FCB" w:rsidRDefault="00241CE3" w:rsidP="00241CE3">
            <w:pPr>
              <w:spacing w:line="240" w:lineRule="auto"/>
              <w:rPr>
                <w:color w:val="000000"/>
                <w:szCs w:val="22"/>
                <w:lang w:val="hu-HU"/>
              </w:rPr>
            </w:pPr>
            <w:r w:rsidRPr="00BA5943">
              <w:rPr>
                <w:bCs/>
                <w:szCs w:val="22"/>
                <w:lang w:val="hu-HU"/>
              </w:rPr>
              <w:t>Csalánkiütéssel és viszketéssel járó túlérzékenységi reakció</w:t>
            </w:r>
            <w:r w:rsidRPr="00082FCB">
              <w:rPr>
                <w:b/>
                <w:bCs/>
                <w:color w:val="000000"/>
                <w:szCs w:val="22"/>
                <w:vertAlign w:val="superscript"/>
                <w:lang w:val="hu-HU"/>
              </w:rPr>
              <w:t xml:space="preserve"> 2</w:t>
            </w:r>
          </w:p>
        </w:tc>
      </w:tr>
      <w:tr w:rsidR="00241CE3" w:rsidRPr="000E2D4D" w14:paraId="2E003796"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2F521E57"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7C62AC85" w14:textId="31900170"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70815E01" w14:textId="61242837" w:rsidR="00241CE3" w:rsidRPr="00082FCB" w:rsidRDefault="00241CE3" w:rsidP="00B52A9F">
            <w:pPr>
              <w:spacing w:line="240" w:lineRule="auto"/>
              <w:rPr>
                <w:color w:val="000000"/>
                <w:szCs w:val="22"/>
                <w:lang w:val="hu-HU"/>
              </w:rPr>
            </w:pPr>
            <w:r w:rsidRPr="00BA5943">
              <w:rPr>
                <w:bCs/>
                <w:color w:val="000000"/>
                <w:szCs w:val="22"/>
                <w:lang w:val="hu-HU"/>
              </w:rPr>
              <w:t xml:space="preserve">Súlyos túlérzékenységi reakciók. A tünetek magukban foglalhatnak arc-, nyelv- és </w:t>
            </w:r>
            <w:r w:rsidR="00BE093D">
              <w:rPr>
                <w:bCs/>
                <w:color w:val="000000"/>
                <w:szCs w:val="22"/>
                <w:lang w:val="hu-HU"/>
              </w:rPr>
              <w:t>torok</w:t>
            </w:r>
            <w:r w:rsidR="00BE093D" w:rsidRPr="00BA5943">
              <w:rPr>
                <w:bCs/>
                <w:color w:val="000000"/>
                <w:szCs w:val="22"/>
                <w:lang w:val="hu-HU"/>
              </w:rPr>
              <w:t>duzzanatot</w:t>
            </w:r>
            <w:r w:rsidRPr="00BA5943">
              <w:rPr>
                <w:bCs/>
                <w:color w:val="000000"/>
                <w:szCs w:val="22"/>
                <w:lang w:val="hu-HU"/>
              </w:rPr>
              <w:t xml:space="preserve">, dyspnoét, tachycardiát, </w:t>
            </w:r>
            <w:r w:rsidR="00B52A9F" w:rsidRPr="00BA5943">
              <w:rPr>
                <w:bCs/>
                <w:color w:val="000000"/>
                <w:szCs w:val="22"/>
                <w:lang w:val="hu-HU"/>
              </w:rPr>
              <w:t>hypot</w:t>
            </w:r>
            <w:r w:rsidR="00B52A9F">
              <w:rPr>
                <w:bCs/>
                <w:color w:val="000000"/>
                <w:szCs w:val="22"/>
                <w:lang w:val="hu-HU"/>
              </w:rPr>
              <w:t>ensió</w:t>
            </w:r>
            <w:r w:rsidR="00B52A9F" w:rsidRPr="00BA5943">
              <w:rPr>
                <w:bCs/>
                <w:color w:val="000000"/>
                <w:szCs w:val="22"/>
                <w:lang w:val="hu-HU"/>
              </w:rPr>
              <w:t xml:space="preserve">t </w:t>
            </w:r>
            <w:r w:rsidRPr="00BA5943">
              <w:rPr>
                <w:bCs/>
                <w:color w:val="000000"/>
                <w:szCs w:val="22"/>
                <w:lang w:val="hu-HU"/>
              </w:rPr>
              <w:t>(anaphylaxia, angioedema, illetve súlyos shock)</w:t>
            </w:r>
            <w:r w:rsidRPr="00BA5943">
              <w:rPr>
                <w:bCs/>
                <w:szCs w:val="22"/>
                <w:vertAlign w:val="superscript"/>
                <w:lang w:val="hu-HU"/>
              </w:rPr>
              <w:t>2</w:t>
            </w:r>
          </w:p>
        </w:tc>
      </w:tr>
      <w:tr w:rsidR="00790E63" w:rsidRPr="00AC3D0B" w14:paraId="2684F6BA" w14:textId="77777777" w:rsidTr="00241CE3">
        <w:tc>
          <w:tcPr>
            <w:tcW w:w="1823" w:type="pct"/>
            <w:tcBorders>
              <w:top w:val="outset" w:sz="6" w:space="0" w:color="7B7B7B"/>
              <w:left w:val="outset" w:sz="6" w:space="0" w:color="7B7B7B"/>
              <w:bottom w:val="outset" w:sz="6" w:space="0" w:color="7B7B7B"/>
              <w:right w:val="outset" w:sz="6" w:space="0" w:color="7B7B7B"/>
            </w:tcBorders>
          </w:tcPr>
          <w:p w14:paraId="6D3E900B" w14:textId="3B2F29AC" w:rsidR="00790E63" w:rsidRPr="00BA5943" w:rsidRDefault="00790E63" w:rsidP="00241CE3">
            <w:pPr>
              <w:spacing w:line="240" w:lineRule="auto"/>
              <w:rPr>
                <w:bCs/>
                <w:szCs w:val="22"/>
                <w:lang w:val="hu-HU"/>
              </w:rPr>
            </w:pPr>
            <w:r w:rsidRPr="00790E63">
              <w:rPr>
                <w:bCs/>
                <w:szCs w:val="22"/>
                <w:lang w:val="hu-HU"/>
              </w:rPr>
              <w:t>Anyagcsere- és táplálkozási betegségek és tünetek</w:t>
            </w:r>
          </w:p>
        </w:tc>
        <w:tc>
          <w:tcPr>
            <w:tcW w:w="968" w:type="pct"/>
            <w:tcBorders>
              <w:top w:val="outset" w:sz="6" w:space="0" w:color="7B7B7B"/>
              <w:left w:val="outset" w:sz="6" w:space="0" w:color="7B7B7B"/>
              <w:bottom w:val="outset" w:sz="6" w:space="0" w:color="7B7B7B"/>
              <w:right w:val="outset" w:sz="6" w:space="0" w:color="7B7B7B"/>
            </w:tcBorders>
          </w:tcPr>
          <w:p w14:paraId="1428F84D" w14:textId="0637F421" w:rsidR="00790E63" w:rsidRPr="00BA5943" w:rsidRDefault="00790E63" w:rsidP="00241CE3">
            <w:pPr>
              <w:spacing w:line="240" w:lineRule="auto"/>
              <w:rPr>
                <w:bCs/>
                <w:color w:val="000000"/>
                <w:szCs w:val="22"/>
                <w:lang w:val="hu-HU"/>
              </w:rPr>
            </w:pPr>
            <w:r w:rsidRPr="00790E63">
              <w:rPr>
                <w:bCs/>
                <w:color w:val="000000"/>
                <w:szCs w:val="22"/>
                <w:lang w:val="hu-HU"/>
              </w:rPr>
              <w:t>Nem ismert</w:t>
            </w:r>
          </w:p>
        </w:tc>
        <w:tc>
          <w:tcPr>
            <w:tcW w:w="2209" w:type="pct"/>
            <w:tcBorders>
              <w:top w:val="outset" w:sz="6" w:space="0" w:color="7B7B7B"/>
              <w:left w:val="outset" w:sz="6" w:space="0" w:color="7B7B7B"/>
              <w:bottom w:val="outset" w:sz="6" w:space="0" w:color="7B7B7B"/>
              <w:right w:val="outset" w:sz="6" w:space="0" w:color="7B7B7B"/>
            </w:tcBorders>
          </w:tcPr>
          <w:p w14:paraId="02CA50A8" w14:textId="4D50CB6C" w:rsidR="00790E63" w:rsidRPr="0053751F" w:rsidRDefault="00790E63" w:rsidP="00241CE3">
            <w:pPr>
              <w:spacing w:line="240" w:lineRule="auto"/>
              <w:rPr>
                <w:bCs/>
                <w:color w:val="000000"/>
                <w:szCs w:val="22"/>
                <w:vertAlign w:val="superscript"/>
                <w:lang w:val="hu-HU"/>
              </w:rPr>
            </w:pPr>
            <w:r w:rsidRPr="00790E63">
              <w:rPr>
                <w:bCs/>
                <w:color w:val="000000"/>
                <w:szCs w:val="22"/>
                <w:lang w:val="hu-HU"/>
              </w:rPr>
              <w:t>Emelkedett anionréssel járó metabolikus acidózis</w:t>
            </w:r>
            <w:r w:rsidR="00E65F08">
              <w:rPr>
                <w:bCs/>
                <w:color w:val="000000"/>
                <w:szCs w:val="22"/>
                <w:vertAlign w:val="superscript"/>
                <w:lang w:val="hu-HU"/>
              </w:rPr>
              <w:t>10</w:t>
            </w:r>
          </w:p>
        </w:tc>
      </w:tr>
      <w:tr w:rsidR="00241CE3" w:rsidRPr="00082FCB" w14:paraId="0361E8F7"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59614CA2" w14:textId="67FD7C13" w:rsidR="00241CE3" w:rsidRPr="00082FCB" w:rsidRDefault="00241CE3" w:rsidP="00241CE3">
            <w:pPr>
              <w:spacing w:line="240" w:lineRule="auto"/>
              <w:rPr>
                <w:color w:val="000000"/>
                <w:szCs w:val="22"/>
                <w:lang w:val="hu-HU"/>
              </w:rPr>
            </w:pPr>
            <w:r w:rsidRPr="00BA5943">
              <w:rPr>
                <w:bCs/>
                <w:szCs w:val="22"/>
                <w:lang w:val="hu-HU"/>
              </w:rPr>
              <w:t>Pszichiátriai kórképek</w:t>
            </w:r>
          </w:p>
        </w:tc>
        <w:tc>
          <w:tcPr>
            <w:tcW w:w="968" w:type="pct"/>
            <w:tcBorders>
              <w:top w:val="outset" w:sz="6" w:space="0" w:color="7B7B7B"/>
              <w:left w:val="outset" w:sz="6" w:space="0" w:color="7B7B7B"/>
              <w:bottom w:val="outset" w:sz="6" w:space="0" w:color="7B7B7B"/>
              <w:right w:val="outset" w:sz="6" w:space="0" w:color="7B7B7B"/>
            </w:tcBorders>
            <w:hideMark/>
          </w:tcPr>
          <w:p w14:paraId="04C5C636" w14:textId="16C0C3D2"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3251B38D" w14:textId="370132AD" w:rsidR="00241CE3" w:rsidRPr="00082FCB" w:rsidRDefault="00241CE3" w:rsidP="00241CE3">
            <w:pPr>
              <w:spacing w:line="240" w:lineRule="auto"/>
              <w:rPr>
                <w:color w:val="000000"/>
                <w:szCs w:val="22"/>
                <w:lang w:val="hu-HU"/>
              </w:rPr>
            </w:pPr>
            <w:r w:rsidRPr="00BA5943">
              <w:rPr>
                <w:bCs/>
                <w:color w:val="000000"/>
                <w:szCs w:val="22"/>
                <w:lang w:val="hu-HU"/>
              </w:rPr>
              <w:t>Zavarodottság, depresszió és hallucinációk</w:t>
            </w:r>
          </w:p>
        </w:tc>
      </w:tr>
      <w:tr w:rsidR="00241CE3" w:rsidRPr="00082FCB" w14:paraId="6FB29925" w14:textId="77777777" w:rsidTr="00241CE3">
        <w:tc>
          <w:tcPr>
            <w:tcW w:w="1823" w:type="pct"/>
            <w:vMerge w:val="restart"/>
            <w:tcBorders>
              <w:top w:val="outset" w:sz="6" w:space="0" w:color="7B7B7B"/>
              <w:left w:val="outset" w:sz="6" w:space="0" w:color="7B7B7B"/>
              <w:bottom w:val="outset" w:sz="6" w:space="0" w:color="7B7B7B"/>
              <w:right w:val="outset" w:sz="6" w:space="0" w:color="7B7B7B"/>
            </w:tcBorders>
            <w:hideMark/>
          </w:tcPr>
          <w:p w14:paraId="5E32FCCF" w14:textId="5FB44270" w:rsidR="00241CE3" w:rsidRPr="00082FCB" w:rsidRDefault="00241CE3" w:rsidP="00241CE3">
            <w:pPr>
              <w:spacing w:line="240" w:lineRule="auto"/>
              <w:rPr>
                <w:color w:val="000000"/>
                <w:szCs w:val="22"/>
                <w:lang w:val="hu-HU"/>
              </w:rPr>
            </w:pPr>
            <w:r w:rsidRPr="00BA5943">
              <w:rPr>
                <w:bCs/>
                <w:szCs w:val="22"/>
                <w:lang w:val="hu-HU"/>
              </w:rPr>
              <w:t>Idegrendszeri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65196A10" w14:textId="5301AF67" w:rsidR="00241CE3" w:rsidRPr="00082FCB" w:rsidRDefault="00241CE3" w:rsidP="00241CE3">
            <w:pPr>
              <w:spacing w:line="240" w:lineRule="auto"/>
              <w:rPr>
                <w:color w:val="000000"/>
                <w:szCs w:val="22"/>
                <w:lang w:val="hu-HU"/>
              </w:rPr>
            </w:pPr>
            <w:r w:rsidRPr="00BA5943">
              <w:rPr>
                <w:bCs/>
                <w:szCs w:val="22"/>
                <w:lang w:val="hu-HU"/>
              </w:rPr>
              <w:t>Nem gyakori</w:t>
            </w:r>
          </w:p>
        </w:tc>
        <w:tc>
          <w:tcPr>
            <w:tcW w:w="2209" w:type="pct"/>
            <w:tcBorders>
              <w:top w:val="outset" w:sz="6" w:space="0" w:color="7B7B7B"/>
              <w:left w:val="outset" w:sz="6" w:space="0" w:color="7B7B7B"/>
              <w:bottom w:val="outset" w:sz="6" w:space="0" w:color="7B7B7B"/>
              <w:right w:val="outset" w:sz="6" w:space="0" w:color="7B7B7B"/>
            </w:tcBorders>
            <w:hideMark/>
          </w:tcPr>
          <w:p w14:paraId="1B06D1FD" w14:textId="242E50D7" w:rsidR="00241CE3" w:rsidRPr="00082FCB" w:rsidRDefault="00241CE3" w:rsidP="00241CE3">
            <w:pPr>
              <w:spacing w:line="240" w:lineRule="auto"/>
              <w:rPr>
                <w:color w:val="000000"/>
                <w:szCs w:val="22"/>
                <w:lang w:val="hu-HU"/>
              </w:rPr>
            </w:pPr>
            <w:r w:rsidRPr="00BA5943">
              <w:rPr>
                <w:bCs/>
                <w:color w:val="000000"/>
                <w:szCs w:val="22"/>
                <w:lang w:val="hu-HU"/>
              </w:rPr>
              <w:t>Fejfájás és szédülés</w:t>
            </w:r>
          </w:p>
        </w:tc>
      </w:tr>
      <w:tr w:rsidR="00241CE3" w:rsidRPr="000E2D4D" w14:paraId="74B1441A"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31AA1029"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643AC823" w14:textId="635D7B94"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77BA42DD" w14:textId="5D2933E7" w:rsidR="00241CE3" w:rsidRPr="00BA5943" w:rsidRDefault="007D3F69" w:rsidP="00241CE3">
            <w:pPr>
              <w:spacing w:line="240" w:lineRule="auto"/>
              <w:rPr>
                <w:bCs/>
                <w:szCs w:val="22"/>
                <w:lang w:val="hu-HU"/>
              </w:rPr>
            </w:pPr>
            <w:r>
              <w:rPr>
                <w:bCs/>
                <w:szCs w:val="22"/>
                <w:lang w:val="hu-HU"/>
              </w:rPr>
              <w:t>Asepticus</w:t>
            </w:r>
            <w:r w:rsidR="00241CE3" w:rsidRPr="00BA5943">
              <w:rPr>
                <w:bCs/>
                <w:szCs w:val="22"/>
                <w:lang w:val="hu-HU"/>
              </w:rPr>
              <w:t xml:space="preserve"> meningitis</w:t>
            </w:r>
            <w:r w:rsidR="00E65F08">
              <w:rPr>
                <w:bCs/>
                <w:szCs w:val="22"/>
                <w:vertAlign w:val="superscript"/>
                <w:lang w:val="hu-HU"/>
              </w:rPr>
              <w:t>3</w:t>
            </w:r>
            <w:r w:rsidR="00241CE3" w:rsidRPr="00BA5943">
              <w:rPr>
                <w:bCs/>
                <w:szCs w:val="22"/>
                <w:lang w:val="hu-HU"/>
              </w:rPr>
              <w:t>, paraesthesia,</w:t>
            </w:r>
          </w:p>
          <w:p w14:paraId="3E1CDF5A" w14:textId="3FA41B8F" w:rsidR="00241CE3" w:rsidRPr="00082FCB" w:rsidRDefault="00241CE3" w:rsidP="00241CE3">
            <w:pPr>
              <w:spacing w:line="240" w:lineRule="auto"/>
              <w:rPr>
                <w:color w:val="000000"/>
                <w:szCs w:val="22"/>
                <w:lang w:val="hu-HU"/>
              </w:rPr>
            </w:pPr>
            <w:r w:rsidRPr="00BA5943">
              <w:rPr>
                <w:bCs/>
                <w:szCs w:val="22"/>
                <w:lang w:val="hu-HU"/>
              </w:rPr>
              <w:t>látóideggyulladás és aluszékonyság</w:t>
            </w:r>
          </w:p>
        </w:tc>
      </w:tr>
      <w:tr w:rsidR="00241CE3" w:rsidRPr="00082FCB" w14:paraId="2613EB04"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4F8E936E" w14:textId="35630483" w:rsidR="00241CE3" w:rsidRPr="00082FCB" w:rsidRDefault="00241CE3" w:rsidP="00241CE3">
            <w:pPr>
              <w:spacing w:line="240" w:lineRule="auto"/>
              <w:rPr>
                <w:color w:val="000000"/>
                <w:szCs w:val="22"/>
                <w:lang w:val="hu-HU"/>
              </w:rPr>
            </w:pPr>
            <w:r w:rsidRPr="00BA5943">
              <w:rPr>
                <w:bCs/>
                <w:szCs w:val="22"/>
                <w:lang w:val="hu-HU"/>
              </w:rPr>
              <w:t>Szembetegségek és szemészeti tünetek</w:t>
            </w:r>
          </w:p>
        </w:tc>
        <w:tc>
          <w:tcPr>
            <w:tcW w:w="968" w:type="pct"/>
            <w:tcBorders>
              <w:top w:val="outset" w:sz="6" w:space="0" w:color="7B7B7B"/>
              <w:left w:val="outset" w:sz="6" w:space="0" w:color="7B7B7B"/>
              <w:bottom w:val="outset" w:sz="6" w:space="0" w:color="7B7B7B"/>
              <w:right w:val="outset" w:sz="6" w:space="0" w:color="7B7B7B"/>
            </w:tcBorders>
            <w:hideMark/>
          </w:tcPr>
          <w:p w14:paraId="2BBAB1B6" w14:textId="44A83121"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34406949" w14:textId="39905CB6" w:rsidR="00241CE3" w:rsidRPr="00082FCB" w:rsidRDefault="00241CE3" w:rsidP="00241CE3">
            <w:pPr>
              <w:spacing w:line="240" w:lineRule="auto"/>
              <w:rPr>
                <w:color w:val="000000"/>
                <w:szCs w:val="22"/>
                <w:lang w:val="hu-HU"/>
              </w:rPr>
            </w:pPr>
            <w:r w:rsidRPr="00BA5943">
              <w:rPr>
                <w:bCs/>
                <w:color w:val="000000"/>
                <w:szCs w:val="22"/>
                <w:lang w:val="hu-HU"/>
              </w:rPr>
              <w:t>Látászavarok</w:t>
            </w:r>
          </w:p>
        </w:tc>
      </w:tr>
      <w:tr w:rsidR="00241CE3" w:rsidRPr="00082FCB" w14:paraId="74F7F167"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652BB598" w14:textId="0ECB5A9A" w:rsidR="00241CE3" w:rsidRPr="00082FCB" w:rsidRDefault="00241CE3" w:rsidP="00241CE3">
            <w:pPr>
              <w:spacing w:line="240" w:lineRule="auto"/>
              <w:rPr>
                <w:color w:val="000000"/>
                <w:szCs w:val="22"/>
                <w:lang w:val="hu-HU"/>
              </w:rPr>
            </w:pPr>
            <w:r w:rsidRPr="00BA5943">
              <w:rPr>
                <w:bCs/>
                <w:szCs w:val="22"/>
                <w:lang w:val="hu-HU"/>
              </w:rPr>
              <w:t>A fül és az egyensúly-érzékelő szerv betegségei és tünetei</w:t>
            </w:r>
          </w:p>
        </w:tc>
        <w:tc>
          <w:tcPr>
            <w:tcW w:w="968" w:type="pct"/>
            <w:tcBorders>
              <w:top w:val="outset" w:sz="6" w:space="0" w:color="7B7B7B"/>
              <w:left w:val="outset" w:sz="6" w:space="0" w:color="7B7B7B"/>
              <w:bottom w:val="outset" w:sz="6" w:space="0" w:color="7B7B7B"/>
              <w:right w:val="outset" w:sz="6" w:space="0" w:color="7B7B7B"/>
            </w:tcBorders>
            <w:hideMark/>
          </w:tcPr>
          <w:p w14:paraId="58E26A73" w14:textId="2D740DE2"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011A9CA4" w14:textId="7626C78B" w:rsidR="00241CE3" w:rsidRPr="00082FCB" w:rsidRDefault="00241CE3" w:rsidP="00241CE3">
            <w:pPr>
              <w:spacing w:line="240" w:lineRule="auto"/>
              <w:rPr>
                <w:color w:val="000000"/>
                <w:szCs w:val="22"/>
                <w:lang w:val="hu-HU"/>
              </w:rPr>
            </w:pPr>
            <w:r w:rsidRPr="00BA5943">
              <w:rPr>
                <w:bCs/>
                <w:color w:val="000000"/>
                <w:szCs w:val="22"/>
                <w:lang w:val="hu-HU"/>
              </w:rPr>
              <w:t>Tinnitus és vertigo</w:t>
            </w:r>
          </w:p>
        </w:tc>
      </w:tr>
      <w:tr w:rsidR="00241CE3" w:rsidRPr="00082FCB" w14:paraId="5ED5902C"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66F4F49A" w14:textId="366A29C0" w:rsidR="00241CE3" w:rsidRPr="00082FCB" w:rsidRDefault="00241CE3" w:rsidP="00241CE3">
            <w:pPr>
              <w:spacing w:line="240" w:lineRule="auto"/>
              <w:rPr>
                <w:color w:val="000000"/>
                <w:szCs w:val="22"/>
                <w:lang w:val="hu-HU"/>
              </w:rPr>
            </w:pPr>
            <w:r w:rsidRPr="00BA5943">
              <w:rPr>
                <w:bCs/>
                <w:szCs w:val="22"/>
                <w:lang w:val="hu-HU"/>
              </w:rPr>
              <w:t>Szívbetegségek és a szívvel kapcsolatos tünetek</w:t>
            </w:r>
          </w:p>
        </w:tc>
        <w:tc>
          <w:tcPr>
            <w:tcW w:w="968" w:type="pct"/>
            <w:tcBorders>
              <w:top w:val="outset" w:sz="6" w:space="0" w:color="7B7B7B"/>
              <w:left w:val="outset" w:sz="6" w:space="0" w:color="7B7B7B"/>
              <w:bottom w:val="outset" w:sz="6" w:space="0" w:color="7B7B7B"/>
              <w:right w:val="outset" w:sz="6" w:space="0" w:color="7B7B7B"/>
            </w:tcBorders>
            <w:hideMark/>
          </w:tcPr>
          <w:p w14:paraId="5E58AACF" w14:textId="5B7933E2" w:rsidR="00241CE3" w:rsidRPr="00082FCB" w:rsidRDefault="00241CE3" w:rsidP="00241CE3">
            <w:pPr>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0A9DB280" w14:textId="10B916E3" w:rsidR="00241CE3" w:rsidRPr="00082FCB" w:rsidRDefault="00241CE3" w:rsidP="00241CE3">
            <w:pPr>
              <w:spacing w:line="240" w:lineRule="auto"/>
              <w:rPr>
                <w:color w:val="000000"/>
                <w:szCs w:val="22"/>
                <w:lang w:val="hu-HU"/>
              </w:rPr>
            </w:pPr>
            <w:r w:rsidRPr="00BA5943">
              <w:rPr>
                <w:bCs/>
                <w:szCs w:val="22"/>
                <w:lang w:val="hu-HU"/>
              </w:rPr>
              <w:t>Szívelégtelenség</w:t>
            </w:r>
            <w:r>
              <w:rPr>
                <w:bCs/>
                <w:szCs w:val="22"/>
                <w:lang w:val="hu-HU"/>
              </w:rPr>
              <w:t xml:space="preserve"> és ödéma</w:t>
            </w:r>
            <w:r w:rsidR="00790E63">
              <w:rPr>
                <w:bCs/>
                <w:szCs w:val="22"/>
                <w:vertAlign w:val="superscript"/>
                <w:lang w:val="hu-HU"/>
              </w:rPr>
              <w:t>5</w:t>
            </w:r>
          </w:p>
        </w:tc>
      </w:tr>
      <w:tr w:rsidR="00241CE3" w:rsidRPr="00082FCB" w14:paraId="576C4876"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4208C040" w14:textId="7C1D898D" w:rsidR="00241CE3" w:rsidRPr="00082FCB" w:rsidRDefault="00241CE3" w:rsidP="00241CE3">
            <w:pPr>
              <w:spacing w:line="240" w:lineRule="auto"/>
              <w:rPr>
                <w:color w:val="000000"/>
                <w:szCs w:val="22"/>
                <w:lang w:val="hu-HU"/>
              </w:rPr>
            </w:pPr>
            <w:r w:rsidRPr="00BA5943">
              <w:rPr>
                <w:bCs/>
                <w:szCs w:val="22"/>
                <w:lang w:val="hu-HU"/>
              </w:rPr>
              <w:t>Érbetegségek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64C4300A" w14:textId="7C99D98D" w:rsidR="00241CE3" w:rsidRPr="00082FCB" w:rsidRDefault="00241CE3" w:rsidP="00241CE3">
            <w:pPr>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5573D2D6" w14:textId="27AFC082" w:rsidR="00241CE3" w:rsidRPr="00082FCB" w:rsidRDefault="00B52A9F" w:rsidP="00B52A9F">
            <w:pPr>
              <w:spacing w:line="240" w:lineRule="auto"/>
              <w:rPr>
                <w:color w:val="000000"/>
                <w:szCs w:val="22"/>
                <w:lang w:val="hu-HU"/>
              </w:rPr>
            </w:pPr>
            <w:r w:rsidRPr="00BA5943">
              <w:rPr>
                <w:bCs/>
                <w:szCs w:val="22"/>
                <w:lang w:val="hu-HU"/>
              </w:rPr>
              <w:t>Hypert</w:t>
            </w:r>
            <w:r>
              <w:rPr>
                <w:bCs/>
                <w:szCs w:val="22"/>
                <w:lang w:val="hu-HU"/>
              </w:rPr>
              <w:t>ensio</w:t>
            </w:r>
            <w:r w:rsidR="00E65F08">
              <w:rPr>
                <w:bCs/>
                <w:szCs w:val="22"/>
                <w:vertAlign w:val="superscript"/>
                <w:lang w:val="hu-HU"/>
              </w:rPr>
              <w:t>4</w:t>
            </w:r>
          </w:p>
        </w:tc>
      </w:tr>
      <w:tr w:rsidR="00241CE3" w:rsidRPr="000E2D4D" w14:paraId="04B1E134"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7024C635" w14:textId="67780120" w:rsidR="00241CE3" w:rsidRPr="00082FCB" w:rsidRDefault="00241CE3" w:rsidP="00241CE3">
            <w:pPr>
              <w:spacing w:line="240" w:lineRule="auto"/>
              <w:rPr>
                <w:color w:val="000000"/>
                <w:szCs w:val="22"/>
                <w:lang w:val="hu-HU"/>
              </w:rPr>
            </w:pPr>
            <w:r w:rsidRPr="00BA5943">
              <w:rPr>
                <w:bCs/>
                <w:szCs w:val="22"/>
                <w:lang w:val="hu-HU"/>
              </w:rPr>
              <w:t>Légzőrendszeri, mellkasi és mediastinalis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4DD4DC4F" w14:textId="28456F80"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7A14A2AE" w14:textId="1C78FDFD" w:rsidR="00241CE3" w:rsidRPr="00082FCB" w:rsidRDefault="00241CE3" w:rsidP="00241CE3">
            <w:pPr>
              <w:spacing w:line="240" w:lineRule="auto"/>
              <w:rPr>
                <w:color w:val="000000"/>
                <w:szCs w:val="22"/>
                <w:lang w:val="hu-HU"/>
              </w:rPr>
            </w:pPr>
            <w:r w:rsidRPr="00BA5943">
              <w:rPr>
                <w:bCs/>
                <w:color w:val="000000"/>
                <w:szCs w:val="22"/>
                <w:lang w:val="hu-HU"/>
              </w:rPr>
              <w:t>Légúti reaktivitás, beleértve: asthma, asthma exacerbatio, bronchospasmus és dyspnoe.</w:t>
            </w:r>
            <w:r w:rsidRPr="00BA5943">
              <w:rPr>
                <w:bCs/>
                <w:color w:val="000000"/>
                <w:szCs w:val="22"/>
                <w:vertAlign w:val="superscript"/>
                <w:lang w:val="hu-HU"/>
              </w:rPr>
              <w:t>2</w:t>
            </w:r>
          </w:p>
        </w:tc>
      </w:tr>
      <w:tr w:rsidR="00241CE3" w:rsidRPr="000E2D4D" w14:paraId="25F3A718" w14:textId="77777777" w:rsidTr="00241CE3">
        <w:tc>
          <w:tcPr>
            <w:tcW w:w="1823" w:type="pct"/>
            <w:vMerge w:val="restart"/>
            <w:tcBorders>
              <w:top w:val="outset" w:sz="6" w:space="0" w:color="7B7B7B"/>
              <w:left w:val="outset" w:sz="6" w:space="0" w:color="7B7B7B"/>
              <w:bottom w:val="outset" w:sz="6" w:space="0" w:color="7B7B7B"/>
              <w:right w:val="outset" w:sz="6" w:space="0" w:color="7B7B7B"/>
            </w:tcBorders>
            <w:hideMark/>
          </w:tcPr>
          <w:p w14:paraId="37194243" w14:textId="57CA4DB6" w:rsidR="00241CE3" w:rsidRPr="00082FCB" w:rsidRDefault="00241CE3" w:rsidP="00241CE3">
            <w:pPr>
              <w:spacing w:line="240" w:lineRule="auto"/>
              <w:rPr>
                <w:color w:val="000000"/>
                <w:szCs w:val="22"/>
                <w:lang w:val="hu-HU"/>
              </w:rPr>
            </w:pPr>
            <w:r w:rsidRPr="00BA5943">
              <w:rPr>
                <w:bCs/>
                <w:szCs w:val="22"/>
                <w:lang w:val="hu-HU"/>
              </w:rPr>
              <w:t>Emésztőrendszeri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5F0FCAEC" w14:textId="2AFCAA6F" w:rsidR="00241CE3" w:rsidRPr="00082FCB" w:rsidRDefault="00241CE3" w:rsidP="00241CE3">
            <w:pPr>
              <w:spacing w:line="240" w:lineRule="auto"/>
              <w:rPr>
                <w:color w:val="000000"/>
                <w:szCs w:val="22"/>
                <w:lang w:val="hu-HU"/>
              </w:rPr>
            </w:pPr>
            <w:r w:rsidRPr="00BA5943">
              <w:rPr>
                <w:bCs/>
                <w:szCs w:val="22"/>
                <w:lang w:val="hu-HU"/>
              </w:rPr>
              <w:t>Gyakori</w:t>
            </w:r>
          </w:p>
        </w:tc>
        <w:tc>
          <w:tcPr>
            <w:tcW w:w="2209" w:type="pct"/>
            <w:tcBorders>
              <w:top w:val="outset" w:sz="6" w:space="0" w:color="7B7B7B"/>
              <w:left w:val="outset" w:sz="6" w:space="0" w:color="7B7B7B"/>
              <w:bottom w:val="outset" w:sz="6" w:space="0" w:color="7B7B7B"/>
              <w:right w:val="outset" w:sz="6" w:space="0" w:color="7B7B7B"/>
            </w:tcBorders>
            <w:hideMark/>
          </w:tcPr>
          <w:p w14:paraId="7BE89D9E" w14:textId="68B4A6AE" w:rsidR="00241CE3" w:rsidRPr="00082FCB" w:rsidRDefault="00241CE3" w:rsidP="00241CE3">
            <w:pPr>
              <w:spacing w:line="240" w:lineRule="auto"/>
              <w:rPr>
                <w:color w:val="000000"/>
                <w:szCs w:val="22"/>
                <w:lang w:val="hu-HU"/>
              </w:rPr>
            </w:pPr>
            <w:r w:rsidRPr="00BA5943">
              <w:rPr>
                <w:bCs/>
                <w:szCs w:val="22"/>
                <w:lang w:val="hu-HU"/>
              </w:rPr>
              <w:t>Hasi fájdalom,</w:t>
            </w:r>
            <w:r>
              <w:rPr>
                <w:bCs/>
                <w:szCs w:val="22"/>
                <w:lang w:val="hu-HU"/>
              </w:rPr>
              <w:t xml:space="preserve"> </w:t>
            </w:r>
            <w:r w:rsidRPr="00BA5943">
              <w:rPr>
                <w:bCs/>
                <w:szCs w:val="22"/>
                <w:lang w:val="hu-HU"/>
              </w:rPr>
              <w:t>hányás, hasmenés, dyspepsia, nausea és hasi diszkomfort</w:t>
            </w:r>
            <w:r w:rsidR="00E65F08">
              <w:rPr>
                <w:bCs/>
                <w:szCs w:val="22"/>
                <w:vertAlign w:val="superscript"/>
                <w:lang w:val="hu-HU"/>
              </w:rPr>
              <w:t>5</w:t>
            </w:r>
            <w:r w:rsidRPr="00BA5943">
              <w:rPr>
                <w:bCs/>
                <w:szCs w:val="22"/>
                <w:lang w:val="hu-HU"/>
              </w:rPr>
              <w:t xml:space="preserve"> </w:t>
            </w:r>
          </w:p>
        </w:tc>
      </w:tr>
      <w:tr w:rsidR="00241CE3" w:rsidRPr="000E2D4D" w14:paraId="5EF6330A"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0F5DFE64"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23F4FE6C" w14:textId="7D85EFCD" w:rsidR="00241CE3" w:rsidRPr="00082FCB" w:rsidRDefault="00241CE3" w:rsidP="00241CE3">
            <w:pPr>
              <w:spacing w:line="240" w:lineRule="auto"/>
              <w:rPr>
                <w:color w:val="000000"/>
                <w:szCs w:val="22"/>
                <w:lang w:val="hu-HU"/>
              </w:rPr>
            </w:pPr>
            <w:r w:rsidRPr="00BA5943">
              <w:rPr>
                <w:bCs/>
                <w:szCs w:val="22"/>
                <w:lang w:val="hu-HU"/>
              </w:rPr>
              <w:t>Nem gyakori</w:t>
            </w:r>
          </w:p>
        </w:tc>
        <w:tc>
          <w:tcPr>
            <w:tcW w:w="2209" w:type="pct"/>
            <w:tcBorders>
              <w:top w:val="outset" w:sz="6" w:space="0" w:color="7B7B7B"/>
              <w:left w:val="outset" w:sz="6" w:space="0" w:color="7B7B7B"/>
              <w:bottom w:val="outset" w:sz="6" w:space="0" w:color="7B7B7B"/>
              <w:right w:val="outset" w:sz="6" w:space="0" w:color="7B7B7B"/>
            </w:tcBorders>
            <w:hideMark/>
          </w:tcPr>
          <w:p w14:paraId="08D142A4" w14:textId="2E326E7B" w:rsidR="00241CE3" w:rsidRPr="00082FCB" w:rsidRDefault="00241CE3" w:rsidP="00241CE3">
            <w:pPr>
              <w:spacing w:line="240" w:lineRule="auto"/>
              <w:rPr>
                <w:color w:val="000000"/>
                <w:szCs w:val="22"/>
                <w:lang w:val="hu-HU"/>
              </w:rPr>
            </w:pPr>
            <w:r w:rsidRPr="00BA5943">
              <w:rPr>
                <w:bCs/>
                <w:szCs w:val="22"/>
                <w:lang w:val="hu-HU"/>
              </w:rPr>
              <w:t>Peptikus fekély, gastrointestinalis perforatio vagy gastrointestialis haemorrhagia, melaena, haematemesis</w:t>
            </w:r>
            <w:r w:rsidR="00E65F08">
              <w:rPr>
                <w:bCs/>
                <w:szCs w:val="22"/>
                <w:vertAlign w:val="superscript"/>
                <w:lang w:val="hu-HU"/>
              </w:rPr>
              <w:t>6</w:t>
            </w:r>
            <w:r w:rsidRPr="00BA5943">
              <w:rPr>
                <w:bCs/>
                <w:szCs w:val="22"/>
                <w:lang w:val="hu-HU"/>
              </w:rPr>
              <w:t>, szájüregi fekélyek, a colitis ulcerosa és Crohn-betegség</w:t>
            </w:r>
            <w:r w:rsidR="00E65F08">
              <w:rPr>
                <w:bCs/>
                <w:szCs w:val="22"/>
                <w:vertAlign w:val="superscript"/>
                <w:lang w:val="hu-HU"/>
              </w:rPr>
              <w:t>7</w:t>
            </w:r>
            <w:r w:rsidRPr="00BA5943">
              <w:rPr>
                <w:bCs/>
                <w:szCs w:val="22"/>
                <w:lang w:val="hu-HU"/>
              </w:rPr>
              <w:t xml:space="preserve"> súlyosbodása, </w:t>
            </w:r>
            <w:r>
              <w:rPr>
                <w:bCs/>
                <w:szCs w:val="22"/>
                <w:lang w:val="hu-HU"/>
              </w:rPr>
              <w:t>gastritis, pancreatitis,</w:t>
            </w:r>
            <w:r w:rsidRPr="00BA5943">
              <w:rPr>
                <w:bCs/>
                <w:szCs w:val="22"/>
                <w:lang w:val="hu-HU"/>
              </w:rPr>
              <w:t xml:space="preserve"> flatulentia és székrekedés.</w:t>
            </w:r>
          </w:p>
        </w:tc>
      </w:tr>
      <w:tr w:rsidR="00241CE3" w:rsidRPr="000E2D4D" w14:paraId="5CCEBB33"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2610FFF2" w14:textId="5D0CEE1E" w:rsidR="00241CE3" w:rsidRPr="00082FCB" w:rsidRDefault="00241CE3" w:rsidP="00241CE3">
            <w:pPr>
              <w:spacing w:line="240" w:lineRule="auto"/>
              <w:rPr>
                <w:color w:val="000000"/>
                <w:szCs w:val="22"/>
                <w:lang w:val="hu-HU"/>
              </w:rPr>
            </w:pPr>
            <w:r w:rsidRPr="00BA5943">
              <w:rPr>
                <w:bCs/>
                <w:szCs w:val="22"/>
                <w:lang w:val="hu-HU"/>
              </w:rPr>
              <w:t>Máj- és epebetegségek, illetve tünetek</w:t>
            </w:r>
          </w:p>
        </w:tc>
        <w:tc>
          <w:tcPr>
            <w:tcW w:w="968" w:type="pct"/>
            <w:tcBorders>
              <w:top w:val="outset" w:sz="6" w:space="0" w:color="7B7B7B"/>
              <w:left w:val="outset" w:sz="6" w:space="0" w:color="7B7B7B"/>
              <w:bottom w:val="outset" w:sz="6" w:space="0" w:color="7B7B7B"/>
              <w:right w:val="outset" w:sz="6" w:space="0" w:color="7B7B7B"/>
            </w:tcBorders>
            <w:hideMark/>
          </w:tcPr>
          <w:p w14:paraId="75379D4F" w14:textId="32E3FD7E" w:rsidR="00241CE3" w:rsidRPr="00082FCB" w:rsidRDefault="00241CE3" w:rsidP="00241CE3">
            <w:pPr>
              <w:spacing w:line="240" w:lineRule="auto"/>
              <w:rPr>
                <w:color w:val="000000"/>
                <w:szCs w:val="22"/>
                <w:lang w:val="hu-HU"/>
              </w:rPr>
            </w:pPr>
            <w:r w:rsidRPr="00BA5943">
              <w:rPr>
                <w:bCs/>
                <w:color w:val="000000"/>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3568CA82" w14:textId="5FC53AED" w:rsidR="00241CE3" w:rsidRPr="00BA5943" w:rsidRDefault="00241CE3" w:rsidP="00241CE3">
            <w:pPr>
              <w:spacing w:line="240" w:lineRule="auto"/>
              <w:rPr>
                <w:bCs/>
                <w:color w:val="000000"/>
                <w:szCs w:val="22"/>
                <w:lang w:val="hu-HU"/>
              </w:rPr>
            </w:pPr>
            <w:r w:rsidRPr="00BA5943">
              <w:rPr>
                <w:bCs/>
                <w:color w:val="000000"/>
                <w:szCs w:val="22"/>
                <w:lang w:val="hu-HU"/>
              </w:rPr>
              <w:t>Kóros májfunkció, hepatitis és sárgaság</w:t>
            </w:r>
            <w:r w:rsidR="00E65F08">
              <w:rPr>
                <w:bCs/>
                <w:color w:val="000000"/>
                <w:szCs w:val="22"/>
                <w:vertAlign w:val="superscript"/>
                <w:lang w:val="hu-HU"/>
              </w:rPr>
              <w:t>8</w:t>
            </w:r>
            <w:r w:rsidRPr="00BA5943">
              <w:rPr>
                <w:bCs/>
                <w:color w:val="000000"/>
                <w:szCs w:val="22"/>
                <w:lang w:val="hu-HU"/>
              </w:rPr>
              <w:t>.</w:t>
            </w:r>
          </w:p>
          <w:p w14:paraId="719ADAF4" w14:textId="6F80A5E2" w:rsidR="00241CE3" w:rsidRPr="00082FCB" w:rsidRDefault="00241CE3" w:rsidP="00241CE3">
            <w:pPr>
              <w:spacing w:line="240" w:lineRule="auto"/>
              <w:rPr>
                <w:color w:val="000000"/>
                <w:szCs w:val="22"/>
                <w:lang w:val="hu-HU"/>
              </w:rPr>
            </w:pPr>
          </w:p>
        </w:tc>
      </w:tr>
      <w:tr w:rsidR="00241CE3" w:rsidRPr="00082FCB" w14:paraId="7BBCE09A" w14:textId="77777777" w:rsidTr="00241CE3">
        <w:tc>
          <w:tcPr>
            <w:tcW w:w="1823" w:type="pct"/>
            <w:vMerge w:val="restart"/>
            <w:tcBorders>
              <w:top w:val="outset" w:sz="6" w:space="0" w:color="7B7B7B"/>
              <w:left w:val="outset" w:sz="6" w:space="0" w:color="7B7B7B"/>
              <w:bottom w:val="outset" w:sz="6" w:space="0" w:color="7B7B7B"/>
              <w:right w:val="outset" w:sz="6" w:space="0" w:color="7B7B7B"/>
            </w:tcBorders>
            <w:hideMark/>
          </w:tcPr>
          <w:p w14:paraId="01F07769" w14:textId="52B95402" w:rsidR="00241CE3" w:rsidRPr="00082FCB" w:rsidRDefault="00241CE3" w:rsidP="00241CE3">
            <w:pPr>
              <w:spacing w:line="240" w:lineRule="auto"/>
              <w:rPr>
                <w:color w:val="000000"/>
                <w:szCs w:val="22"/>
                <w:lang w:val="hu-HU"/>
              </w:rPr>
            </w:pPr>
            <w:r w:rsidRPr="00BA5943">
              <w:rPr>
                <w:bCs/>
                <w:szCs w:val="22"/>
                <w:lang w:val="hu-HU"/>
              </w:rPr>
              <w:t>A bőr és a bőr alatti szövet betegségei és tünetei</w:t>
            </w:r>
          </w:p>
        </w:tc>
        <w:tc>
          <w:tcPr>
            <w:tcW w:w="968" w:type="pct"/>
            <w:tcBorders>
              <w:top w:val="outset" w:sz="6" w:space="0" w:color="7B7B7B"/>
              <w:left w:val="outset" w:sz="6" w:space="0" w:color="7B7B7B"/>
              <w:bottom w:val="outset" w:sz="6" w:space="0" w:color="7B7B7B"/>
              <w:right w:val="outset" w:sz="6" w:space="0" w:color="7B7B7B"/>
            </w:tcBorders>
            <w:hideMark/>
          </w:tcPr>
          <w:p w14:paraId="0121AF7F" w14:textId="557EA990" w:rsidR="00241CE3" w:rsidRPr="00082FCB" w:rsidRDefault="00241CE3" w:rsidP="00241CE3">
            <w:pPr>
              <w:spacing w:line="240" w:lineRule="auto"/>
              <w:rPr>
                <w:color w:val="000000"/>
                <w:szCs w:val="22"/>
                <w:lang w:val="hu-HU"/>
              </w:rPr>
            </w:pPr>
            <w:r w:rsidRPr="00BA5943">
              <w:rPr>
                <w:bCs/>
                <w:szCs w:val="22"/>
                <w:lang w:val="hu-HU"/>
              </w:rPr>
              <w:t xml:space="preserve">Gyakori </w:t>
            </w:r>
          </w:p>
        </w:tc>
        <w:tc>
          <w:tcPr>
            <w:tcW w:w="2209" w:type="pct"/>
            <w:tcBorders>
              <w:top w:val="outset" w:sz="6" w:space="0" w:color="7B7B7B"/>
              <w:left w:val="outset" w:sz="6" w:space="0" w:color="7B7B7B"/>
              <w:bottom w:val="outset" w:sz="6" w:space="0" w:color="7B7B7B"/>
              <w:right w:val="outset" w:sz="6" w:space="0" w:color="7B7B7B"/>
            </w:tcBorders>
            <w:hideMark/>
          </w:tcPr>
          <w:p w14:paraId="04563F09" w14:textId="2C727290" w:rsidR="00241CE3" w:rsidRPr="00082FCB" w:rsidRDefault="00241CE3" w:rsidP="00241CE3">
            <w:pPr>
              <w:spacing w:line="240" w:lineRule="auto"/>
              <w:rPr>
                <w:color w:val="000000"/>
                <w:szCs w:val="22"/>
                <w:lang w:val="hu-HU"/>
              </w:rPr>
            </w:pPr>
            <w:r w:rsidRPr="00BA5943">
              <w:rPr>
                <w:bCs/>
                <w:szCs w:val="22"/>
                <w:lang w:val="hu-HU"/>
              </w:rPr>
              <w:t xml:space="preserve">Hyperhidrosis </w:t>
            </w:r>
          </w:p>
        </w:tc>
      </w:tr>
      <w:tr w:rsidR="00241CE3" w:rsidRPr="00082FCB" w14:paraId="479A2CFF"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180164B2"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0880CA2C" w14:textId="5B8CE4A7" w:rsidR="00241CE3" w:rsidRPr="00082FCB" w:rsidRDefault="00241CE3" w:rsidP="00241CE3">
            <w:pPr>
              <w:spacing w:line="240" w:lineRule="auto"/>
              <w:rPr>
                <w:color w:val="000000"/>
                <w:szCs w:val="22"/>
                <w:lang w:val="hu-HU"/>
              </w:rPr>
            </w:pPr>
            <w:r w:rsidRPr="00BA5943">
              <w:rPr>
                <w:bCs/>
                <w:szCs w:val="22"/>
                <w:lang w:val="hu-HU"/>
              </w:rPr>
              <w:t>Nem gyakori</w:t>
            </w:r>
            <w:r w:rsidRPr="00BA5943" w:rsidDel="004F51EC">
              <w:rPr>
                <w:bCs/>
                <w:szCs w:val="22"/>
                <w:lang w:val="hu-HU"/>
              </w:rPr>
              <w:t xml:space="preserve"> </w:t>
            </w:r>
          </w:p>
        </w:tc>
        <w:tc>
          <w:tcPr>
            <w:tcW w:w="2209" w:type="pct"/>
            <w:tcBorders>
              <w:top w:val="outset" w:sz="6" w:space="0" w:color="7B7B7B"/>
              <w:left w:val="outset" w:sz="6" w:space="0" w:color="7B7B7B"/>
              <w:bottom w:val="outset" w:sz="6" w:space="0" w:color="7B7B7B"/>
              <w:right w:val="outset" w:sz="6" w:space="0" w:color="7B7B7B"/>
            </w:tcBorders>
            <w:hideMark/>
          </w:tcPr>
          <w:p w14:paraId="4FD8B4BA" w14:textId="186938A9" w:rsidR="00241CE3" w:rsidRPr="00082FCB" w:rsidRDefault="00241CE3" w:rsidP="00241CE3">
            <w:pPr>
              <w:spacing w:line="240" w:lineRule="auto"/>
              <w:rPr>
                <w:color w:val="000000"/>
                <w:szCs w:val="22"/>
                <w:lang w:val="hu-HU"/>
              </w:rPr>
            </w:pPr>
            <w:r w:rsidRPr="00BA5943">
              <w:rPr>
                <w:bCs/>
                <w:szCs w:val="22"/>
                <w:lang w:val="hu-HU"/>
              </w:rPr>
              <w:t>Különböző bőrkiütések</w:t>
            </w:r>
            <w:r w:rsidRPr="00BA5943">
              <w:rPr>
                <w:bCs/>
                <w:szCs w:val="22"/>
                <w:vertAlign w:val="superscript"/>
                <w:lang w:val="hu-HU"/>
              </w:rPr>
              <w:t>2</w:t>
            </w:r>
          </w:p>
        </w:tc>
      </w:tr>
      <w:tr w:rsidR="00241CE3" w:rsidRPr="00082FCB" w14:paraId="334A98B6"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00BCFBEC"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6D193292" w14:textId="405585F9" w:rsidR="00241CE3" w:rsidRPr="00082FCB" w:rsidRDefault="00241CE3" w:rsidP="00241CE3">
            <w:pPr>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7AB600D3" w14:textId="30C41A4D" w:rsidR="00241CE3" w:rsidRPr="00082FCB" w:rsidRDefault="00241CE3" w:rsidP="001E7931">
            <w:pPr>
              <w:spacing w:line="240" w:lineRule="auto"/>
              <w:rPr>
                <w:color w:val="000000"/>
                <w:szCs w:val="22"/>
                <w:lang w:val="hu-HU"/>
              </w:rPr>
            </w:pPr>
            <w:r w:rsidRPr="00BA5943">
              <w:rPr>
                <w:bCs/>
                <w:szCs w:val="22"/>
                <w:lang w:val="hu-HU"/>
              </w:rPr>
              <w:t>Bullosus reakciók, beleértve a Stevens</w:t>
            </w:r>
            <w:r w:rsidR="00B52A9F">
              <w:rPr>
                <w:bCs/>
                <w:szCs w:val="22"/>
                <w:lang w:val="hu-HU"/>
              </w:rPr>
              <w:t>–</w:t>
            </w:r>
            <w:r w:rsidRPr="00BA5943">
              <w:rPr>
                <w:bCs/>
                <w:szCs w:val="22"/>
                <w:lang w:val="hu-HU"/>
              </w:rPr>
              <w:t>Johnson-szindrómát, az erythema multiform</w:t>
            </w:r>
            <w:r w:rsidR="00B52A9F">
              <w:rPr>
                <w:bCs/>
                <w:szCs w:val="22"/>
                <w:lang w:val="hu-HU"/>
              </w:rPr>
              <w:t>é</w:t>
            </w:r>
            <w:r w:rsidRPr="00BA5943">
              <w:rPr>
                <w:bCs/>
                <w:szCs w:val="22"/>
                <w:lang w:val="hu-HU"/>
              </w:rPr>
              <w:t>t és a toxi</w:t>
            </w:r>
            <w:r w:rsidR="00B52A9F">
              <w:rPr>
                <w:bCs/>
                <w:szCs w:val="22"/>
                <w:lang w:val="hu-HU"/>
              </w:rPr>
              <w:t>c</w:t>
            </w:r>
            <w:r w:rsidRPr="00BA5943">
              <w:rPr>
                <w:bCs/>
                <w:szCs w:val="22"/>
                <w:lang w:val="hu-HU"/>
              </w:rPr>
              <w:t>us epidermalis necrolysist</w:t>
            </w:r>
            <w:r w:rsidRPr="00BA5943">
              <w:rPr>
                <w:bCs/>
                <w:szCs w:val="22"/>
                <w:vertAlign w:val="superscript"/>
                <w:lang w:val="hu-HU"/>
              </w:rPr>
              <w:t>2</w:t>
            </w:r>
            <w:r w:rsidRPr="00BA5943">
              <w:rPr>
                <w:bCs/>
                <w:szCs w:val="22"/>
                <w:lang w:val="hu-HU"/>
              </w:rPr>
              <w:t>. Hámló dermatosisok, purpura.</w:t>
            </w:r>
          </w:p>
        </w:tc>
      </w:tr>
      <w:tr w:rsidR="00241CE3" w:rsidRPr="000E2D4D" w14:paraId="3AD17070"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4FD153E9" w14:textId="77777777" w:rsidR="00241CE3" w:rsidRPr="00082FCB" w:rsidRDefault="00241CE3" w:rsidP="00241CE3">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2C8CEAA9" w14:textId="77A292AE" w:rsidR="00241CE3" w:rsidRPr="00082FCB" w:rsidRDefault="00241CE3" w:rsidP="00241CE3">
            <w:pPr>
              <w:spacing w:line="240" w:lineRule="auto"/>
              <w:rPr>
                <w:color w:val="000000"/>
                <w:szCs w:val="22"/>
                <w:lang w:val="hu-HU"/>
              </w:rPr>
            </w:pPr>
            <w:r w:rsidRPr="00BA5943">
              <w:rPr>
                <w:bCs/>
                <w:szCs w:val="22"/>
                <w:lang w:val="hu-HU"/>
              </w:rPr>
              <w:t>Nem ismert</w:t>
            </w:r>
          </w:p>
        </w:tc>
        <w:tc>
          <w:tcPr>
            <w:tcW w:w="2209" w:type="pct"/>
            <w:tcBorders>
              <w:top w:val="outset" w:sz="6" w:space="0" w:color="7B7B7B"/>
              <w:left w:val="outset" w:sz="6" w:space="0" w:color="7B7B7B"/>
              <w:bottom w:val="outset" w:sz="6" w:space="0" w:color="7B7B7B"/>
              <w:right w:val="outset" w:sz="6" w:space="0" w:color="7B7B7B"/>
            </w:tcBorders>
            <w:hideMark/>
          </w:tcPr>
          <w:p w14:paraId="27B1BBB4" w14:textId="77777777" w:rsidR="00241CE3" w:rsidRPr="00BA5943" w:rsidRDefault="00241CE3" w:rsidP="00241CE3">
            <w:pPr>
              <w:spacing w:line="240" w:lineRule="auto"/>
              <w:rPr>
                <w:bCs/>
                <w:szCs w:val="22"/>
                <w:lang w:val="hu-HU"/>
              </w:rPr>
            </w:pPr>
            <w:r w:rsidRPr="00BA5943">
              <w:rPr>
                <w:bCs/>
                <w:szCs w:val="22"/>
                <w:lang w:val="hu-HU"/>
              </w:rPr>
              <w:t>Gyógyszerreakció eosinophiliával és szisztémás tünetekkel (DRESS-szindróma).</w:t>
            </w:r>
          </w:p>
          <w:p w14:paraId="687ABDA8" w14:textId="77777777" w:rsidR="00241CE3" w:rsidRDefault="00241CE3" w:rsidP="00241CE3">
            <w:pPr>
              <w:spacing w:line="240" w:lineRule="auto"/>
              <w:rPr>
                <w:bCs/>
                <w:szCs w:val="22"/>
                <w:lang w:val="hu-HU"/>
              </w:rPr>
            </w:pPr>
            <w:r w:rsidRPr="00BA5943">
              <w:rPr>
                <w:bCs/>
                <w:szCs w:val="22"/>
                <w:lang w:val="hu-HU"/>
              </w:rPr>
              <w:t>Akut generalizált exanthemás pustulosis (AGEP)</w:t>
            </w:r>
            <w:r>
              <w:rPr>
                <w:bCs/>
                <w:szCs w:val="22"/>
                <w:lang w:val="hu-HU"/>
              </w:rPr>
              <w:t>.</w:t>
            </w:r>
          </w:p>
          <w:p w14:paraId="35132724" w14:textId="47CACAFF" w:rsidR="00241CE3" w:rsidRPr="00082FCB" w:rsidRDefault="00241CE3" w:rsidP="00241CE3">
            <w:pPr>
              <w:spacing w:line="240" w:lineRule="auto"/>
              <w:rPr>
                <w:color w:val="000000"/>
                <w:szCs w:val="22"/>
                <w:lang w:val="hu-HU"/>
              </w:rPr>
            </w:pPr>
            <w:r>
              <w:rPr>
                <w:bCs/>
                <w:szCs w:val="22"/>
                <w:lang w:val="hu-HU"/>
              </w:rPr>
              <w:t>Fényérzékenységi reakciók.</w:t>
            </w:r>
          </w:p>
        </w:tc>
      </w:tr>
      <w:tr w:rsidR="00241CE3" w:rsidRPr="000E2D4D" w14:paraId="627285A7"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0FD342CB" w14:textId="30D4676D" w:rsidR="00241CE3" w:rsidRPr="00082FCB" w:rsidRDefault="00241CE3" w:rsidP="00241CE3">
            <w:pPr>
              <w:spacing w:line="240" w:lineRule="auto"/>
              <w:rPr>
                <w:color w:val="000000"/>
                <w:szCs w:val="22"/>
                <w:lang w:val="hu-HU"/>
              </w:rPr>
            </w:pPr>
            <w:r w:rsidRPr="00BA5943">
              <w:rPr>
                <w:bCs/>
                <w:szCs w:val="22"/>
                <w:lang w:val="hu-HU"/>
              </w:rPr>
              <w:t>Vese- és húgyúti betegségek és tünetek</w:t>
            </w:r>
          </w:p>
        </w:tc>
        <w:tc>
          <w:tcPr>
            <w:tcW w:w="968" w:type="pct"/>
            <w:tcBorders>
              <w:top w:val="outset" w:sz="6" w:space="0" w:color="7B7B7B"/>
              <w:left w:val="outset" w:sz="6" w:space="0" w:color="7B7B7B"/>
              <w:bottom w:val="outset" w:sz="6" w:space="0" w:color="7B7B7B"/>
              <w:right w:val="outset" w:sz="6" w:space="0" w:color="7B7B7B"/>
            </w:tcBorders>
            <w:hideMark/>
          </w:tcPr>
          <w:p w14:paraId="36B631E0" w14:textId="48FA7270" w:rsidR="00241CE3" w:rsidRPr="00082FCB" w:rsidRDefault="00241CE3" w:rsidP="00241CE3">
            <w:pPr>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06A426D6" w14:textId="3DA1B755" w:rsidR="00241CE3" w:rsidRPr="00082FCB" w:rsidRDefault="00241CE3" w:rsidP="00241CE3">
            <w:pPr>
              <w:spacing w:line="240" w:lineRule="auto"/>
              <w:rPr>
                <w:color w:val="000000"/>
                <w:szCs w:val="22"/>
                <w:lang w:val="hu-HU"/>
              </w:rPr>
            </w:pPr>
            <w:r w:rsidRPr="00BA5943">
              <w:rPr>
                <w:bCs/>
                <w:szCs w:val="22"/>
                <w:lang w:val="hu-HU"/>
              </w:rPr>
              <w:t>Nephrotoxicitás különböző formái, köztük interstitialis nephritis, nephrotikus szindróma és akut, illetve krónikus veseelégtelenség</w:t>
            </w:r>
            <w:r w:rsidR="00E65F08">
              <w:rPr>
                <w:bCs/>
                <w:szCs w:val="22"/>
                <w:vertAlign w:val="superscript"/>
                <w:lang w:val="hu-HU"/>
              </w:rPr>
              <w:t>9</w:t>
            </w:r>
            <w:r w:rsidRPr="00BA5943">
              <w:rPr>
                <w:bCs/>
                <w:szCs w:val="22"/>
                <w:lang w:val="hu-HU"/>
              </w:rPr>
              <w:t>.</w:t>
            </w:r>
          </w:p>
        </w:tc>
      </w:tr>
      <w:tr w:rsidR="00241CE3" w:rsidRPr="00082FCB" w14:paraId="2C61C1A1" w14:textId="77777777" w:rsidTr="00241CE3">
        <w:tc>
          <w:tcPr>
            <w:tcW w:w="1823" w:type="pct"/>
            <w:tcBorders>
              <w:top w:val="outset" w:sz="6" w:space="0" w:color="7B7B7B"/>
              <w:left w:val="outset" w:sz="6" w:space="0" w:color="7B7B7B"/>
              <w:bottom w:val="outset" w:sz="6" w:space="0" w:color="7B7B7B"/>
              <w:right w:val="outset" w:sz="6" w:space="0" w:color="7B7B7B"/>
            </w:tcBorders>
            <w:hideMark/>
          </w:tcPr>
          <w:p w14:paraId="5E7E546C" w14:textId="54E507FE" w:rsidR="00241CE3" w:rsidRPr="00082FCB" w:rsidRDefault="00241CE3" w:rsidP="00241CE3">
            <w:pPr>
              <w:spacing w:line="240" w:lineRule="auto"/>
              <w:rPr>
                <w:color w:val="000000"/>
                <w:szCs w:val="22"/>
                <w:lang w:val="hu-HU"/>
              </w:rPr>
            </w:pPr>
            <w:r w:rsidRPr="00BA5943">
              <w:rPr>
                <w:bCs/>
                <w:szCs w:val="22"/>
                <w:lang w:val="hu-HU"/>
              </w:rPr>
              <w:t>Általános tünetek, az alkalmazás helyén</w:t>
            </w:r>
            <w:r w:rsidRPr="00BA5943">
              <w:rPr>
                <w:bCs/>
                <w:color w:val="000000"/>
                <w:szCs w:val="22"/>
                <w:lang w:val="hu-HU"/>
              </w:rPr>
              <w:t xml:space="preserve"> fellépő reakciók</w:t>
            </w:r>
          </w:p>
        </w:tc>
        <w:tc>
          <w:tcPr>
            <w:tcW w:w="968" w:type="pct"/>
            <w:tcBorders>
              <w:top w:val="outset" w:sz="6" w:space="0" w:color="7B7B7B"/>
              <w:left w:val="outset" w:sz="6" w:space="0" w:color="7B7B7B"/>
              <w:bottom w:val="outset" w:sz="6" w:space="0" w:color="7B7B7B"/>
              <w:right w:val="outset" w:sz="6" w:space="0" w:color="7B7B7B"/>
            </w:tcBorders>
            <w:hideMark/>
          </w:tcPr>
          <w:p w14:paraId="2F799DA2" w14:textId="0138977F" w:rsidR="00241CE3" w:rsidRPr="00082FCB" w:rsidRDefault="00241CE3" w:rsidP="00241CE3">
            <w:pPr>
              <w:spacing w:line="240" w:lineRule="auto"/>
              <w:rPr>
                <w:color w:val="000000"/>
                <w:szCs w:val="22"/>
                <w:lang w:val="hu-HU"/>
              </w:rPr>
            </w:pPr>
            <w:r w:rsidRPr="00BA5943">
              <w:rPr>
                <w:bCs/>
                <w:szCs w:val="22"/>
                <w:lang w:val="hu-HU"/>
              </w:rPr>
              <w:t>Nagyon ritka</w:t>
            </w:r>
          </w:p>
        </w:tc>
        <w:tc>
          <w:tcPr>
            <w:tcW w:w="2209" w:type="pct"/>
            <w:tcBorders>
              <w:top w:val="outset" w:sz="6" w:space="0" w:color="7B7B7B"/>
              <w:left w:val="outset" w:sz="6" w:space="0" w:color="7B7B7B"/>
              <w:bottom w:val="outset" w:sz="6" w:space="0" w:color="7B7B7B"/>
              <w:right w:val="outset" w:sz="6" w:space="0" w:color="7B7B7B"/>
            </w:tcBorders>
            <w:hideMark/>
          </w:tcPr>
          <w:p w14:paraId="67A126FE" w14:textId="127649C7" w:rsidR="00241CE3" w:rsidRPr="00082FCB" w:rsidRDefault="00241CE3" w:rsidP="00241CE3">
            <w:pPr>
              <w:spacing w:line="240" w:lineRule="auto"/>
              <w:rPr>
                <w:color w:val="000000"/>
                <w:szCs w:val="22"/>
                <w:lang w:val="hu-HU"/>
              </w:rPr>
            </w:pPr>
            <w:r w:rsidRPr="00BA5943">
              <w:rPr>
                <w:bCs/>
                <w:color w:val="000000"/>
                <w:szCs w:val="22"/>
                <w:lang w:val="hu-HU"/>
              </w:rPr>
              <w:t>Fáradság és rossz közérzet.</w:t>
            </w:r>
          </w:p>
        </w:tc>
      </w:tr>
      <w:tr w:rsidR="003B5079" w:rsidRPr="000E2D4D" w14:paraId="227CC4D8" w14:textId="77777777" w:rsidTr="00241CE3">
        <w:tc>
          <w:tcPr>
            <w:tcW w:w="1823" w:type="pct"/>
            <w:vMerge w:val="restart"/>
            <w:tcBorders>
              <w:top w:val="outset" w:sz="6" w:space="0" w:color="7B7B7B"/>
              <w:left w:val="outset" w:sz="6" w:space="0" w:color="7B7B7B"/>
              <w:bottom w:val="outset" w:sz="6" w:space="0" w:color="7B7B7B"/>
              <w:right w:val="outset" w:sz="6" w:space="0" w:color="7B7B7B"/>
            </w:tcBorders>
            <w:hideMark/>
          </w:tcPr>
          <w:p w14:paraId="2F606F71" w14:textId="77777777" w:rsidR="003B5079" w:rsidRPr="00BA5943" w:rsidRDefault="003B5079" w:rsidP="003B5079">
            <w:pPr>
              <w:spacing w:line="240" w:lineRule="auto"/>
              <w:rPr>
                <w:bCs/>
                <w:szCs w:val="22"/>
                <w:lang w:val="hu-HU"/>
              </w:rPr>
            </w:pPr>
            <w:r w:rsidRPr="00BA5943">
              <w:rPr>
                <w:bCs/>
                <w:szCs w:val="22"/>
                <w:lang w:val="hu-HU"/>
              </w:rPr>
              <w:t>Laboratóriumi és egyéb vizsgálatok eredményei</w:t>
            </w:r>
          </w:p>
          <w:p w14:paraId="21A007D0" w14:textId="77777777" w:rsidR="003B5079" w:rsidRPr="00BA5943" w:rsidRDefault="003B5079" w:rsidP="003B5079">
            <w:pPr>
              <w:spacing w:line="240" w:lineRule="auto"/>
              <w:rPr>
                <w:bCs/>
                <w:szCs w:val="22"/>
                <w:lang w:val="hu-HU"/>
              </w:rPr>
            </w:pPr>
          </w:p>
          <w:p w14:paraId="3D4E11C8" w14:textId="2F7179F5" w:rsidR="003B5079" w:rsidRPr="00082FCB" w:rsidRDefault="003B5079" w:rsidP="003B5079">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770D0CC1" w14:textId="4286EC31" w:rsidR="003B5079" w:rsidRPr="00082FCB" w:rsidRDefault="003B5079" w:rsidP="003B5079">
            <w:pPr>
              <w:spacing w:line="240" w:lineRule="auto"/>
              <w:rPr>
                <w:color w:val="000000"/>
                <w:szCs w:val="22"/>
                <w:lang w:val="hu-HU"/>
              </w:rPr>
            </w:pPr>
            <w:r w:rsidRPr="00BA5943">
              <w:rPr>
                <w:bCs/>
                <w:szCs w:val="22"/>
                <w:lang w:val="hu-HU"/>
              </w:rPr>
              <w:t>Gyakori</w:t>
            </w:r>
          </w:p>
        </w:tc>
        <w:tc>
          <w:tcPr>
            <w:tcW w:w="2209" w:type="pct"/>
            <w:tcBorders>
              <w:top w:val="outset" w:sz="6" w:space="0" w:color="7B7B7B"/>
              <w:left w:val="outset" w:sz="6" w:space="0" w:color="7B7B7B"/>
              <w:bottom w:val="outset" w:sz="6" w:space="0" w:color="7B7B7B"/>
              <w:right w:val="outset" w:sz="6" w:space="0" w:color="7B7B7B"/>
            </w:tcBorders>
            <w:hideMark/>
          </w:tcPr>
          <w:p w14:paraId="5D6258F2" w14:textId="77777777" w:rsidR="003B5079" w:rsidRPr="00BA5943" w:rsidRDefault="003B5079" w:rsidP="003B5079">
            <w:pPr>
              <w:spacing w:line="240" w:lineRule="auto"/>
              <w:rPr>
                <w:bCs/>
                <w:szCs w:val="22"/>
                <w:lang w:val="hu-HU"/>
              </w:rPr>
            </w:pPr>
            <w:r w:rsidRPr="00BA5943">
              <w:rPr>
                <w:bCs/>
                <w:szCs w:val="22"/>
                <w:lang w:val="hu-HU"/>
              </w:rPr>
              <w:t>Emelkedett GPT (glutamát-piruvát-transzamináz; [ALAT])</w:t>
            </w:r>
            <w:r>
              <w:rPr>
                <w:bCs/>
                <w:szCs w:val="22"/>
                <w:lang w:val="hu-HU"/>
              </w:rPr>
              <w:t>,</w:t>
            </w:r>
            <w:r w:rsidRPr="00BA5943">
              <w:rPr>
                <w:bCs/>
                <w:szCs w:val="22"/>
                <w:lang w:val="hu-HU"/>
              </w:rPr>
              <w:t xml:space="preserve"> emelkedett gamma-glutamil-transzferáz-szint és kóros májfunkció vizsgálati értékek paracetamollal</w:t>
            </w:r>
            <w:r>
              <w:rPr>
                <w:bCs/>
                <w:szCs w:val="22"/>
                <w:lang w:val="hu-HU"/>
              </w:rPr>
              <w:t>.</w:t>
            </w:r>
          </w:p>
          <w:p w14:paraId="411A2150" w14:textId="6E31C506" w:rsidR="003B5079" w:rsidRPr="00082FCB" w:rsidRDefault="003B5079" w:rsidP="003B5079">
            <w:pPr>
              <w:spacing w:line="240" w:lineRule="auto"/>
              <w:rPr>
                <w:color w:val="000000"/>
                <w:szCs w:val="22"/>
                <w:lang w:val="hu-HU"/>
              </w:rPr>
            </w:pPr>
            <w:r w:rsidRPr="00BA5943">
              <w:rPr>
                <w:bCs/>
                <w:szCs w:val="22"/>
                <w:lang w:val="hu-HU"/>
              </w:rPr>
              <w:t>Emelkedett kreatinin</w:t>
            </w:r>
            <w:r w:rsidR="00B52A9F">
              <w:rPr>
                <w:bCs/>
                <w:szCs w:val="22"/>
                <w:lang w:val="hu-HU"/>
              </w:rPr>
              <w:t>-</w:t>
            </w:r>
            <w:r w:rsidRPr="00BA5943">
              <w:rPr>
                <w:bCs/>
                <w:szCs w:val="22"/>
                <w:lang w:val="hu-HU"/>
              </w:rPr>
              <w:t>vérszint, emelkedett karbamid vérszint.</w:t>
            </w:r>
          </w:p>
        </w:tc>
      </w:tr>
      <w:tr w:rsidR="003B5079" w:rsidRPr="000E2D4D" w14:paraId="6596261E" w14:textId="77777777" w:rsidTr="000838E2">
        <w:tc>
          <w:tcPr>
            <w:tcW w:w="0" w:type="auto"/>
            <w:vMerge/>
            <w:tcBorders>
              <w:top w:val="outset" w:sz="6" w:space="0" w:color="7B7B7B"/>
              <w:left w:val="outset" w:sz="6" w:space="0" w:color="7B7B7B"/>
              <w:bottom w:val="outset" w:sz="6" w:space="0" w:color="7B7B7B"/>
              <w:right w:val="outset" w:sz="6" w:space="0" w:color="7B7B7B"/>
            </w:tcBorders>
            <w:hideMark/>
          </w:tcPr>
          <w:p w14:paraId="27985096" w14:textId="77777777" w:rsidR="003B5079" w:rsidRPr="00082FCB" w:rsidRDefault="003B5079" w:rsidP="003B5079">
            <w:pPr>
              <w:spacing w:line="240" w:lineRule="auto"/>
              <w:rPr>
                <w:color w:val="000000"/>
                <w:szCs w:val="22"/>
                <w:lang w:val="hu-HU"/>
              </w:rPr>
            </w:pPr>
          </w:p>
        </w:tc>
        <w:tc>
          <w:tcPr>
            <w:tcW w:w="968" w:type="pct"/>
            <w:tcBorders>
              <w:top w:val="outset" w:sz="6" w:space="0" w:color="7B7B7B"/>
              <w:left w:val="outset" w:sz="6" w:space="0" w:color="7B7B7B"/>
              <w:bottom w:val="outset" w:sz="6" w:space="0" w:color="7B7B7B"/>
              <w:right w:val="outset" w:sz="6" w:space="0" w:color="7B7B7B"/>
            </w:tcBorders>
            <w:hideMark/>
          </w:tcPr>
          <w:p w14:paraId="19585439" w14:textId="6644CBB7" w:rsidR="003B5079" w:rsidRPr="00082FCB" w:rsidRDefault="003B5079" w:rsidP="003B5079">
            <w:pPr>
              <w:spacing w:line="240" w:lineRule="auto"/>
              <w:rPr>
                <w:color w:val="000000"/>
                <w:szCs w:val="22"/>
                <w:lang w:val="hu-HU"/>
              </w:rPr>
            </w:pPr>
            <w:r w:rsidRPr="00BA5943">
              <w:rPr>
                <w:bCs/>
                <w:szCs w:val="22"/>
                <w:lang w:val="hu-HU"/>
              </w:rPr>
              <w:t>Nem gyakori</w:t>
            </w:r>
          </w:p>
        </w:tc>
        <w:tc>
          <w:tcPr>
            <w:tcW w:w="2209" w:type="pct"/>
            <w:tcBorders>
              <w:top w:val="outset" w:sz="6" w:space="0" w:color="7B7B7B"/>
              <w:left w:val="outset" w:sz="6" w:space="0" w:color="7B7B7B"/>
              <w:bottom w:val="outset" w:sz="6" w:space="0" w:color="7B7B7B"/>
              <w:right w:val="outset" w:sz="6" w:space="0" w:color="7B7B7B"/>
            </w:tcBorders>
            <w:hideMark/>
          </w:tcPr>
          <w:p w14:paraId="6CA3DE5A" w14:textId="06607B35" w:rsidR="003B5079" w:rsidRPr="00082FCB" w:rsidRDefault="003B5079" w:rsidP="00B52A9F">
            <w:pPr>
              <w:spacing w:line="240" w:lineRule="auto"/>
              <w:rPr>
                <w:color w:val="000000"/>
                <w:szCs w:val="22"/>
                <w:lang w:val="hu-HU"/>
              </w:rPr>
            </w:pPr>
            <w:r w:rsidRPr="00BA5943">
              <w:rPr>
                <w:bCs/>
                <w:szCs w:val="22"/>
                <w:lang w:val="hu-HU"/>
              </w:rPr>
              <w:t>Emelkedett GOT (glutamát-oxálacetát-transzamináz [ASAT])</w:t>
            </w:r>
            <w:r>
              <w:rPr>
                <w:bCs/>
                <w:szCs w:val="22"/>
                <w:lang w:val="hu-HU"/>
              </w:rPr>
              <w:t>,</w:t>
            </w:r>
            <w:r w:rsidRPr="00BA5943">
              <w:rPr>
                <w:bCs/>
                <w:szCs w:val="22"/>
                <w:lang w:val="hu-HU"/>
              </w:rPr>
              <w:t xml:space="preserve"> emelkedett alkalikus-foszfatáz vérszint, emelkedett kreatin-foszfokináz</w:t>
            </w:r>
            <w:r w:rsidR="00B52A9F">
              <w:rPr>
                <w:bCs/>
                <w:szCs w:val="22"/>
                <w:lang w:val="hu-HU"/>
              </w:rPr>
              <w:t>-</w:t>
            </w:r>
            <w:r w:rsidRPr="00BA5943">
              <w:rPr>
                <w:bCs/>
                <w:szCs w:val="22"/>
                <w:lang w:val="hu-HU"/>
              </w:rPr>
              <w:t>vérszint, csökkent hemoglobinszint és emelkedett vérlemezkeszám.</w:t>
            </w:r>
          </w:p>
        </w:tc>
      </w:tr>
    </w:tbl>
    <w:p w14:paraId="6FF6D070" w14:textId="77777777" w:rsidR="000838E2" w:rsidRPr="00082FCB" w:rsidRDefault="000838E2" w:rsidP="006475B4">
      <w:pPr>
        <w:autoSpaceDE w:val="0"/>
        <w:autoSpaceDN w:val="0"/>
        <w:adjustRightInd w:val="0"/>
        <w:spacing w:line="240" w:lineRule="auto"/>
        <w:rPr>
          <w:szCs w:val="22"/>
          <w:u w:val="single"/>
          <w:lang w:val="hu-HU"/>
        </w:rPr>
      </w:pPr>
    </w:p>
    <w:p w14:paraId="111ED61E" w14:textId="3E6355D4" w:rsidR="000838E2" w:rsidRPr="00082FCB" w:rsidRDefault="00B52A9F" w:rsidP="006475B4">
      <w:pPr>
        <w:spacing w:line="240" w:lineRule="auto"/>
        <w:rPr>
          <w:color w:val="000000"/>
          <w:szCs w:val="22"/>
          <w:lang w:val="hu-HU"/>
        </w:rPr>
      </w:pPr>
      <w:r>
        <w:rPr>
          <w:color w:val="000000"/>
          <w:szCs w:val="22"/>
          <w:lang w:val="hu-HU"/>
        </w:rPr>
        <w:t>Kiválasztott</w:t>
      </w:r>
      <w:r w:rsidRPr="003B5079">
        <w:rPr>
          <w:color w:val="000000"/>
          <w:szCs w:val="22"/>
          <w:lang w:val="hu-HU"/>
        </w:rPr>
        <w:t xml:space="preserve"> </w:t>
      </w:r>
      <w:r w:rsidR="003B5079" w:rsidRPr="003B5079">
        <w:rPr>
          <w:color w:val="000000"/>
          <w:szCs w:val="22"/>
          <w:lang w:val="hu-HU"/>
        </w:rPr>
        <w:t>mellékhatások ismertetése</w:t>
      </w:r>
    </w:p>
    <w:p w14:paraId="68A563DD" w14:textId="77777777" w:rsidR="000838E2" w:rsidRPr="00082FCB" w:rsidRDefault="000838E2" w:rsidP="006475B4">
      <w:pPr>
        <w:spacing w:line="240" w:lineRule="auto"/>
        <w:rPr>
          <w:color w:val="000000"/>
          <w:szCs w:val="22"/>
          <w:lang w:val="hu-HU"/>
        </w:rPr>
      </w:pPr>
    </w:p>
    <w:p w14:paraId="6708F1DF" w14:textId="39B8D833" w:rsidR="000838E2" w:rsidRPr="00082FCB" w:rsidRDefault="000838E2" w:rsidP="006475B4">
      <w:pPr>
        <w:spacing w:line="240" w:lineRule="auto"/>
        <w:rPr>
          <w:color w:val="000000"/>
          <w:szCs w:val="22"/>
          <w:lang w:val="hu-HU"/>
        </w:rPr>
      </w:pPr>
      <w:r w:rsidRPr="00082FCB">
        <w:rPr>
          <w:b/>
          <w:bCs/>
          <w:color w:val="000000"/>
          <w:szCs w:val="22"/>
          <w:vertAlign w:val="superscript"/>
          <w:lang w:val="hu-HU"/>
        </w:rPr>
        <w:t>1</w:t>
      </w:r>
      <w:r w:rsidR="003B5079" w:rsidRPr="00BA5943">
        <w:rPr>
          <w:bCs/>
          <w:szCs w:val="22"/>
          <w:lang w:val="hu-HU"/>
        </w:rPr>
        <w:t>Például agranulocytosis, anaemia, aplasztikus anaemia, haemolitikus anaemia, leukopenia, neutropenia, pancytopenia és thrombocytopenia</w:t>
      </w:r>
      <w:r w:rsidRPr="00082FCB">
        <w:rPr>
          <w:color w:val="000000"/>
          <w:szCs w:val="22"/>
          <w:lang w:val="hu-HU"/>
        </w:rPr>
        <w:t>.</w:t>
      </w:r>
    </w:p>
    <w:p w14:paraId="29EC7508" w14:textId="77777777" w:rsidR="005C058D" w:rsidRPr="00082FCB" w:rsidRDefault="005C058D" w:rsidP="006475B4">
      <w:pPr>
        <w:spacing w:line="240" w:lineRule="auto"/>
        <w:rPr>
          <w:color w:val="000000"/>
          <w:szCs w:val="22"/>
          <w:lang w:val="hu-HU"/>
        </w:rPr>
      </w:pPr>
    </w:p>
    <w:p w14:paraId="5D33E1F5" w14:textId="050D8BF4" w:rsidR="000838E2" w:rsidRPr="00082FCB" w:rsidRDefault="003B5079" w:rsidP="006475B4">
      <w:pPr>
        <w:spacing w:line="240" w:lineRule="auto"/>
        <w:rPr>
          <w:color w:val="000000"/>
          <w:szCs w:val="22"/>
          <w:lang w:val="hu-HU"/>
        </w:rPr>
      </w:pPr>
      <w:r w:rsidRPr="00BA5943">
        <w:rPr>
          <w:bCs/>
          <w:szCs w:val="22"/>
          <w:lang w:val="hu-HU"/>
        </w:rPr>
        <w:t>Első jelek: láz, torokfájás, felületes szájfekélyek, influenzaszerű tünetek, súlyos kimerültség, megmagyarázhatatlan vérzés és véraláfutás, valamint orrvérzés</w:t>
      </w:r>
      <w:r w:rsidR="000838E2" w:rsidRPr="00082FCB">
        <w:rPr>
          <w:color w:val="000000"/>
          <w:szCs w:val="22"/>
          <w:lang w:val="hu-HU"/>
        </w:rPr>
        <w:t>.</w:t>
      </w:r>
    </w:p>
    <w:p w14:paraId="726BE36B" w14:textId="77777777" w:rsidR="000838E2" w:rsidRPr="00082FCB" w:rsidRDefault="000838E2" w:rsidP="006475B4">
      <w:pPr>
        <w:spacing w:line="240" w:lineRule="auto"/>
        <w:rPr>
          <w:color w:val="000000"/>
          <w:szCs w:val="22"/>
          <w:lang w:val="hu-HU"/>
        </w:rPr>
      </w:pPr>
    </w:p>
    <w:p w14:paraId="7A61CB00" w14:textId="00031A7D" w:rsidR="00790E63" w:rsidRPr="00082FCB" w:rsidRDefault="000838E2" w:rsidP="006475B4">
      <w:pPr>
        <w:spacing w:line="240" w:lineRule="auto"/>
        <w:rPr>
          <w:color w:val="000000"/>
          <w:szCs w:val="22"/>
          <w:lang w:val="hu-HU"/>
        </w:rPr>
      </w:pPr>
      <w:r w:rsidRPr="00082FCB">
        <w:rPr>
          <w:b/>
          <w:bCs/>
          <w:color w:val="000000"/>
          <w:szCs w:val="22"/>
          <w:vertAlign w:val="superscript"/>
          <w:lang w:val="hu-HU"/>
        </w:rPr>
        <w:t>2</w:t>
      </w:r>
      <w:r w:rsidR="003B5079" w:rsidRPr="003B5079">
        <w:rPr>
          <w:szCs w:val="22"/>
          <w:lang w:val="hu-HU"/>
        </w:rPr>
        <w:t xml:space="preserve"> </w:t>
      </w:r>
      <w:r w:rsidR="003B5079" w:rsidRPr="00BA5943">
        <w:rPr>
          <w:szCs w:val="22"/>
          <w:lang w:val="hu-HU"/>
        </w:rPr>
        <w:t>Túlérzékenységi reakciókat jelentettek. Ezek közé tartoznak (a) nem</w:t>
      </w:r>
      <w:r w:rsidR="00EC7155">
        <w:rPr>
          <w:szCs w:val="22"/>
          <w:lang w:val="hu-HU"/>
        </w:rPr>
        <w:t xml:space="preserve"> </w:t>
      </w:r>
      <w:r w:rsidR="003B5079" w:rsidRPr="00BA5943">
        <w:rPr>
          <w:szCs w:val="22"/>
          <w:lang w:val="hu-HU"/>
        </w:rPr>
        <w:t>specifikus allergiás reakciók és anaphylaxia, (b) légzőrendszeri reaktivitás, például asthma, súlyosbodott asthma, bronchospasmus vagy dyspnoe, vagy (c) különböző bőrreakciók, beleértve különböző típusú bőrkiütéseket, pruritust, urticariát,</w:t>
      </w:r>
      <w:r w:rsidR="00EC7155">
        <w:rPr>
          <w:szCs w:val="22"/>
          <w:lang w:val="hu-HU"/>
        </w:rPr>
        <w:t xml:space="preserve"> purpurát</w:t>
      </w:r>
      <w:r w:rsidR="003B5079" w:rsidRPr="00BA5943">
        <w:rPr>
          <w:szCs w:val="22"/>
          <w:lang w:val="hu-HU"/>
        </w:rPr>
        <w:t xml:space="preserve"> angioedemát és ritkábban exfoliativ és bullosus dermatosisokat (köztük toxi</w:t>
      </w:r>
      <w:r w:rsidR="00EC7155">
        <w:rPr>
          <w:szCs w:val="22"/>
          <w:lang w:val="hu-HU"/>
        </w:rPr>
        <w:t>c</w:t>
      </w:r>
      <w:r w:rsidR="003B5079" w:rsidRPr="00BA5943">
        <w:rPr>
          <w:szCs w:val="22"/>
          <w:lang w:val="hu-HU"/>
        </w:rPr>
        <w:t>us epidermalis necrolysist, Stevens</w:t>
      </w:r>
      <w:r w:rsidR="00EC7155">
        <w:rPr>
          <w:szCs w:val="22"/>
          <w:lang w:val="hu-HU"/>
        </w:rPr>
        <w:t>–</w:t>
      </w:r>
      <w:r w:rsidR="003B5079" w:rsidRPr="00BA5943">
        <w:rPr>
          <w:szCs w:val="22"/>
          <w:lang w:val="hu-HU"/>
        </w:rPr>
        <w:t>Johnson-szindrómát és erythema multiform</w:t>
      </w:r>
      <w:r w:rsidR="00EC7155">
        <w:rPr>
          <w:szCs w:val="22"/>
          <w:lang w:val="hu-HU"/>
        </w:rPr>
        <w:t>é</w:t>
      </w:r>
      <w:r w:rsidR="003B5079" w:rsidRPr="00BA5943">
        <w:rPr>
          <w:szCs w:val="22"/>
          <w:lang w:val="hu-HU"/>
        </w:rPr>
        <w:t>t).</w:t>
      </w:r>
    </w:p>
    <w:p w14:paraId="57D0C546" w14:textId="121BE263" w:rsidR="003B5079" w:rsidRPr="00BA5943" w:rsidRDefault="00E65F08" w:rsidP="003B5079">
      <w:pPr>
        <w:rPr>
          <w:bCs/>
          <w:szCs w:val="22"/>
          <w:lang w:val="hu-HU"/>
        </w:rPr>
      </w:pPr>
      <w:r>
        <w:rPr>
          <w:b/>
          <w:bCs/>
          <w:color w:val="000000"/>
          <w:szCs w:val="22"/>
          <w:vertAlign w:val="superscript"/>
          <w:lang w:val="hu-HU"/>
        </w:rPr>
        <w:t>3</w:t>
      </w:r>
      <w:r w:rsidR="003B5079" w:rsidRPr="003B5079">
        <w:rPr>
          <w:iCs/>
          <w:szCs w:val="22"/>
          <w:lang w:val="hu-HU"/>
        </w:rPr>
        <w:t xml:space="preserve"> </w:t>
      </w:r>
      <w:r w:rsidR="003B5079" w:rsidRPr="00BA5943">
        <w:rPr>
          <w:iCs/>
          <w:szCs w:val="22"/>
          <w:lang w:val="hu-HU"/>
        </w:rPr>
        <w:t xml:space="preserve">A gyógyszer által indukált </w:t>
      </w:r>
      <w:r w:rsidR="007D3F69">
        <w:rPr>
          <w:iCs/>
          <w:szCs w:val="22"/>
          <w:lang w:val="hu-HU"/>
        </w:rPr>
        <w:t>asepticus</w:t>
      </w:r>
      <w:r w:rsidR="003B5079" w:rsidRPr="00BA5943">
        <w:rPr>
          <w:iCs/>
          <w:szCs w:val="22"/>
          <w:lang w:val="hu-HU"/>
        </w:rPr>
        <w:t xml:space="preserve"> meningitis patomechanizmusa nem teljesen ismert. Azonban az NSAID-okkal összefüggő </w:t>
      </w:r>
      <w:r w:rsidR="007D3F69">
        <w:rPr>
          <w:iCs/>
          <w:szCs w:val="22"/>
          <w:lang w:val="hu-HU"/>
        </w:rPr>
        <w:t>asepticus</w:t>
      </w:r>
      <w:r w:rsidR="003B5079" w:rsidRPr="00BA5943">
        <w:rPr>
          <w:iCs/>
          <w:szCs w:val="22"/>
          <w:lang w:val="hu-HU"/>
        </w:rPr>
        <w:t xml:space="preserve"> meningitisről rendelkezésre álló adatok túlérzékenységi reakcióra utalnak (a gyógyszer bevételének időbeli egybeesése és a tünetek gyógyszer abbahagyását követő eltűnése miatt)</w:t>
      </w:r>
      <w:r w:rsidR="003B5079" w:rsidRPr="00BA5943">
        <w:rPr>
          <w:b/>
          <w:bCs/>
          <w:i/>
          <w:iCs/>
          <w:szCs w:val="22"/>
          <w:lang w:val="hu-HU"/>
        </w:rPr>
        <w:t xml:space="preserve">. </w:t>
      </w:r>
      <w:r w:rsidR="003B5079" w:rsidRPr="00BA5943">
        <w:rPr>
          <w:bCs/>
          <w:szCs w:val="22"/>
          <w:lang w:val="hu-HU"/>
        </w:rPr>
        <w:t xml:space="preserve">Megjegyzendő, hogy megfigyelték az </w:t>
      </w:r>
      <w:r w:rsidR="007D3F69">
        <w:rPr>
          <w:bCs/>
          <w:szCs w:val="22"/>
          <w:lang w:val="hu-HU"/>
        </w:rPr>
        <w:t>asepticus</w:t>
      </w:r>
      <w:r w:rsidR="003B5079" w:rsidRPr="00BA5943">
        <w:rPr>
          <w:bCs/>
          <w:szCs w:val="22"/>
          <w:lang w:val="hu-HU"/>
        </w:rPr>
        <w:t xml:space="preserve"> meningitis egyedi eseteit fennálló autoimmun betegségben (például szisztémás lupus erythematosusban és kevert kötőszöveti betegségben) szenvedő betegeknél az ibuprofénnel történő kezelés során, olyan tünetekkel, mint a merev tarkó, fejfájás, nausea, hányás, láz, illetve zavarodottság (lásd 4.4 pont).</w:t>
      </w:r>
    </w:p>
    <w:p w14:paraId="09C8D80C" w14:textId="7F2CE7BE" w:rsidR="000838E2" w:rsidRPr="00082FCB" w:rsidRDefault="000838E2" w:rsidP="006475B4">
      <w:pPr>
        <w:spacing w:line="240" w:lineRule="auto"/>
        <w:rPr>
          <w:color w:val="000000"/>
          <w:szCs w:val="22"/>
          <w:lang w:val="hu-HU"/>
        </w:rPr>
      </w:pPr>
    </w:p>
    <w:p w14:paraId="5DCB300D" w14:textId="52C8B38D" w:rsidR="003B5079" w:rsidRPr="00BA5943" w:rsidRDefault="00E65F08" w:rsidP="003B5079">
      <w:pPr>
        <w:rPr>
          <w:bCs/>
          <w:color w:val="000000"/>
          <w:szCs w:val="22"/>
          <w:lang w:val="hu-HU"/>
        </w:rPr>
      </w:pPr>
      <w:r>
        <w:rPr>
          <w:b/>
          <w:bCs/>
          <w:color w:val="000000"/>
          <w:szCs w:val="22"/>
          <w:vertAlign w:val="superscript"/>
          <w:lang w:val="hu-HU"/>
        </w:rPr>
        <w:t>4</w:t>
      </w:r>
      <w:r w:rsidR="003B5079" w:rsidRPr="003B5079">
        <w:rPr>
          <w:bCs/>
          <w:color w:val="000000"/>
          <w:szCs w:val="22"/>
          <w:lang w:val="hu-HU"/>
        </w:rPr>
        <w:t xml:space="preserve"> </w:t>
      </w:r>
      <w:r w:rsidR="003B5079" w:rsidRPr="00BA5943">
        <w:rPr>
          <w:bCs/>
          <w:color w:val="000000"/>
          <w:szCs w:val="22"/>
          <w:lang w:val="hu-HU"/>
        </w:rPr>
        <w:t>Klinikai vizsgálatok arra utalnak, hogy az ibuprofén alkalmazása, különösen nagy dózisban (2400 mg/nap) összefüggésben állhat az artériás thrombotikus események (például myocardialis infarctus vagy stroke) kismértékű kockázatfokozódásával (lásd 4.4 pont).</w:t>
      </w:r>
    </w:p>
    <w:p w14:paraId="67521B55" w14:textId="56FF4F4B" w:rsidR="000838E2" w:rsidRPr="00082FCB" w:rsidRDefault="000838E2" w:rsidP="006475B4">
      <w:pPr>
        <w:spacing w:line="240" w:lineRule="auto"/>
        <w:rPr>
          <w:color w:val="000000"/>
          <w:szCs w:val="22"/>
          <w:lang w:val="hu-HU"/>
        </w:rPr>
      </w:pPr>
    </w:p>
    <w:p w14:paraId="0917C11F" w14:textId="789D09BD" w:rsidR="000838E2" w:rsidRDefault="00E65F08" w:rsidP="006475B4">
      <w:pPr>
        <w:spacing w:line="240" w:lineRule="auto"/>
        <w:rPr>
          <w:color w:val="000000"/>
          <w:szCs w:val="22"/>
          <w:lang w:val="hu-HU"/>
        </w:rPr>
      </w:pPr>
      <w:r>
        <w:rPr>
          <w:b/>
          <w:bCs/>
          <w:color w:val="000000"/>
          <w:szCs w:val="22"/>
          <w:vertAlign w:val="superscript"/>
          <w:lang w:val="hu-HU"/>
        </w:rPr>
        <w:t>5</w:t>
      </w:r>
      <w:r w:rsidR="003B5079" w:rsidRPr="003B5079">
        <w:rPr>
          <w:color w:val="000000"/>
          <w:szCs w:val="22"/>
          <w:lang w:val="hu-HU"/>
        </w:rPr>
        <w:t>A leggyakrabban megfigyelt mellékhatások g</w:t>
      </w:r>
      <w:r w:rsidR="00431932">
        <w:rPr>
          <w:color w:val="000000"/>
          <w:szCs w:val="22"/>
          <w:lang w:val="hu-HU"/>
        </w:rPr>
        <w:t>a</w:t>
      </w:r>
      <w:r w:rsidR="003B5079" w:rsidRPr="003B5079">
        <w:rPr>
          <w:color w:val="000000"/>
          <w:szCs w:val="22"/>
          <w:lang w:val="hu-HU"/>
        </w:rPr>
        <w:t>strointestinalis természetűek voltak.</w:t>
      </w:r>
    </w:p>
    <w:p w14:paraId="7AAEBC04" w14:textId="77777777" w:rsidR="003B5079" w:rsidRPr="00082FCB" w:rsidRDefault="003B5079" w:rsidP="006475B4">
      <w:pPr>
        <w:spacing w:line="240" w:lineRule="auto"/>
        <w:rPr>
          <w:color w:val="000000"/>
          <w:szCs w:val="22"/>
          <w:lang w:val="hu-HU"/>
        </w:rPr>
      </w:pPr>
    </w:p>
    <w:p w14:paraId="7E7F84B5" w14:textId="3B8B9431" w:rsidR="000838E2" w:rsidRPr="00082FCB" w:rsidRDefault="00E65F08" w:rsidP="006475B4">
      <w:pPr>
        <w:spacing w:line="240" w:lineRule="auto"/>
        <w:rPr>
          <w:color w:val="000000"/>
          <w:szCs w:val="22"/>
          <w:lang w:val="hu-HU"/>
        </w:rPr>
      </w:pPr>
      <w:r>
        <w:rPr>
          <w:b/>
          <w:bCs/>
          <w:color w:val="000000"/>
          <w:szCs w:val="22"/>
          <w:vertAlign w:val="superscript"/>
          <w:lang w:val="hu-HU"/>
        </w:rPr>
        <w:t>6</w:t>
      </w:r>
      <w:r w:rsidR="003B5079" w:rsidRPr="003B5079">
        <w:rPr>
          <w:color w:val="000000"/>
          <w:szCs w:val="22"/>
          <w:lang w:val="hu-HU"/>
        </w:rPr>
        <w:t>Olykor halálos kimenetelű események is bekövetkeztek, különösen időseknél</w:t>
      </w:r>
      <w:r w:rsidR="000838E2" w:rsidRPr="00082FCB">
        <w:rPr>
          <w:color w:val="000000"/>
          <w:szCs w:val="22"/>
          <w:lang w:val="hu-HU"/>
        </w:rPr>
        <w:t>.</w:t>
      </w:r>
    </w:p>
    <w:p w14:paraId="2D53C03C" w14:textId="77777777" w:rsidR="000838E2" w:rsidRPr="00082FCB" w:rsidRDefault="000838E2" w:rsidP="006475B4">
      <w:pPr>
        <w:spacing w:line="240" w:lineRule="auto"/>
        <w:rPr>
          <w:color w:val="000000"/>
          <w:szCs w:val="22"/>
          <w:lang w:val="hu-HU"/>
        </w:rPr>
      </w:pPr>
    </w:p>
    <w:p w14:paraId="7D1307BD" w14:textId="74C0F171" w:rsidR="000838E2" w:rsidRPr="00082FCB" w:rsidRDefault="00E65F08" w:rsidP="006475B4">
      <w:pPr>
        <w:spacing w:line="240" w:lineRule="auto"/>
        <w:rPr>
          <w:color w:val="000000"/>
          <w:szCs w:val="22"/>
          <w:lang w:val="hu-HU"/>
        </w:rPr>
      </w:pPr>
      <w:r>
        <w:rPr>
          <w:b/>
          <w:bCs/>
          <w:color w:val="000000"/>
          <w:szCs w:val="22"/>
          <w:vertAlign w:val="superscript"/>
          <w:lang w:val="hu-HU"/>
        </w:rPr>
        <w:t>7</w:t>
      </w:r>
      <w:r w:rsidR="000838E2" w:rsidRPr="00082FCB">
        <w:rPr>
          <w:color w:val="000000"/>
          <w:szCs w:val="22"/>
          <w:vertAlign w:val="superscript"/>
          <w:lang w:val="hu-HU"/>
        </w:rPr>
        <w:t xml:space="preserve"> </w:t>
      </w:r>
      <w:r w:rsidR="003B5079">
        <w:rPr>
          <w:color w:val="000000"/>
          <w:szCs w:val="22"/>
          <w:lang w:val="hu-HU"/>
        </w:rPr>
        <w:t>Lásd</w:t>
      </w:r>
      <w:r w:rsidR="000838E2" w:rsidRPr="00082FCB">
        <w:rPr>
          <w:color w:val="000000"/>
          <w:szCs w:val="22"/>
          <w:lang w:val="hu-HU"/>
        </w:rPr>
        <w:t xml:space="preserve"> 4.4</w:t>
      </w:r>
      <w:r w:rsidR="003B5079">
        <w:rPr>
          <w:color w:val="000000"/>
          <w:szCs w:val="22"/>
          <w:lang w:val="hu-HU"/>
        </w:rPr>
        <w:t xml:space="preserve"> pont</w:t>
      </w:r>
      <w:r w:rsidR="000838E2" w:rsidRPr="00082FCB">
        <w:rPr>
          <w:color w:val="000000"/>
          <w:szCs w:val="22"/>
          <w:lang w:val="hu-HU"/>
        </w:rPr>
        <w:t>.</w:t>
      </w:r>
    </w:p>
    <w:p w14:paraId="57AEC5DB" w14:textId="77777777" w:rsidR="000838E2" w:rsidRPr="00082FCB" w:rsidRDefault="000838E2" w:rsidP="006475B4">
      <w:pPr>
        <w:spacing w:line="240" w:lineRule="auto"/>
        <w:rPr>
          <w:color w:val="000000"/>
          <w:szCs w:val="22"/>
          <w:lang w:val="hu-HU"/>
        </w:rPr>
      </w:pPr>
    </w:p>
    <w:p w14:paraId="5E1CE4C1" w14:textId="28FB6D7E" w:rsidR="000838E2" w:rsidRPr="003B5079" w:rsidRDefault="00E65F08" w:rsidP="003B5079">
      <w:pPr>
        <w:rPr>
          <w:szCs w:val="22"/>
          <w:lang w:val="hu-HU"/>
        </w:rPr>
      </w:pPr>
      <w:r>
        <w:rPr>
          <w:b/>
          <w:bCs/>
          <w:color w:val="000000"/>
          <w:szCs w:val="22"/>
          <w:vertAlign w:val="superscript"/>
          <w:lang w:val="hu-HU"/>
        </w:rPr>
        <w:t>8</w:t>
      </w:r>
      <w:r w:rsidR="003B5079" w:rsidRPr="00BA5943">
        <w:rPr>
          <w:bCs/>
          <w:color w:val="000000"/>
          <w:szCs w:val="22"/>
          <w:lang w:val="hu-HU"/>
        </w:rPr>
        <w:t>A</w:t>
      </w:r>
      <w:r w:rsidR="00C50EF0" w:rsidRPr="00C50EF0">
        <w:rPr>
          <w:bCs/>
          <w:color w:val="000000"/>
          <w:szCs w:val="22"/>
          <w:lang w:val="hu-HU"/>
        </w:rPr>
        <w:t xml:space="preserve"> paracetamol túladagolás esetén akut májelégtelenség, májelégtelenség, májnecrosis és májkárosodás léphet fe</w:t>
      </w:r>
      <w:r w:rsidR="00C50EF0">
        <w:rPr>
          <w:bCs/>
          <w:color w:val="000000"/>
          <w:szCs w:val="22"/>
          <w:lang w:val="hu-HU"/>
        </w:rPr>
        <w:t xml:space="preserve">l </w:t>
      </w:r>
      <w:r w:rsidR="003B5079" w:rsidRPr="00BA5943">
        <w:rPr>
          <w:bCs/>
          <w:color w:val="000000"/>
          <w:szCs w:val="22"/>
          <w:lang w:val="hu-HU"/>
        </w:rPr>
        <w:t>(lásd 4.9 pont).</w:t>
      </w:r>
    </w:p>
    <w:p w14:paraId="1FB0104F" w14:textId="77777777" w:rsidR="000838E2" w:rsidRPr="00082FCB" w:rsidRDefault="000838E2" w:rsidP="006475B4">
      <w:pPr>
        <w:spacing w:line="240" w:lineRule="auto"/>
        <w:rPr>
          <w:color w:val="000000"/>
          <w:szCs w:val="22"/>
          <w:lang w:val="hu-HU"/>
        </w:rPr>
      </w:pPr>
    </w:p>
    <w:p w14:paraId="7FC446AC" w14:textId="50A454E9" w:rsidR="003B5079" w:rsidRPr="003B5079" w:rsidRDefault="00E65F08" w:rsidP="003B5079">
      <w:pPr>
        <w:spacing w:line="240" w:lineRule="auto"/>
        <w:rPr>
          <w:color w:val="000000"/>
          <w:szCs w:val="22"/>
          <w:lang w:val="hu-HU"/>
        </w:rPr>
      </w:pPr>
      <w:r>
        <w:rPr>
          <w:b/>
          <w:bCs/>
          <w:color w:val="000000"/>
          <w:szCs w:val="22"/>
          <w:vertAlign w:val="superscript"/>
          <w:lang w:val="hu-HU"/>
        </w:rPr>
        <w:t>9</w:t>
      </w:r>
      <w:r w:rsidR="000838E2" w:rsidRPr="00082FCB">
        <w:rPr>
          <w:b/>
          <w:bCs/>
          <w:color w:val="000000"/>
          <w:szCs w:val="22"/>
          <w:vertAlign w:val="superscript"/>
          <w:lang w:val="hu-HU"/>
        </w:rPr>
        <w:t xml:space="preserve"> </w:t>
      </w:r>
      <w:r w:rsidR="003B5079" w:rsidRPr="003B5079">
        <w:rPr>
          <w:color w:val="000000"/>
          <w:szCs w:val="22"/>
          <w:lang w:val="hu-HU"/>
        </w:rPr>
        <w:t>Különösen hosszú időtartamú alkalmazás esetén kapcsolatban áll az emelkedett szérum-karbamidszinttel és az oedemaképződés fokozódásával.</w:t>
      </w:r>
    </w:p>
    <w:p w14:paraId="4A8BE65E" w14:textId="27D8404D" w:rsidR="000838E2" w:rsidRDefault="003B5079" w:rsidP="003B5079">
      <w:pPr>
        <w:spacing w:line="240" w:lineRule="auto"/>
        <w:rPr>
          <w:color w:val="000000"/>
          <w:szCs w:val="22"/>
          <w:lang w:val="hu-HU"/>
        </w:rPr>
      </w:pPr>
      <w:r w:rsidRPr="003B5079">
        <w:rPr>
          <w:color w:val="000000"/>
          <w:szCs w:val="22"/>
          <w:lang w:val="hu-HU"/>
        </w:rPr>
        <w:t>A papillaris necrosist is magában foglalja.</w:t>
      </w:r>
    </w:p>
    <w:p w14:paraId="515C7F1D" w14:textId="77777777" w:rsidR="00E65F08" w:rsidRDefault="00E65F08" w:rsidP="003B5079">
      <w:pPr>
        <w:spacing w:line="240" w:lineRule="auto"/>
        <w:rPr>
          <w:color w:val="000000"/>
          <w:szCs w:val="22"/>
          <w:lang w:val="hu-HU"/>
        </w:rPr>
      </w:pPr>
    </w:p>
    <w:p w14:paraId="53DB1EB1" w14:textId="18B795C6" w:rsidR="00E65F08" w:rsidRDefault="00E65F08" w:rsidP="003B5079">
      <w:pPr>
        <w:spacing w:line="240" w:lineRule="auto"/>
        <w:rPr>
          <w:color w:val="000000"/>
          <w:szCs w:val="22"/>
          <w:lang w:val="hu-HU"/>
        </w:rPr>
      </w:pPr>
      <w:r>
        <w:rPr>
          <w:b/>
          <w:bCs/>
          <w:color w:val="000000"/>
          <w:szCs w:val="22"/>
          <w:vertAlign w:val="superscript"/>
          <w:lang w:val="hu-HU"/>
        </w:rPr>
        <w:t>10</w:t>
      </w:r>
      <w:r>
        <w:rPr>
          <w:color w:val="000000"/>
          <w:szCs w:val="22"/>
          <w:lang w:val="hu-HU"/>
        </w:rPr>
        <w:t xml:space="preserve"> </w:t>
      </w:r>
      <w:r w:rsidRPr="00790E63">
        <w:rPr>
          <w:color w:val="000000"/>
          <w:szCs w:val="22"/>
          <w:lang w:val="hu-HU"/>
        </w:rP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744009A0" w14:textId="77777777" w:rsidR="003B5079" w:rsidRPr="00082FCB" w:rsidRDefault="003B5079" w:rsidP="003B5079">
      <w:pPr>
        <w:spacing w:line="240" w:lineRule="auto"/>
        <w:rPr>
          <w:szCs w:val="22"/>
          <w:u w:val="single"/>
          <w:lang w:val="hu-HU"/>
        </w:rPr>
      </w:pPr>
    </w:p>
    <w:p w14:paraId="309A0A2B" w14:textId="77777777" w:rsidR="003B5079" w:rsidRPr="00BA5943" w:rsidRDefault="003B5079" w:rsidP="003B5079">
      <w:pPr>
        <w:spacing w:line="240" w:lineRule="auto"/>
        <w:rPr>
          <w:szCs w:val="22"/>
          <w:u w:val="single"/>
          <w:lang w:val="hu-HU"/>
        </w:rPr>
      </w:pPr>
      <w:r w:rsidRPr="00BA5943">
        <w:rPr>
          <w:szCs w:val="22"/>
          <w:u w:val="single"/>
          <w:lang w:val="hu-HU"/>
        </w:rPr>
        <w:t>Feltételezett mellékhatások bejelentése</w:t>
      </w:r>
    </w:p>
    <w:p w14:paraId="1591EDA1" w14:textId="4470F961" w:rsidR="00F00876" w:rsidRPr="00082FCB" w:rsidRDefault="003B5079" w:rsidP="003B5079">
      <w:pPr>
        <w:autoSpaceDE w:val="0"/>
        <w:autoSpaceDN w:val="0"/>
        <w:adjustRightInd w:val="0"/>
        <w:spacing w:line="240" w:lineRule="auto"/>
        <w:rPr>
          <w:noProof/>
          <w:szCs w:val="22"/>
          <w:lang w:val="hu-HU"/>
        </w:rPr>
      </w:pPr>
      <w:r w:rsidRPr="00BA5943">
        <w:rPr>
          <w:szCs w:val="22"/>
          <w:lang w:val="hu-HU"/>
        </w:rPr>
        <w:t>A gyógyszer engedélyezését követően lényeges a feltételezett mellékhatások bejelentése, mert ez fontos eszköze annak, hogy a gyógyszer előny/kockázat profilját folyamatosan figyelemmel lehessen kísérni</w:t>
      </w:r>
      <w:r w:rsidR="00F00876" w:rsidRPr="00082FCB">
        <w:rPr>
          <w:szCs w:val="22"/>
          <w:lang w:val="hu-HU"/>
        </w:rPr>
        <w:t xml:space="preserve">. </w:t>
      </w:r>
      <w:r w:rsidRPr="00BA5943">
        <w:rPr>
          <w:szCs w:val="22"/>
          <w:lang w:val="hu-HU"/>
        </w:rPr>
        <w:t>Az egészségügyi szakembereket kérjük, hogy jelentsék be a feltételezett mellékhatásokat a hatóság részére az</w:t>
      </w:r>
      <w:r w:rsidR="008140AF" w:rsidRPr="008140AF">
        <w:rPr>
          <w:rFonts w:eastAsia="SimSun"/>
          <w:snapToGrid w:val="0"/>
          <w:lang w:val="hu-HU" w:eastAsia="zh-CN"/>
        </w:rPr>
        <w:t xml:space="preserve"> </w:t>
      </w:r>
      <w:hyperlink r:id="rId10" w:history="1">
        <w:r w:rsidR="008140AF" w:rsidRPr="008140AF">
          <w:rPr>
            <w:rFonts w:eastAsia="SimSun"/>
            <w:snapToGrid w:val="0"/>
            <w:color w:val="0000FF"/>
            <w:highlight w:val="lightGray"/>
            <w:u w:val="single"/>
            <w:lang w:val="hu-HU" w:eastAsia="zh-CN"/>
          </w:rPr>
          <w:t>V. füg</w:t>
        </w:r>
        <w:bookmarkStart w:id="3" w:name="_Hlt352075914"/>
        <w:bookmarkStart w:id="4" w:name="_Hlt352075915"/>
        <w:r w:rsidR="008140AF" w:rsidRPr="008140AF">
          <w:rPr>
            <w:rFonts w:eastAsia="SimSun"/>
            <w:snapToGrid w:val="0"/>
            <w:color w:val="0000FF"/>
            <w:highlight w:val="lightGray"/>
            <w:u w:val="single"/>
            <w:lang w:val="hu-HU" w:eastAsia="zh-CN"/>
          </w:rPr>
          <w:t>g</w:t>
        </w:r>
        <w:bookmarkEnd w:id="3"/>
        <w:bookmarkEnd w:id="4"/>
        <w:r w:rsidR="008140AF" w:rsidRPr="008140AF">
          <w:rPr>
            <w:rFonts w:eastAsia="SimSun"/>
            <w:snapToGrid w:val="0"/>
            <w:color w:val="0000FF"/>
            <w:highlight w:val="lightGray"/>
            <w:u w:val="single"/>
            <w:lang w:val="hu-HU" w:eastAsia="zh-CN"/>
          </w:rPr>
          <w:t>elékben</w:t>
        </w:r>
      </w:hyperlink>
      <w:r w:rsidR="008140AF" w:rsidRPr="008140AF">
        <w:rPr>
          <w:rFonts w:eastAsia="SimSun"/>
          <w:snapToGrid w:val="0"/>
          <w:highlight w:val="lightGray"/>
          <w:lang w:val="hu-HU" w:eastAsia="zh-CN"/>
        </w:rPr>
        <w:t xml:space="preserve"> </w:t>
      </w:r>
      <w:r w:rsidRPr="00BA5943">
        <w:rPr>
          <w:szCs w:val="22"/>
          <w:highlight w:val="lightGray"/>
          <w:lang w:val="hu-HU"/>
        </w:rPr>
        <w:t>található elérhetőségek valamelyikén keresztül</w:t>
      </w:r>
      <w:r w:rsidR="00BD1081" w:rsidRPr="00082FCB">
        <w:rPr>
          <w:szCs w:val="22"/>
          <w:lang w:val="hu-HU"/>
        </w:rPr>
        <w:t>.</w:t>
      </w:r>
      <w:r w:rsidR="00F00876" w:rsidRPr="00082FCB">
        <w:rPr>
          <w:color w:val="008000"/>
          <w:szCs w:val="22"/>
          <w:lang w:val="hu-HU"/>
        </w:rPr>
        <w:t>*</w:t>
      </w:r>
    </w:p>
    <w:p w14:paraId="1A55FC2D" w14:textId="77777777" w:rsidR="00F00876" w:rsidRPr="00082FCB" w:rsidRDefault="00F00876" w:rsidP="006475B4">
      <w:pPr>
        <w:autoSpaceDE w:val="0"/>
        <w:autoSpaceDN w:val="0"/>
        <w:adjustRightInd w:val="0"/>
        <w:spacing w:line="240" w:lineRule="auto"/>
        <w:rPr>
          <w:szCs w:val="22"/>
          <w:lang w:val="hu-HU"/>
        </w:rPr>
      </w:pPr>
    </w:p>
    <w:p w14:paraId="08E6C7D5" w14:textId="6DFCCBCC" w:rsidR="001D29E6" w:rsidRPr="00082FCB" w:rsidRDefault="001D29E6" w:rsidP="001A0579">
      <w:pPr>
        <w:keepNext/>
        <w:spacing w:line="240" w:lineRule="auto"/>
        <w:rPr>
          <w:szCs w:val="22"/>
          <w:lang w:val="hu-HU"/>
        </w:rPr>
      </w:pPr>
      <w:r w:rsidRPr="00082FCB">
        <w:rPr>
          <w:b/>
          <w:szCs w:val="22"/>
          <w:lang w:val="hu-HU"/>
        </w:rPr>
        <w:t>4.9</w:t>
      </w:r>
      <w:r w:rsidRPr="00082FCB">
        <w:rPr>
          <w:b/>
          <w:szCs w:val="22"/>
          <w:lang w:val="hu-HU"/>
        </w:rPr>
        <w:tab/>
      </w:r>
      <w:r w:rsidR="003B5079" w:rsidRPr="00BA5943">
        <w:rPr>
          <w:b/>
          <w:szCs w:val="22"/>
          <w:lang w:val="hu-HU"/>
        </w:rPr>
        <w:t>Túladagolás</w:t>
      </w:r>
    </w:p>
    <w:p w14:paraId="188CFB77" w14:textId="77777777" w:rsidR="001D29E6" w:rsidRPr="00082FCB" w:rsidRDefault="001D29E6" w:rsidP="001A0579">
      <w:pPr>
        <w:keepNext/>
        <w:spacing w:line="240" w:lineRule="auto"/>
        <w:rPr>
          <w:szCs w:val="22"/>
          <w:lang w:val="hu-HU"/>
        </w:rPr>
      </w:pPr>
    </w:p>
    <w:p w14:paraId="33B2A295" w14:textId="29363D80" w:rsidR="00271697" w:rsidRPr="00082FCB" w:rsidRDefault="00271697" w:rsidP="001A0579">
      <w:pPr>
        <w:keepNext/>
        <w:spacing w:line="240" w:lineRule="auto"/>
        <w:rPr>
          <w:b/>
          <w:bCs/>
          <w:color w:val="000000"/>
          <w:szCs w:val="22"/>
          <w:lang w:val="hu-HU"/>
        </w:rPr>
      </w:pPr>
      <w:r w:rsidRPr="00082FCB">
        <w:rPr>
          <w:b/>
          <w:bCs/>
          <w:color w:val="000000"/>
          <w:szCs w:val="22"/>
          <w:lang w:val="hu-HU"/>
        </w:rPr>
        <w:t>Paracetamol</w:t>
      </w:r>
    </w:p>
    <w:p w14:paraId="6713EDAB" w14:textId="72B2CC9D" w:rsidR="00271697" w:rsidRPr="00082FCB" w:rsidRDefault="009F47CA" w:rsidP="001A0579">
      <w:pPr>
        <w:keepNext/>
        <w:spacing w:line="240" w:lineRule="auto"/>
        <w:rPr>
          <w:color w:val="000000"/>
          <w:szCs w:val="22"/>
          <w:lang w:val="hu-HU"/>
        </w:rPr>
      </w:pPr>
      <w:r w:rsidRPr="00BA5943">
        <w:rPr>
          <w:bCs/>
          <w:iCs/>
          <w:szCs w:val="22"/>
          <w:lang w:val="hu-HU"/>
        </w:rPr>
        <w:t>Májkárosodás lehetséges felnőtteknél olyan esetben, amikor 10</w:t>
      </w:r>
      <w:r w:rsidR="00EC7155">
        <w:rPr>
          <w:bCs/>
          <w:iCs/>
          <w:szCs w:val="22"/>
          <w:lang w:val="hu-HU"/>
        </w:rPr>
        <w:t> </w:t>
      </w:r>
      <w:r w:rsidRPr="00BA5943">
        <w:rPr>
          <w:bCs/>
          <w:iCs/>
          <w:szCs w:val="22"/>
          <w:lang w:val="hu-HU"/>
        </w:rPr>
        <w:t>g (20 tablettának megfelelő) vagy több paracetamol bevételére kerül sor. 5</w:t>
      </w:r>
      <w:r w:rsidR="00072A7A">
        <w:rPr>
          <w:bCs/>
          <w:iCs/>
          <w:szCs w:val="22"/>
          <w:lang w:val="hu-HU"/>
        </w:rPr>
        <w:t> </w:t>
      </w:r>
      <w:r w:rsidRPr="00BA5943">
        <w:rPr>
          <w:bCs/>
          <w:iCs/>
          <w:szCs w:val="22"/>
          <w:lang w:val="hu-HU"/>
        </w:rPr>
        <w:t>g (amely 10 tablettának felel meg) vagy több paracetamol bevétele májkárosodáshoz vezethet, ha a betegnél az alábbi kockázati tényezők egyike vagy több is fennáll</w:t>
      </w:r>
      <w:r w:rsidR="00271697" w:rsidRPr="00082FCB">
        <w:rPr>
          <w:color w:val="000000"/>
          <w:szCs w:val="22"/>
          <w:lang w:val="hu-HU"/>
        </w:rPr>
        <w:t>:</w:t>
      </w:r>
    </w:p>
    <w:p w14:paraId="0291A28D" w14:textId="50608EA2" w:rsidR="00271697" w:rsidRPr="00082FCB" w:rsidRDefault="00CD4A17" w:rsidP="006475B4">
      <w:pPr>
        <w:spacing w:line="240" w:lineRule="auto"/>
        <w:rPr>
          <w:color w:val="000000"/>
          <w:szCs w:val="22"/>
          <w:lang w:val="hu-HU"/>
        </w:rPr>
      </w:pPr>
      <w:r w:rsidRPr="00082FCB">
        <w:rPr>
          <w:color w:val="000000"/>
          <w:szCs w:val="22"/>
          <w:lang w:val="hu-HU"/>
        </w:rPr>
        <w:t xml:space="preserve">- </w:t>
      </w:r>
      <w:r w:rsidR="009F47CA" w:rsidRPr="00BA5943">
        <w:rPr>
          <w:bCs/>
          <w:iCs/>
          <w:szCs w:val="22"/>
          <w:lang w:val="hu-HU"/>
        </w:rPr>
        <w:t>hosszú távú kezelés karbamazepinnel, fenobarbitállal, fenitoinnal, primidonnal, rifampicinnel, közönséges orbáncfűvel vagy más májenziminduktorral</w:t>
      </w:r>
      <w:r w:rsidR="00271697" w:rsidRPr="00082FCB">
        <w:rPr>
          <w:color w:val="000000"/>
          <w:szCs w:val="22"/>
          <w:lang w:val="hu-HU"/>
        </w:rPr>
        <w:t>.</w:t>
      </w:r>
    </w:p>
    <w:p w14:paraId="28159E24" w14:textId="290A940B" w:rsidR="00271697" w:rsidRPr="009F47CA" w:rsidRDefault="00CD4A17" w:rsidP="009F47CA">
      <w:pPr>
        <w:tabs>
          <w:tab w:val="clear" w:pos="567"/>
          <w:tab w:val="left" w:pos="0"/>
        </w:tabs>
        <w:spacing w:line="240" w:lineRule="auto"/>
        <w:outlineLvl w:val="0"/>
        <w:rPr>
          <w:bCs/>
          <w:iCs/>
          <w:szCs w:val="22"/>
          <w:lang w:val="hu-HU"/>
        </w:rPr>
      </w:pPr>
      <w:r w:rsidRPr="00082FCB">
        <w:rPr>
          <w:color w:val="000000"/>
          <w:szCs w:val="22"/>
          <w:lang w:val="hu-HU"/>
        </w:rPr>
        <w:t xml:space="preserve">- </w:t>
      </w:r>
      <w:r w:rsidR="009F47CA" w:rsidRPr="00BA5943">
        <w:rPr>
          <w:bCs/>
          <w:iCs/>
          <w:szCs w:val="22"/>
          <w:lang w:val="hu-HU"/>
        </w:rPr>
        <w:t>az ajánlott mennyiség feletti rendszeres alkoholfogyasztás</w:t>
      </w:r>
      <w:r w:rsidR="00271697" w:rsidRPr="009F47CA">
        <w:rPr>
          <w:color w:val="000000"/>
          <w:szCs w:val="22"/>
          <w:lang w:val="hu-HU"/>
        </w:rPr>
        <w:t>.</w:t>
      </w:r>
    </w:p>
    <w:p w14:paraId="60609748" w14:textId="3EB02C40" w:rsidR="00271697" w:rsidRPr="00082FCB" w:rsidRDefault="00CD4A17" w:rsidP="006475B4">
      <w:pPr>
        <w:spacing w:line="240" w:lineRule="auto"/>
        <w:rPr>
          <w:color w:val="000000"/>
          <w:szCs w:val="22"/>
          <w:lang w:val="hu-HU"/>
        </w:rPr>
      </w:pPr>
      <w:r w:rsidRPr="00082FCB">
        <w:rPr>
          <w:color w:val="000000"/>
          <w:szCs w:val="22"/>
          <w:lang w:val="hu-HU"/>
        </w:rPr>
        <w:t xml:space="preserve">- </w:t>
      </w:r>
      <w:r w:rsidR="003476CC" w:rsidRPr="00BA5943">
        <w:rPr>
          <w:bCs/>
          <w:iCs/>
          <w:szCs w:val="22"/>
          <w:lang w:val="hu-HU"/>
        </w:rPr>
        <w:t>olyan állapotok, amikor valószínű a glutation depléció, például evési rendellenességek, mucoviscidosis, HIV-fertőzöttség, éhezés, cachexia</w:t>
      </w:r>
      <w:r w:rsidRPr="00082FCB">
        <w:rPr>
          <w:color w:val="000000"/>
          <w:szCs w:val="22"/>
          <w:lang w:val="hu-HU"/>
        </w:rPr>
        <w:t>.</w:t>
      </w:r>
    </w:p>
    <w:p w14:paraId="5AB2E441" w14:textId="77777777" w:rsidR="00CD4A17" w:rsidRPr="00082FCB" w:rsidRDefault="00CD4A17" w:rsidP="006475B4">
      <w:pPr>
        <w:spacing w:line="240" w:lineRule="auto"/>
        <w:rPr>
          <w:color w:val="000000"/>
          <w:szCs w:val="22"/>
          <w:lang w:val="hu-HU"/>
        </w:rPr>
      </w:pPr>
    </w:p>
    <w:p w14:paraId="74988B95" w14:textId="318BCFCB" w:rsidR="00271697" w:rsidRPr="00082FCB" w:rsidRDefault="003476CC" w:rsidP="006475B4">
      <w:pPr>
        <w:spacing w:line="240" w:lineRule="auto"/>
        <w:rPr>
          <w:color w:val="000000"/>
          <w:szCs w:val="22"/>
          <w:u w:val="single"/>
          <w:lang w:val="hu-HU"/>
        </w:rPr>
      </w:pPr>
      <w:r>
        <w:rPr>
          <w:color w:val="000000"/>
          <w:szCs w:val="22"/>
          <w:u w:val="single"/>
          <w:lang w:val="hu-HU"/>
        </w:rPr>
        <w:t>Tünetek</w:t>
      </w:r>
    </w:p>
    <w:p w14:paraId="4EB94B73" w14:textId="05E6A28F" w:rsidR="00CD4A17" w:rsidRPr="00082FCB" w:rsidRDefault="003476CC" w:rsidP="006475B4">
      <w:pPr>
        <w:spacing w:line="240" w:lineRule="auto"/>
        <w:rPr>
          <w:color w:val="000000"/>
          <w:szCs w:val="22"/>
          <w:lang w:val="hu-HU"/>
        </w:rPr>
      </w:pPr>
      <w:r w:rsidRPr="00BA5943">
        <w:rPr>
          <w:bCs/>
          <w:iCs/>
          <w:szCs w:val="22"/>
          <w:lang w:val="hu-HU"/>
        </w:rPr>
        <w:t>A paracetamol túladagolás tünetei közé az első 24 órában az alábbiak tartoznak: sápadtság, nausea</w:t>
      </w:r>
      <w:r w:rsidR="00072A7A">
        <w:rPr>
          <w:bCs/>
          <w:iCs/>
          <w:szCs w:val="22"/>
          <w:lang w:val="hu-HU"/>
        </w:rPr>
        <w:t>, hányás, étvágytalanság</w:t>
      </w:r>
      <w:r w:rsidRPr="00BA5943">
        <w:rPr>
          <w:bCs/>
          <w:iCs/>
          <w:szCs w:val="22"/>
          <w:lang w:val="hu-HU"/>
        </w:rPr>
        <w:t xml:space="preserve"> és hasi fájdalmak. A májkárosodás a bevételt követő 12-48 óra múlva mutatható ki, amikor a májenzim vizsgálati értékek kórosakká válnak. Glükózanyagcsere</w:t>
      </w:r>
      <w:r w:rsidR="00072A7A">
        <w:rPr>
          <w:bCs/>
          <w:iCs/>
          <w:szCs w:val="22"/>
          <w:lang w:val="hu-HU"/>
        </w:rPr>
        <w:t>-</w:t>
      </w:r>
      <w:r w:rsidRPr="00BA5943">
        <w:rPr>
          <w:bCs/>
          <w:iCs/>
          <w:szCs w:val="22"/>
          <w:lang w:val="hu-HU"/>
        </w:rPr>
        <w:t xml:space="preserve">rendellenességek és metabolikus acidózis fordulhat elő. Súlyos mérgezés esetén a </w:t>
      </w:r>
      <w:r w:rsidR="003B67DB" w:rsidRPr="00BA5943">
        <w:rPr>
          <w:bCs/>
          <w:iCs/>
          <w:szCs w:val="22"/>
          <w:lang w:val="hu-HU"/>
        </w:rPr>
        <w:t>máj</w:t>
      </w:r>
      <w:r w:rsidR="003B67DB">
        <w:rPr>
          <w:bCs/>
          <w:iCs/>
          <w:szCs w:val="22"/>
          <w:lang w:val="hu-HU"/>
        </w:rPr>
        <w:t>károsodás</w:t>
      </w:r>
      <w:r w:rsidR="003B67DB" w:rsidRPr="00BA5943">
        <w:rPr>
          <w:bCs/>
          <w:iCs/>
          <w:szCs w:val="22"/>
          <w:lang w:val="hu-HU"/>
        </w:rPr>
        <w:t xml:space="preserve"> </w:t>
      </w:r>
      <w:r w:rsidR="001E7931">
        <w:rPr>
          <w:bCs/>
          <w:iCs/>
          <w:szCs w:val="22"/>
          <w:lang w:val="hu-HU"/>
        </w:rPr>
        <w:t xml:space="preserve">progressziója következtében </w:t>
      </w:r>
      <w:r w:rsidRPr="00BA5943">
        <w:rPr>
          <w:bCs/>
          <w:iCs/>
          <w:szCs w:val="22"/>
          <w:lang w:val="hu-HU"/>
        </w:rPr>
        <w:t>encephalopathi</w:t>
      </w:r>
      <w:r w:rsidR="001E7931">
        <w:rPr>
          <w:bCs/>
          <w:iCs/>
          <w:szCs w:val="22"/>
          <w:lang w:val="hu-HU"/>
        </w:rPr>
        <w:t>a</w:t>
      </w:r>
      <w:r w:rsidRPr="00BA5943">
        <w:rPr>
          <w:bCs/>
          <w:iCs/>
          <w:szCs w:val="22"/>
          <w:lang w:val="hu-HU"/>
        </w:rPr>
        <w:t>, haemorrhagi</w:t>
      </w:r>
      <w:r w:rsidR="001E7931">
        <w:rPr>
          <w:bCs/>
          <w:iCs/>
          <w:szCs w:val="22"/>
          <w:lang w:val="hu-HU"/>
        </w:rPr>
        <w:t>a</w:t>
      </w:r>
      <w:r w:rsidRPr="00BA5943">
        <w:rPr>
          <w:bCs/>
          <w:iCs/>
          <w:szCs w:val="22"/>
          <w:lang w:val="hu-HU"/>
        </w:rPr>
        <w:t>, hypoglykaemia, agyi oedema és halálozás</w:t>
      </w:r>
      <w:r w:rsidR="001E7931">
        <w:rPr>
          <w:bCs/>
          <w:iCs/>
          <w:szCs w:val="22"/>
          <w:lang w:val="hu-HU"/>
        </w:rPr>
        <w:t xml:space="preserve"> fordulhat elő</w:t>
      </w:r>
      <w:r w:rsidRPr="00BA5943">
        <w:rPr>
          <w:bCs/>
          <w:iCs/>
          <w:szCs w:val="22"/>
          <w:lang w:val="hu-HU"/>
        </w:rPr>
        <w:t xml:space="preserve">. Akut </w:t>
      </w:r>
      <w:r w:rsidR="00072A7A">
        <w:rPr>
          <w:bCs/>
          <w:iCs/>
          <w:szCs w:val="22"/>
          <w:lang w:val="hu-HU"/>
        </w:rPr>
        <w:t xml:space="preserve">tubularis necrosissal járó akut </w:t>
      </w:r>
      <w:r w:rsidRPr="00BA5943">
        <w:rPr>
          <w:bCs/>
          <w:iCs/>
          <w:szCs w:val="22"/>
          <w:lang w:val="hu-HU"/>
        </w:rPr>
        <w:t>veseelégtelenség (amelyre erősen utal a lágyékfájdalom, a haematuria és a proteinuria) alakulhat ki, akár májkárosodás hiányában is. Szívritmuszavarokat és pancreatitist jelentettek</w:t>
      </w:r>
      <w:r w:rsidR="00271697" w:rsidRPr="00082FCB">
        <w:rPr>
          <w:color w:val="000000"/>
          <w:szCs w:val="22"/>
          <w:lang w:val="hu-HU"/>
        </w:rPr>
        <w:t>.</w:t>
      </w:r>
    </w:p>
    <w:p w14:paraId="7FE52238" w14:textId="77777777" w:rsidR="00CD4A17" w:rsidRPr="00082FCB" w:rsidRDefault="00CD4A17" w:rsidP="006475B4">
      <w:pPr>
        <w:spacing w:line="240" w:lineRule="auto"/>
        <w:rPr>
          <w:color w:val="000000"/>
          <w:szCs w:val="22"/>
          <w:lang w:val="hu-HU"/>
        </w:rPr>
      </w:pPr>
    </w:p>
    <w:p w14:paraId="10C903E0" w14:textId="0001DCBA" w:rsidR="00271697" w:rsidRPr="00082FCB" w:rsidRDefault="003476CC" w:rsidP="006475B4">
      <w:pPr>
        <w:spacing w:line="240" w:lineRule="auto"/>
        <w:rPr>
          <w:color w:val="000000"/>
          <w:szCs w:val="22"/>
          <w:u w:val="single"/>
          <w:lang w:val="hu-HU"/>
        </w:rPr>
      </w:pPr>
      <w:r>
        <w:rPr>
          <w:color w:val="000000"/>
          <w:szCs w:val="22"/>
          <w:u w:val="single"/>
          <w:lang w:val="hu-HU"/>
        </w:rPr>
        <w:t>Kezelés</w:t>
      </w:r>
    </w:p>
    <w:p w14:paraId="0AA65064" w14:textId="680D442A" w:rsidR="00271697" w:rsidRPr="00082FCB" w:rsidRDefault="003476CC" w:rsidP="006475B4">
      <w:pPr>
        <w:spacing w:line="240" w:lineRule="auto"/>
        <w:rPr>
          <w:color w:val="000000"/>
          <w:szCs w:val="22"/>
          <w:lang w:val="hu-HU"/>
        </w:rPr>
      </w:pPr>
      <w:r w:rsidRPr="00BA5943">
        <w:rPr>
          <w:bCs/>
          <w:iCs/>
          <w:szCs w:val="22"/>
          <w:lang w:val="hu-HU"/>
        </w:rPr>
        <w:t>Paracetamol túladagolás esetén nélkülözhetetlen az azonnali kezelés. A jelentős korai tünetek hiánya ellenére a betegeket sürgősen kórházba kell utalni azonnali kezelésre. A tünetek csak émelygésre és hányásra korlátozódhatnak és nem feltétlenül tükrözik a túladagolás súlyosságát, illetve a szervkárosodás kockázatát. A kezelést a fennálló kezelési irányelvek szerint kell végezni</w:t>
      </w:r>
      <w:r w:rsidR="00271697" w:rsidRPr="00082FCB">
        <w:rPr>
          <w:color w:val="000000"/>
          <w:szCs w:val="22"/>
          <w:lang w:val="hu-HU"/>
        </w:rPr>
        <w:t>.</w:t>
      </w:r>
    </w:p>
    <w:p w14:paraId="2966BFA8" w14:textId="7BF70B62" w:rsidR="00271697" w:rsidRPr="00082FCB" w:rsidRDefault="003476CC" w:rsidP="006475B4">
      <w:pPr>
        <w:spacing w:line="240" w:lineRule="auto"/>
        <w:rPr>
          <w:color w:val="000000"/>
          <w:szCs w:val="22"/>
          <w:lang w:val="hu-HU"/>
        </w:rPr>
      </w:pPr>
      <w:r w:rsidRPr="00BA5943">
        <w:rPr>
          <w:bCs/>
          <w:iCs/>
          <w:szCs w:val="22"/>
          <w:lang w:val="hu-HU"/>
        </w:rPr>
        <w:t xml:space="preserve">Ha a túladagolás 1 órán belül történt, mérlegelni </w:t>
      </w:r>
      <w:r w:rsidR="00C556E5" w:rsidRPr="00BA5943">
        <w:rPr>
          <w:bCs/>
          <w:iCs/>
          <w:szCs w:val="22"/>
          <w:lang w:val="hu-HU"/>
        </w:rPr>
        <w:t xml:space="preserve">kell </w:t>
      </w:r>
      <w:r w:rsidRPr="00BA5943">
        <w:rPr>
          <w:bCs/>
          <w:iCs/>
          <w:szCs w:val="22"/>
          <w:lang w:val="hu-HU"/>
        </w:rPr>
        <w:t>az aktív szénnel való kezelést. A paracetamol plazmakoncentráció</w:t>
      </w:r>
      <w:r w:rsidR="00C556E5">
        <w:rPr>
          <w:bCs/>
          <w:iCs/>
          <w:szCs w:val="22"/>
          <w:lang w:val="hu-HU"/>
        </w:rPr>
        <w:t>já</w:t>
      </w:r>
      <w:r w:rsidRPr="00BA5943">
        <w:rPr>
          <w:bCs/>
          <w:iCs/>
          <w:szCs w:val="22"/>
          <w:lang w:val="hu-HU"/>
        </w:rPr>
        <w:t>t a bevételt követően 4 órával vagy később kell mérni (a korábban mért koncentráció értékek megbízhatatlanok</w:t>
      </w:r>
      <w:r w:rsidR="00271697" w:rsidRPr="00082FCB">
        <w:rPr>
          <w:color w:val="000000"/>
          <w:szCs w:val="22"/>
          <w:lang w:val="hu-HU"/>
        </w:rPr>
        <w:t>).</w:t>
      </w:r>
    </w:p>
    <w:p w14:paraId="65D353C4" w14:textId="4F7C9AB9" w:rsidR="00271697" w:rsidRPr="00082FCB" w:rsidRDefault="003476CC" w:rsidP="006475B4">
      <w:pPr>
        <w:spacing w:line="240" w:lineRule="auto"/>
        <w:rPr>
          <w:color w:val="000000"/>
          <w:szCs w:val="22"/>
          <w:lang w:val="hu-HU"/>
        </w:rPr>
      </w:pPr>
      <w:r w:rsidRPr="00BA5943">
        <w:rPr>
          <w:bCs/>
          <w:iCs/>
          <w:szCs w:val="22"/>
          <w:lang w:val="hu-HU"/>
        </w:rPr>
        <w:t>N-acetilcisztein</w:t>
      </w:r>
      <w:r w:rsidR="004E58FD">
        <w:rPr>
          <w:bCs/>
          <w:iCs/>
          <w:szCs w:val="22"/>
          <w:lang w:val="hu-HU"/>
        </w:rPr>
        <w:t>-</w:t>
      </w:r>
      <w:r w:rsidRPr="00BA5943">
        <w:rPr>
          <w:bCs/>
          <w:iCs/>
          <w:szCs w:val="22"/>
          <w:lang w:val="hu-HU"/>
        </w:rPr>
        <w:t>kezelés alkalmazható a paracetamol bevételét követő 24 óráig, de a maximális védőhatást a bevételt követő 8 óráig fejt ki. Az antidotum hatásossága ezen időszakot követően élesen csökken</w:t>
      </w:r>
      <w:r w:rsidR="00271697" w:rsidRPr="00082FCB">
        <w:rPr>
          <w:color w:val="000000"/>
          <w:szCs w:val="22"/>
          <w:lang w:val="hu-HU"/>
        </w:rPr>
        <w:t>.</w:t>
      </w:r>
    </w:p>
    <w:p w14:paraId="774167D5" w14:textId="7B7C6524" w:rsidR="00271697" w:rsidRPr="00082FCB" w:rsidRDefault="003476CC" w:rsidP="006475B4">
      <w:pPr>
        <w:spacing w:line="240" w:lineRule="auto"/>
        <w:rPr>
          <w:color w:val="000000"/>
          <w:szCs w:val="22"/>
          <w:lang w:val="hu-HU"/>
        </w:rPr>
      </w:pPr>
      <w:r w:rsidRPr="00BA5943">
        <w:rPr>
          <w:bCs/>
          <w:iCs/>
          <w:szCs w:val="22"/>
          <w:lang w:val="hu-HU"/>
        </w:rPr>
        <w:t xml:space="preserve">Szükség esetén a betegnek beadható intravénás N-acetilcisztein a fennálló adagolási séma alapján. Ha nincs hányás, a </w:t>
      </w:r>
      <w:r w:rsidRPr="00BA5943">
        <w:rPr>
          <w:bCs/>
          <w:i/>
          <w:iCs/>
          <w:szCs w:val="22"/>
          <w:lang w:val="hu-HU"/>
        </w:rPr>
        <w:t>per os</w:t>
      </w:r>
      <w:r w:rsidRPr="00BA5943">
        <w:rPr>
          <w:bCs/>
          <w:iCs/>
          <w:szCs w:val="22"/>
          <w:lang w:val="hu-HU"/>
        </w:rPr>
        <w:t xml:space="preserve"> metionin megfelelő alternatíva lehet távol eső területeken, kórházon kívül</w:t>
      </w:r>
      <w:r w:rsidR="00271697" w:rsidRPr="00082FCB">
        <w:rPr>
          <w:color w:val="000000"/>
          <w:szCs w:val="22"/>
          <w:lang w:val="hu-HU"/>
        </w:rPr>
        <w:t>.</w:t>
      </w:r>
    </w:p>
    <w:p w14:paraId="23394A38" w14:textId="2B534B49" w:rsidR="00271697" w:rsidRPr="00082FCB" w:rsidRDefault="00EA1D8F" w:rsidP="006475B4">
      <w:pPr>
        <w:spacing w:line="240" w:lineRule="auto"/>
        <w:rPr>
          <w:color w:val="000000"/>
          <w:szCs w:val="22"/>
          <w:lang w:val="hu-HU"/>
        </w:rPr>
      </w:pPr>
      <w:r w:rsidRPr="00BA5943">
        <w:rPr>
          <w:bCs/>
          <w:iCs/>
          <w:szCs w:val="22"/>
          <w:lang w:val="hu-HU"/>
        </w:rPr>
        <w:t>Azok</w:t>
      </w:r>
      <w:r>
        <w:rPr>
          <w:bCs/>
          <w:iCs/>
          <w:szCs w:val="22"/>
          <w:lang w:val="hu-HU"/>
        </w:rPr>
        <w:t>at</w:t>
      </w:r>
      <w:r w:rsidRPr="00BA5943">
        <w:rPr>
          <w:bCs/>
          <w:iCs/>
          <w:szCs w:val="22"/>
          <w:lang w:val="hu-HU"/>
        </w:rPr>
        <w:t xml:space="preserve"> </w:t>
      </w:r>
      <w:r w:rsidR="003476CC" w:rsidRPr="00BA5943">
        <w:rPr>
          <w:bCs/>
          <w:iCs/>
          <w:szCs w:val="22"/>
          <w:lang w:val="hu-HU"/>
        </w:rPr>
        <w:t>a betegek</w:t>
      </w:r>
      <w:r>
        <w:rPr>
          <w:bCs/>
          <w:iCs/>
          <w:szCs w:val="22"/>
          <w:lang w:val="hu-HU"/>
        </w:rPr>
        <w:t>et</w:t>
      </w:r>
      <w:r w:rsidR="003476CC" w:rsidRPr="00BA5943">
        <w:rPr>
          <w:bCs/>
          <w:iCs/>
          <w:szCs w:val="22"/>
          <w:lang w:val="hu-HU"/>
        </w:rPr>
        <w:t xml:space="preserve">, akiknél a bevételtől számított több, mint 24 óra elmúltával jelentkezik súlyos </w:t>
      </w:r>
      <w:r w:rsidR="004E58FD" w:rsidRPr="00BA5943">
        <w:rPr>
          <w:bCs/>
          <w:iCs/>
          <w:szCs w:val="22"/>
          <w:lang w:val="hu-HU"/>
        </w:rPr>
        <w:t>máj</w:t>
      </w:r>
      <w:r w:rsidR="004E58FD">
        <w:rPr>
          <w:bCs/>
          <w:iCs/>
          <w:szCs w:val="22"/>
          <w:lang w:val="hu-HU"/>
        </w:rPr>
        <w:t>károsodás</w:t>
      </w:r>
      <w:r w:rsidR="003476CC" w:rsidRPr="00BA5943">
        <w:rPr>
          <w:bCs/>
          <w:iCs/>
          <w:szCs w:val="22"/>
          <w:lang w:val="hu-HU"/>
        </w:rPr>
        <w:t xml:space="preserve"> a fennálló irányelvek szerint kell kezelni</w:t>
      </w:r>
      <w:r w:rsidR="00271697" w:rsidRPr="00082FCB">
        <w:rPr>
          <w:color w:val="000000"/>
          <w:szCs w:val="22"/>
          <w:lang w:val="hu-HU"/>
        </w:rPr>
        <w:t>.</w:t>
      </w:r>
    </w:p>
    <w:p w14:paraId="66124A34" w14:textId="77777777" w:rsidR="00CD4A17" w:rsidRPr="00082FCB" w:rsidRDefault="00CD4A17" w:rsidP="006475B4">
      <w:pPr>
        <w:spacing w:line="240" w:lineRule="auto"/>
        <w:rPr>
          <w:color w:val="000000"/>
          <w:szCs w:val="22"/>
          <w:lang w:val="hu-HU"/>
        </w:rPr>
      </w:pPr>
    </w:p>
    <w:p w14:paraId="67E1194A" w14:textId="512B9D79" w:rsidR="00271697" w:rsidRPr="00082FCB" w:rsidRDefault="00271697" w:rsidP="006475B4">
      <w:pPr>
        <w:spacing w:line="240" w:lineRule="auto"/>
        <w:rPr>
          <w:color w:val="000000"/>
          <w:szCs w:val="22"/>
          <w:lang w:val="hu-HU"/>
        </w:rPr>
      </w:pPr>
      <w:r w:rsidRPr="00082FCB">
        <w:rPr>
          <w:b/>
          <w:bCs/>
          <w:color w:val="000000"/>
          <w:szCs w:val="22"/>
          <w:lang w:val="hu-HU"/>
        </w:rPr>
        <w:t>Ibuprof</w:t>
      </w:r>
      <w:r w:rsidR="003476CC">
        <w:rPr>
          <w:b/>
          <w:bCs/>
          <w:color w:val="000000"/>
          <w:szCs w:val="22"/>
          <w:lang w:val="hu-HU"/>
        </w:rPr>
        <w:t>é</w:t>
      </w:r>
      <w:r w:rsidRPr="00082FCB">
        <w:rPr>
          <w:b/>
          <w:bCs/>
          <w:color w:val="000000"/>
          <w:szCs w:val="22"/>
          <w:lang w:val="hu-HU"/>
        </w:rPr>
        <w:t>n</w:t>
      </w:r>
    </w:p>
    <w:p w14:paraId="419408A5" w14:textId="2B0B86EB" w:rsidR="00271697" w:rsidRPr="00082FCB" w:rsidRDefault="00B652E1" w:rsidP="006475B4">
      <w:pPr>
        <w:spacing w:line="240" w:lineRule="auto"/>
        <w:rPr>
          <w:color w:val="000000"/>
          <w:szCs w:val="22"/>
          <w:lang w:val="hu-HU"/>
        </w:rPr>
      </w:pPr>
      <w:r w:rsidRPr="00BA5943">
        <w:rPr>
          <w:bCs/>
          <w:iCs/>
          <w:szCs w:val="22"/>
          <w:lang w:val="hu-HU"/>
        </w:rPr>
        <w:t>Gyermekeknél 400 mg/</w:t>
      </w:r>
      <w:r w:rsidR="00E9673B">
        <w:rPr>
          <w:bCs/>
          <w:iCs/>
          <w:szCs w:val="22"/>
          <w:lang w:val="hu-HU"/>
        </w:rPr>
        <w:t>tt</w:t>
      </w:r>
      <w:r w:rsidRPr="00BA5943">
        <w:rPr>
          <w:bCs/>
          <w:iCs/>
          <w:szCs w:val="22"/>
          <w:lang w:val="hu-HU"/>
        </w:rPr>
        <w:t>kg-nál nagyobb ibuprofén dózisok okozhatnak tüneteket. Felnőtteknél a dózis-hatás összefüggés kevésbé világos</w:t>
      </w:r>
      <w:r w:rsidR="00271697" w:rsidRPr="00082FCB">
        <w:rPr>
          <w:color w:val="000000"/>
          <w:szCs w:val="22"/>
          <w:lang w:val="hu-HU"/>
        </w:rPr>
        <w:t>.</w:t>
      </w:r>
    </w:p>
    <w:p w14:paraId="671C76D5" w14:textId="1297CF02" w:rsidR="00271697" w:rsidRPr="00082FCB" w:rsidRDefault="00B652E1" w:rsidP="006475B4">
      <w:pPr>
        <w:spacing w:line="240" w:lineRule="auto"/>
        <w:rPr>
          <w:color w:val="000000"/>
          <w:szCs w:val="22"/>
          <w:lang w:val="hu-HU"/>
        </w:rPr>
      </w:pPr>
      <w:r w:rsidRPr="00BA5943">
        <w:rPr>
          <w:bCs/>
          <w:iCs/>
          <w:szCs w:val="22"/>
          <w:lang w:val="hu-HU"/>
        </w:rPr>
        <w:t>Túladagolás esetén a felezési idő 1,5-3 óra</w:t>
      </w:r>
      <w:r w:rsidR="00271697" w:rsidRPr="00082FCB">
        <w:rPr>
          <w:color w:val="000000"/>
          <w:szCs w:val="22"/>
          <w:lang w:val="hu-HU"/>
        </w:rPr>
        <w:t>.</w:t>
      </w:r>
    </w:p>
    <w:p w14:paraId="34F9F620" w14:textId="77777777" w:rsidR="00CD4A17" w:rsidRPr="00082FCB" w:rsidRDefault="00CD4A17" w:rsidP="006475B4">
      <w:pPr>
        <w:spacing w:line="240" w:lineRule="auto"/>
        <w:rPr>
          <w:color w:val="000000"/>
          <w:szCs w:val="22"/>
          <w:lang w:val="hu-HU"/>
        </w:rPr>
      </w:pPr>
    </w:p>
    <w:p w14:paraId="4A07C1DD" w14:textId="1F66DEAD" w:rsidR="00271697" w:rsidRPr="00082FCB" w:rsidRDefault="00B652E1" w:rsidP="006475B4">
      <w:pPr>
        <w:spacing w:line="240" w:lineRule="auto"/>
        <w:rPr>
          <w:color w:val="000000"/>
          <w:szCs w:val="22"/>
          <w:u w:val="single"/>
          <w:lang w:val="hu-HU"/>
        </w:rPr>
      </w:pPr>
      <w:r>
        <w:rPr>
          <w:color w:val="000000"/>
          <w:szCs w:val="22"/>
          <w:u w:val="single"/>
          <w:lang w:val="hu-HU"/>
        </w:rPr>
        <w:t>Tünetek</w:t>
      </w:r>
    </w:p>
    <w:p w14:paraId="26A51820" w14:textId="0020C64A" w:rsidR="00271697" w:rsidRDefault="00B652E1" w:rsidP="006475B4">
      <w:pPr>
        <w:spacing w:line="240" w:lineRule="auto"/>
        <w:rPr>
          <w:color w:val="000000"/>
          <w:szCs w:val="22"/>
          <w:lang w:val="hu-HU"/>
        </w:rPr>
      </w:pPr>
      <w:r w:rsidRPr="00BA5943">
        <w:rPr>
          <w:bCs/>
          <w:iCs/>
          <w:szCs w:val="22"/>
          <w:lang w:val="hu-HU"/>
        </w:rPr>
        <w:t>A legtöbb betegnél, aki klinikailag jelentős mennyiségű NSAID-t vett be, csak émelygés, hányás, gyomortáji fájdalom, illetve ritkábban hasmenés alakul ki. Tinnitus, fejfájás és gastrointestinalis vérzés szintén lehetséges. Súlyosabb mérgezés esetén központi idegrendszeri toxicitás észlelhető, amely álmosságban, esetenként izgatottságban és dezorientációban vagy comában manifesztálódik. Esetenként görcs</w:t>
      </w:r>
      <w:r w:rsidR="004E58FD">
        <w:rPr>
          <w:bCs/>
          <w:iCs/>
          <w:szCs w:val="22"/>
          <w:lang w:val="hu-HU"/>
        </w:rPr>
        <w:t>rohamok</w:t>
      </w:r>
      <w:r w:rsidRPr="00BA5943">
        <w:rPr>
          <w:bCs/>
          <w:iCs/>
          <w:szCs w:val="22"/>
          <w:lang w:val="hu-HU"/>
        </w:rPr>
        <w:t xml:space="preserve"> alakulnak ki. Súlyos mérgezésben metabolikus acidózis alakulhat ki és a protrombin idő / INR megnyúlhat, feltehetően a keringő véralvadási faktorok hatásával való interferencia miatt. Akut </w:t>
      </w:r>
      <w:r w:rsidR="003B67DB" w:rsidRPr="00BA5943">
        <w:rPr>
          <w:bCs/>
          <w:iCs/>
          <w:szCs w:val="22"/>
          <w:lang w:val="hu-HU"/>
        </w:rPr>
        <w:t>vese</w:t>
      </w:r>
      <w:r w:rsidR="003B67DB">
        <w:rPr>
          <w:bCs/>
          <w:iCs/>
          <w:szCs w:val="22"/>
          <w:lang w:val="hu-HU"/>
        </w:rPr>
        <w:t>károsodás</w:t>
      </w:r>
      <w:r w:rsidR="003B67DB" w:rsidRPr="00BA5943">
        <w:rPr>
          <w:bCs/>
          <w:iCs/>
          <w:szCs w:val="22"/>
          <w:lang w:val="hu-HU"/>
        </w:rPr>
        <w:t xml:space="preserve"> </w:t>
      </w:r>
      <w:r w:rsidRPr="00BA5943">
        <w:rPr>
          <w:bCs/>
          <w:iCs/>
          <w:szCs w:val="22"/>
          <w:lang w:val="hu-HU"/>
        </w:rPr>
        <w:t>és májkárosodás alakulhat ki, amennyiben egyidejűleg dehidráció áll fenn. Asthmás betegeknél előfordulhat az asthma exacerbatiója</w:t>
      </w:r>
      <w:r w:rsidR="00271697" w:rsidRPr="00082FCB">
        <w:rPr>
          <w:color w:val="000000"/>
          <w:szCs w:val="22"/>
          <w:lang w:val="hu-HU"/>
        </w:rPr>
        <w:t>.</w:t>
      </w:r>
    </w:p>
    <w:p w14:paraId="7EF949CF" w14:textId="7215CB7A" w:rsidR="001A6343" w:rsidRPr="00082FCB" w:rsidRDefault="001A6343" w:rsidP="006475B4">
      <w:pPr>
        <w:spacing w:line="240" w:lineRule="auto"/>
        <w:rPr>
          <w:color w:val="000000"/>
          <w:szCs w:val="22"/>
          <w:lang w:val="hu-HU"/>
        </w:rPr>
      </w:pPr>
      <w:r w:rsidRPr="001A6343">
        <w:rPr>
          <w:color w:val="000000"/>
          <w:szCs w:val="22"/>
          <w:lang w:val="hu-HU"/>
        </w:rPr>
        <w:t xml:space="preserve">Hosszabb ideig tartó, az ajánlottnál magasabb dózisú </w:t>
      </w:r>
      <w:r w:rsidR="00F005A2">
        <w:rPr>
          <w:color w:val="000000"/>
          <w:szCs w:val="22"/>
          <w:lang w:val="hu-HU"/>
        </w:rPr>
        <w:t>alkalmazás</w:t>
      </w:r>
      <w:r w:rsidR="00F005A2" w:rsidRPr="001A6343">
        <w:rPr>
          <w:color w:val="000000"/>
          <w:szCs w:val="22"/>
          <w:lang w:val="hu-HU"/>
        </w:rPr>
        <w:t xml:space="preserve"> </w:t>
      </w:r>
      <w:r w:rsidRPr="001A6343">
        <w:rPr>
          <w:color w:val="000000"/>
          <w:szCs w:val="22"/>
          <w:lang w:val="hu-HU"/>
        </w:rPr>
        <w:t>vagy túladagolás</w:t>
      </w:r>
      <w:r>
        <w:rPr>
          <w:color w:val="000000"/>
          <w:szCs w:val="22"/>
          <w:lang w:val="hu-HU"/>
        </w:rPr>
        <w:t xml:space="preserve"> </w:t>
      </w:r>
      <w:r w:rsidR="00F005A2">
        <w:rPr>
          <w:color w:val="000000"/>
          <w:szCs w:val="22"/>
          <w:lang w:val="hu-HU"/>
        </w:rPr>
        <w:t>renalis tubularis acidosis</w:t>
      </w:r>
      <w:r w:rsidRPr="001A6343">
        <w:rPr>
          <w:color w:val="000000"/>
          <w:szCs w:val="22"/>
          <w:lang w:val="hu-HU"/>
        </w:rPr>
        <w:t xml:space="preserve">t és hipokalémiát </w:t>
      </w:r>
      <w:r w:rsidR="00B80B40">
        <w:rPr>
          <w:color w:val="000000"/>
          <w:szCs w:val="22"/>
          <w:lang w:val="hu-HU"/>
        </w:rPr>
        <w:t>okozhat</w:t>
      </w:r>
      <w:r w:rsidRPr="001A6343">
        <w:rPr>
          <w:color w:val="000000"/>
          <w:szCs w:val="22"/>
          <w:lang w:val="hu-HU"/>
        </w:rPr>
        <w:t>.</w:t>
      </w:r>
    </w:p>
    <w:p w14:paraId="7E843202" w14:textId="77777777" w:rsidR="00CD4A17" w:rsidRPr="00082FCB" w:rsidRDefault="00CD4A17" w:rsidP="006475B4">
      <w:pPr>
        <w:spacing w:line="240" w:lineRule="auto"/>
        <w:rPr>
          <w:color w:val="000000"/>
          <w:szCs w:val="22"/>
          <w:lang w:val="hu-HU"/>
        </w:rPr>
      </w:pPr>
    </w:p>
    <w:p w14:paraId="269B3920" w14:textId="7D28A497" w:rsidR="00271697" w:rsidRPr="00082FCB" w:rsidRDefault="00B652E1" w:rsidP="006475B4">
      <w:pPr>
        <w:spacing w:line="240" w:lineRule="auto"/>
        <w:rPr>
          <w:color w:val="000000"/>
          <w:szCs w:val="22"/>
          <w:u w:val="single"/>
          <w:lang w:val="hu-HU"/>
        </w:rPr>
      </w:pPr>
      <w:r>
        <w:rPr>
          <w:color w:val="000000"/>
          <w:szCs w:val="22"/>
          <w:u w:val="single"/>
          <w:lang w:val="hu-HU"/>
        </w:rPr>
        <w:t>Kezelés</w:t>
      </w:r>
    </w:p>
    <w:p w14:paraId="2BEB4EA0" w14:textId="0463C10E" w:rsidR="00271697" w:rsidRPr="00082FCB" w:rsidRDefault="00B652E1" w:rsidP="006475B4">
      <w:pPr>
        <w:spacing w:line="240" w:lineRule="auto"/>
        <w:rPr>
          <w:color w:val="000000"/>
          <w:szCs w:val="22"/>
          <w:lang w:val="hu-HU"/>
        </w:rPr>
      </w:pPr>
      <w:r w:rsidRPr="00BA5943">
        <w:rPr>
          <w:bCs/>
          <w:iCs/>
          <w:szCs w:val="22"/>
          <w:lang w:val="hu-HU"/>
        </w:rPr>
        <w:t>A kezelés tüneti és támogató, magában foglalja a légutak átjárhatóságának biztosítását és a szív- és a vitális jelek monitorozását, amíg stabil</w:t>
      </w:r>
      <w:r w:rsidR="00431932">
        <w:rPr>
          <w:bCs/>
          <w:iCs/>
          <w:szCs w:val="22"/>
          <w:lang w:val="hu-HU"/>
        </w:rPr>
        <w:t>l</w:t>
      </w:r>
      <w:r w:rsidRPr="00BA5943">
        <w:rPr>
          <w:bCs/>
          <w:iCs/>
          <w:szCs w:val="22"/>
          <w:lang w:val="hu-HU"/>
        </w:rPr>
        <w:t xml:space="preserve">á nem válnak. Ha a beteg a potenciálisan toxikus mennyiség bevételétől számított 1 órán belül jelentkezik, mérlegelhető a </w:t>
      </w:r>
      <w:r w:rsidRPr="00BA5943">
        <w:rPr>
          <w:bCs/>
          <w:i/>
          <w:iCs/>
          <w:szCs w:val="22"/>
          <w:lang w:val="hu-HU"/>
        </w:rPr>
        <w:t>per os</w:t>
      </w:r>
      <w:r w:rsidRPr="00BA5943">
        <w:rPr>
          <w:bCs/>
          <w:iCs/>
          <w:szCs w:val="22"/>
          <w:lang w:val="hu-HU"/>
        </w:rPr>
        <w:t xml:space="preserve"> aktív szén adása. Ha gyakoriak vagy elhúzódóan jelentkeznek, a </w:t>
      </w:r>
      <w:r w:rsidR="00DA1520" w:rsidRPr="00BA5943">
        <w:rPr>
          <w:bCs/>
          <w:iCs/>
          <w:szCs w:val="22"/>
          <w:lang w:val="hu-HU"/>
        </w:rPr>
        <w:t>görcs</w:t>
      </w:r>
      <w:r w:rsidR="00DA1520">
        <w:rPr>
          <w:bCs/>
          <w:iCs/>
          <w:szCs w:val="22"/>
          <w:lang w:val="hu-HU"/>
        </w:rPr>
        <w:t>rohamokat</w:t>
      </w:r>
      <w:r w:rsidR="00DA1520" w:rsidRPr="00BA5943">
        <w:rPr>
          <w:bCs/>
          <w:iCs/>
          <w:szCs w:val="22"/>
          <w:lang w:val="hu-HU"/>
        </w:rPr>
        <w:t xml:space="preserve"> </w:t>
      </w:r>
      <w:r w:rsidRPr="00BA5943">
        <w:rPr>
          <w:bCs/>
          <w:iCs/>
          <w:szCs w:val="22"/>
          <w:lang w:val="hu-HU"/>
        </w:rPr>
        <w:t>intravénás diazepámmal vagy lorazepámmal kell kezelni. Asthma esetén hörg</w:t>
      </w:r>
      <w:r>
        <w:rPr>
          <w:bCs/>
          <w:iCs/>
          <w:szCs w:val="22"/>
          <w:lang w:val="hu-HU"/>
        </w:rPr>
        <w:t>ő</w:t>
      </w:r>
      <w:r w:rsidRPr="00BA5943">
        <w:rPr>
          <w:bCs/>
          <w:iCs/>
          <w:szCs w:val="22"/>
          <w:lang w:val="hu-HU"/>
        </w:rPr>
        <w:t>tágítót kell alkalmazni</w:t>
      </w:r>
      <w:r w:rsidR="00271697" w:rsidRPr="00082FCB">
        <w:rPr>
          <w:color w:val="000000"/>
          <w:szCs w:val="22"/>
          <w:lang w:val="hu-HU"/>
        </w:rPr>
        <w:t>.</w:t>
      </w:r>
    </w:p>
    <w:p w14:paraId="21270D22" w14:textId="77777777" w:rsidR="002826DD" w:rsidRPr="00082FCB" w:rsidRDefault="002826DD" w:rsidP="006475B4">
      <w:pPr>
        <w:tabs>
          <w:tab w:val="clear" w:pos="567"/>
        </w:tabs>
        <w:spacing w:line="240" w:lineRule="auto"/>
        <w:rPr>
          <w:i/>
          <w:noProof/>
          <w:szCs w:val="22"/>
          <w:lang w:val="hu-HU"/>
        </w:rPr>
      </w:pPr>
    </w:p>
    <w:p w14:paraId="722F8486" w14:textId="77777777" w:rsidR="001D29E6" w:rsidRPr="00082FCB" w:rsidRDefault="001D29E6" w:rsidP="006475B4">
      <w:pPr>
        <w:spacing w:line="240" w:lineRule="auto"/>
        <w:rPr>
          <w:szCs w:val="22"/>
          <w:lang w:val="hu-HU"/>
        </w:rPr>
      </w:pPr>
    </w:p>
    <w:p w14:paraId="23FC0B35" w14:textId="6263F76D" w:rsidR="001D29E6" w:rsidRPr="00082FCB" w:rsidRDefault="001D29E6" w:rsidP="006475B4">
      <w:pPr>
        <w:spacing w:line="240" w:lineRule="auto"/>
        <w:ind w:left="567" w:hanging="567"/>
        <w:rPr>
          <w:szCs w:val="22"/>
          <w:lang w:val="hu-HU"/>
        </w:rPr>
      </w:pPr>
      <w:r w:rsidRPr="00082FCB">
        <w:rPr>
          <w:b/>
          <w:szCs w:val="22"/>
          <w:lang w:val="hu-HU"/>
        </w:rPr>
        <w:t>5.</w:t>
      </w:r>
      <w:r w:rsidRPr="00082FCB">
        <w:rPr>
          <w:b/>
          <w:szCs w:val="22"/>
          <w:lang w:val="hu-HU"/>
        </w:rPr>
        <w:tab/>
      </w:r>
      <w:r w:rsidR="00B652E1" w:rsidRPr="00BA5943">
        <w:rPr>
          <w:b/>
          <w:szCs w:val="22"/>
          <w:lang w:val="hu-HU"/>
        </w:rPr>
        <w:t>FARMAKOLÓGIAI TULAJDONSÁGOK</w:t>
      </w:r>
    </w:p>
    <w:p w14:paraId="1746B3EB" w14:textId="77777777" w:rsidR="001D29E6" w:rsidRPr="00082FCB" w:rsidRDefault="001D29E6" w:rsidP="006475B4">
      <w:pPr>
        <w:spacing w:line="240" w:lineRule="auto"/>
        <w:rPr>
          <w:bCs/>
          <w:szCs w:val="22"/>
          <w:lang w:val="hu-HU"/>
        </w:rPr>
      </w:pPr>
    </w:p>
    <w:p w14:paraId="0E70F2AD" w14:textId="158F12EE" w:rsidR="001D29E6" w:rsidRPr="00082FCB" w:rsidRDefault="001D29E6" w:rsidP="006475B4">
      <w:pPr>
        <w:spacing w:line="240" w:lineRule="auto"/>
        <w:ind w:left="567" w:hanging="567"/>
        <w:rPr>
          <w:szCs w:val="22"/>
          <w:lang w:val="hu-HU"/>
        </w:rPr>
      </w:pPr>
      <w:r w:rsidRPr="00082FCB">
        <w:rPr>
          <w:b/>
          <w:szCs w:val="22"/>
          <w:lang w:val="hu-HU"/>
        </w:rPr>
        <w:t>5.1</w:t>
      </w:r>
      <w:r w:rsidRPr="00082FCB">
        <w:rPr>
          <w:b/>
          <w:szCs w:val="22"/>
          <w:lang w:val="hu-HU"/>
        </w:rPr>
        <w:tab/>
      </w:r>
      <w:r w:rsidR="00B652E1" w:rsidRPr="00BA5943">
        <w:rPr>
          <w:b/>
          <w:szCs w:val="22"/>
          <w:lang w:val="hu-HU"/>
        </w:rPr>
        <w:t>Farmakodinámiás tulajdonságok</w:t>
      </w:r>
    </w:p>
    <w:p w14:paraId="1E1A8215" w14:textId="77777777" w:rsidR="001D29E6" w:rsidRPr="00082FCB" w:rsidRDefault="001D29E6" w:rsidP="006475B4">
      <w:pPr>
        <w:spacing w:line="240" w:lineRule="auto"/>
        <w:rPr>
          <w:szCs w:val="22"/>
          <w:lang w:val="hu-HU"/>
        </w:rPr>
      </w:pPr>
    </w:p>
    <w:p w14:paraId="5ACB0EA5" w14:textId="18B76A1E" w:rsidR="00B652E1" w:rsidRPr="00BA5943" w:rsidRDefault="00B652E1" w:rsidP="00B652E1">
      <w:pPr>
        <w:keepNext/>
        <w:spacing w:line="240" w:lineRule="auto"/>
        <w:rPr>
          <w:szCs w:val="22"/>
          <w:lang w:val="hu-HU"/>
        </w:rPr>
      </w:pPr>
      <w:r w:rsidRPr="00BA5943">
        <w:rPr>
          <w:szCs w:val="22"/>
          <w:lang w:val="hu-HU"/>
        </w:rPr>
        <w:t xml:space="preserve">Farmakoterápiás csoport: </w:t>
      </w:r>
      <w:r w:rsidR="00293EA2">
        <w:rPr>
          <w:szCs w:val="22"/>
          <w:lang w:val="hu-HU"/>
        </w:rPr>
        <w:t>Analgetikumok, e</w:t>
      </w:r>
      <w:r w:rsidR="00293EA2" w:rsidRPr="00293EA2">
        <w:rPr>
          <w:szCs w:val="22"/>
          <w:lang w:val="hu-HU"/>
        </w:rPr>
        <w:t>gyéb fájdalom- és lázcsillapító</w:t>
      </w:r>
      <w:r w:rsidR="00293EA2">
        <w:rPr>
          <w:szCs w:val="22"/>
          <w:lang w:val="hu-HU"/>
        </w:rPr>
        <w:t>k, p</w:t>
      </w:r>
      <w:r w:rsidR="00293EA2" w:rsidRPr="00293EA2">
        <w:rPr>
          <w:szCs w:val="22"/>
          <w:lang w:val="hu-HU"/>
        </w:rPr>
        <w:t>aracetamol, kombinációk, kivéve psycholepticumok</w:t>
      </w:r>
    </w:p>
    <w:p w14:paraId="3AEDEABE" w14:textId="4F6EBABE" w:rsidR="006475B4" w:rsidRPr="00082FCB" w:rsidRDefault="00B652E1" w:rsidP="00B652E1">
      <w:pPr>
        <w:spacing w:line="240" w:lineRule="auto"/>
        <w:rPr>
          <w:color w:val="000000"/>
          <w:szCs w:val="22"/>
          <w:lang w:val="hu-HU"/>
        </w:rPr>
      </w:pPr>
      <w:r w:rsidRPr="00BA5943">
        <w:rPr>
          <w:szCs w:val="22"/>
          <w:lang w:val="hu-HU"/>
        </w:rPr>
        <w:t>ATC kód</w:t>
      </w:r>
      <w:r w:rsidR="006475B4" w:rsidRPr="00082FCB">
        <w:rPr>
          <w:color w:val="000000"/>
          <w:szCs w:val="22"/>
          <w:lang w:val="hu-HU"/>
        </w:rPr>
        <w:t xml:space="preserve">: </w:t>
      </w:r>
      <w:r w:rsidR="004929B9" w:rsidRPr="004929B9">
        <w:rPr>
          <w:color w:val="000000"/>
          <w:szCs w:val="22"/>
          <w:lang w:val="hu-HU"/>
        </w:rPr>
        <w:t>N02BE51</w:t>
      </w:r>
    </w:p>
    <w:p w14:paraId="4041AF3B" w14:textId="77777777" w:rsidR="006475B4" w:rsidRPr="00082FCB" w:rsidRDefault="006475B4" w:rsidP="006475B4">
      <w:pPr>
        <w:spacing w:line="240" w:lineRule="auto"/>
        <w:rPr>
          <w:color w:val="000000"/>
          <w:szCs w:val="22"/>
          <w:lang w:val="hu-HU"/>
        </w:rPr>
      </w:pPr>
    </w:p>
    <w:p w14:paraId="40DE8CED" w14:textId="5E56E377" w:rsidR="006475B4" w:rsidRPr="00082FCB" w:rsidRDefault="00B652E1" w:rsidP="006475B4">
      <w:pPr>
        <w:spacing w:line="240" w:lineRule="auto"/>
        <w:rPr>
          <w:color w:val="000000"/>
          <w:szCs w:val="22"/>
          <w:lang w:val="hu-HU"/>
        </w:rPr>
      </w:pPr>
      <w:r w:rsidRPr="00B652E1">
        <w:rPr>
          <w:color w:val="000000"/>
          <w:szCs w:val="22"/>
          <w:lang w:val="hu-HU"/>
        </w:rPr>
        <w:t>Az ibuprofén és a paracetamol farmakológiai hatásai különböznek hely és a hatásmód tekintetében. Ezek a kiegészítő hatásmódok szinergisták, amely nagyobb fájdalomcsökkentő és lázcsillapító hatást eredményez, mint ami az egyes hatóanyagokkal külön-külön elérhető</w:t>
      </w:r>
      <w:r w:rsidR="006475B4" w:rsidRPr="00082FCB">
        <w:rPr>
          <w:color w:val="000000"/>
          <w:szCs w:val="22"/>
          <w:lang w:val="hu-HU"/>
        </w:rPr>
        <w:t>.</w:t>
      </w:r>
    </w:p>
    <w:p w14:paraId="2E659332" w14:textId="77777777" w:rsidR="006475B4" w:rsidRPr="00082FCB" w:rsidRDefault="006475B4" w:rsidP="006475B4">
      <w:pPr>
        <w:spacing w:line="240" w:lineRule="auto"/>
        <w:rPr>
          <w:color w:val="000000"/>
          <w:szCs w:val="22"/>
          <w:lang w:val="hu-HU"/>
        </w:rPr>
      </w:pPr>
    </w:p>
    <w:p w14:paraId="34D143FA" w14:textId="7FEC34F4" w:rsidR="006475B4" w:rsidRPr="00082FCB" w:rsidRDefault="00440AC4" w:rsidP="00440AC4">
      <w:pPr>
        <w:spacing w:line="240" w:lineRule="auto"/>
        <w:rPr>
          <w:color w:val="000000"/>
          <w:szCs w:val="22"/>
          <w:lang w:val="hu-HU"/>
        </w:rPr>
      </w:pPr>
      <w:r w:rsidRPr="00440AC4">
        <w:rPr>
          <w:color w:val="000000"/>
          <w:szCs w:val="22"/>
          <w:lang w:val="hu-HU"/>
        </w:rPr>
        <w:t>Az ibuprofén olyan NSAID, amely a proszdaglandin-szintézis gátlása útján hat, és hatásosságát standard állatkísérletes gyulladásos modellekben igazolták.</w:t>
      </w:r>
      <w:r w:rsidR="00B652E1" w:rsidRPr="00B652E1">
        <w:rPr>
          <w:color w:val="000000"/>
          <w:szCs w:val="22"/>
          <w:lang w:val="hu-HU"/>
        </w:rPr>
        <w:t xml:space="preserve"> A prosztaglandinok érzékenyebbé teszik a nociceptív afferens idegvégződéseket a mediátorok, például a bradikinin iránt. Az ibuprofén ilymódon a ciklooxigenáz-2 (COX-2) izoenzimek perifériás gátlása és a nociceptív idegvégződések érzékenységének következményes csökkentése révén analgetikus hatást fejt ki. Az ibuprofénről azt is kimutatták, hogy gátolja a gyulladásos terület felé irányuló indukált leukocyta migrációt. Az ibuprofénnek a gerincvelőben is jelentős hatása van, részben a COX-gátló hatása révén. Az ibuprofén lázcsillapító hatását a prosztaglandinok centrális gátlása eredményezi a hypotalamusban. Az ibuprofén reverzíbilisen gátolja a vérlemezke-aggregációt. Emberekben az ibuprofén csökkenti a gyulladásos fájdalmakat</w:t>
      </w:r>
      <w:r w:rsidR="0017544A">
        <w:rPr>
          <w:color w:val="000000"/>
          <w:szCs w:val="22"/>
          <w:lang w:val="hu-HU"/>
        </w:rPr>
        <w:t>, duzzanatokat</w:t>
      </w:r>
      <w:r w:rsidR="00B652E1" w:rsidRPr="00B652E1">
        <w:rPr>
          <w:color w:val="000000"/>
          <w:szCs w:val="22"/>
          <w:lang w:val="hu-HU"/>
        </w:rPr>
        <w:t xml:space="preserve"> és a lázat</w:t>
      </w:r>
      <w:r w:rsidR="006475B4" w:rsidRPr="00082FCB">
        <w:rPr>
          <w:color w:val="000000"/>
          <w:szCs w:val="22"/>
          <w:lang w:val="hu-HU"/>
        </w:rPr>
        <w:t>.</w:t>
      </w:r>
    </w:p>
    <w:p w14:paraId="2DB7B03C" w14:textId="77777777" w:rsidR="006475B4" w:rsidRPr="00082FCB" w:rsidRDefault="006475B4" w:rsidP="006475B4">
      <w:pPr>
        <w:spacing w:line="240" w:lineRule="auto"/>
        <w:rPr>
          <w:color w:val="000000"/>
          <w:szCs w:val="22"/>
          <w:lang w:val="hu-HU"/>
        </w:rPr>
      </w:pPr>
    </w:p>
    <w:p w14:paraId="5B29AC87" w14:textId="19484392" w:rsidR="006475B4" w:rsidRPr="00082FCB" w:rsidRDefault="00B652E1" w:rsidP="006475B4">
      <w:pPr>
        <w:spacing w:line="240" w:lineRule="auto"/>
        <w:rPr>
          <w:color w:val="000000"/>
          <w:szCs w:val="22"/>
          <w:lang w:val="hu-HU"/>
        </w:rPr>
      </w:pPr>
      <w:r w:rsidRPr="00B652E1">
        <w:rPr>
          <w:color w:val="000000"/>
          <w:szCs w:val="22"/>
          <w:lang w:val="hu-HU"/>
        </w:rPr>
        <w:t>Kísérletes adatok arra utalnak, hogy az ibuprofén kompetitíven gátolhatja az alacsony dózisú acetilszalicilsav hatását a vérlemezke-aggregációra egyidejű alkalmazás esetén. Egyes farmakodinámiás vizsgálatok azt mutatják, hogy amikor egyszeri 400 mg ibuprofént adtak az azonnali kioldódású (81 mg) acetilszalicilsav bevétele előtti 8 órán belül vagy az azt követő 30 percen belül, az acetilszalicilsav csökkent hatást mutatott a tromboxánképződésre, illetve a vérlemezke-aggregációra. Bár bizonytalanságok vannak ezen adatok klinikai helyzetekre való extrapolálása tekintetében, nem zárható ki annak a lehetősége, hogy az ibuprofén rendszeres, hosszú időtartamú alkalmazása csökkentheti az alacsony dózisú acetilszalicilsav kardioprotektív hatását. Az ibuprofén alkalmankénti szedése esetén klinikailag jelentős hatás nem valószínű (lásd 4.5 pont)</w:t>
      </w:r>
      <w:r w:rsidR="006475B4" w:rsidRPr="00082FCB">
        <w:rPr>
          <w:color w:val="000000"/>
          <w:szCs w:val="22"/>
          <w:lang w:val="hu-HU"/>
        </w:rPr>
        <w:t>.</w:t>
      </w:r>
    </w:p>
    <w:p w14:paraId="39352DA8" w14:textId="77777777" w:rsidR="006475B4" w:rsidRPr="00082FCB" w:rsidRDefault="006475B4" w:rsidP="006475B4">
      <w:pPr>
        <w:spacing w:line="240" w:lineRule="auto"/>
        <w:rPr>
          <w:color w:val="000000"/>
          <w:szCs w:val="22"/>
          <w:lang w:val="hu-HU"/>
        </w:rPr>
      </w:pPr>
    </w:p>
    <w:p w14:paraId="68CCA7A8" w14:textId="38D83E23" w:rsidR="006475B4" w:rsidRPr="00082FCB" w:rsidRDefault="00B652E1" w:rsidP="006475B4">
      <w:pPr>
        <w:spacing w:line="240" w:lineRule="auto"/>
        <w:rPr>
          <w:color w:val="000000"/>
          <w:szCs w:val="22"/>
          <w:lang w:val="hu-HU"/>
        </w:rPr>
      </w:pPr>
      <w:r w:rsidRPr="00B652E1">
        <w:rPr>
          <w:color w:val="000000"/>
          <w:szCs w:val="22"/>
          <w:lang w:val="hu-HU"/>
        </w:rPr>
        <w:t>A paracetamol pontos hatásmechanizmusa még nem teljesen ismert; azonban jelentős bizonyítékok támogatják a centrális fájdalomcsillapító hatás hipotézisét. Különböző biokémiai vizsgálatok utalnak a centrális COX</w:t>
      </w:r>
      <w:r w:rsidR="0017544A">
        <w:rPr>
          <w:color w:val="000000"/>
          <w:szCs w:val="22"/>
          <w:lang w:val="hu-HU"/>
        </w:rPr>
        <w:t>-2</w:t>
      </w:r>
      <w:r w:rsidRPr="00B652E1">
        <w:rPr>
          <w:color w:val="000000"/>
          <w:szCs w:val="22"/>
          <w:lang w:val="hu-HU"/>
        </w:rPr>
        <w:t>-aktivitás gátlására. A paracetamol serkentheti a leszálló 5-hidroxi-triptamin (szerotonin) idegpályákat, amelyek gátolják a nociceptív szignál-transzmissziót a gerincvelőben. Bizonyították, hogy a paracetamol nagyon gyenge gátlója a perifériás COX-1 és COX-2 izoenzimeknek</w:t>
      </w:r>
      <w:r w:rsidR="006475B4" w:rsidRPr="00082FCB">
        <w:rPr>
          <w:color w:val="000000"/>
          <w:szCs w:val="22"/>
          <w:lang w:val="hu-HU"/>
        </w:rPr>
        <w:t>.</w:t>
      </w:r>
    </w:p>
    <w:p w14:paraId="5BDBEB31" w14:textId="77777777" w:rsidR="006475B4" w:rsidRPr="00082FCB" w:rsidRDefault="006475B4" w:rsidP="006475B4">
      <w:pPr>
        <w:spacing w:line="240" w:lineRule="auto"/>
        <w:rPr>
          <w:color w:val="000000"/>
          <w:szCs w:val="22"/>
          <w:lang w:val="hu-HU"/>
        </w:rPr>
      </w:pPr>
    </w:p>
    <w:p w14:paraId="0E48D876" w14:textId="57E7C2DD" w:rsidR="006475B4" w:rsidRPr="00082FCB" w:rsidRDefault="00B652E1" w:rsidP="006475B4">
      <w:pPr>
        <w:spacing w:line="240" w:lineRule="auto"/>
        <w:rPr>
          <w:color w:val="000000"/>
          <w:szCs w:val="22"/>
          <w:lang w:val="hu-HU"/>
        </w:rPr>
      </w:pPr>
      <w:r w:rsidRPr="00B652E1">
        <w:rPr>
          <w:color w:val="000000"/>
          <w:szCs w:val="22"/>
          <w:lang w:val="hu-HU"/>
        </w:rPr>
        <w:t>Az ibuprofén és a paracetamol klinikai hatásosságát fejfájással, fogfájással és dysmenorrhoeához társult fájdalom, valamint láz esetén bizonyították. Ezen felül a hatásosságot igazolták megfázáshoz és influenzához társuló fájdalomban és lázban szenvedő betegeknél, valamint olyan fájdalommodellekben, mint például a torokfájás, az izomfájdalom vagy a lágyrész-sérülés és a hátfájás</w:t>
      </w:r>
      <w:r w:rsidR="006475B4" w:rsidRPr="00082FCB">
        <w:rPr>
          <w:color w:val="000000"/>
          <w:szCs w:val="22"/>
          <w:lang w:val="hu-HU"/>
        </w:rPr>
        <w:t>.</w:t>
      </w:r>
    </w:p>
    <w:p w14:paraId="1BA4E715" w14:textId="23B862B6" w:rsidR="006475B4" w:rsidRPr="00082FCB" w:rsidRDefault="00B652E1" w:rsidP="006475B4">
      <w:pPr>
        <w:spacing w:line="240" w:lineRule="auto"/>
        <w:rPr>
          <w:color w:val="000000"/>
          <w:szCs w:val="22"/>
          <w:lang w:val="hu-HU"/>
        </w:rPr>
      </w:pPr>
      <w:r>
        <w:rPr>
          <w:color w:val="000000"/>
          <w:szCs w:val="22"/>
          <w:lang w:val="hu-HU"/>
        </w:rPr>
        <w:t>Ez a gyógyszer</w:t>
      </w:r>
      <w:r w:rsidR="006475B4" w:rsidRPr="00082FCB">
        <w:rPr>
          <w:color w:val="000000"/>
          <w:szCs w:val="22"/>
          <w:lang w:val="hu-HU"/>
        </w:rPr>
        <w:t xml:space="preserve"> </w:t>
      </w:r>
      <w:r w:rsidRPr="00B652E1">
        <w:rPr>
          <w:color w:val="000000"/>
          <w:szCs w:val="22"/>
          <w:lang w:val="hu-HU"/>
        </w:rPr>
        <w:t xml:space="preserve">különösen alkalmas olyan fájdalmak csökkentésére, amelyek nem </w:t>
      </w:r>
      <w:r w:rsidR="00440AC4" w:rsidRPr="00B652E1">
        <w:rPr>
          <w:color w:val="000000"/>
          <w:szCs w:val="22"/>
          <w:lang w:val="hu-HU"/>
        </w:rPr>
        <w:t>enyhül</w:t>
      </w:r>
      <w:r w:rsidR="00440AC4">
        <w:rPr>
          <w:color w:val="000000"/>
          <w:szCs w:val="22"/>
          <w:lang w:val="hu-HU"/>
        </w:rPr>
        <w:t>n</w:t>
      </w:r>
      <w:r w:rsidR="00440AC4" w:rsidRPr="00B652E1">
        <w:rPr>
          <w:color w:val="000000"/>
          <w:szCs w:val="22"/>
          <w:lang w:val="hu-HU"/>
        </w:rPr>
        <w:t xml:space="preserve">ek </w:t>
      </w:r>
      <w:r w:rsidRPr="00B652E1">
        <w:rPr>
          <w:color w:val="000000"/>
          <w:szCs w:val="22"/>
          <w:lang w:val="hu-HU"/>
        </w:rPr>
        <w:t>önmagában adott 400 mg ibuprofén vagy 1000 mg paracetamol hatására, továbbá a fájdalomcsillapító hatás is gyorsabb, mint amit az ibuprofén biztosít</w:t>
      </w:r>
      <w:r w:rsidR="006475B4" w:rsidRPr="00082FCB">
        <w:rPr>
          <w:color w:val="000000"/>
          <w:szCs w:val="22"/>
          <w:lang w:val="hu-HU"/>
        </w:rPr>
        <w:t>.</w:t>
      </w:r>
    </w:p>
    <w:p w14:paraId="16F0E42E" w14:textId="6B0B3CEF" w:rsidR="001D29E6" w:rsidRPr="00082FCB" w:rsidRDefault="001D29E6" w:rsidP="006475B4">
      <w:pPr>
        <w:spacing w:line="240" w:lineRule="auto"/>
        <w:rPr>
          <w:szCs w:val="22"/>
          <w:lang w:val="hu-HU"/>
        </w:rPr>
      </w:pPr>
    </w:p>
    <w:p w14:paraId="542A9BAB" w14:textId="41281D32" w:rsidR="006475B4" w:rsidRPr="00082FCB" w:rsidRDefault="004B5034" w:rsidP="006475B4">
      <w:pPr>
        <w:spacing w:line="240" w:lineRule="auto"/>
        <w:rPr>
          <w:color w:val="000000"/>
          <w:szCs w:val="22"/>
          <w:lang w:val="hu-HU"/>
        </w:rPr>
      </w:pPr>
      <w:r w:rsidRPr="004B5034">
        <w:rPr>
          <w:b/>
          <w:bCs/>
          <w:color w:val="000000"/>
          <w:szCs w:val="22"/>
          <w:lang w:val="hu-HU"/>
        </w:rPr>
        <w:t xml:space="preserve">A 2 tablettás </w:t>
      </w:r>
      <w:r w:rsidR="00686219">
        <w:rPr>
          <w:b/>
          <w:bCs/>
          <w:color w:val="000000"/>
          <w:szCs w:val="22"/>
          <w:lang w:val="hu-HU"/>
        </w:rPr>
        <w:t xml:space="preserve">dózis </w:t>
      </w:r>
      <w:r w:rsidRPr="004B5034">
        <w:rPr>
          <w:b/>
          <w:bCs/>
          <w:color w:val="000000"/>
          <w:szCs w:val="22"/>
          <w:lang w:val="hu-HU"/>
        </w:rPr>
        <w:t>klinikai adatok összefoglalása</w:t>
      </w:r>
    </w:p>
    <w:p w14:paraId="01A2D148" w14:textId="3117B333" w:rsidR="006475B4" w:rsidRPr="00082FCB" w:rsidRDefault="004B5034" w:rsidP="006475B4">
      <w:pPr>
        <w:spacing w:line="240" w:lineRule="auto"/>
        <w:rPr>
          <w:color w:val="000000"/>
          <w:szCs w:val="22"/>
          <w:lang w:val="hu-HU"/>
        </w:rPr>
      </w:pPr>
      <w:r w:rsidRPr="004B5034">
        <w:rPr>
          <w:color w:val="000000"/>
          <w:szCs w:val="22"/>
          <w:lang w:val="hu-HU"/>
        </w:rPr>
        <w:t>Randomizált, kettős vak, placebokontrollos vizsgálatokat végeztek a kombinációval a posztoperatív fogászati fájdalommodell alkalmazásával. Ezek a vizsgálatok az alábbiakat mutatták</w:t>
      </w:r>
      <w:r w:rsidR="006475B4" w:rsidRPr="00082FCB">
        <w:rPr>
          <w:color w:val="000000"/>
          <w:szCs w:val="22"/>
          <w:lang w:val="hu-HU"/>
        </w:rPr>
        <w:t>:</w:t>
      </w:r>
    </w:p>
    <w:p w14:paraId="5E4368AF" w14:textId="072F53F4" w:rsidR="006475B4" w:rsidRPr="00082FCB" w:rsidRDefault="004B5034" w:rsidP="006475B4">
      <w:pPr>
        <w:numPr>
          <w:ilvl w:val="0"/>
          <w:numId w:val="38"/>
        </w:numPr>
        <w:spacing w:line="240" w:lineRule="auto"/>
        <w:ind w:left="567" w:hanging="567"/>
        <w:rPr>
          <w:color w:val="000000"/>
          <w:szCs w:val="22"/>
          <w:lang w:val="hu-HU"/>
        </w:rPr>
      </w:pPr>
      <w:r>
        <w:rPr>
          <w:color w:val="000000"/>
          <w:szCs w:val="22"/>
          <w:lang w:val="hu-HU"/>
        </w:rPr>
        <w:t>Ez a gyógyszer</w:t>
      </w:r>
      <w:r w:rsidR="006475B4" w:rsidRPr="00082FCB">
        <w:rPr>
          <w:color w:val="000000"/>
          <w:szCs w:val="22"/>
          <w:lang w:val="hu-HU"/>
        </w:rPr>
        <w:t xml:space="preserve"> </w:t>
      </w:r>
      <w:r w:rsidR="006305C2">
        <w:rPr>
          <w:color w:val="000000"/>
          <w:szCs w:val="22"/>
          <w:lang w:val="hu-HU"/>
        </w:rPr>
        <w:t>hatékonyabb</w:t>
      </w:r>
      <w:r w:rsidR="006305C2" w:rsidRPr="004B5034">
        <w:rPr>
          <w:color w:val="000000"/>
          <w:szCs w:val="22"/>
          <w:lang w:val="hu-HU"/>
        </w:rPr>
        <w:t xml:space="preserve"> </w:t>
      </w:r>
      <w:r w:rsidRPr="004B5034">
        <w:rPr>
          <w:color w:val="000000"/>
          <w:szCs w:val="22"/>
          <w:lang w:val="hu-HU"/>
        </w:rPr>
        <w:t>fájdalomcsillapítást biztosít, mint a 400 mg ibuprofén (p&lt;0,05) és az 1000 mg paracetamol (p&lt;0,0001), amely klinikailag jelentős és statisztikailag szignifikáns</w:t>
      </w:r>
      <w:r w:rsidR="006475B4" w:rsidRPr="00082FCB">
        <w:rPr>
          <w:color w:val="000000"/>
          <w:szCs w:val="22"/>
          <w:lang w:val="hu-HU"/>
        </w:rPr>
        <w:t>.</w:t>
      </w:r>
    </w:p>
    <w:p w14:paraId="1423FC48" w14:textId="77C5E86B" w:rsidR="006475B4" w:rsidRPr="00686219" w:rsidRDefault="00686219" w:rsidP="00686219">
      <w:pPr>
        <w:numPr>
          <w:ilvl w:val="0"/>
          <w:numId w:val="38"/>
        </w:numPr>
        <w:spacing w:line="240" w:lineRule="auto"/>
        <w:ind w:left="567" w:hanging="567"/>
        <w:rPr>
          <w:color w:val="000000"/>
          <w:szCs w:val="22"/>
          <w:lang w:val="hu-HU"/>
        </w:rPr>
      </w:pPr>
      <w:r>
        <w:rPr>
          <w:color w:val="000000"/>
          <w:szCs w:val="22"/>
          <w:lang w:val="hu-HU"/>
        </w:rPr>
        <w:t>A</w:t>
      </w:r>
      <w:r w:rsidRPr="00686219">
        <w:rPr>
          <w:color w:val="000000"/>
          <w:szCs w:val="22"/>
          <w:lang w:val="hu-HU"/>
        </w:rPr>
        <w:t xml:space="preserve"> gyógyszer </w:t>
      </w:r>
      <w:r>
        <w:rPr>
          <w:color w:val="000000"/>
          <w:szCs w:val="22"/>
          <w:lang w:val="hu-HU"/>
        </w:rPr>
        <w:t xml:space="preserve">hatása </w:t>
      </w:r>
      <w:r w:rsidRPr="00686219">
        <w:rPr>
          <w:color w:val="000000"/>
          <w:szCs w:val="22"/>
          <w:lang w:val="hu-HU"/>
        </w:rPr>
        <w:t xml:space="preserve">gyorsan </w:t>
      </w:r>
      <w:r>
        <w:rPr>
          <w:color w:val="000000"/>
          <w:szCs w:val="22"/>
          <w:lang w:val="hu-HU"/>
        </w:rPr>
        <w:t>kialakul</w:t>
      </w:r>
      <w:r w:rsidRPr="00686219">
        <w:rPr>
          <w:color w:val="000000"/>
          <w:szCs w:val="22"/>
          <w:lang w:val="hu-HU"/>
        </w:rPr>
        <w:t>, a</w:t>
      </w:r>
      <w:r>
        <w:rPr>
          <w:color w:val="000000"/>
          <w:szCs w:val="22"/>
          <w:lang w:val="hu-HU"/>
        </w:rPr>
        <w:t>z</w:t>
      </w:r>
      <w:r w:rsidRPr="00686219">
        <w:rPr>
          <w:color w:val="000000"/>
          <w:szCs w:val="22"/>
          <w:lang w:val="hu-HU"/>
        </w:rPr>
        <w:t xml:space="preserve"> </w:t>
      </w:r>
      <w:r>
        <w:rPr>
          <w:color w:val="000000"/>
          <w:szCs w:val="22"/>
          <w:lang w:val="hu-HU"/>
        </w:rPr>
        <w:t>„igazoltan é</w:t>
      </w:r>
      <w:r w:rsidRPr="00686219">
        <w:rPr>
          <w:color w:val="000000"/>
          <w:szCs w:val="22"/>
          <w:lang w:val="hu-HU"/>
        </w:rPr>
        <w:t>rzékelhető fájdalomcsillapítás</w:t>
      </w:r>
      <w:r>
        <w:rPr>
          <w:color w:val="000000"/>
          <w:szCs w:val="22"/>
          <w:lang w:val="hu-HU"/>
        </w:rPr>
        <w:t>”</w:t>
      </w:r>
      <w:r w:rsidRPr="00686219">
        <w:rPr>
          <w:color w:val="000000"/>
          <w:szCs w:val="22"/>
          <w:lang w:val="hu-HU"/>
        </w:rPr>
        <w:t xml:space="preserve"> medián</w:t>
      </w:r>
      <w:r>
        <w:rPr>
          <w:color w:val="000000"/>
          <w:szCs w:val="22"/>
          <w:lang w:val="hu-HU"/>
        </w:rPr>
        <w:t xml:space="preserve"> értéke</w:t>
      </w:r>
      <w:r w:rsidRPr="00686219">
        <w:rPr>
          <w:color w:val="000000"/>
          <w:szCs w:val="22"/>
          <w:lang w:val="hu-HU"/>
        </w:rPr>
        <w:t xml:space="preserve"> 18,3 perc. </w:t>
      </w:r>
      <w:r>
        <w:rPr>
          <w:color w:val="000000"/>
          <w:szCs w:val="22"/>
          <w:lang w:val="hu-HU"/>
        </w:rPr>
        <w:t>Ez az érték</w:t>
      </w:r>
      <w:r w:rsidRPr="00686219">
        <w:rPr>
          <w:color w:val="000000"/>
          <w:szCs w:val="22"/>
          <w:lang w:val="hu-HU"/>
        </w:rPr>
        <w:t xml:space="preserve"> szignifikánsan gyorsabb volt, mint a 400 mg ibuprofén esetében (23,8 perc, p=0,0015)</w:t>
      </w:r>
      <w:r>
        <w:rPr>
          <w:color w:val="000000"/>
          <w:szCs w:val="22"/>
          <w:lang w:val="hu-HU"/>
        </w:rPr>
        <w:t xml:space="preserve"> megfigyelt érték</w:t>
      </w:r>
      <w:r w:rsidRPr="00686219">
        <w:rPr>
          <w:color w:val="000000"/>
          <w:szCs w:val="22"/>
          <w:lang w:val="hu-HU"/>
        </w:rPr>
        <w:t xml:space="preserve">. A </w:t>
      </w:r>
      <w:r>
        <w:rPr>
          <w:color w:val="000000"/>
          <w:szCs w:val="22"/>
          <w:lang w:val="hu-HU"/>
        </w:rPr>
        <w:t>„</w:t>
      </w:r>
      <w:r w:rsidR="0017544A">
        <w:rPr>
          <w:color w:val="000000"/>
          <w:szCs w:val="22"/>
          <w:lang w:val="hu-HU"/>
        </w:rPr>
        <w:t>jelentős</w:t>
      </w:r>
      <w:r w:rsidR="0017544A" w:rsidRPr="00686219">
        <w:rPr>
          <w:color w:val="000000"/>
          <w:szCs w:val="22"/>
          <w:lang w:val="hu-HU"/>
        </w:rPr>
        <w:t xml:space="preserve"> </w:t>
      </w:r>
      <w:r w:rsidRPr="00686219">
        <w:rPr>
          <w:color w:val="000000"/>
          <w:szCs w:val="22"/>
          <w:lang w:val="hu-HU"/>
        </w:rPr>
        <w:t>fájdalomcsillapítás</w:t>
      </w:r>
      <w:r>
        <w:rPr>
          <w:color w:val="000000"/>
          <w:szCs w:val="22"/>
          <w:lang w:val="hu-HU"/>
        </w:rPr>
        <w:t>”</w:t>
      </w:r>
      <w:r w:rsidRPr="00686219">
        <w:rPr>
          <w:color w:val="000000"/>
          <w:szCs w:val="22"/>
          <w:lang w:val="hu-HU"/>
        </w:rPr>
        <w:t xml:space="preserve"> medián </w:t>
      </w:r>
      <w:r>
        <w:rPr>
          <w:color w:val="000000"/>
          <w:szCs w:val="22"/>
          <w:lang w:val="hu-HU"/>
        </w:rPr>
        <w:t>értéke a gyógyszer</w:t>
      </w:r>
      <w:r w:rsidRPr="00686219">
        <w:rPr>
          <w:color w:val="000000"/>
          <w:szCs w:val="22"/>
          <w:lang w:val="hu-HU"/>
        </w:rPr>
        <w:t xml:space="preserve"> esetében 44,6 perc alatt következett be, ami szignifikánsan gyorsabb volt</w:t>
      </w:r>
      <w:r>
        <w:rPr>
          <w:color w:val="000000"/>
          <w:szCs w:val="22"/>
          <w:lang w:val="hu-HU"/>
        </w:rPr>
        <w:t xml:space="preserve"> mint </w:t>
      </w:r>
      <w:r w:rsidR="0017544A">
        <w:rPr>
          <w:color w:val="000000"/>
          <w:szCs w:val="22"/>
          <w:lang w:val="hu-HU"/>
        </w:rPr>
        <w:t xml:space="preserve">a </w:t>
      </w:r>
      <w:r w:rsidRPr="00686219">
        <w:rPr>
          <w:color w:val="000000"/>
          <w:szCs w:val="22"/>
          <w:lang w:val="hu-HU"/>
        </w:rPr>
        <w:t>400</w:t>
      </w:r>
      <w:r w:rsidR="0017544A">
        <w:rPr>
          <w:color w:val="000000"/>
          <w:szCs w:val="22"/>
          <w:lang w:val="hu-HU"/>
        </w:rPr>
        <w:t> </w:t>
      </w:r>
      <w:r w:rsidRPr="00686219">
        <w:rPr>
          <w:color w:val="000000"/>
          <w:szCs w:val="22"/>
          <w:lang w:val="hu-HU"/>
        </w:rPr>
        <w:t>mg ibuprof</w:t>
      </w:r>
      <w:r>
        <w:rPr>
          <w:color w:val="000000"/>
          <w:szCs w:val="22"/>
          <w:lang w:val="hu-HU"/>
        </w:rPr>
        <w:t>é</w:t>
      </w:r>
      <w:r w:rsidRPr="00686219">
        <w:rPr>
          <w:color w:val="000000"/>
          <w:szCs w:val="22"/>
          <w:lang w:val="hu-HU"/>
        </w:rPr>
        <w:t xml:space="preserve">n esetében (70,5 perc, p&lt;0,0001) </w:t>
      </w:r>
      <w:r>
        <w:rPr>
          <w:color w:val="000000"/>
          <w:szCs w:val="22"/>
          <w:lang w:val="hu-HU"/>
        </w:rPr>
        <w:t>megfigyelt érték</w:t>
      </w:r>
      <w:r w:rsidRPr="00686219">
        <w:rPr>
          <w:color w:val="000000"/>
          <w:szCs w:val="22"/>
          <w:lang w:val="hu-HU"/>
        </w:rPr>
        <w:t>. A fájdalomcsillapítás időtartama szignifikánsan hosszabb volt ennél</w:t>
      </w:r>
      <w:r>
        <w:rPr>
          <w:color w:val="000000"/>
          <w:szCs w:val="22"/>
          <w:lang w:val="hu-HU"/>
        </w:rPr>
        <w:t xml:space="preserve"> a gyógyszernél</w:t>
      </w:r>
      <w:r w:rsidRPr="00686219">
        <w:rPr>
          <w:color w:val="000000"/>
          <w:szCs w:val="22"/>
          <w:lang w:val="hu-HU"/>
        </w:rPr>
        <w:t xml:space="preserve"> (9,1 óra)</w:t>
      </w:r>
      <w:r>
        <w:rPr>
          <w:color w:val="000000"/>
          <w:szCs w:val="22"/>
          <w:lang w:val="hu-HU"/>
        </w:rPr>
        <w:t>, mint amit</w:t>
      </w:r>
      <w:r w:rsidRPr="00686219">
        <w:rPr>
          <w:color w:val="000000"/>
          <w:szCs w:val="22"/>
          <w:lang w:val="hu-HU"/>
        </w:rPr>
        <w:t xml:space="preserve"> az 500</w:t>
      </w:r>
      <w:r w:rsidR="0017544A">
        <w:rPr>
          <w:color w:val="000000"/>
          <w:szCs w:val="22"/>
          <w:lang w:val="hu-HU"/>
        </w:rPr>
        <w:t> </w:t>
      </w:r>
      <w:r w:rsidRPr="00686219">
        <w:rPr>
          <w:color w:val="000000"/>
          <w:szCs w:val="22"/>
          <w:lang w:val="hu-HU"/>
        </w:rPr>
        <w:t>mg paracetamol</w:t>
      </w:r>
      <w:r>
        <w:rPr>
          <w:color w:val="000000"/>
          <w:szCs w:val="22"/>
          <w:lang w:val="hu-HU"/>
        </w:rPr>
        <w:t xml:space="preserve"> </w:t>
      </w:r>
      <w:r w:rsidRPr="00686219">
        <w:rPr>
          <w:color w:val="000000"/>
          <w:szCs w:val="22"/>
          <w:lang w:val="hu-HU"/>
        </w:rPr>
        <w:t>(4 óra) vagy az 1000</w:t>
      </w:r>
      <w:r w:rsidR="0017544A">
        <w:rPr>
          <w:color w:val="000000"/>
          <w:szCs w:val="22"/>
          <w:lang w:val="hu-HU"/>
        </w:rPr>
        <w:t> </w:t>
      </w:r>
      <w:r w:rsidRPr="00686219">
        <w:rPr>
          <w:color w:val="000000"/>
          <w:szCs w:val="22"/>
          <w:lang w:val="hu-HU"/>
        </w:rPr>
        <w:t xml:space="preserve">mg paracetamol (5 óra) </w:t>
      </w:r>
      <w:r>
        <w:rPr>
          <w:color w:val="000000"/>
          <w:szCs w:val="22"/>
          <w:lang w:val="hu-HU"/>
        </w:rPr>
        <w:t>esetében tapasztaltak</w:t>
      </w:r>
      <w:r w:rsidRPr="00686219">
        <w:rPr>
          <w:color w:val="000000"/>
          <w:szCs w:val="22"/>
          <w:lang w:val="hu-HU"/>
        </w:rPr>
        <w:t>.</w:t>
      </w:r>
    </w:p>
    <w:p w14:paraId="3ED8EE37" w14:textId="7AA7BA87" w:rsidR="006475B4" w:rsidRPr="00082FCB" w:rsidRDefault="00D33091" w:rsidP="006475B4">
      <w:pPr>
        <w:numPr>
          <w:ilvl w:val="0"/>
          <w:numId w:val="38"/>
        </w:numPr>
        <w:spacing w:line="240" w:lineRule="auto"/>
        <w:ind w:left="567" w:hanging="567"/>
        <w:rPr>
          <w:color w:val="000000"/>
          <w:szCs w:val="22"/>
          <w:lang w:val="hu-HU"/>
        </w:rPr>
      </w:pPr>
      <w:r>
        <w:rPr>
          <w:rFonts w:eastAsia="Calibri"/>
          <w:szCs w:val="22"/>
          <w:lang w:val="hu-HU"/>
        </w:rPr>
        <w:t xml:space="preserve">A </w:t>
      </w:r>
      <w:r w:rsidRPr="00BA5943">
        <w:rPr>
          <w:rFonts w:eastAsia="Calibri"/>
          <w:szCs w:val="22"/>
          <w:lang w:val="hu-HU"/>
        </w:rPr>
        <w:t xml:space="preserve">vizsgálati gyógyszer betegek általi globális értékelése a magas elégedettségi szintet mutatott; 93,2%-os eredményességi rátát </w:t>
      </w:r>
      <w:r w:rsidRPr="00BA5943">
        <w:rPr>
          <w:w w:val="105"/>
          <w:szCs w:val="22"/>
          <w:lang w:val="hu-HU"/>
        </w:rPr>
        <w:t>jelentettek “jó”, “nagyon jó” vagy “kiváló” fájdalomcsillapító hatással. A fix kombinációs készítmény szignifikánsan jobb eredményt ért el, mint az 1000 mg paracetamol (p&lt;0,0001)</w:t>
      </w:r>
      <w:r w:rsidR="006475B4" w:rsidRPr="00082FCB">
        <w:rPr>
          <w:color w:val="000000"/>
          <w:szCs w:val="22"/>
          <w:lang w:val="hu-HU"/>
        </w:rPr>
        <w:t>.</w:t>
      </w:r>
    </w:p>
    <w:p w14:paraId="228562C7" w14:textId="77777777" w:rsidR="006475B4" w:rsidRPr="00082FCB" w:rsidRDefault="006475B4" w:rsidP="006475B4">
      <w:pPr>
        <w:spacing w:line="240" w:lineRule="auto"/>
        <w:rPr>
          <w:color w:val="000000"/>
          <w:szCs w:val="22"/>
          <w:lang w:val="hu-HU"/>
        </w:rPr>
      </w:pPr>
    </w:p>
    <w:p w14:paraId="4644F4A2" w14:textId="5E86FB1E" w:rsidR="006475B4" w:rsidRPr="00082FCB" w:rsidRDefault="00D33091" w:rsidP="006475B4">
      <w:pPr>
        <w:spacing w:line="240" w:lineRule="auto"/>
        <w:rPr>
          <w:color w:val="000000"/>
          <w:szCs w:val="22"/>
          <w:lang w:val="hu-HU"/>
        </w:rPr>
      </w:pPr>
      <w:r w:rsidRPr="00BA5943">
        <w:rPr>
          <w:rFonts w:eastAsia="Calibri"/>
          <w:szCs w:val="22"/>
          <w:lang w:val="hu-HU"/>
        </w:rPr>
        <w:t>Egy másik randomizált, kettős vak, kontrollos klinikai vizsgálatot végeztek el a</w:t>
      </w:r>
      <w:r>
        <w:rPr>
          <w:rFonts w:eastAsia="Calibri"/>
          <w:szCs w:val="22"/>
          <w:lang w:val="hu-HU"/>
        </w:rPr>
        <w:t xml:space="preserve"> gyógyszerre</w:t>
      </w:r>
      <w:r w:rsidR="00431932">
        <w:rPr>
          <w:rFonts w:eastAsia="Calibri"/>
          <w:szCs w:val="22"/>
          <w:lang w:val="hu-HU"/>
        </w:rPr>
        <w:t xml:space="preserve"> vonatkozóan</w:t>
      </w:r>
      <w:r>
        <w:rPr>
          <w:rFonts w:eastAsia="Calibri"/>
          <w:szCs w:val="22"/>
          <w:lang w:val="hu-HU"/>
        </w:rPr>
        <w:t xml:space="preserve"> </w:t>
      </w:r>
      <w:r w:rsidRPr="00BA5943">
        <w:rPr>
          <w:rFonts w:eastAsia="Calibri"/>
          <w:szCs w:val="22"/>
          <w:lang w:val="hu-HU"/>
        </w:rPr>
        <w:t>krónikus térdfájdalomban. A vizsgálat az alábbi eredményeket adta</w:t>
      </w:r>
      <w:r w:rsidR="006475B4" w:rsidRPr="00082FCB">
        <w:rPr>
          <w:color w:val="000000"/>
          <w:szCs w:val="22"/>
          <w:lang w:val="hu-HU"/>
        </w:rPr>
        <w:t>:</w:t>
      </w:r>
    </w:p>
    <w:p w14:paraId="5E69C870" w14:textId="12471B83" w:rsidR="006475B4" w:rsidRPr="00082FCB" w:rsidRDefault="00D33091" w:rsidP="006475B4">
      <w:pPr>
        <w:numPr>
          <w:ilvl w:val="0"/>
          <w:numId w:val="38"/>
        </w:numPr>
        <w:spacing w:line="240" w:lineRule="auto"/>
        <w:ind w:left="567" w:hanging="567"/>
        <w:rPr>
          <w:color w:val="000000"/>
          <w:szCs w:val="22"/>
          <w:lang w:val="hu-HU"/>
        </w:rPr>
      </w:pPr>
      <w:r>
        <w:rPr>
          <w:color w:val="000000"/>
          <w:szCs w:val="22"/>
          <w:lang w:val="hu-HU"/>
        </w:rPr>
        <w:t>A gyógyszer</w:t>
      </w:r>
      <w:r w:rsidR="006475B4" w:rsidRPr="00082FCB">
        <w:rPr>
          <w:color w:val="000000"/>
          <w:szCs w:val="22"/>
          <w:lang w:val="hu-HU"/>
        </w:rPr>
        <w:t xml:space="preserve"> </w:t>
      </w:r>
      <w:r w:rsidRPr="00BA5943">
        <w:rPr>
          <w:rFonts w:eastAsia="Calibri"/>
          <w:szCs w:val="22"/>
          <w:lang w:val="hu-HU"/>
        </w:rPr>
        <w:t xml:space="preserve">hatásosabb fájdalomcsillapítást biztosít, mint az 1000 mg paracetamol, mind a rövid távú </w:t>
      </w:r>
      <w:r w:rsidRPr="00BA5943">
        <w:rPr>
          <w:color w:val="000000"/>
          <w:szCs w:val="22"/>
          <w:lang w:val="hu-HU"/>
        </w:rPr>
        <w:t>(p&lt;0,01), mind a hosszú távú (p&lt;0,01) kezelésben</w:t>
      </w:r>
      <w:r w:rsidR="006475B4" w:rsidRPr="00082FCB">
        <w:rPr>
          <w:color w:val="000000"/>
          <w:szCs w:val="22"/>
          <w:lang w:val="hu-HU"/>
        </w:rPr>
        <w:t>.</w:t>
      </w:r>
    </w:p>
    <w:p w14:paraId="1B3B53E5" w14:textId="7E7238CB" w:rsidR="006475B4" w:rsidRPr="00082FCB" w:rsidRDefault="00D33091" w:rsidP="006475B4">
      <w:pPr>
        <w:numPr>
          <w:ilvl w:val="0"/>
          <w:numId w:val="38"/>
        </w:numPr>
        <w:spacing w:line="240" w:lineRule="auto"/>
        <w:ind w:left="567" w:hanging="567"/>
        <w:rPr>
          <w:color w:val="000000"/>
          <w:szCs w:val="22"/>
          <w:lang w:val="hu-HU"/>
        </w:rPr>
      </w:pPr>
      <w:r>
        <w:rPr>
          <w:color w:val="000000"/>
          <w:szCs w:val="22"/>
          <w:lang w:val="hu-HU"/>
        </w:rPr>
        <w:t>A gyógyszer</w:t>
      </w:r>
      <w:r w:rsidRPr="00082FCB">
        <w:rPr>
          <w:color w:val="000000"/>
          <w:szCs w:val="22"/>
          <w:lang w:val="hu-HU"/>
        </w:rPr>
        <w:t xml:space="preserve"> </w:t>
      </w:r>
      <w:r w:rsidRPr="00BA5943">
        <w:rPr>
          <w:rFonts w:eastAsia="Calibri"/>
          <w:szCs w:val="22"/>
          <w:lang w:val="hu-HU"/>
        </w:rPr>
        <w:t xml:space="preserve">betegek általi globális értékelése magas elégedettségi szintet mutatott; a </w:t>
      </w:r>
      <w:r w:rsidR="00440AC4">
        <w:rPr>
          <w:rFonts w:eastAsia="Calibri"/>
          <w:szCs w:val="22"/>
          <w:lang w:val="hu-HU"/>
        </w:rPr>
        <w:t>térdfájdalom</w:t>
      </w:r>
      <w:r w:rsidRPr="00BA5943">
        <w:rPr>
          <w:rFonts w:eastAsia="Calibri"/>
          <w:szCs w:val="22"/>
          <w:lang w:val="hu-HU"/>
        </w:rPr>
        <w:t xml:space="preserve"> </w:t>
      </w:r>
      <w:r w:rsidR="0017544A">
        <w:rPr>
          <w:rFonts w:eastAsia="Calibri"/>
          <w:szCs w:val="22"/>
          <w:lang w:val="hu-HU"/>
        </w:rPr>
        <w:t xml:space="preserve">hosszú távú </w:t>
      </w:r>
      <w:r w:rsidRPr="00BA5943">
        <w:rPr>
          <w:rFonts w:eastAsia="Calibri"/>
          <w:szCs w:val="22"/>
          <w:lang w:val="hu-HU"/>
        </w:rPr>
        <w:t xml:space="preserve">kezelésében 60,2%-os eredményességi rátát </w:t>
      </w:r>
      <w:r w:rsidRPr="00BA5943">
        <w:rPr>
          <w:w w:val="105"/>
          <w:szCs w:val="22"/>
          <w:lang w:val="hu-HU"/>
        </w:rPr>
        <w:t>jelentettek “jó”, “nagyon jó” vagy “kiváló” fájdalomcsillapító hatással. A</w:t>
      </w:r>
      <w:r w:rsidR="00431932">
        <w:rPr>
          <w:w w:val="105"/>
          <w:szCs w:val="22"/>
          <w:lang w:val="hu-HU"/>
        </w:rPr>
        <w:t xml:space="preserve"> gyógyszer </w:t>
      </w:r>
      <w:r w:rsidRPr="00BA5943">
        <w:rPr>
          <w:w w:val="105"/>
          <w:szCs w:val="22"/>
          <w:lang w:val="hu-HU"/>
        </w:rPr>
        <w:t>szignifikánsan jobb eredményt ért el, mint az 1000 mg paracetamol (p&lt;0,001)</w:t>
      </w:r>
      <w:r w:rsidR="006475B4" w:rsidRPr="00082FCB">
        <w:rPr>
          <w:color w:val="000000"/>
          <w:szCs w:val="22"/>
          <w:lang w:val="hu-HU"/>
        </w:rPr>
        <w:t>.</w:t>
      </w:r>
    </w:p>
    <w:p w14:paraId="292D9144" w14:textId="77777777" w:rsidR="006475B4" w:rsidRPr="00082FCB" w:rsidRDefault="006475B4" w:rsidP="006475B4">
      <w:pPr>
        <w:spacing w:line="240" w:lineRule="auto"/>
        <w:rPr>
          <w:szCs w:val="22"/>
          <w:lang w:val="hu-HU"/>
        </w:rPr>
      </w:pPr>
    </w:p>
    <w:p w14:paraId="326E7554" w14:textId="68EE85D4" w:rsidR="001D29E6" w:rsidRPr="00082FCB" w:rsidRDefault="001D29E6" w:rsidP="006475B4">
      <w:pPr>
        <w:spacing w:line="240" w:lineRule="auto"/>
        <w:ind w:left="567" w:hanging="567"/>
        <w:rPr>
          <w:b/>
          <w:szCs w:val="22"/>
          <w:lang w:val="hu-HU"/>
        </w:rPr>
      </w:pPr>
      <w:r w:rsidRPr="00082FCB">
        <w:rPr>
          <w:b/>
          <w:szCs w:val="22"/>
          <w:lang w:val="hu-HU"/>
        </w:rPr>
        <w:t>5.2</w:t>
      </w:r>
      <w:r w:rsidRPr="00082FCB">
        <w:rPr>
          <w:b/>
          <w:szCs w:val="22"/>
          <w:lang w:val="hu-HU"/>
        </w:rPr>
        <w:tab/>
      </w:r>
      <w:r w:rsidR="00D33091" w:rsidRPr="00BA5943">
        <w:rPr>
          <w:b/>
          <w:szCs w:val="22"/>
          <w:lang w:val="hu-HU"/>
        </w:rPr>
        <w:t>Farmakokinetikai tulajdonságok</w:t>
      </w:r>
    </w:p>
    <w:p w14:paraId="5297EF55" w14:textId="77777777" w:rsidR="00C53ACC" w:rsidRPr="00082FCB" w:rsidRDefault="00C53ACC" w:rsidP="006475B4">
      <w:pPr>
        <w:spacing w:line="240" w:lineRule="auto"/>
        <w:ind w:left="567" w:hanging="567"/>
        <w:rPr>
          <w:szCs w:val="22"/>
          <w:lang w:val="hu-HU"/>
        </w:rPr>
      </w:pPr>
    </w:p>
    <w:p w14:paraId="5DB88505" w14:textId="77777777" w:rsidR="00293EA2" w:rsidRPr="00ED50E8" w:rsidRDefault="00293EA2" w:rsidP="006475B4">
      <w:pPr>
        <w:spacing w:line="240" w:lineRule="auto"/>
        <w:rPr>
          <w:b/>
          <w:iCs/>
          <w:szCs w:val="22"/>
          <w:lang w:val="hu-HU"/>
        </w:rPr>
      </w:pPr>
      <w:r w:rsidRPr="00ED50E8">
        <w:rPr>
          <w:b/>
          <w:iCs/>
          <w:szCs w:val="22"/>
          <w:lang w:val="hu-HU"/>
        </w:rPr>
        <w:t>Ibuprofén</w:t>
      </w:r>
    </w:p>
    <w:p w14:paraId="6CD68D13" w14:textId="55C889C0" w:rsidR="001102C0" w:rsidRPr="00ED50E8" w:rsidRDefault="001102C0" w:rsidP="006475B4">
      <w:pPr>
        <w:spacing w:line="240" w:lineRule="auto"/>
        <w:rPr>
          <w:bCs/>
          <w:iCs/>
          <w:szCs w:val="22"/>
          <w:u w:val="single"/>
          <w:lang w:val="hu-HU"/>
        </w:rPr>
      </w:pPr>
      <w:r w:rsidRPr="00ED50E8">
        <w:rPr>
          <w:bCs/>
          <w:iCs/>
          <w:szCs w:val="22"/>
          <w:u w:val="single"/>
          <w:lang w:val="hu-HU"/>
        </w:rPr>
        <w:t>Felszívódás</w:t>
      </w:r>
    </w:p>
    <w:p w14:paraId="1CF0EAF2" w14:textId="7EF9C18C" w:rsidR="006475B4" w:rsidRPr="00082FCB" w:rsidRDefault="00D33091" w:rsidP="006475B4">
      <w:pPr>
        <w:spacing w:line="240" w:lineRule="auto"/>
        <w:rPr>
          <w:color w:val="000000"/>
          <w:szCs w:val="22"/>
          <w:lang w:val="hu-HU"/>
        </w:rPr>
      </w:pPr>
      <w:r w:rsidRPr="00BA5943">
        <w:rPr>
          <w:bCs/>
          <w:iCs/>
          <w:szCs w:val="22"/>
          <w:lang w:val="hu-HU"/>
        </w:rPr>
        <w:t xml:space="preserve">Az ibuprofén jól felszívódik a tápcsatornából és jelentős mértékben kötődik a plazmafehérjékhez. Az ibuprofén diffúzióval bejut az ízületi folyadékba. A </w:t>
      </w:r>
      <w:r>
        <w:rPr>
          <w:bCs/>
          <w:iCs/>
          <w:szCs w:val="22"/>
          <w:lang w:val="hu-HU"/>
        </w:rPr>
        <w:t>gyógyszerből</w:t>
      </w:r>
      <w:r w:rsidRPr="00BA5943">
        <w:rPr>
          <w:bCs/>
          <w:iCs/>
          <w:szCs w:val="22"/>
          <w:lang w:val="hu-HU"/>
        </w:rPr>
        <w:t xml:space="preserve"> az ibuprofén plazmaszintek éhgyomorra történt bevételt követően az 5. perctől mutathatók ki és a pla</w:t>
      </w:r>
      <w:r>
        <w:rPr>
          <w:bCs/>
          <w:iCs/>
          <w:szCs w:val="22"/>
          <w:lang w:val="hu-HU"/>
        </w:rPr>
        <w:t>z</w:t>
      </w:r>
      <w:r w:rsidRPr="00BA5943">
        <w:rPr>
          <w:bCs/>
          <w:iCs/>
          <w:szCs w:val="22"/>
          <w:lang w:val="hu-HU"/>
        </w:rPr>
        <w:t xml:space="preserve">ma csúcskoncentráció 1-2 óra múlva alakul ki. Amennyiben a </w:t>
      </w:r>
      <w:r>
        <w:rPr>
          <w:bCs/>
          <w:iCs/>
          <w:szCs w:val="22"/>
          <w:lang w:val="hu-HU"/>
        </w:rPr>
        <w:t>gyógyszer</w:t>
      </w:r>
      <w:r w:rsidRPr="00BA5943">
        <w:rPr>
          <w:bCs/>
          <w:iCs/>
          <w:szCs w:val="22"/>
          <w:lang w:val="hu-HU"/>
        </w:rPr>
        <w:t xml:space="preserve">t étellel </w:t>
      </w:r>
      <w:r w:rsidR="00603A5B">
        <w:rPr>
          <w:bCs/>
          <w:iCs/>
          <w:szCs w:val="22"/>
          <w:lang w:val="hu-HU"/>
        </w:rPr>
        <w:t>egyidőben</w:t>
      </w:r>
      <w:r w:rsidR="00603A5B" w:rsidRPr="00BA5943">
        <w:rPr>
          <w:bCs/>
          <w:iCs/>
          <w:szCs w:val="22"/>
          <w:lang w:val="hu-HU"/>
        </w:rPr>
        <w:t xml:space="preserve"> </w:t>
      </w:r>
      <w:r w:rsidRPr="00BA5943">
        <w:rPr>
          <w:bCs/>
          <w:iCs/>
          <w:szCs w:val="22"/>
          <w:lang w:val="hu-HU"/>
        </w:rPr>
        <w:t>veszik be, az ibuprofén plazmacsúcskoncentrációja alacsonyabb és középértékben 25 perccel később alakul ki, de a felszívódás mértéke összességében azonos</w:t>
      </w:r>
      <w:r w:rsidR="006475B4" w:rsidRPr="00082FCB">
        <w:rPr>
          <w:color w:val="000000"/>
          <w:szCs w:val="22"/>
          <w:lang w:val="hu-HU"/>
        </w:rPr>
        <w:t>.</w:t>
      </w:r>
    </w:p>
    <w:p w14:paraId="37E12F5D" w14:textId="77777777" w:rsidR="001102C0" w:rsidRDefault="001102C0" w:rsidP="006475B4">
      <w:pPr>
        <w:spacing w:line="240" w:lineRule="auto"/>
        <w:rPr>
          <w:color w:val="000000"/>
          <w:szCs w:val="22"/>
          <w:lang w:val="hu-HU"/>
        </w:rPr>
      </w:pPr>
    </w:p>
    <w:p w14:paraId="16873324" w14:textId="00D7E6AA" w:rsidR="001102C0" w:rsidRPr="00ED50E8" w:rsidRDefault="001102C0" w:rsidP="001102C0">
      <w:pPr>
        <w:spacing w:line="240" w:lineRule="auto"/>
        <w:rPr>
          <w:color w:val="000000"/>
          <w:szCs w:val="22"/>
          <w:u w:val="single"/>
          <w:lang w:val="hu-HU"/>
        </w:rPr>
      </w:pPr>
      <w:r w:rsidRPr="00ED50E8">
        <w:rPr>
          <w:color w:val="000000"/>
          <w:szCs w:val="22"/>
          <w:u w:val="single"/>
          <w:lang w:val="hu-HU"/>
        </w:rPr>
        <w:t>Eloszlás</w:t>
      </w:r>
    </w:p>
    <w:p w14:paraId="725B5CBD" w14:textId="77777777" w:rsidR="001102C0" w:rsidRPr="00082FCB" w:rsidRDefault="001102C0" w:rsidP="001102C0">
      <w:pPr>
        <w:spacing w:line="240" w:lineRule="auto"/>
        <w:rPr>
          <w:color w:val="000000"/>
          <w:szCs w:val="22"/>
          <w:lang w:val="hu-HU"/>
        </w:rPr>
      </w:pPr>
      <w:r w:rsidRPr="001102C0">
        <w:rPr>
          <w:color w:val="000000"/>
          <w:szCs w:val="22"/>
          <w:lang w:val="hu-HU"/>
        </w:rPr>
        <w:t>Az ibuprofén nagymértékben kötődik plazmafehérjékhez. Az ibuprofén diffúzióval jut be az ízületi folyadékba.</w:t>
      </w:r>
      <w:r>
        <w:rPr>
          <w:color w:val="000000"/>
          <w:szCs w:val="22"/>
          <w:lang w:val="hu-HU"/>
        </w:rPr>
        <w:t xml:space="preserve"> </w:t>
      </w:r>
      <w:r w:rsidRPr="00D33091">
        <w:rPr>
          <w:color w:val="000000"/>
          <w:szCs w:val="22"/>
          <w:lang w:val="hu-HU"/>
        </w:rPr>
        <w:t>Korlátozott számú vizsgálatban az ibuprofén nagyon alacsony koncentrációban jelent meg az anyatejben</w:t>
      </w:r>
      <w:r w:rsidRPr="00082FCB">
        <w:rPr>
          <w:color w:val="000000"/>
          <w:szCs w:val="22"/>
          <w:lang w:val="hu-HU"/>
        </w:rPr>
        <w:t>.</w:t>
      </w:r>
    </w:p>
    <w:p w14:paraId="3734B4A2" w14:textId="77777777" w:rsidR="001102C0" w:rsidRDefault="001102C0" w:rsidP="001102C0">
      <w:pPr>
        <w:spacing w:line="240" w:lineRule="auto"/>
        <w:rPr>
          <w:color w:val="000000"/>
          <w:szCs w:val="22"/>
          <w:lang w:val="hu-HU"/>
        </w:rPr>
      </w:pPr>
    </w:p>
    <w:p w14:paraId="22831B7C" w14:textId="77777777" w:rsidR="001102C0" w:rsidRDefault="001102C0" w:rsidP="001102C0">
      <w:pPr>
        <w:spacing w:line="240" w:lineRule="auto"/>
        <w:rPr>
          <w:color w:val="000000"/>
          <w:szCs w:val="22"/>
          <w:lang w:val="hu-HU"/>
        </w:rPr>
      </w:pPr>
      <w:r w:rsidRPr="00ED50E8">
        <w:rPr>
          <w:color w:val="000000"/>
          <w:szCs w:val="22"/>
          <w:u w:val="single"/>
          <w:lang w:val="hu-HU"/>
        </w:rPr>
        <w:t>Biotranszformáció</w:t>
      </w:r>
    </w:p>
    <w:p w14:paraId="49293AA8" w14:textId="77777777" w:rsidR="001102C0" w:rsidRDefault="00D33091" w:rsidP="001102C0">
      <w:pPr>
        <w:spacing w:line="240" w:lineRule="auto"/>
        <w:rPr>
          <w:color w:val="000000"/>
          <w:szCs w:val="22"/>
          <w:lang w:val="hu-HU"/>
        </w:rPr>
      </w:pPr>
      <w:r w:rsidRPr="00D33091">
        <w:rPr>
          <w:color w:val="000000"/>
          <w:szCs w:val="22"/>
          <w:lang w:val="hu-HU"/>
        </w:rPr>
        <w:t xml:space="preserve">Az ibuprofén a májban metabolizálódik két fő metabolittá. A kiürülés főleg a veséken át történik, vagy konjugálatlan formában vagy főleg konjugátumként, elhanyagolható mennyiségű változatlan ibuprofénnel. </w:t>
      </w:r>
    </w:p>
    <w:p w14:paraId="40E16728" w14:textId="77777777" w:rsidR="001102C0" w:rsidRDefault="001102C0" w:rsidP="001102C0">
      <w:pPr>
        <w:spacing w:line="240" w:lineRule="auto"/>
        <w:rPr>
          <w:color w:val="000000"/>
          <w:szCs w:val="22"/>
          <w:lang w:val="hu-HU"/>
        </w:rPr>
      </w:pPr>
    </w:p>
    <w:p w14:paraId="72F33CB9" w14:textId="77777777" w:rsidR="001102C0" w:rsidRPr="00ED50E8" w:rsidRDefault="001102C0" w:rsidP="001102C0">
      <w:pPr>
        <w:spacing w:line="240" w:lineRule="auto"/>
        <w:rPr>
          <w:color w:val="000000"/>
          <w:szCs w:val="22"/>
          <w:u w:val="single"/>
          <w:lang w:val="hu-HU"/>
        </w:rPr>
      </w:pPr>
      <w:r w:rsidRPr="00ED50E8">
        <w:rPr>
          <w:color w:val="000000"/>
          <w:szCs w:val="22"/>
          <w:u w:val="single"/>
          <w:lang w:val="hu-HU"/>
        </w:rPr>
        <w:t>Elimináció</w:t>
      </w:r>
    </w:p>
    <w:p w14:paraId="6FC37D1B" w14:textId="26EF5F51" w:rsidR="006475B4" w:rsidRPr="00082FCB" w:rsidRDefault="00D33091" w:rsidP="006475B4">
      <w:pPr>
        <w:spacing w:line="240" w:lineRule="auto"/>
        <w:rPr>
          <w:color w:val="000000"/>
          <w:szCs w:val="22"/>
          <w:lang w:val="hu-HU"/>
        </w:rPr>
      </w:pPr>
      <w:r w:rsidRPr="00D33091">
        <w:rPr>
          <w:color w:val="000000"/>
          <w:szCs w:val="22"/>
          <w:lang w:val="hu-HU"/>
        </w:rPr>
        <w:t>A vesén át történő kiürülés gyors és teljes mértékű. Az eliminációs fél</w:t>
      </w:r>
      <w:r>
        <w:rPr>
          <w:color w:val="000000"/>
          <w:szCs w:val="22"/>
          <w:lang w:val="hu-HU"/>
        </w:rPr>
        <w:t>élet</w:t>
      </w:r>
      <w:r w:rsidRPr="00D33091">
        <w:rPr>
          <w:color w:val="000000"/>
          <w:szCs w:val="22"/>
          <w:lang w:val="hu-HU"/>
        </w:rPr>
        <w:t>idő kb. 2 óra</w:t>
      </w:r>
      <w:r w:rsidR="006475B4" w:rsidRPr="00082FCB">
        <w:rPr>
          <w:color w:val="000000"/>
          <w:szCs w:val="22"/>
          <w:lang w:val="hu-HU"/>
        </w:rPr>
        <w:t>.</w:t>
      </w:r>
    </w:p>
    <w:p w14:paraId="2D9907ED" w14:textId="77777777" w:rsidR="006475B4" w:rsidRPr="00082FCB" w:rsidRDefault="006475B4" w:rsidP="006475B4">
      <w:pPr>
        <w:spacing w:line="240" w:lineRule="auto"/>
        <w:rPr>
          <w:color w:val="000000"/>
          <w:szCs w:val="22"/>
          <w:lang w:val="hu-HU"/>
        </w:rPr>
      </w:pPr>
    </w:p>
    <w:p w14:paraId="39A3625B" w14:textId="03CDA459" w:rsidR="006475B4" w:rsidRPr="00082FCB" w:rsidRDefault="00D33091" w:rsidP="006475B4">
      <w:pPr>
        <w:spacing w:line="240" w:lineRule="auto"/>
        <w:rPr>
          <w:color w:val="000000"/>
          <w:szCs w:val="22"/>
          <w:lang w:val="hu-HU"/>
        </w:rPr>
      </w:pPr>
      <w:r w:rsidRPr="00D33091">
        <w:rPr>
          <w:color w:val="000000"/>
          <w:szCs w:val="22"/>
          <w:lang w:val="hu-HU"/>
        </w:rPr>
        <w:t>Időseknél az ibuprofén farmakokinetikai profiljában nem figyeltek meg jelentős különbségeket</w:t>
      </w:r>
      <w:r w:rsidR="006475B4" w:rsidRPr="00082FCB">
        <w:rPr>
          <w:color w:val="000000"/>
          <w:szCs w:val="22"/>
          <w:lang w:val="hu-HU"/>
        </w:rPr>
        <w:t>.</w:t>
      </w:r>
    </w:p>
    <w:p w14:paraId="2A8E891A" w14:textId="77777777" w:rsidR="006475B4" w:rsidRDefault="006475B4" w:rsidP="006475B4">
      <w:pPr>
        <w:spacing w:line="240" w:lineRule="auto"/>
        <w:rPr>
          <w:color w:val="000000"/>
          <w:szCs w:val="22"/>
          <w:lang w:val="hu-HU"/>
        </w:rPr>
      </w:pPr>
    </w:p>
    <w:p w14:paraId="3CAABD94" w14:textId="5D0019C0" w:rsidR="001102C0" w:rsidRDefault="001102C0" w:rsidP="006475B4">
      <w:pPr>
        <w:spacing w:line="240" w:lineRule="auto"/>
        <w:rPr>
          <w:b/>
          <w:bCs/>
          <w:color w:val="000000"/>
          <w:szCs w:val="22"/>
          <w:lang w:val="hu-HU"/>
        </w:rPr>
      </w:pPr>
      <w:r w:rsidRPr="00ED50E8">
        <w:rPr>
          <w:b/>
          <w:bCs/>
          <w:color w:val="000000"/>
          <w:szCs w:val="22"/>
          <w:lang w:val="hu-HU"/>
        </w:rPr>
        <w:t>Paracetamol</w:t>
      </w:r>
    </w:p>
    <w:p w14:paraId="772BD12F" w14:textId="0A2BDAA3" w:rsidR="001102C0" w:rsidRPr="00ED50E8" w:rsidRDefault="001102C0" w:rsidP="006475B4">
      <w:pPr>
        <w:spacing w:line="240" w:lineRule="auto"/>
        <w:rPr>
          <w:color w:val="000000"/>
          <w:szCs w:val="22"/>
          <w:u w:val="single"/>
          <w:lang w:val="hu-HU"/>
        </w:rPr>
      </w:pPr>
      <w:r w:rsidRPr="00ED50E8">
        <w:rPr>
          <w:color w:val="000000"/>
          <w:szCs w:val="22"/>
          <w:u w:val="single"/>
          <w:lang w:val="hu-HU"/>
        </w:rPr>
        <w:t>Felszívódás</w:t>
      </w:r>
    </w:p>
    <w:p w14:paraId="4C01061D" w14:textId="5F1AB04F" w:rsidR="006475B4" w:rsidRPr="00082FCB" w:rsidRDefault="00D33091" w:rsidP="006475B4">
      <w:pPr>
        <w:spacing w:line="240" w:lineRule="auto"/>
        <w:rPr>
          <w:color w:val="000000"/>
          <w:szCs w:val="22"/>
          <w:lang w:val="hu-HU"/>
        </w:rPr>
      </w:pPr>
      <w:r w:rsidRPr="00BA5943">
        <w:rPr>
          <w:bCs/>
          <w:iCs/>
          <w:szCs w:val="22"/>
          <w:lang w:val="hu-HU"/>
        </w:rPr>
        <w:t>A paracetamol gyorsan felszívódik a tápcsatornából. A</w:t>
      </w:r>
      <w:r w:rsidR="00603A5B">
        <w:rPr>
          <w:bCs/>
          <w:iCs/>
          <w:szCs w:val="22"/>
          <w:lang w:val="hu-HU"/>
        </w:rPr>
        <w:t xml:space="preserve"> plazmából</w:t>
      </w:r>
      <w:r w:rsidRPr="00BA5943">
        <w:rPr>
          <w:bCs/>
          <w:iCs/>
          <w:szCs w:val="22"/>
          <w:lang w:val="hu-HU"/>
        </w:rPr>
        <w:t xml:space="preserve"> a paracetamol az éhgyomorra történt bevételt követően az 5. perctől mutatható ki, míg a plazma csúcskoncentráció 0,5-0,67 óra múlva alakul ki. Amennyiben a </w:t>
      </w:r>
      <w:r>
        <w:rPr>
          <w:bCs/>
          <w:iCs/>
          <w:szCs w:val="22"/>
          <w:lang w:val="hu-HU"/>
        </w:rPr>
        <w:t>gyógyszert</w:t>
      </w:r>
      <w:r w:rsidRPr="00BA5943">
        <w:rPr>
          <w:bCs/>
          <w:iCs/>
          <w:szCs w:val="22"/>
          <w:lang w:val="hu-HU"/>
        </w:rPr>
        <w:t xml:space="preserve"> étellel </w:t>
      </w:r>
      <w:r w:rsidR="00603A5B">
        <w:rPr>
          <w:bCs/>
          <w:iCs/>
          <w:szCs w:val="22"/>
          <w:lang w:val="hu-HU"/>
        </w:rPr>
        <w:t>egyidőben</w:t>
      </w:r>
      <w:r w:rsidR="00603A5B" w:rsidRPr="00BA5943">
        <w:rPr>
          <w:bCs/>
          <w:iCs/>
          <w:szCs w:val="22"/>
          <w:lang w:val="hu-HU"/>
        </w:rPr>
        <w:t xml:space="preserve"> </w:t>
      </w:r>
      <w:r w:rsidRPr="00BA5943">
        <w:rPr>
          <w:bCs/>
          <w:iCs/>
          <w:szCs w:val="22"/>
          <w:lang w:val="hu-HU"/>
        </w:rPr>
        <w:t>veszik be, a paracetamol plazma</w:t>
      </w:r>
      <w:r w:rsidR="00603A5B">
        <w:rPr>
          <w:bCs/>
          <w:iCs/>
          <w:szCs w:val="22"/>
          <w:lang w:val="hu-HU"/>
        </w:rPr>
        <w:t>-</w:t>
      </w:r>
      <w:r w:rsidRPr="00BA5943">
        <w:rPr>
          <w:bCs/>
          <w:iCs/>
          <w:szCs w:val="22"/>
          <w:lang w:val="hu-HU"/>
        </w:rPr>
        <w:t>csúcskoncentrációja alacsonyabb és középértékben 55 perccel később alakul ki, de a felszívódás mértéke összességében azonos</w:t>
      </w:r>
      <w:r w:rsidR="006475B4" w:rsidRPr="00082FCB">
        <w:rPr>
          <w:color w:val="000000"/>
          <w:szCs w:val="22"/>
          <w:lang w:val="hu-HU"/>
        </w:rPr>
        <w:t>.</w:t>
      </w:r>
    </w:p>
    <w:p w14:paraId="45F51474" w14:textId="77777777" w:rsidR="006475B4" w:rsidRPr="00082FCB" w:rsidRDefault="006475B4" w:rsidP="006475B4">
      <w:pPr>
        <w:spacing w:line="240" w:lineRule="auto"/>
        <w:rPr>
          <w:color w:val="000000"/>
          <w:szCs w:val="22"/>
          <w:lang w:val="hu-HU"/>
        </w:rPr>
      </w:pPr>
    </w:p>
    <w:p w14:paraId="740A5860" w14:textId="77777777" w:rsidR="001102C0" w:rsidRPr="00ED50E8" w:rsidRDefault="001102C0" w:rsidP="001102C0">
      <w:pPr>
        <w:spacing w:line="240" w:lineRule="auto"/>
        <w:rPr>
          <w:color w:val="000000"/>
          <w:szCs w:val="22"/>
          <w:u w:val="single"/>
          <w:lang w:val="hu-HU"/>
        </w:rPr>
      </w:pPr>
      <w:r w:rsidRPr="00ED50E8">
        <w:rPr>
          <w:color w:val="000000"/>
          <w:szCs w:val="22"/>
          <w:u w:val="single"/>
          <w:lang w:val="hu-HU"/>
        </w:rPr>
        <w:t>Eloszlás</w:t>
      </w:r>
    </w:p>
    <w:p w14:paraId="6CA6562E" w14:textId="76E795A4" w:rsidR="001102C0" w:rsidRDefault="001102C0" w:rsidP="001102C0">
      <w:pPr>
        <w:spacing w:line="240" w:lineRule="auto"/>
        <w:rPr>
          <w:bCs/>
          <w:iCs/>
          <w:szCs w:val="22"/>
          <w:lang w:val="hu-HU"/>
        </w:rPr>
      </w:pPr>
      <w:r w:rsidRPr="00BA5943">
        <w:rPr>
          <w:bCs/>
          <w:iCs/>
          <w:szCs w:val="22"/>
          <w:lang w:val="hu-HU"/>
        </w:rPr>
        <w:t>A plazmafehérje-kötődés a szokásos terápiás koncentrációk mellett elhanyagolható, bár ez dózisfüggő.</w:t>
      </w:r>
    </w:p>
    <w:p w14:paraId="7AFA4B08" w14:textId="77777777" w:rsidR="001102C0" w:rsidRPr="001102C0" w:rsidRDefault="001102C0" w:rsidP="001102C0">
      <w:pPr>
        <w:spacing w:line="240" w:lineRule="auto"/>
        <w:rPr>
          <w:color w:val="000000"/>
          <w:szCs w:val="22"/>
          <w:lang w:val="hu-HU"/>
        </w:rPr>
      </w:pPr>
    </w:p>
    <w:p w14:paraId="385D2A9A" w14:textId="77777777" w:rsidR="001102C0" w:rsidRPr="00ED50E8" w:rsidRDefault="001102C0" w:rsidP="001102C0">
      <w:pPr>
        <w:spacing w:line="240" w:lineRule="auto"/>
        <w:rPr>
          <w:color w:val="000000"/>
          <w:szCs w:val="22"/>
          <w:u w:val="single"/>
          <w:lang w:val="hu-HU"/>
        </w:rPr>
      </w:pPr>
      <w:r w:rsidRPr="00ED50E8">
        <w:rPr>
          <w:color w:val="000000"/>
          <w:szCs w:val="22"/>
          <w:u w:val="single"/>
          <w:lang w:val="hu-HU"/>
        </w:rPr>
        <w:t>Biotranszformáció</w:t>
      </w:r>
    </w:p>
    <w:p w14:paraId="5E546432" w14:textId="5A3B84A9" w:rsidR="006475B4" w:rsidRPr="00082FCB" w:rsidRDefault="00D33091" w:rsidP="001102C0">
      <w:pPr>
        <w:spacing w:line="240" w:lineRule="auto"/>
        <w:rPr>
          <w:color w:val="000000"/>
          <w:szCs w:val="22"/>
          <w:lang w:val="hu-HU"/>
        </w:rPr>
      </w:pPr>
      <w:r w:rsidRPr="00D33091">
        <w:rPr>
          <w:color w:val="000000"/>
          <w:szCs w:val="22"/>
          <w:lang w:val="hu-HU"/>
        </w:rPr>
        <w:t>A paracetamol a májban metabolizálódik és a vizelettel ürül főként glükuronid és szulfát konjugátumok formájában, kb. 10% glutation konjugátum keletkezése mellett. Kevesebb, mint 5% ürül változatlan paracetamolként. Az eliminációs felezési idő kb. 3 óra</w:t>
      </w:r>
      <w:r w:rsidR="006475B4" w:rsidRPr="00082FCB">
        <w:rPr>
          <w:color w:val="000000"/>
          <w:szCs w:val="22"/>
          <w:lang w:val="hu-HU"/>
        </w:rPr>
        <w:t>.</w:t>
      </w:r>
    </w:p>
    <w:p w14:paraId="3BD88994" w14:textId="77777777" w:rsidR="006475B4" w:rsidRPr="00082FCB" w:rsidRDefault="006475B4" w:rsidP="006475B4">
      <w:pPr>
        <w:spacing w:line="240" w:lineRule="auto"/>
        <w:rPr>
          <w:color w:val="000000"/>
          <w:szCs w:val="22"/>
          <w:lang w:val="hu-HU"/>
        </w:rPr>
      </w:pPr>
    </w:p>
    <w:p w14:paraId="6694ADF3" w14:textId="5F8E50C4" w:rsidR="006475B4" w:rsidRPr="00082FCB" w:rsidRDefault="00D33091" w:rsidP="006475B4">
      <w:pPr>
        <w:spacing w:line="240" w:lineRule="auto"/>
        <w:rPr>
          <w:color w:val="000000"/>
          <w:szCs w:val="22"/>
          <w:lang w:val="hu-HU"/>
        </w:rPr>
      </w:pPr>
      <w:r w:rsidRPr="00D33091">
        <w:rPr>
          <w:color w:val="000000"/>
          <w:szCs w:val="22"/>
          <w:lang w:val="hu-HU"/>
        </w:rPr>
        <w:t>Egy minor hidroxilezett metabolit, amelyet rendszerint nagyon kis mennyiségben állítanak elő a kevert funkciójú oxidázok a májban és a máj glutation konjugáció révén detoxifikálja, paracetamol túladagolást követően felhalmozódhat és májkárosodást okozhat</w:t>
      </w:r>
      <w:r w:rsidR="006475B4" w:rsidRPr="00082FCB">
        <w:rPr>
          <w:color w:val="000000"/>
          <w:szCs w:val="22"/>
          <w:lang w:val="hu-HU"/>
        </w:rPr>
        <w:t>.</w:t>
      </w:r>
    </w:p>
    <w:p w14:paraId="71CE9F3B" w14:textId="77777777" w:rsidR="006475B4" w:rsidRDefault="006475B4" w:rsidP="006475B4">
      <w:pPr>
        <w:spacing w:line="240" w:lineRule="auto"/>
        <w:rPr>
          <w:color w:val="000000"/>
          <w:szCs w:val="22"/>
          <w:lang w:val="hu-HU"/>
        </w:rPr>
      </w:pPr>
    </w:p>
    <w:p w14:paraId="6E29D84A" w14:textId="49644408" w:rsidR="00F66D18" w:rsidRPr="00ED50E8" w:rsidRDefault="00F66D18" w:rsidP="006475B4">
      <w:pPr>
        <w:spacing w:line="240" w:lineRule="auto"/>
        <w:rPr>
          <w:color w:val="000000"/>
          <w:szCs w:val="22"/>
          <w:u w:val="single"/>
          <w:lang w:val="hu-HU"/>
        </w:rPr>
      </w:pPr>
      <w:r w:rsidRPr="00ED50E8">
        <w:rPr>
          <w:color w:val="000000"/>
          <w:szCs w:val="22"/>
          <w:u w:val="single"/>
          <w:lang w:val="hu-HU"/>
        </w:rPr>
        <w:t>Elimináció</w:t>
      </w:r>
    </w:p>
    <w:p w14:paraId="12073123" w14:textId="01D60816" w:rsidR="00F66D18" w:rsidRDefault="00F66D18" w:rsidP="006475B4">
      <w:pPr>
        <w:spacing w:line="240" w:lineRule="auto"/>
        <w:rPr>
          <w:color w:val="000000"/>
          <w:szCs w:val="22"/>
          <w:lang w:val="hu-HU"/>
        </w:rPr>
      </w:pPr>
      <w:r>
        <w:rPr>
          <w:color w:val="000000"/>
          <w:szCs w:val="22"/>
          <w:lang w:val="hu-HU"/>
        </w:rPr>
        <w:t>A paracetamol</w:t>
      </w:r>
      <w:r w:rsidRPr="00D33091">
        <w:rPr>
          <w:color w:val="000000"/>
          <w:szCs w:val="22"/>
          <w:lang w:val="hu-HU"/>
        </w:rPr>
        <w:t xml:space="preserve"> vizelettel ürül főként glükuronid és szulfát konjugátumok formájában, kb. 10% glutation konjugátum keletkezése mellett. Kevesebb, mint 5% ürül változatlan paracetamolként. Az eliminációs felezési idő kb. 3 óra</w:t>
      </w:r>
      <w:r w:rsidRPr="00082FCB">
        <w:rPr>
          <w:color w:val="000000"/>
          <w:szCs w:val="22"/>
          <w:lang w:val="hu-HU"/>
        </w:rPr>
        <w:t>.</w:t>
      </w:r>
    </w:p>
    <w:p w14:paraId="56E6D093" w14:textId="77777777" w:rsidR="00F66D18" w:rsidRPr="00082FCB" w:rsidRDefault="00F66D18" w:rsidP="006475B4">
      <w:pPr>
        <w:spacing w:line="240" w:lineRule="auto"/>
        <w:rPr>
          <w:color w:val="000000"/>
          <w:szCs w:val="22"/>
          <w:lang w:val="hu-HU"/>
        </w:rPr>
      </w:pPr>
    </w:p>
    <w:p w14:paraId="70E230AC" w14:textId="42748E21" w:rsidR="006475B4" w:rsidRPr="00082FCB" w:rsidRDefault="00D33091" w:rsidP="006475B4">
      <w:pPr>
        <w:spacing w:line="240" w:lineRule="auto"/>
        <w:rPr>
          <w:color w:val="000000"/>
          <w:szCs w:val="22"/>
          <w:lang w:val="hu-HU"/>
        </w:rPr>
      </w:pPr>
      <w:r w:rsidRPr="00D33091">
        <w:rPr>
          <w:color w:val="000000"/>
          <w:szCs w:val="22"/>
          <w:lang w:val="hu-HU"/>
        </w:rPr>
        <w:t>A paracetamol farmakokinetikai profiljában nem figyeltek meg jelentős különbségeket időseknél</w:t>
      </w:r>
      <w:r w:rsidR="006475B4" w:rsidRPr="00082FCB">
        <w:rPr>
          <w:color w:val="000000"/>
          <w:szCs w:val="22"/>
          <w:lang w:val="hu-HU"/>
        </w:rPr>
        <w:t>.</w:t>
      </w:r>
    </w:p>
    <w:p w14:paraId="336081CB" w14:textId="77777777" w:rsidR="006475B4" w:rsidRPr="00082FCB" w:rsidRDefault="006475B4" w:rsidP="006475B4">
      <w:pPr>
        <w:spacing w:line="240" w:lineRule="auto"/>
        <w:rPr>
          <w:color w:val="000000"/>
          <w:szCs w:val="22"/>
          <w:lang w:val="hu-HU"/>
        </w:rPr>
      </w:pPr>
    </w:p>
    <w:p w14:paraId="307217D1" w14:textId="0936D278" w:rsidR="006475B4" w:rsidRPr="00082FCB" w:rsidRDefault="00D33091" w:rsidP="006475B4">
      <w:pPr>
        <w:spacing w:line="240" w:lineRule="auto"/>
        <w:rPr>
          <w:color w:val="000000"/>
          <w:szCs w:val="22"/>
          <w:lang w:val="hu-HU"/>
        </w:rPr>
      </w:pPr>
      <w:r w:rsidRPr="00D33091">
        <w:rPr>
          <w:color w:val="000000"/>
          <w:szCs w:val="22"/>
          <w:lang w:val="hu-HU"/>
        </w:rPr>
        <w:t>Az ibuprofén és a paracetamol biohasznosulása és farmakokinetikai profilja az ebben a gyógyszerben történő bevételt követően nem módosul ahhoz képest, mint amikor egyidejűleg kerül sor a bevételükre egyszeri vagy ismételt dózisok formájában</w:t>
      </w:r>
      <w:r w:rsidR="006475B4" w:rsidRPr="00082FCB">
        <w:rPr>
          <w:color w:val="000000"/>
          <w:szCs w:val="22"/>
          <w:lang w:val="hu-HU"/>
        </w:rPr>
        <w:t>.</w:t>
      </w:r>
    </w:p>
    <w:p w14:paraId="240884F8" w14:textId="5F0F4DD6" w:rsidR="006475B4" w:rsidRPr="00082FCB" w:rsidRDefault="00FE6D03" w:rsidP="006475B4">
      <w:pPr>
        <w:spacing w:line="240" w:lineRule="auto"/>
        <w:rPr>
          <w:color w:val="000000"/>
          <w:szCs w:val="22"/>
          <w:lang w:val="hu-HU"/>
        </w:rPr>
      </w:pPr>
      <w:r>
        <w:rPr>
          <w:color w:val="000000"/>
          <w:szCs w:val="22"/>
          <w:lang w:val="hu-HU"/>
        </w:rPr>
        <w:t>Ebből a</w:t>
      </w:r>
      <w:r w:rsidR="00D33091" w:rsidRPr="00D33091">
        <w:rPr>
          <w:color w:val="000000"/>
          <w:szCs w:val="22"/>
          <w:lang w:val="hu-HU"/>
        </w:rPr>
        <w:t xml:space="preserve"> gyógyszer</w:t>
      </w:r>
      <w:r>
        <w:rPr>
          <w:color w:val="000000"/>
          <w:szCs w:val="22"/>
          <w:lang w:val="hu-HU"/>
        </w:rPr>
        <w:t>ből</w:t>
      </w:r>
      <w:r w:rsidR="00D33091" w:rsidRPr="00D33091">
        <w:rPr>
          <w:color w:val="000000"/>
          <w:szCs w:val="22"/>
          <w:lang w:val="hu-HU"/>
        </w:rPr>
        <w:t xml:space="preserve"> párhuzamosan szabadul fel az ibuprofén és a paracetamol, így a hatóanyagok kombinált hatást biztosítanak</w:t>
      </w:r>
      <w:r w:rsidR="006475B4" w:rsidRPr="00082FCB">
        <w:rPr>
          <w:color w:val="000000"/>
          <w:szCs w:val="22"/>
          <w:lang w:val="hu-HU"/>
        </w:rPr>
        <w:t>.</w:t>
      </w:r>
    </w:p>
    <w:p w14:paraId="572D4341" w14:textId="77777777" w:rsidR="001D29E6" w:rsidRPr="00082FCB" w:rsidRDefault="001D29E6" w:rsidP="006475B4">
      <w:pPr>
        <w:spacing w:line="240" w:lineRule="auto"/>
        <w:rPr>
          <w:bCs/>
          <w:szCs w:val="22"/>
          <w:lang w:val="hu-HU"/>
        </w:rPr>
      </w:pPr>
    </w:p>
    <w:p w14:paraId="7E79FE2F" w14:textId="2C434D6A" w:rsidR="001D29E6" w:rsidRPr="00082FCB" w:rsidRDefault="001D29E6" w:rsidP="006475B4">
      <w:pPr>
        <w:spacing w:line="240" w:lineRule="auto"/>
        <w:ind w:left="567" w:hanging="567"/>
        <w:rPr>
          <w:szCs w:val="22"/>
          <w:lang w:val="hu-HU"/>
        </w:rPr>
      </w:pPr>
      <w:r w:rsidRPr="00082FCB">
        <w:rPr>
          <w:b/>
          <w:szCs w:val="22"/>
          <w:lang w:val="hu-HU"/>
        </w:rPr>
        <w:t>5.3</w:t>
      </w:r>
      <w:r w:rsidRPr="00082FCB">
        <w:rPr>
          <w:b/>
          <w:szCs w:val="22"/>
          <w:lang w:val="hu-HU"/>
        </w:rPr>
        <w:tab/>
      </w:r>
      <w:r w:rsidR="00D33091" w:rsidRPr="00BA5943">
        <w:rPr>
          <w:b/>
          <w:szCs w:val="22"/>
          <w:lang w:val="hu-HU"/>
        </w:rPr>
        <w:t>A preklinikai biztonságossági vizsgálatok eredményei</w:t>
      </w:r>
    </w:p>
    <w:p w14:paraId="29194EA8" w14:textId="77777777" w:rsidR="001D29E6" w:rsidRPr="00082FCB" w:rsidRDefault="001D29E6" w:rsidP="006475B4">
      <w:pPr>
        <w:spacing w:line="240" w:lineRule="auto"/>
        <w:rPr>
          <w:szCs w:val="22"/>
          <w:lang w:val="hu-HU"/>
        </w:rPr>
      </w:pPr>
    </w:p>
    <w:p w14:paraId="3A3E501F" w14:textId="1E54B125" w:rsidR="006475B4" w:rsidRPr="00082FCB" w:rsidRDefault="00D33091" w:rsidP="006475B4">
      <w:pPr>
        <w:spacing w:line="240" w:lineRule="auto"/>
        <w:rPr>
          <w:color w:val="000000"/>
          <w:szCs w:val="22"/>
          <w:lang w:val="hu-HU"/>
        </w:rPr>
      </w:pPr>
      <w:r w:rsidRPr="00BA5943">
        <w:rPr>
          <w:szCs w:val="22"/>
          <w:lang w:val="hu-HU"/>
        </w:rPr>
        <w:t xml:space="preserve">Az ibuprofén és a paracetamol toxikológiai biztonságossági profilját állatkísérletek, valamint kiterjedt humán klinikai tapasztalatok révén határozták meg. </w:t>
      </w:r>
      <w:r w:rsidR="00F66D18" w:rsidRPr="00F66D18">
        <w:rPr>
          <w:szCs w:val="22"/>
          <w:lang w:val="hu-HU"/>
        </w:rPr>
        <w:t>A paracetamol reprodukcióra és fejlődésre gyakorolt toxicitásának értékelésére jelenleg elfogadott szabványokat alkalmazó hagyományos vizsgálatok nem állnak rendelkezésre</w:t>
      </w:r>
      <w:r w:rsidR="00F66D18">
        <w:rPr>
          <w:szCs w:val="22"/>
          <w:lang w:val="hu-HU"/>
        </w:rPr>
        <w:t xml:space="preserve">. </w:t>
      </w:r>
      <w:r w:rsidRPr="00BA5943">
        <w:rPr>
          <w:szCs w:val="22"/>
          <w:lang w:val="hu-HU"/>
        </w:rPr>
        <w:t>Nincsenek a gyógyszert rendelő orvos számára releváns új preklinikai adatok, amelyek hozzáadódnának az ebben az alkalmazási előírásban ismertetettekhez</w:t>
      </w:r>
      <w:r w:rsidR="006475B4" w:rsidRPr="00082FCB">
        <w:rPr>
          <w:color w:val="000000"/>
          <w:szCs w:val="22"/>
          <w:lang w:val="hu-HU"/>
        </w:rPr>
        <w:t>.</w:t>
      </w:r>
    </w:p>
    <w:p w14:paraId="48741CEC" w14:textId="76DFF191" w:rsidR="001D29E6" w:rsidRPr="00082FCB" w:rsidRDefault="001D29E6" w:rsidP="006475B4">
      <w:pPr>
        <w:spacing w:line="240" w:lineRule="auto"/>
        <w:rPr>
          <w:bCs/>
          <w:szCs w:val="22"/>
          <w:lang w:val="hu-HU"/>
        </w:rPr>
      </w:pPr>
    </w:p>
    <w:p w14:paraId="08434303" w14:textId="77777777" w:rsidR="00BA1129" w:rsidRPr="00082FCB" w:rsidRDefault="00BA1129" w:rsidP="006475B4">
      <w:pPr>
        <w:spacing w:line="240" w:lineRule="auto"/>
        <w:rPr>
          <w:bCs/>
          <w:szCs w:val="22"/>
          <w:lang w:val="hu-HU"/>
        </w:rPr>
      </w:pPr>
    </w:p>
    <w:p w14:paraId="29865F28" w14:textId="231F3D68" w:rsidR="001D29E6" w:rsidRPr="00082FCB" w:rsidRDefault="001D29E6" w:rsidP="006475B4">
      <w:pPr>
        <w:spacing w:line="240" w:lineRule="auto"/>
        <w:ind w:left="567" w:hanging="567"/>
        <w:rPr>
          <w:b/>
          <w:szCs w:val="22"/>
          <w:lang w:val="hu-HU"/>
        </w:rPr>
      </w:pPr>
      <w:r w:rsidRPr="00082FCB">
        <w:rPr>
          <w:b/>
          <w:szCs w:val="22"/>
          <w:lang w:val="hu-HU"/>
        </w:rPr>
        <w:t>6.</w:t>
      </w:r>
      <w:r w:rsidRPr="00082FCB">
        <w:rPr>
          <w:b/>
          <w:szCs w:val="22"/>
          <w:lang w:val="hu-HU"/>
        </w:rPr>
        <w:tab/>
      </w:r>
      <w:r w:rsidR="00D33091" w:rsidRPr="00BA5943">
        <w:rPr>
          <w:b/>
          <w:szCs w:val="22"/>
          <w:lang w:val="hu-HU"/>
        </w:rPr>
        <w:t>GYÓGYSZERÉSZETI JELLEMZŐK</w:t>
      </w:r>
    </w:p>
    <w:p w14:paraId="22FD37B5" w14:textId="77777777" w:rsidR="001D29E6" w:rsidRPr="00082FCB" w:rsidRDefault="001D29E6" w:rsidP="006475B4">
      <w:pPr>
        <w:spacing w:line="240" w:lineRule="auto"/>
        <w:rPr>
          <w:bCs/>
          <w:szCs w:val="22"/>
          <w:lang w:val="hu-HU"/>
        </w:rPr>
      </w:pPr>
    </w:p>
    <w:p w14:paraId="674EDABE" w14:textId="64A8EF8E" w:rsidR="001D29E6" w:rsidRPr="00082FCB" w:rsidRDefault="001D29E6" w:rsidP="006475B4">
      <w:pPr>
        <w:spacing w:line="240" w:lineRule="auto"/>
        <w:ind w:left="567" w:hanging="567"/>
        <w:rPr>
          <w:b/>
          <w:szCs w:val="22"/>
          <w:lang w:val="hu-HU"/>
        </w:rPr>
      </w:pPr>
      <w:r w:rsidRPr="00082FCB">
        <w:rPr>
          <w:b/>
          <w:szCs w:val="22"/>
          <w:lang w:val="hu-HU"/>
        </w:rPr>
        <w:t>6.1</w:t>
      </w:r>
      <w:r w:rsidRPr="00082FCB">
        <w:rPr>
          <w:b/>
          <w:szCs w:val="22"/>
          <w:lang w:val="hu-HU"/>
        </w:rPr>
        <w:tab/>
      </w:r>
      <w:r w:rsidR="00D33091" w:rsidRPr="00BA5943">
        <w:rPr>
          <w:b/>
          <w:szCs w:val="22"/>
          <w:lang w:val="hu-HU"/>
        </w:rPr>
        <w:t>Segédanyagok felsorolása</w:t>
      </w:r>
    </w:p>
    <w:p w14:paraId="5A8EF228" w14:textId="77777777" w:rsidR="00D73CE3" w:rsidRPr="00082FCB" w:rsidRDefault="00D73CE3" w:rsidP="006475B4">
      <w:pPr>
        <w:rPr>
          <w:u w:val="single"/>
          <w:lang w:val="hu-HU"/>
        </w:rPr>
      </w:pPr>
    </w:p>
    <w:p w14:paraId="6E246C93" w14:textId="77777777" w:rsidR="003F3265" w:rsidRPr="00BA5943" w:rsidRDefault="003F3265" w:rsidP="003F3265">
      <w:pPr>
        <w:spacing w:line="240" w:lineRule="auto"/>
        <w:rPr>
          <w:szCs w:val="22"/>
          <w:u w:val="single"/>
          <w:lang w:val="hu-HU"/>
        </w:rPr>
      </w:pPr>
      <w:r w:rsidRPr="00BA5943">
        <w:rPr>
          <w:szCs w:val="22"/>
          <w:u w:val="single"/>
          <w:lang w:val="hu-HU"/>
        </w:rPr>
        <w:t>Tablettamag</w:t>
      </w:r>
    </w:p>
    <w:p w14:paraId="742AB8AD" w14:textId="6929E494" w:rsidR="00714622" w:rsidRPr="00714622" w:rsidRDefault="00F114C7" w:rsidP="00714622">
      <w:pPr>
        <w:rPr>
          <w:lang w:val="hu-HU"/>
        </w:rPr>
      </w:pPr>
      <w:r>
        <w:rPr>
          <w:lang w:val="hu-HU"/>
        </w:rPr>
        <w:t>k</w:t>
      </w:r>
      <w:r w:rsidR="00714622" w:rsidRPr="00714622">
        <w:rPr>
          <w:lang w:val="hu-HU"/>
        </w:rPr>
        <w:t>roszkarmellóz-nátrium</w:t>
      </w:r>
    </w:p>
    <w:p w14:paraId="25FBB5C4" w14:textId="49A606DD" w:rsidR="00714622" w:rsidRPr="00714622" w:rsidRDefault="00F114C7" w:rsidP="00714622">
      <w:pPr>
        <w:rPr>
          <w:lang w:val="hu-HU"/>
        </w:rPr>
      </w:pPr>
      <w:r>
        <w:rPr>
          <w:lang w:val="hu-HU"/>
        </w:rPr>
        <w:t>h</w:t>
      </w:r>
      <w:r w:rsidR="00714622" w:rsidRPr="00714622">
        <w:rPr>
          <w:lang w:val="hu-HU"/>
        </w:rPr>
        <w:t>idroxipropilcellulóz</w:t>
      </w:r>
    </w:p>
    <w:p w14:paraId="4478EFDA" w14:textId="01621A84" w:rsidR="00714622" w:rsidRPr="00714622" w:rsidRDefault="00F114C7" w:rsidP="00714622">
      <w:pPr>
        <w:rPr>
          <w:lang w:val="hu-HU"/>
        </w:rPr>
      </w:pPr>
      <w:r>
        <w:rPr>
          <w:lang w:val="hu-HU"/>
        </w:rPr>
        <w:t>m</w:t>
      </w:r>
      <w:r w:rsidR="00714622" w:rsidRPr="00714622">
        <w:rPr>
          <w:lang w:val="hu-HU"/>
        </w:rPr>
        <w:t>ikrokristályos cellulóz</w:t>
      </w:r>
    </w:p>
    <w:p w14:paraId="6E965B41" w14:textId="2B9FDF58" w:rsidR="00714622" w:rsidRPr="00714622" w:rsidRDefault="00F114C7" w:rsidP="00714622">
      <w:pPr>
        <w:rPr>
          <w:lang w:val="hu-HU"/>
        </w:rPr>
      </w:pPr>
      <w:r>
        <w:rPr>
          <w:lang w:val="hu-HU"/>
        </w:rPr>
        <w:t>v</w:t>
      </w:r>
      <w:r w:rsidR="00D85D2C" w:rsidRPr="00D85D2C">
        <w:rPr>
          <w:lang w:val="hu-HU"/>
        </w:rPr>
        <w:t xml:space="preserve">ízmentes kolloid </w:t>
      </w:r>
      <w:r w:rsidR="00D85D2C">
        <w:rPr>
          <w:lang w:val="hu-HU"/>
        </w:rPr>
        <w:t>s</w:t>
      </w:r>
      <w:r w:rsidR="00714622" w:rsidRPr="00714622">
        <w:rPr>
          <w:lang w:val="hu-HU"/>
        </w:rPr>
        <w:t>zilícium-dioxid</w:t>
      </w:r>
    </w:p>
    <w:p w14:paraId="1937BD62" w14:textId="2F47FEF3" w:rsidR="00714622" w:rsidRPr="00714622" w:rsidRDefault="00F114C7" w:rsidP="00714622">
      <w:pPr>
        <w:rPr>
          <w:lang w:val="hu-HU"/>
        </w:rPr>
      </w:pPr>
      <w:r>
        <w:rPr>
          <w:lang w:val="hu-HU"/>
        </w:rPr>
        <w:t>s</w:t>
      </w:r>
      <w:r w:rsidR="00714622" w:rsidRPr="00714622">
        <w:rPr>
          <w:lang w:val="hu-HU"/>
        </w:rPr>
        <w:t>ztearinsav</w:t>
      </w:r>
    </w:p>
    <w:p w14:paraId="01761309" w14:textId="780C764B" w:rsidR="00714622" w:rsidRPr="00082FCB" w:rsidRDefault="00F114C7" w:rsidP="00714622">
      <w:pPr>
        <w:rPr>
          <w:lang w:val="hu-HU"/>
        </w:rPr>
      </w:pPr>
      <w:r>
        <w:rPr>
          <w:lang w:val="hu-HU"/>
        </w:rPr>
        <w:t>m</w:t>
      </w:r>
      <w:r w:rsidR="00714622" w:rsidRPr="00714622">
        <w:rPr>
          <w:lang w:val="hu-HU"/>
        </w:rPr>
        <w:t>agnézium-sztearát</w:t>
      </w:r>
    </w:p>
    <w:p w14:paraId="6764978F" w14:textId="77777777" w:rsidR="00BA1129" w:rsidRPr="00082FCB" w:rsidRDefault="00BA1129" w:rsidP="00BA1129">
      <w:pPr>
        <w:rPr>
          <w:lang w:val="hu-HU"/>
        </w:rPr>
      </w:pPr>
    </w:p>
    <w:p w14:paraId="1CFC63C0" w14:textId="77777777" w:rsidR="00714622" w:rsidRPr="00BA5943" w:rsidRDefault="00714622" w:rsidP="00714622">
      <w:pPr>
        <w:spacing w:line="240" w:lineRule="auto"/>
        <w:rPr>
          <w:szCs w:val="22"/>
          <w:u w:val="single"/>
          <w:lang w:val="hu-HU"/>
        </w:rPr>
      </w:pPr>
      <w:r w:rsidRPr="00BA5943">
        <w:rPr>
          <w:szCs w:val="22"/>
          <w:u w:val="single"/>
          <w:lang w:val="hu-HU"/>
        </w:rPr>
        <w:t>Filmbevonat</w:t>
      </w:r>
    </w:p>
    <w:p w14:paraId="2BA382C2" w14:textId="112324C8" w:rsidR="00BA1129" w:rsidRPr="00082FCB" w:rsidRDefault="00F114C7" w:rsidP="00BA1129">
      <w:pPr>
        <w:rPr>
          <w:lang w:val="hu-HU"/>
        </w:rPr>
      </w:pPr>
      <w:r>
        <w:rPr>
          <w:lang w:val="hu-HU"/>
        </w:rPr>
        <w:t>p</w:t>
      </w:r>
      <w:r w:rsidR="00523C42" w:rsidRPr="00523C42">
        <w:rPr>
          <w:lang w:val="hu-HU"/>
        </w:rPr>
        <w:t>oli(vinil-alkohol) – makrogol o</w:t>
      </w:r>
      <w:r w:rsidR="00523C42">
        <w:rPr>
          <w:lang w:val="hu-HU"/>
        </w:rPr>
        <w:t>l</w:t>
      </w:r>
      <w:r w:rsidR="00523C42" w:rsidRPr="00523C42">
        <w:rPr>
          <w:lang w:val="hu-HU"/>
        </w:rPr>
        <w:t>tott kopolime</w:t>
      </w:r>
      <w:r w:rsidR="00523C42">
        <w:rPr>
          <w:lang w:val="hu-HU"/>
        </w:rPr>
        <w:t>r</w:t>
      </w:r>
    </w:p>
    <w:p w14:paraId="3ADC1455" w14:textId="0C46BC64" w:rsidR="00BA1129" w:rsidRPr="00082FCB" w:rsidRDefault="00F114C7" w:rsidP="00BA1129">
      <w:pPr>
        <w:rPr>
          <w:lang w:val="hu-HU"/>
        </w:rPr>
      </w:pPr>
      <w:r>
        <w:rPr>
          <w:lang w:val="hu-HU"/>
        </w:rPr>
        <w:t>t</w:t>
      </w:r>
      <w:r w:rsidR="00BA1129" w:rsidRPr="00082FCB">
        <w:rPr>
          <w:lang w:val="hu-HU"/>
        </w:rPr>
        <w:t>al</w:t>
      </w:r>
      <w:r w:rsidR="00714622">
        <w:rPr>
          <w:lang w:val="hu-HU"/>
        </w:rPr>
        <w:t>kum</w:t>
      </w:r>
    </w:p>
    <w:p w14:paraId="0BF4540A" w14:textId="005367EB" w:rsidR="00714622" w:rsidRPr="00714622" w:rsidRDefault="00F114C7" w:rsidP="00714622">
      <w:pPr>
        <w:rPr>
          <w:lang w:val="hu-HU"/>
        </w:rPr>
      </w:pPr>
      <w:r>
        <w:rPr>
          <w:lang w:val="hu-HU"/>
        </w:rPr>
        <w:t>c</w:t>
      </w:r>
      <w:r w:rsidR="00714622" w:rsidRPr="00714622">
        <w:rPr>
          <w:lang w:val="hu-HU"/>
        </w:rPr>
        <w:t xml:space="preserve">sillám alapú gyöngyházfényű </w:t>
      </w:r>
      <w:r w:rsidR="00D85D2C">
        <w:rPr>
          <w:lang w:val="hu-HU"/>
        </w:rPr>
        <w:t>színezék</w:t>
      </w:r>
      <w:r w:rsidR="00714622" w:rsidRPr="00714622">
        <w:rPr>
          <w:lang w:val="hu-HU"/>
        </w:rPr>
        <w:t xml:space="preserve"> </w:t>
      </w:r>
    </w:p>
    <w:p w14:paraId="03B76089" w14:textId="1AC66582" w:rsidR="00714622" w:rsidRDefault="00F114C7" w:rsidP="00714622">
      <w:pPr>
        <w:rPr>
          <w:lang w:val="hu-HU"/>
        </w:rPr>
      </w:pPr>
      <w:r>
        <w:rPr>
          <w:lang w:val="hu-HU"/>
        </w:rPr>
        <w:t>g</w:t>
      </w:r>
      <w:r w:rsidR="00714622" w:rsidRPr="00714622">
        <w:rPr>
          <w:lang w:val="hu-HU"/>
        </w:rPr>
        <w:t>licerin-monokaprilokaprát</w:t>
      </w:r>
    </w:p>
    <w:p w14:paraId="3B3601A3" w14:textId="4830FC7A" w:rsidR="00714622" w:rsidRDefault="00F114C7" w:rsidP="00F2336F">
      <w:pPr>
        <w:rPr>
          <w:lang w:val="hu-HU"/>
        </w:rPr>
      </w:pPr>
      <w:r>
        <w:rPr>
          <w:lang w:val="hu-HU"/>
        </w:rPr>
        <w:t>p</w:t>
      </w:r>
      <w:r w:rsidR="00714622" w:rsidRPr="00082FCB">
        <w:rPr>
          <w:lang w:val="hu-HU"/>
        </w:rPr>
        <w:t>ol</w:t>
      </w:r>
      <w:r w:rsidR="00714622">
        <w:rPr>
          <w:lang w:val="hu-HU"/>
        </w:rPr>
        <w:t>i(</w:t>
      </w:r>
      <w:r w:rsidR="00714622" w:rsidRPr="00082FCB">
        <w:rPr>
          <w:lang w:val="hu-HU"/>
        </w:rPr>
        <w:t>vin</w:t>
      </w:r>
      <w:r w:rsidR="00714622">
        <w:rPr>
          <w:lang w:val="hu-HU"/>
        </w:rPr>
        <w:t>i</w:t>
      </w:r>
      <w:r w:rsidR="00714622" w:rsidRPr="00082FCB">
        <w:rPr>
          <w:lang w:val="hu-HU"/>
        </w:rPr>
        <w:t>l</w:t>
      </w:r>
      <w:r w:rsidR="00714622">
        <w:rPr>
          <w:lang w:val="hu-HU"/>
        </w:rPr>
        <w:t>-</w:t>
      </w:r>
      <w:r w:rsidR="00714622" w:rsidRPr="00082FCB">
        <w:rPr>
          <w:lang w:val="hu-HU"/>
        </w:rPr>
        <w:t>al</w:t>
      </w:r>
      <w:r w:rsidR="00714622">
        <w:rPr>
          <w:lang w:val="hu-HU"/>
        </w:rPr>
        <w:t>k</w:t>
      </w:r>
      <w:r w:rsidR="00714622" w:rsidRPr="00082FCB">
        <w:rPr>
          <w:lang w:val="hu-HU"/>
        </w:rPr>
        <w:t>ohol</w:t>
      </w:r>
      <w:r w:rsidR="00714622">
        <w:rPr>
          <w:lang w:val="hu-HU"/>
        </w:rPr>
        <w:t>)</w:t>
      </w:r>
    </w:p>
    <w:p w14:paraId="36C563DE" w14:textId="1A52AACA" w:rsidR="00F2336F" w:rsidRPr="00082FCB" w:rsidRDefault="00F114C7" w:rsidP="00F2336F">
      <w:pPr>
        <w:rPr>
          <w:lang w:val="hu-HU"/>
        </w:rPr>
      </w:pPr>
      <w:r>
        <w:rPr>
          <w:lang w:val="hu-HU"/>
        </w:rPr>
        <w:t>t</w:t>
      </w:r>
      <w:r w:rsidR="00F2336F" w:rsidRPr="00082FCB">
        <w:rPr>
          <w:lang w:val="hu-HU"/>
        </w:rPr>
        <w:t>it</w:t>
      </w:r>
      <w:r w:rsidR="00714622">
        <w:rPr>
          <w:lang w:val="hu-HU"/>
        </w:rPr>
        <w:t>án-</w:t>
      </w:r>
      <w:r w:rsidR="00F2336F" w:rsidRPr="00082FCB">
        <w:rPr>
          <w:lang w:val="hu-HU"/>
        </w:rPr>
        <w:t>dioxid</w:t>
      </w:r>
      <w:r w:rsidR="002D5C4A" w:rsidRPr="00082FCB">
        <w:rPr>
          <w:lang w:val="hu-HU"/>
        </w:rPr>
        <w:t xml:space="preserve"> (E171)</w:t>
      </w:r>
    </w:p>
    <w:p w14:paraId="4D94FD0F" w14:textId="706ED262" w:rsidR="00F2336F" w:rsidRPr="00082FCB" w:rsidRDefault="00F114C7" w:rsidP="00F2336F">
      <w:pPr>
        <w:rPr>
          <w:lang w:val="hu-HU"/>
        </w:rPr>
      </w:pPr>
      <w:r>
        <w:rPr>
          <w:lang w:val="hu-HU"/>
        </w:rPr>
        <w:t>f</w:t>
      </w:r>
      <w:r w:rsidR="00714622">
        <w:rPr>
          <w:lang w:val="hu-HU"/>
        </w:rPr>
        <w:t>ekete vas-oxid</w:t>
      </w:r>
      <w:r w:rsidR="00F2336F" w:rsidRPr="00082FCB">
        <w:rPr>
          <w:lang w:val="hu-HU"/>
        </w:rPr>
        <w:t xml:space="preserve"> (E172)</w:t>
      </w:r>
    </w:p>
    <w:p w14:paraId="095B92D7" w14:textId="77777777" w:rsidR="000D47CE" w:rsidRPr="00082FCB" w:rsidRDefault="000D47CE" w:rsidP="00F2336F">
      <w:pPr>
        <w:rPr>
          <w:lang w:val="hu-HU"/>
        </w:rPr>
      </w:pPr>
    </w:p>
    <w:p w14:paraId="4293DB00" w14:textId="7F8A0D14" w:rsidR="001D29E6" w:rsidRPr="00082FCB" w:rsidRDefault="001D29E6" w:rsidP="006475B4">
      <w:pPr>
        <w:spacing w:line="240" w:lineRule="auto"/>
        <w:ind w:left="567" w:hanging="567"/>
        <w:rPr>
          <w:szCs w:val="22"/>
          <w:lang w:val="hu-HU"/>
        </w:rPr>
      </w:pPr>
      <w:r w:rsidRPr="00082FCB">
        <w:rPr>
          <w:b/>
          <w:szCs w:val="22"/>
          <w:lang w:val="hu-HU"/>
        </w:rPr>
        <w:t>6.2</w:t>
      </w:r>
      <w:r w:rsidRPr="00082FCB">
        <w:rPr>
          <w:b/>
          <w:szCs w:val="22"/>
          <w:lang w:val="hu-HU"/>
        </w:rPr>
        <w:tab/>
      </w:r>
      <w:r w:rsidR="00714622" w:rsidRPr="00BA5943">
        <w:rPr>
          <w:b/>
          <w:szCs w:val="22"/>
          <w:lang w:val="hu-HU"/>
        </w:rPr>
        <w:t>Inkompatibilitások</w:t>
      </w:r>
    </w:p>
    <w:p w14:paraId="3D4575E1" w14:textId="77777777" w:rsidR="001D29E6" w:rsidRPr="00082FCB" w:rsidRDefault="001D29E6" w:rsidP="006475B4">
      <w:pPr>
        <w:spacing w:line="240" w:lineRule="auto"/>
        <w:rPr>
          <w:szCs w:val="22"/>
          <w:lang w:val="hu-HU"/>
        </w:rPr>
      </w:pPr>
    </w:p>
    <w:p w14:paraId="2CC7FB47" w14:textId="4663C430" w:rsidR="001D29E6" w:rsidRPr="00082FCB" w:rsidRDefault="00714622" w:rsidP="006475B4">
      <w:pPr>
        <w:spacing w:line="240" w:lineRule="auto"/>
        <w:rPr>
          <w:szCs w:val="22"/>
          <w:lang w:val="hu-HU"/>
        </w:rPr>
      </w:pPr>
      <w:r w:rsidRPr="00BA5943">
        <w:rPr>
          <w:szCs w:val="22"/>
          <w:lang w:val="hu-HU"/>
        </w:rPr>
        <w:t>Nem értelmezhető</w:t>
      </w:r>
      <w:r w:rsidR="001D29E6" w:rsidRPr="00082FCB">
        <w:rPr>
          <w:szCs w:val="22"/>
          <w:lang w:val="hu-HU"/>
        </w:rPr>
        <w:t>.</w:t>
      </w:r>
    </w:p>
    <w:p w14:paraId="196A128E" w14:textId="77777777" w:rsidR="001D29E6" w:rsidRPr="00082FCB" w:rsidRDefault="001D29E6" w:rsidP="006475B4">
      <w:pPr>
        <w:spacing w:line="240" w:lineRule="auto"/>
        <w:rPr>
          <w:szCs w:val="22"/>
          <w:lang w:val="hu-HU"/>
        </w:rPr>
      </w:pPr>
    </w:p>
    <w:p w14:paraId="15569CAB" w14:textId="529BF544" w:rsidR="001D29E6" w:rsidRPr="00082FCB" w:rsidRDefault="001D29E6" w:rsidP="006475B4">
      <w:pPr>
        <w:spacing w:line="240" w:lineRule="auto"/>
        <w:ind w:left="567" w:hanging="567"/>
        <w:rPr>
          <w:szCs w:val="22"/>
          <w:lang w:val="hu-HU"/>
        </w:rPr>
      </w:pPr>
      <w:r w:rsidRPr="00082FCB">
        <w:rPr>
          <w:b/>
          <w:szCs w:val="22"/>
          <w:lang w:val="hu-HU"/>
        </w:rPr>
        <w:t>6.3</w:t>
      </w:r>
      <w:r w:rsidRPr="00082FCB">
        <w:rPr>
          <w:b/>
          <w:szCs w:val="22"/>
          <w:lang w:val="hu-HU"/>
        </w:rPr>
        <w:tab/>
      </w:r>
      <w:r w:rsidR="00714622" w:rsidRPr="00BA5943">
        <w:rPr>
          <w:b/>
          <w:szCs w:val="22"/>
          <w:lang w:val="hu-HU"/>
        </w:rPr>
        <w:t>Felhasználhatósági időtartam</w:t>
      </w:r>
    </w:p>
    <w:p w14:paraId="36C50B40" w14:textId="77777777" w:rsidR="001D29E6" w:rsidRPr="00082FCB" w:rsidRDefault="001D29E6" w:rsidP="006475B4">
      <w:pPr>
        <w:spacing w:line="240" w:lineRule="auto"/>
        <w:rPr>
          <w:szCs w:val="22"/>
          <w:lang w:val="hu-HU"/>
        </w:rPr>
      </w:pPr>
    </w:p>
    <w:p w14:paraId="012F269F" w14:textId="21D02782" w:rsidR="001D29E6" w:rsidRPr="00082FCB" w:rsidRDefault="009643F4" w:rsidP="006475B4">
      <w:pPr>
        <w:spacing w:line="240" w:lineRule="auto"/>
        <w:rPr>
          <w:bCs/>
          <w:szCs w:val="22"/>
          <w:lang w:val="hu-HU"/>
        </w:rPr>
      </w:pPr>
      <w:r>
        <w:rPr>
          <w:bCs/>
          <w:szCs w:val="22"/>
          <w:lang w:val="hu-HU"/>
        </w:rPr>
        <w:t>3</w:t>
      </w:r>
      <w:r w:rsidR="00BA1129" w:rsidRPr="00082FCB">
        <w:rPr>
          <w:bCs/>
          <w:szCs w:val="22"/>
          <w:lang w:val="hu-HU"/>
        </w:rPr>
        <w:t xml:space="preserve"> </w:t>
      </w:r>
      <w:r w:rsidR="00714622">
        <w:rPr>
          <w:bCs/>
          <w:szCs w:val="22"/>
          <w:lang w:val="hu-HU"/>
        </w:rPr>
        <w:t>év</w:t>
      </w:r>
    </w:p>
    <w:p w14:paraId="39666966" w14:textId="77777777" w:rsidR="00BA1129" w:rsidRPr="00082FCB" w:rsidRDefault="00BA1129" w:rsidP="006475B4">
      <w:pPr>
        <w:spacing w:line="240" w:lineRule="auto"/>
        <w:rPr>
          <w:bCs/>
          <w:szCs w:val="22"/>
          <w:lang w:val="hu-HU"/>
        </w:rPr>
      </w:pPr>
    </w:p>
    <w:p w14:paraId="08E94D60" w14:textId="4A599AE3" w:rsidR="001D29E6" w:rsidRPr="00082FCB" w:rsidRDefault="001D29E6" w:rsidP="006475B4">
      <w:pPr>
        <w:spacing w:line="240" w:lineRule="auto"/>
        <w:ind w:left="567" w:hanging="567"/>
        <w:rPr>
          <w:b/>
          <w:szCs w:val="22"/>
          <w:lang w:val="hu-HU"/>
        </w:rPr>
      </w:pPr>
      <w:r w:rsidRPr="00082FCB">
        <w:rPr>
          <w:b/>
          <w:szCs w:val="22"/>
          <w:lang w:val="hu-HU"/>
        </w:rPr>
        <w:t>6.4</w:t>
      </w:r>
      <w:r w:rsidRPr="00082FCB">
        <w:rPr>
          <w:b/>
          <w:szCs w:val="22"/>
          <w:lang w:val="hu-HU"/>
        </w:rPr>
        <w:tab/>
      </w:r>
      <w:r w:rsidR="00714622" w:rsidRPr="00BA5943">
        <w:rPr>
          <w:b/>
          <w:szCs w:val="22"/>
          <w:lang w:val="hu-HU"/>
        </w:rPr>
        <w:t>Különleges tárolási előírások</w:t>
      </w:r>
    </w:p>
    <w:p w14:paraId="794A0469" w14:textId="1E1414D1" w:rsidR="001D29E6" w:rsidRPr="00082FCB" w:rsidRDefault="001D29E6" w:rsidP="006475B4">
      <w:pPr>
        <w:spacing w:line="240" w:lineRule="auto"/>
        <w:rPr>
          <w:szCs w:val="22"/>
          <w:lang w:val="hu-HU"/>
        </w:rPr>
      </w:pPr>
    </w:p>
    <w:p w14:paraId="036F45A9" w14:textId="6689F2FC" w:rsidR="00DA1272" w:rsidRPr="00082FCB" w:rsidRDefault="00714622" w:rsidP="006475B4">
      <w:pPr>
        <w:spacing w:line="240" w:lineRule="auto"/>
        <w:rPr>
          <w:szCs w:val="22"/>
          <w:lang w:val="hu-HU"/>
        </w:rPr>
      </w:pPr>
      <w:r w:rsidRPr="00BA5943">
        <w:rPr>
          <w:szCs w:val="22"/>
          <w:lang w:val="hu-HU"/>
        </w:rPr>
        <w:t>Ez a gyógyszer nem igényel különleges tárolást</w:t>
      </w:r>
      <w:r w:rsidR="00DA1272" w:rsidRPr="00082FCB">
        <w:rPr>
          <w:szCs w:val="22"/>
          <w:lang w:val="hu-HU"/>
        </w:rPr>
        <w:t>.</w:t>
      </w:r>
    </w:p>
    <w:p w14:paraId="754C1807" w14:textId="77777777" w:rsidR="006D1968" w:rsidRPr="00082FCB" w:rsidRDefault="006D1968" w:rsidP="006475B4">
      <w:pPr>
        <w:spacing w:line="240" w:lineRule="auto"/>
        <w:rPr>
          <w:szCs w:val="22"/>
          <w:lang w:val="hu-HU"/>
        </w:rPr>
      </w:pPr>
    </w:p>
    <w:p w14:paraId="4423663A" w14:textId="49A07DA7" w:rsidR="001D29E6" w:rsidRPr="00082FCB" w:rsidRDefault="00714622" w:rsidP="001A0579">
      <w:pPr>
        <w:numPr>
          <w:ilvl w:val="1"/>
          <w:numId w:val="11"/>
        </w:numPr>
        <w:spacing w:line="240" w:lineRule="auto"/>
        <w:rPr>
          <w:b/>
          <w:szCs w:val="22"/>
          <w:lang w:val="hu-HU"/>
        </w:rPr>
      </w:pPr>
      <w:r w:rsidRPr="00BA5943">
        <w:rPr>
          <w:b/>
          <w:szCs w:val="22"/>
          <w:lang w:val="hu-HU"/>
        </w:rPr>
        <w:t>Csomagolás típusa és kiszerelése</w:t>
      </w:r>
    </w:p>
    <w:p w14:paraId="1D159B4F" w14:textId="77777777" w:rsidR="001D29E6" w:rsidRPr="00082FCB" w:rsidRDefault="001D29E6" w:rsidP="001A0579">
      <w:pPr>
        <w:spacing w:line="240" w:lineRule="auto"/>
        <w:rPr>
          <w:szCs w:val="22"/>
          <w:lang w:val="hu-HU"/>
        </w:rPr>
      </w:pPr>
    </w:p>
    <w:p w14:paraId="4A324EB7" w14:textId="553B9147" w:rsidR="002D5C4A" w:rsidRPr="00082FCB" w:rsidRDefault="00714622" w:rsidP="002D5C4A">
      <w:pPr>
        <w:shd w:val="clear" w:color="auto" w:fill="FFFFFF"/>
        <w:spacing w:line="240" w:lineRule="auto"/>
        <w:rPr>
          <w:lang w:val="hu-HU" w:eastAsia="pl-PL"/>
        </w:rPr>
      </w:pPr>
      <w:r w:rsidRPr="00BA5943">
        <w:rPr>
          <w:szCs w:val="22"/>
          <w:lang w:val="hu-HU"/>
        </w:rPr>
        <w:t>10</w:t>
      </w:r>
      <w:r>
        <w:rPr>
          <w:w w:val="105"/>
          <w:szCs w:val="22"/>
          <w:lang w:val="hu-HU"/>
        </w:rPr>
        <w:t xml:space="preserve"> vagy</w:t>
      </w:r>
      <w:r w:rsidRPr="00BA5943">
        <w:rPr>
          <w:w w:val="105"/>
          <w:szCs w:val="22"/>
          <w:lang w:val="hu-HU"/>
        </w:rPr>
        <w:t xml:space="preserve"> 20 filmtablett</w:t>
      </w:r>
      <w:r w:rsidR="00754F7A">
        <w:rPr>
          <w:w w:val="105"/>
          <w:szCs w:val="22"/>
          <w:lang w:val="hu-HU"/>
        </w:rPr>
        <w:t>a</w:t>
      </w:r>
      <w:r w:rsidRPr="00BA5943">
        <w:rPr>
          <w:w w:val="105"/>
          <w:szCs w:val="22"/>
          <w:lang w:val="hu-HU"/>
        </w:rPr>
        <w:t xml:space="preserve"> Al//PVC/PVDC buborékcsomagolás</w:t>
      </w:r>
      <w:r w:rsidR="00754F7A">
        <w:rPr>
          <w:w w:val="105"/>
          <w:szCs w:val="22"/>
          <w:lang w:val="hu-HU"/>
        </w:rPr>
        <w:t>ban,</w:t>
      </w:r>
      <w:r w:rsidRPr="00BA5943">
        <w:rPr>
          <w:w w:val="105"/>
          <w:szCs w:val="22"/>
          <w:lang w:val="hu-HU"/>
        </w:rPr>
        <w:t xml:space="preserve"> dobozban</w:t>
      </w:r>
    </w:p>
    <w:p w14:paraId="0B8CB7F2" w14:textId="77777777" w:rsidR="002D5C4A" w:rsidRPr="00082FCB" w:rsidRDefault="002D5C4A" w:rsidP="00BA1129">
      <w:pPr>
        <w:rPr>
          <w:lang w:val="hu-HU"/>
        </w:rPr>
      </w:pPr>
    </w:p>
    <w:p w14:paraId="71DB41B7" w14:textId="3B0400A1" w:rsidR="00BA1129" w:rsidRPr="00082FCB" w:rsidRDefault="00714622" w:rsidP="00BA1129">
      <w:pPr>
        <w:rPr>
          <w:lang w:val="hu-HU"/>
        </w:rPr>
      </w:pPr>
      <w:r>
        <w:rPr>
          <w:lang w:val="hu-HU"/>
        </w:rPr>
        <w:t>vagy</w:t>
      </w:r>
    </w:p>
    <w:p w14:paraId="5C56F500" w14:textId="77777777" w:rsidR="00EE01CA" w:rsidRPr="00082FCB" w:rsidRDefault="00EE01CA" w:rsidP="00BA1129">
      <w:pPr>
        <w:shd w:val="clear" w:color="auto" w:fill="FFFFFF"/>
        <w:spacing w:line="240" w:lineRule="auto"/>
        <w:rPr>
          <w:lang w:val="hu-HU"/>
        </w:rPr>
      </w:pPr>
      <w:bookmarkStart w:id="5" w:name="_Hlk19880682"/>
    </w:p>
    <w:p w14:paraId="25F0A766" w14:textId="34468FAD" w:rsidR="00BA1129" w:rsidRPr="00082FCB" w:rsidRDefault="00714622" w:rsidP="00BA1129">
      <w:pPr>
        <w:shd w:val="clear" w:color="auto" w:fill="FFFFFF"/>
        <w:spacing w:line="240" w:lineRule="auto"/>
        <w:rPr>
          <w:lang w:val="hu-HU" w:eastAsia="pl-PL"/>
        </w:rPr>
      </w:pPr>
      <w:r>
        <w:rPr>
          <w:w w:val="105"/>
          <w:szCs w:val="22"/>
          <w:lang w:val="hu-HU"/>
        </w:rPr>
        <w:t>3</w:t>
      </w:r>
      <w:r w:rsidRPr="00BA5943">
        <w:rPr>
          <w:w w:val="105"/>
          <w:szCs w:val="22"/>
          <w:lang w:val="hu-HU"/>
        </w:rPr>
        <w:t>0 filmtablett</w:t>
      </w:r>
      <w:r w:rsidR="00754F7A">
        <w:rPr>
          <w:w w:val="105"/>
          <w:szCs w:val="22"/>
          <w:lang w:val="hu-HU"/>
        </w:rPr>
        <w:t>a</w:t>
      </w:r>
      <w:r w:rsidRPr="00BA5943">
        <w:rPr>
          <w:w w:val="105"/>
          <w:szCs w:val="22"/>
          <w:lang w:val="hu-HU"/>
        </w:rPr>
        <w:t xml:space="preserve"> </w:t>
      </w:r>
      <w:r w:rsidR="00754F7A">
        <w:rPr>
          <w:w w:val="105"/>
          <w:szCs w:val="22"/>
          <w:lang w:val="hu-HU"/>
        </w:rPr>
        <w:t>n</w:t>
      </w:r>
      <w:r w:rsidR="00754F7A" w:rsidRPr="00754F7A">
        <w:rPr>
          <w:w w:val="105"/>
          <w:szCs w:val="22"/>
          <w:lang w:val="hu-HU"/>
        </w:rPr>
        <w:t>edvszívó anyaggal, valamint rezgéscsillapítóval ellátott LDPE kupakkal lezárt HDPE tartályban.</w:t>
      </w:r>
      <w:bookmarkEnd w:id="5"/>
    </w:p>
    <w:p w14:paraId="7F7047FF" w14:textId="77777777" w:rsidR="00EA6207" w:rsidRPr="00082FCB" w:rsidRDefault="00EA6207" w:rsidP="00D73CE3">
      <w:pPr>
        <w:shd w:val="clear" w:color="auto" w:fill="FFFFFF"/>
        <w:spacing w:line="240" w:lineRule="auto"/>
        <w:rPr>
          <w:lang w:val="hu-HU" w:eastAsia="pl-PL"/>
        </w:rPr>
      </w:pPr>
    </w:p>
    <w:p w14:paraId="1AFAA4A8" w14:textId="7A8A62DE" w:rsidR="00D73CE3" w:rsidRPr="00082FCB" w:rsidRDefault="00714622" w:rsidP="00D73CE3">
      <w:pPr>
        <w:shd w:val="clear" w:color="auto" w:fill="FFFFFF"/>
        <w:spacing w:line="240" w:lineRule="auto"/>
        <w:rPr>
          <w:lang w:val="hu-HU" w:eastAsia="pl-PL"/>
        </w:rPr>
      </w:pPr>
      <w:r w:rsidRPr="00BA5943">
        <w:rPr>
          <w:szCs w:val="22"/>
          <w:lang w:val="hu-HU"/>
        </w:rPr>
        <w:t>Nem feltétlenül mindegyik kiszerelés kerül kereskedelmi forgalomba</w:t>
      </w:r>
      <w:r w:rsidR="00D73CE3" w:rsidRPr="00082FCB">
        <w:rPr>
          <w:lang w:val="hu-HU" w:eastAsia="pl-PL"/>
        </w:rPr>
        <w:t>.</w:t>
      </w:r>
    </w:p>
    <w:p w14:paraId="4D36CFBA" w14:textId="77777777" w:rsidR="001D29E6" w:rsidRPr="00082FCB" w:rsidRDefault="001D29E6" w:rsidP="006475B4">
      <w:pPr>
        <w:spacing w:line="240" w:lineRule="auto"/>
        <w:rPr>
          <w:szCs w:val="22"/>
          <w:lang w:val="hu-HU"/>
        </w:rPr>
      </w:pPr>
    </w:p>
    <w:p w14:paraId="4ACBFDB8" w14:textId="48BDABFD" w:rsidR="001D29E6" w:rsidRPr="00082FCB" w:rsidRDefault="001D29E6" w:rsidP="006475B4">
      <w:pPr>
        <w:spacing w:line="240" w:lineRule="auto"/>
        <w:ind w:left="567" w:hanging="567"/>
        <w:outlineLvl w:val="0"/>
        <w:rPr>
          <w:szCs w:val="22"/>
          <w:lang w:val="hu-HU"/>
        </w:rPr>
      </w:pPr>
      <w:r w:rsidRPr="00082FCB">
        <w:rPr>
          <w:b/>
          <w:szCs w:val="22"/>
          <w:lang w:val="hu-HU"/>
        </w:rPr>
        <w:t>6.6</w:t>
      </w:r>
      <w:r w:rsidRPr="00082FCB">
        <w:rPr>
          <w:b/>
          <w:szCs w:val="22"/>
          <w:lang w:val="hu-HU"/>
        </w:rPr>
        <w:tab/>
      </w:r>
      <w:r w:rsidR="00431932" w:rsidRPr="00BA5943">
        <w:rPr>
          <w:b/>
          <w:szCs w:val="22"/>
          <w:lang w:val="hu-HU"/>
        </w:rPr>
        <w:t>A megsemmisítésre vonatkozó különleges óvintézkedések</w:t>
      </w:r>
      <w:r w:rsidR="00431932" w:rsidRPr="003F71CB">
        <w:rPr>
          <w:szCs w:val="22"/>
          <w:lang w:val="hu-HU"/>
        </w:rPr>
        <w:t xml:space="preserve"> </w:t>
      </w:r>
      <w:r w:rsidR="00431932" w:rsidRPr="00BA5943">
        <w:rPr>
          <w:b/>
          <w:szCs w:val="22"/>
          <w:lang w:val="hu-HU"/>
        </w:rPr>
        <w:t>és egyéb, a készítmény kezelésével kapcsolatos információk</w:t>
      </w:r>
    </w:p>
    <w:p w14:paraId="0ED14BF2" w14:textId="77777777" w:rsidR="001D29E6" w:rsidRPr="00082FCB" w:rsidRDefault="001D29E6" w:rsidP="006475B4">
      <w:pPr>
        <w:spacing w:line="240" w:lineRule="auto"/>
        <w:rPr>
          <w:szCs w:val="22"/>
          <w:lang w:val="hu-HU"/>
        </w:rPr>
      </w:pPr>
    </w:p>
    <w:p w14:paraId="2DA7AD52" w14:textId="77777777" w:rsidR="006111C8" w:rsidRPr="006111C8" w:rsidRDefault="006111C8" w:rsidP="006111C8">
      <w:pPr>
        <w:widowControl w:val="0"/>
        <w:tabs>
          <w:tab w:val="left" w:pos="0"/>
        </w:tabs>
        <w:suppressAutoHyphens/>
        <w:outlineLvl w:val="0"/>
        <w:rPr>
          <w:rFonts w:eastAsia="SimSun"/>
          <w:b/>
          <w:snapToGrid w:val="0"/>
          <w:szCs w:val="22"/>
          <w:lang w:val="hu-HU" w:eastAsia="zh-CN"/>
        </w:rPr>
      </w:pPr>
      <w:r w:rsidRPr="006111C8">
        <w:rPr>
          <w:szCs w:val="22"/>
          <w:lang w:val="hu-HU"/>
        </w:rPr>
        <w:t>Bármilyen fel nem használt gyógyszer, illetve hulladékanyag megsemmisítését a gyógyszerekre vonatkozó előírások szerint kell végrehajtani.</w:t>
      </w:r>
    </w:p>
    <w:p w14:paraId="14B0F477" w14:textId="77777777" w:rsidR="006111C8" w:rsidRPr="006111C8" w:rsidRDefault="006111C8" w:rsidP="006111C8">
      <w:pPr>
        <w:widowControl w:val="0"/>
        <w:suppressAutoHyphens/>
        <w:ind w:left="567" w:hanging="567"/>
        <w:outlineLvl w:val="0"/>
        <w:rPr>
          <w:b/>
          <w:szCs w:val="22"/>
          <w:lang w:val="hu-HU"/>
        </w:rPr>
      </w:pPr>
    </w:p>
    <w:p w14:paraId="639F2C41" w14:textId="77777777" w:rsidR="006111C8" w:rsidRPr="006111C8" w:rsidRDefault="006111C8" w:rsidP="006111C8">
      <w:pPr>
        <w:widowControl w:val="0"/>
        <w:suppressAutoHyphens/>
        <w:rPr>
          <w:b/>
          <w:szCs w:val="22"/>
          <w:lang w:val="hu-HU"/>
        </w:rPr>
      </w:pPr>
      <w:r w:rsidRPr="006111C8">
        <w:rPr>
          <w:b/>
          <w:szCs w:val="22"/>
          <w:lang w:val="hu-HU"/>
        </w:rPr>
        <w:t xml:space="preserve">Megjegyzés: </w:t>
      </w:r>
      <w:r w:rsidRPr="006111C8">
        <w:rPr>
          <w:rFonts w:ascii="Wingdings" w:hAnsi="Wingdings"/>
          <w:b/>
          <w:szCs w:val="22"/>
          <w:lang w:val="hu-HU"/>
        </w:rPr>
        <w:t></w:t>
      </w:r>
      <w:r w:rsidRPr="006111C8">
        <w:rPr>
          <w:b/>
          <w:szCs w:val="22"/>
          <w:lang w:val="hu-HU"/>
        </w:rPr>
        <w:t xml:space="preserve"> (egy keresztes) </w:t>
      </w:r>
    </w:p>
    <w:p w14:paraId="6C71AE33" w14:textId="77777777" w:rsidR="006111C8" w:rsidRPr="006111C8" w:rsidRDefault="006111C8" w:rsidP="006111C8">
      <w:pPr>
        <w:widowControl w:val="0"/>
        <w:suppressAutoHyphens/>
        <w:rPr>
          <w:szCs w:val="22"/>
          <w:lang w:val="hu-HU"/>
        </w:rPr>
      </w:pPr>
      <w:r w:rsidRPr="006111C8">
        <w:rPr>
          <w:b/>
          <w:bCs/>
          <w:szCs w:val="22"/>
          <w:lang w:val="hu-HU"/>
        </w:rPr>
        <w:t>Osztályozás:</w:t>
      </w:r>
      <w:r w:rsidRPr="006111C8">
        <w:rPr>
          <w:szCs w:val="22"/>
          <w:lang w:val="hu-HU"/>
        </w:rPr>
        <w:t xml:space="preserve"> </w:t>
      </w:r>
      <w:r w:rsidRPr="006111C8">
        <w:rPr>
          <w:b/>
          <w:szCs w:val="22"/>
          <w:lang w:val="hu-HU"/>
        </w:rPr>
        <w:t>I. csoport</w:t>
      </w:r>
    </w:p>
    <w:p w14:paraId="6034CCA4" w14:textId="77777777" w:rsidR="006111C8" w:rsidRPr="006111C8" w:rsidRDefault="006111C8" w:rsidP="006111C8">
      <w:pPr>
        <w:widowControl w:val="0"/>
        <w:suppressAutoHyphens/>
        <w:rPr>
          <w:szCs w:val="22"/>
          <w:lang w:val="hu-HU"/>
        </w:rPr>
      </w:pPr>
      <w:r w:rsidRPr="006111C8">
        <w:rPr>
          <w:szCs w:val="22"/>
          <w:lang w:val="hu-HU"/>
        </w:rPr>
        <w:t>Orvosi rendelvény nélkül is kiadható gyógyszer (VN).</w:t>
      </w:r>
    </w:p>
    <w:p w14:paraId="2B440242" w14:textId="77777777" w:rsidR="001D29E6" w:rsidRPr="00082FCB" w:rsidRDefault="001D29E6" w:rsidP="006475B4">
      <w:pPr>
        <w:spacing w:line="240" w:lineRule="auto"/>
        <w:rPr>
          <w:szCs w:val="22"/>
          <w:lang w:val="hu-HU"/>
        </w:rPr>
      </w:pPr>
    </w:p>
    <w:p w14:paraId="6B1765C1" w14:textId="77777777" w:rsidR="001D29E6" w:rsidRPr="00082FCB" w:rsidRDefault="001D29E6" w:rsidP="006475B4">
      <w:pPr>
        <w:spacing w:line="240" w:lineRule="auto"/>
        <w:rPr>
          <w:szCs w:val="22"/>
          <w:lang w:val="hu-HU"/>
        </w:rPr>
      </w:pPr>
    </w:p>
    <w:p w14:paraId="7BA79DC3" w14:textId="13E295FA" w:rsidR="001D29E6" w:rsidRPr="00082FCB" w:rsidRDefault="001D29E6" w:rsidP="006475B4">
      <w:pPr>
        <w:spacing w:line="240" w:lineRule="auto"/>
        <w:ind w:left="567" w:hanging="567"/>
        <w:rPr>
          <w:szCs w:val="22"/>
          <w:lang w:val="hu-HU"/>
        </w:rPr>
      </w:pPr>
      <w:r w:rsidRPr="00082FCB">
        <w:rPr>
          <w:b/>
          <w:szCs w:val="22"/>
          <w:lang w:val="hu-HU"/>
        </w:rPr>
        <w:t>7.</w:t>
      </w:r>
      <w:r w:rsidRPr="00082FCB">
        <w:rPr>
          <w:b/>
          <w:szCs w:val="22"/>
          <w:lang w:val="hu-HU"/>
        </w:rPr>
        <w:tab/>
      </w:r>
      <w:r w:rsidR="00431932" w:rsidRPr="00BA5943">
        <w:rPr>
          <w:b/>
          <w:szCs w:val="22"/>
          <w:lang w:val="hu-HU"/>
        </w:rPr>
        <w:t>A FORGALOMBA HOZATALI ENGEDÉLY JOGOSULTJA</w:t>
      </w:r>
    </w:p>
    <w:p w14:paraId="685C3D65" w14:textId="77777777" w:rsidR="001D29E6" w:rsidRPr="00082FCB" w:rsidRDefault="001D29E6" w:rsidP="006475B4">
      <w:pPr>
        <w:spacing w:line="240" w:lineRule="auto"/>
        <w:rPr>
          <w:szCs w:val="22"/>
          <w:lang w:val="hu-HU"/>
        </w:rPr>
      </w:pPr>
    </w:p>
    <w:p w14:paraId="01072D1A" w14:textId="5EB9D421" w:rsidR="003F71CB" w:rsidRPr="003F71CB" w:rsidRDefault="003F71CB" w:rsidP="003F71CB">
      <w:pPr>
        <w:spacing w:line="240" w:lineRule="auto"/>
        <w:rPr>
          <w:noProof/>
          <w:szCs w:val="22"/>
          <w:lang w:val="hu-HU"/>
        </w:rPr>
      </w:pPr>
      <w:r w:rsidRPr="003F71CB">
        <w:rPr>
          <w:noProof/>
          <w:szCs w:val="22"/>
          <w:lang w:val="hu-HU"/>
        </w:rPr>
        <w:t xml:space="preserve">Haleon Hungary Kft. </w:t>
      </w:r>
    </w:p>
    <w:p w14:paraId="0B59E470" w14:textId="77777777" w:rsidR="003F71CB" w:rsidRPr="003F71CB" w:rsidRDefault="003F71CB" w:rsidP="003F71CB">
      <w:pPr>
        <w:spacing w:line="240" w:lineRule="auto"/>
        <w:rPr>
          <w:noProof/>
          <w:szCs w:val="22"/>
          <w:lang w:val="hu-HU"/>
        </w:rPr>
      </w:pPr>
      <w:r w:rsidRPr="003F71CB">
        <w:rPr>
          <w:noProof/>
          <w:szCs w:val="22"/>
          <w:lang w:val="hu-HU"/>
        </w:rPr>
        <w:t xml:space="preserve">1124 Budapest </w:t>
      </w:r>
    </w:p>
    <w:p w14:paraId="129D53B0" w14:textId="77777777" w:rsidR="003F71CB" w:rsidRPr="003F71CB" w:rsidRDefault="003F71CB" w:rsidP="003F71CB">
      <w:pPr>
        <w:spacing w:line="240" w:lineRule="auto"/>
        <w:rPr>
          <w:noProof/>
          <w:szCs w:val="22"/>
          <w:lang w:val="hu-HU"/>
        </w:rPr>
      </w:pPr>
      <w:r w:rsidRPr="003F71CB">
        <w:rPr>
          <w:noProof/>
          <w:szCs w:val="22"/>
          <w:lang w:val="hu-HU"/>
        </w:rPr>
        <w:t xml:space="preserve">Csörsz u. 43. </w:t>
      </w:r>
    </w:p>
    <w:p w14:paraId="7624D02E" w14:textId="38A0525B" w:rsidR="001D29E6" w:rsidRPr="00082FCB" w:rsidRDefault="003F71CB" w:rsidP="003F71CB">
      <w:pPr>
        <w:spacing w:line="240" w:lineRule="auto"/>
        <w:rPr>
          <w:szCs w:val="22"/>
          <w:lang w:val="hu-HU"/>
        </w:rPr>
      </w:pPr>
      <w:r w:rsidRPr="003F71CB">
        <w:rPr>
          <w:noProof/>
          <w:szCs w:val="22"/>
          <w:lang w:val="hu-HU"/>
        </w:rPr>
        <w:t>Magyarország</w:t>
      </w:r>
    </w:p>
    <w:p w14:paraId="1D2DE46F" w14:textId="77777777" w:rsidR="00396DD0" w:rsidRDefault="00396DD0" w:rsidP="006475B4">
      <w:pPr>
        <w:spacing w:line="240" w:lineRule="auto"/>
        <w:rPr>
          <w:szCs w:val="22"/>
          <w:lang w:val="hu-HU"/>
        </w:rPr>
      </w:pPr>
    </w:p>
    <w:p w14:paraId="699A78EA" w14:textId="77777777" w:rsidR="006111C8" w:rsidRPr="00082FCB" w:rsidRDefault="006111C8" w:rsidP="006475B4">
      <w:pPr>
        <w:spacing w:line="240" w:lineRule="auto"/>
        <w:rPr>
          <w:szCs w:val="22"/>
          <w:lang w:val="hu-HU"/>
        </w:rPr>
      </w:pPr>
    </w:p>
    <w:p w14:paraId="7D537B0E" w14:textId="0A59C139" w:rsidR="001D29E6" w:rsidRPr="00082FCB" w:rsidRDefault="001D29E6" w:rsidP="006475B4">
      <w:pPr>
        <w:spacing w:line="240" w:lineRule="auto"/>
        <w:ind w:left="567" w:hanging="567"/>
        <w:rPr>
          <w:b/>
          <w:szCs w:val="22"/>
          <w:lang w:val="hu-HU"/>
        </w:rPr>
      </w:pPr>
      <w:r w:rsidRPr="00082FCB">
        <w:rPr>
          <w:b/>
          <w:szCs w:val="22"/>
          <w:lang w:val="hu-HU"/>
        </w:rPr>
        <w:t>8.</w:t>
      </w:r>
      <w:r w:rsidRPr="00082FCB">
        <w:rPr>
          <w:b/>
          <w:szCs w:val="22"/>
          <w:lang w:val="hu-HU"/>
        </w:rPr>
        <w:tab/>
      </w:r>
      <w:r w:rsidR="00431932" w:rsidRPr="00BA5943">
        <w:rPr>
          <w:b/>
          <w:szCs w:val="22"/>
          <w:lang w:val="hu-HU"/>
        </w:rPr>
        <w:t>A FORGALOMBA HOZATALI ENGEDÉLY SZÁMA(I)</w:t>
      </w:r>
    </w:p>
    <w:p w14:paraId="06A4BC27" w14:textId="77777777" w:rsidR="001D29E6" w:rsidRPr="00082FCB" w:rsidRDefault="001D29E6" w:rsidP="006475B4">
      <w:pPr>
        <w:spacing w:line="240" w:lineRule="auto"/>
        <w:rPr>
          <w:i/>
          <w:szCs w:val="22"/>
          <w:lang w:val="hu-HU"/>
        </w:rPr>
      </w:pPr>
    </w:p>
    <w:p w14:paraId="32C1B4A0" w14:textId="3710F0B4" w:rsidR="00A30BAF" w:rsidRPr="00A30BAF" w:rsidRDefault="00A30BAF" w:rsidP="00A30BAF">
      <w:pPr>
        <w:spacing w:line="240" w:lineRule="auto"/>
        <w:rPr>
          <w:szCs w:val="22"/>
          <w:lang w:val="hu-HU"/>
        </w:rPr>
      </w:pPr>
      <w:r w:rsidRPr="00A30BAF">
        <w:rPr>
          <w:szCs w:val="22"/>
          <w:lang w:val="hu-HU"/>
        </w:rPr>
        <w:t>OGYI-T-24422/01</w:t>
      </w:r>
      <w:r>
        <w:rPr>
          <w:szCs w:val="22"/>
          <w:lang w:val="hu-HU"/>
        </w:rPr>
        <w:tab/>
      </w:r>
      <w:r>
        <w:rPr>
          <w:szCs w:val="22"/>
          <w:lang w:val="hu-HU"/>
        </w:rPr>
        <w:tab/>
      </w:r>
      <w:r w:rsidRPr="00A30BAF">
        <w:rPr>
          <w:szCs w:val="22"/>
          <w:lang w:val="hu-HU"/>
        </w:rPr>
        <w:t>10</w:t>
      </w:r>
      <w:r w:rsidR="00E97071">
        <w:rPr>
          <w:szCs w:val="22"/>
          <w:lang w:val="hu-HU"/>
        </w:rPr>
        <w:t>×</w:t>
      </w:r>
      <w:r>
        <w:rPr>
          <w:szCs w:val="22"/>
          <w:lang w:val="hu-HU"/>
        </w:rPr>
        <w:tab/>
      </w:r>
      <w:r w:rsidRPr="00A30BAF">
        <w:rPr>
          <w:szCs w:val="22"/>
          <w:lang w:val="hu-HU"/>
        </w:rPr>
        <w:t>Al</w:t>
      </w:r>
      <w:r w:rsidR="00D3397D">
        <w:rPr>
          <w:szCs w:val="22"/>
          <w:lang w:val="hu-HU"/>
        </w:rPr>
        <w:t>//PVC/PVDC buborékcsomagolásban</w:t>
      </w:r>
    </w:p>
    <w:p w14:paraId="18D89E17" w14:textId="0E13C434" w:rsidR="001D29E6" w:rsidRDefault="00A30BAF" w:rsidP="00A30BAF">
      <w:pPr>
        <w:spacing w:line="240" w:lineRule="auto"/>
        <w:rPr>
          <w:szCs w:val="22"/>
          <w:lang w:val="hu-HU"/>
        </w:rPr>
      </w:pPr>
      <w:r w:rsidRPr="00A30BAF">
        <w:rPr>
          <w:szCs w:val="22"/>
          <w:lang w:val="hu-HU"/>
        </w:rPr>
        <w:t>OGYI-T-24422/02</w:t>
      </w:r>
      <w:r>
        <w:rPr>
          <w:szCs w:val="22"/>
          <w:lang w:val="hu-HU"/>
        </w:rPr>
        <w:tab/>
      </w:r>
      <w:r>
        <w:rPr>
          <w:szCs w:val="22"/>
          <w:lang w:val="hu-HU"/>
        </w:rPr>
        <w:tab/>
      </w:r>
      <w:r w:rsidRPr="00A30BAF">
        <w:rPr>
          <w:szCs w:val="22"/>
          <w:lang w:val="hu-HU"/>
        </w:rPr>
        <w:t>20</w:t>
      </w:r>
      <w:r w:rsidR="00E97071">
        <w:rPr>
          <w:szCs w:val="22"/>
          <w:lang w:val="hu-HU"/>
        </w:rPr>
        <w:t>×</w:t>
      </w:r>
      <w:r>
        <w:rPr>
          <w:szCs w:val="22"/>
          <w:lang w:val="hu-HU"/>
        </w:rPr>
        <w:tab/>
      </w:r>
      <w:r w:rsidRPr="00A30BAF">
        <w:rPr>
          <w:szCs w:val="22"/>
          <w:lang w:val="hu-HU"/>
        </w:rPr>
        <w:t>Al//PVC/PVDC buborékcsomagolásban</w:t>
      </w:r>
    </w:p>
    <w:p w14:paraId="192562FC" w14:textId="4417C503" w:rsidR="006111C8" w:rsidRDefault="006111C8" w:rsidP="006475B4">
      <w:pPr>
        <w:spacing w:line="240" w:lineRule="auto"/>
        <w:rPr>
          <w:szCs w:val="22"/>
          <w:lang w:val="hu-HU"/>
        </w:rPr>
      </w:pPr>
    </w:p>
    <w:p w14:paraId="5EEDE57F" w14:textId="77777777" w:rsidR="00A30BAF" w:rsidRPr="00082FCB" w:rsidRDefault="00A30BAF" w:rsidP="006475B4">
      <w:pPr>
        <w:spacing w:line="240" w:lineRule="auto"/>
        <w:rPr>
          <w:szCs w:val="22"/>
          <w:lang w:val="hu-HU"/>
        </w:rPr>
      </w:pPr>
    </w:p>
    <w:p w14:paraId="49359F8A" w14:textId="28BDA011" w:rsidR="001D29E6" w:rsidRPr="00082FCB" w:rsidRDefault="001D29E6" w:rsidP="006475B4">
      <w:pPr>
        <w:spacing w:line="240" w:lineRule="auto"/>
        <w:ind w:left="567" w:hanging="567"/>
        <w:rPr>
          <w:szCs w:val="22"/>
          <w:lang w:val="hu-HU"/>
        </w:rPr>
      </w:pPr>
      <w:r w:rsidRPr="00082FCB">
        <w:rPr>
          <w:b/>
          <w:szCs w:val="22"/>
          <w:lang w:val="hu-HU"/>
        </w:rPr>
        <w:t>9.</w:t>
      </w:r>
      <w:r w:rsidRPr="00082FCB">
        <w:rPr>
          <w:b/>
          <w:szCs w:val="22"/>
          <w:lang w:val="hu-HU"/>
        </w:rPr>
        <w:tab/>
      </w:r>
      <w:r w:rsidR="00431932" w:rsidRPr="00BA5943">
        <w:rPr>
          <w:b/>
          <w:szCs w:val="22"/>
          <w:lang w:val="hu-HU"/>
        </w:rPr>
        <w:t>A FORGALOMBA HOZATALI ENGEDÉLY ELSŐ KIADÁSÁNAK/ MEGÚJÍTÁSÁNAK DÁTUMA</w:t>
      </w:r>
    </w:p>
    <w:p w14:paraId="29363A0A" w14:textId="77777777" w:rsidR="001D29E6" w:rsidRPr="00082FCB" w:rsidRDefault="001D29E6" w:rsidP="006475B4">
      <w:pPr>
        <w:spacing w:line="240" w:lineRule="auto"/>
        <w:rPr>
          <w:i/>
          <w:szCs w:val="22"/>
          <w:lang w:val="hu-HU"/>
        </w:rPr>
      </w:pPr>
    </w:p>
    <w:p w14:paraId="1CAB6CA4" w14:textId="35D2181F" w:rsidR="001D29E6" w:rsidRPr="00082FCB" w:rsidRDefault="006111C8" w:rsidP="006475B4">
      <w:pPr>
        <w:spacing w:line="240" w:lineRule="auto"/>
        <w:rPr>
          <w:iCs/>
          <w:szCs w:val="22"/>
          <w:lang w:val="hu-HU"/>
        </w:rPr>
      </w:pPr>
      <w:r w:rsidRPr="006111C8">
        <w:rPr>
          <w:noProof/>
          <w:szCs w:val="22"/>
          <w:lang w:val="hu-HU"/>
        </w:rPr>
        <w:t>A forgalomba hozatali engedély első kiadásának dátuma:</w:t>
      </w:r>
      <w:r w:rsidR="00A30BAF">
        <w:rPr>
          <w:noProof/>
          <w:szCs w:val="22"/>
          <w:lang w:val="hu-HU"/>
        </w:rPr>
        <w:t xml:space="preserve"> </w:t>
      </w:r>
      <w:r w:rsidR="00A30BAF" w:rsidRPr="00A30BAF">
        <w:rPr>
          <w:noProof/>
          <w:szCs w:val="22"/>
          <w:lang w:val="hu-HU"/>
        </w:rPr>
        <w:t>2024.</w:t>
      </w:r>
      <w:r w:rsidR="00A30BAF">
        <w:rPr>
          <w:noProof/>
          <w:szCs w:val="22"/>
          <w:lang w:val="hu-HU"/>
        </w:rPr>
        <w:t xml:space="preserve"> július </w:t>
      </w:r>
      <w:r w:rsidR="00A30BAF" w:rsidRPr="00A30BAF">
        <w:rPr>
          <w:noProof/>
          <w:szCs w:val="22"/>
          <w:lang w:val="hu-HU"/>
        </w:rPr>
        <w:t>18.</w:t>
      </w:r>
    </w:p>
    <w:p w14:paraId="27A528AC" w14:textId="77777777" w:rsidR="001D29E6" w:rsidRPr="00082FCB" w:rsidRDefault="001D29E6" w:rsidP="006475B4">
      <w:pPr>
        <w:spacing w:line="240" w:lineRule="auto"/>
        <w:rPr>
          <w:szCs w:val="22"/>
          <w:lang w:val="hu-HU"/>
        </w:rPr>
      </w:pPr>
    </w:p>
    <w:p w14:paraId="061607A9" w14:textId="77777777" w:rsidR="001D29E6" w:rsidRPr="00082FCB" w:rsidRDefault="001D29E6" w:rsidP="006475B4">
      <w:pPr>
        <w:spacing w:line="240" w:lineRule="auto"/>
        <w:rPr>
          <w:szCs w:val="22"/>
          <w:lang w:val="hu-HU"/>
        </w:rPr>
      </w:pPr>
    </w:p>
    <w:p w14:paraId="16308237" w14:textId="0D7899C4" w:rsidR="001D29E6" w:rsidRPr="00082FCB" w:rsidRDefault="001D29E6" w:rsidP="006475B4">
      <w:pPr>
        <w:spacing w:line="240" w:lineRule="auto"/>
        <w:ind w:left="567" w:hanging="567"/>
        <w:rPr>
          <w:b/>
          <w:szCs w:val="22"/>
          <w:lang w:val="hu-HU"/>
        </w:rPr>
      </w:pPr>
      <w:r w:rsidRPr="00082FCB">
        <w:rPr>
          <w:b/>
          <w:szCs w:val="22"/>
          <w:lang w:val="hu-HU"/>
        </w:rPr>
        <w:t>10.</w:t>
      </w:r>
      <w:r w:rsidRPr="00082FCB">
        <w:rPr>
          <w:b/>
          <w:szCs w:val="22"/>
          <w:lang w:val="hu-HU"/>
        </w:rPr>
        <w:tab/>
      </w:r>
      <w:r w:rsidR="00431932" w:rsidRPr="00BA5943">
        <w:rPr>
          <w:b/>
          <w:szCs w:val="22"/>
          <w:lang w:val="hu-HU"/>
        </w:rPr>
        <w:t>A SZÖVEG ELLENŐRZÉSÉNEK DÁTUMA</w:t>
      </w:r>
    </w:p>
    <w:p w14:paraId="3C882502" w14:textId="77777777" w:rsidR="001D29E6" w:rsidRPr="00082FCB" w:rsidRDefault="001D29E6" w:rsidP="006475B4">
      <w:pPr>
        <w:numPr>
          <w:ilvl w:val="12"/>
          <w:numId w:val="0"/>
        </w:numPr>
        <w:spacing w:line="240" w:lineRule="auto"/>
        <w:ind w:right="-2"/>
        <w:rPr>
          <w:iCs/>
          <w:szCs w:val="22"/>
          <w:lang w:val="hu-HU"/>
        </w:rPr>
      </w:pPr>
    </w:p>
    <w:p w14:paraId="30F824B7" w14:textId="1BC1D558" w:rsidR="001D29E6" w:rsidRPr="00082FCB" w:rsidRDefault="00B54C56" w:rsidP="00A30BAF">
      <w:pPr>
        <w:numPr>
          <w:ilvl w:val="12"/>
          <w:numId w:val="0"/>
        </w:numPr>
        <w:spacing w:line="240" w:lineRule="auto"/>
        <w:ind w:right="-2"/>
        <w:rPr>
          <w:iCs/>
          <w:szCs w:val="22"/>
          <w:lang w:val="hu-HU"/>
        </w:rPr>
      </w:pPr>
      <w:r>
        <w:rPr>
          <w:szCs w:val="22"/>
          <w:lang w:val="hu-HU"/>
        </w:rPr>
        <w:t>2026. augusztus 1.</w:t>
      </w:r>
    </w:p>
    <w:sectPr w:rsidR="001D29E6" w:rsidRPr="00082FCB" w:rsidSect="00790918">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D2860" w14:textId="77777777" w:rsidR="009E505A" w:rsidRDefault="009E505A">
      <w:r>
        <w:separator/>
      </w:r>
    </w:p>
  </w:endnote>
  <w:endnote w:type="continuationSeparator" w:id="0">
    <w:p w14:paraId="7CBAB380" w14:textId="77777777" w:rsidR="009E505A" w:rsidRDefault="009E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69281" w14:textId="40D4A3B2" w:rsidR="009E505A" w:rsidRPr="002D5C4A" w:rsidRDefault="009E505A" w:rsidP="002D5C4A">
    <w:pPr>
      <w:pStyle w:val="llb"/>
      <w:jc w:val="right"/>
      <w:rPr>
        <w:rFonts w:ascii="Times New Roman" w:hAnsi="Times New Roman"/>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0EAF8" w14:textId="06987C25" w:rsidR="009E505A" w:rsidRPr="00ED50E8" w:rsidRDefault="00B54C56" w:rsidP="00ED50E8">
    <w:pPr>
      <w:pStyle w:val="llb"/>
      <w:rPr>
        <w:rFonts w:ascii="Times New Roman" w:hAnsi="Times New Roman"/>
        <w:sz w:val="18"/>
        <w:szCs w:val="18"/>
      </w:rPr>
    </w:pPr>
    <w:r w:rsidRPr="00B54C56">
      <w:rPr>
        <w:rFonts w:ascii="Times New Roman" w:hAnsi="Times New Roman"/>
        <w:sz w:val="18"/>
        <w:szCs w:val="18"/>
      </w:rPr>
      <w:t>NNGYK/ETGY/18363/2026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43218" w14:textId="77777777" w:rsidR="009E505A" w:rsidRDefault="009E505A">
      <w:r>
        <w:separator/>
      </w:r>
    </w:p>
  </w:footnote>
  <w:footnote w:type="continuationSeparator" w:id="0">
    <w:p w14:paraId="55CC1C8C" w14:textId="77777777" w:rsidR="009E505A" w:rsidRDefault="009E5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209880"/>
      <w:docPartObj>
        <w:docPartGallery w:val="Page Numbers (Top of Page)"/>
        <w:docPartUnique/>
      </w:docPartObj>
    </w:sdtPr>
    <w:sdtEndPr>
      <w:rPr>
        <w:rFonts w:ascii="Times New Roman" w:hAnsi="Times New Roman"/>
        <w:sz w:val="18"/>
        <w:szCs w:val="18"/>
      </w:rPr>
    </w:sdtEndPr>
    <w:sdtContent>
      <w:p w14:paraId="4953060B" w14:textId="45AD07B2" w:rsidR="009E505A" w:rsidRPr="00ED50E8" w:rsidRDefault="009E505A">
        <w:pPr>
          <w:pStyle w:val="lfej"/>
          <w:jc w:val="center"/>
          <w:rPr>
            <w:rFonts w:ascii="Times New Roman" w:hAnsi="Times New Roman"/>
            <w:sz w:val="18"/>
            <w:szCs w:val="18"/>
          </w:rPr>
        </w:pPr>
        <w:r w:rsidRPr="00ED50E8">
          <w:rPr>
            <w:rFonts w:ascii="Times New Roman" w:hAnsi="Times New Roman"/>
            <w:sz w:val="18"/>
            <w:szCs w:val="18"/>
          </w:rPr>
          <w:fldChar w:fldCharType="begin"/>
        </w:r>
        <w:r w:rsidRPr="00ED50E8">
          <w:rPr>
            <w:rFonts w:ascii="Times New Roman" w:hAnsi="Times New Roman"/>
            <w:sz w:val="18"/>
            <w:szCs w:val="18"/>
          </w:rPr>
          <w:instrText>PAGE   \* MERGEFORMAT</w:instrText>
        </w:r>
        <w:r w:rsidRPr="00ED50E8">
          <w:rPr>
            <w:rFonts w:ascii="Times New Roman" w:hAnsi="Times New Roman"/>
            <w:sz w:val="18"/>
            <w:szCs w:val="18"/>
          </w:rPr>
          <w:fldChar w:fldCharType="separate"/>
        </w:r>
        <w:r w:rsidR="00134E8A" w:rsidRPr="00134E8A">
          <w:rPr>
            <w:rFonts w:ascii="Times New Roman" w:hAnsi="Times New Roman"/>
            <w:noProof/>
            <w:sz w:val="18"/>
            <w:szCs w:val="18"/>
            <w:lang w:val="hu-HU"/>
          </w:rPr>
          <w:t>14</w:t>
        </w:r>
        <w:r w:rsidRPr="00ED50E8">
          <w:rPr>
            <w:rFonts w:ascii="Times New Roman" w:hAnsi="Times New Roman"/>
            <w:sz w:val="18"/>
            <w:szCs w:val="18"/>
          </w:rPr>
          <w:fldChar w:fldCharType="end"/>
        </w:r>
      </w:p>
    </w:sdtContent>
  </w:sdt>
  <w:p w14:paraId="3C1806C3" w14:textId="77777777" w:rsidR="009E505A" w:rsidRDefault="009E505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AC82F12"/>
    <w:multiLevelType w:val="hybridMultilevel"/>
    <w:tmpl w:val="AC92DB5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CD109BD"/>
    <w:multiLevelType w:val="hybridMultilevel"/>
    <w:tmpl w:val="6F94F70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267E37"/>
    <w:multiLevelType w:val="hybridMultilevel"/>
    <w:tmpl w:val="D2E66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F7B4CAE"/>
    <w:multiLevelType w:val="hybridMultilevel"/>
    <w:tmpl w:val="84285AFE"/>
    <w:lvl w:ilvl="0" w:tplc="A3267972">
      <w:start w:val="10"/>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1"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6145FAE"/>
    <w:multiLevelType w:val="hybridMultilevel"/>
    <w:tmpl w:val="C8AC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7"/>
  </w:num>
  <w:num w:numId="4">
    <w:abstractNumId w:val="36"/>
  </w:num>
  <w:num w:numId="5">
    <w:abstractNumId w:val="12"/>
  </w:num>
  <w:num w:numId="6">
    <w:abstractNumId w:val="23"/>
  </w:num>
  <w:num w:numId="7">
    <w:abstractNumId w:val="22"/>
  </w:num>
  <w:num w:numId="8">
    <w:abstractNumId w:val="7"/>
  </w:num>
  <w:num w:numId="9">
    <w:abstractNumId w:val="34"/>
  </w:num>
  <w:num w:numId="10">
    <w:abstractNumId w:val="35"/>
  </w:num>
  <w:num w:numId="11">
    <w:abstractNumId w:val="17"/>
  </w:num>
  <w:num w:numId="12">
    <w:abstractNumId w:val="14"/>
  </w:num>
  <w:num w:numId="13">
    <w:abstractNumId w:val="2"/>
  </w:num>
  <w:num w:numId="14">
    <w:abstractNumId w:val="32"/>
  </w:num>
  <w:num w:numId="15">
    <w:abstractNumId w:val="19"/>
  </w:num>
  <w:num w:numId="16">
    <w:abstractNumId w:val="38"/>
  </w:num>
  <w:num w:numId="17">
    <w:abstractNumId w:val="8"/>
  </w:num>
  <w:num w:numId="18">
    <w:abstractNumId w:val="1"/>
  </w:num>
  <w:num w:numId="19">
    <w:abstractNumId w:val="18"/>
  </w:num>
  <w:num w:numId="20">
    <w:abstractNumId w:val="3"/>
  </w:num>
  <w:num w:numId="21">
    <w:abstractNumId w:val="5"/>
  </w:num>
  <w:num w:numId="22">
    <w:abstractNumId w:val="26"/>
  </w:num>
  <w:num w:numId="23">
    <w:abstractNumId w:val="31"/>
  </w:num>
  <w:num w:numId="24">
    <w:abstractNumId w:val="25"/>
  </w:num>
  <w:num w:numId="25">
    <w:abstractNumId w:val="13"/>
  </w:num>
  <w:num w:numId="26">
    <w:abstractNumId w:val="10"/>
  </w:num>
  <w:num w:numId="27">
    <w:abstractNumId w:val="20"/>
  </w:num>
  <w:num w:numId="28">
    <w:abstractNumId w:val="24"/>
  </w:num>
  <w:num w:numId="29">
    <w:abstractNumId w:val="15"/>
  </w:num>
  <w:num w:numId="30">
    <w:abstractNumId w:val="9"/>
  </w:num>
  <w:num w:numId="31">
    <w:abstractNumId w:val="29"/>
  </w:num>
  <w:num w:numId="32">
    <w:abstractNumId w:val="30"/>
  </w:num>
  <w:num w:numId="33">
    <w:abstractNumId w:val="28"/>
  </w:num>
  <w:num w:numId="34">
    <w:abstractNumId w:val="16"/>
  </w:num>
  <w:num w:numId="35">
    <w:abstractNumId w:val="4"/>
  </w:num>
  <w:num w:numId="36">
    <w:abstractNumId w:val="39"/>
  </w:num>
  <w:num w:numId="37">
    <w:abstractNumId w:val="0"/>
    <w:lvlOverride w:ilvl="0">
      <w:lvl w:ilvl="0">
        <w:start w:val="1"/>
        <w:numFmt w:val="bullet"/>
        <w:lvlText w:val="-"/>
        <w:legacy w:legacy="1" w:legacySpace="0" w:legacyIndent="360"/>
        <w:lvlJc w:val="left"/>
        <w:pPr>
          <w:ind w:left="360" w:hanging="360"/>
        </w:pPr>
      </w:lvl>
    </w:lvlOverride>
  </w:num>
  <w:num w:numId="38">
    <w:abstractNumId w:val="6"/>
  </w:num>
  <w:num w:numId="39">
    <w:abstractNumId w:val="33"/>
  </w:num>
  <w:num w:numId="40">
    <w:abstractNumId w:val="11"/>
  </w:num>
  <w:num w:numId="41">
    <w:abstractNumId w:val="27"/>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53ACC"/>
    <w:rsid w:val="000064E6"/>
    <w:rsid w:val="00012F04"/>
    <w:rsid w:val="000131C2"/>
    <w:rsid w:val="00026ADF"/>
    <w:rsid w:val="00040838"/>
    <w:rsid w:val="000425D4"/>
    <w:rsid w:val="00042A78"/>
    <w:rsid w:val="00043B8F"/>
    <w:rsid w:val="00060CD0"/>
    <w:rsid w:val="00061E2F"/>
    <w:rsid w:val="00061F10"/>
    <w:rsid w:val="00067D17"/>
    <w:rsid w:val="00072A7A"/>
    <w:rsid w:val="00076C22"/>
    <w:rsid w:val="00082FCB"/>
    <w:rsid w:val="00083518"/>
    <w:rsid w:val="000838E2"/>
    <w:rsid w:val="00086803"/>
    <w:rsid w:val="00087739"/>
    <w:rsid w:val="0009007A"/>
    <w:rsid w:val="000A15A2"/>
    <w:rsid w:val="000A2507"/>
    <w:rsid w:val="000C1913"/>
    <w:rsid w:val="000C5872"/>
    <w:rsid w:val="000D0B95"/>
    <w:rsid w:val="000D2D0C"/>
    <w:rsid w:val="000D47CE"/>
    <w:rsid w:val="000D601C"/>
    <w:rsid w:val="000D7AA6"/>
    <w:rsid w:val="000E2D4D"/>
    <w:rsid w:val="001102C0"/>
    <w:rsid w:val="001152EF"/>
    <w:rsid w:val="0012472C"/>
    <w:rsid w:val="00124FAB"/>
    <w:rsid w:val="00130206"/>
    <w:rsid w:val="00134657"/>
    <w:rsid w:val="00134E8A"/>
    <w:rsid w:val="001516A5"/>
    <w:rsid w:val="00152CC5"/>
    <w:rsid w:val="00152E50"/>
    <w:rsid w:val="00162B34"/>
    <w:rsid w:val="001659FC"/>
    <w:rsid w:val="00167629"/>
    <w:rsid w:val="0017544A"/>
    <w:rsid w:val="00180FA9"/>
    <w:rsid w:val="00185256"/>
    <w:rsid w:val="00187FA4"/>
    <w:rsid w:val="00194B06"/>
    <w:rsid w:val="00197D0B"/>
    <w:rsid w:val="001A0579"/>
    <w:rsid w:val="001A6343"/>
    <w:rsid w:val="001B547C"/>
    <w:rsid w:val="001B7372"/>
    <w:rsid w:val="001C7A30"/>
    <w:rsid w:val="001D29E6"/>
    <w:rsid w:val="001D2A30"/>
    <w:rsid w:val="001D356D"/>
    <w:rsid w:val="001E3123"/>
    <w:rsid w:val="001E6258"/>
    <w:rsid w:val="001E7931"/>
    <w:rsid w:val="001F3539"/>
    <w:rsid w:val="002074BB"/>
    <w:rsid w:val="00211F4D"/>
    <w:rsid w:val="00217193"/>
    <w:rsid w:val="002175C2"/>
    <w:rsid w:val="00232029"/>
    <w:rsid w:val="00241CE3"/>
    <w:rsid w:val="00242477"/>
    <w:rsid w:val="00242FBE"/>
    <w:rsid w:val="00246C7F"/>
    <w:rsid w:val="00251790"/>
    <w:rsid w:val="002541E4"/>
    <w:rsid w:val="00260A55"/>
    <w:rsid w:val="00266A39"/>
    <w:rsid w:val="00271697"/>
    <w:rsid w:val="00274F5D"/>
    <w:rsid w:val="00276569"/>
    <w:rsid w:val="002826DD"/>
    <w:rsid w:val="002839CF"/>
    <w:rsid w:val="00293EA2"/>
    <w:rsid w:val="00295873"/>
    <w:rsid w:val="0029721A"/>
    <w:rsid w:val="002A341D"/>
    <w:rsid w:val="002A4C6E"/>
    <w:rsid w:val="002A53AD"/>
    <w:rsid w:val="002B57B9"/>
    <w:rsid w:val="002D5634"/>
    <w:rsid w:val="002D5C4A"/>
    <w:rsid w:val="002E223F"/>
    <w:rsid w:val="002F20FB"/>
    <w:rsid w:val="002F4108"/>
    <w:rsid w:val="00303190"/>
    <w:rsid w:val="0031220F"/>
    <w:rsid w:val="003157DA"/>
    <w:rsid w:val="00324A74"/>
    <w:rsid w:val="0034005B"/>
    <w:rsid w:val="003476CC"/>
    <w:rsid w:val="003521B2"/>
    <w:rsid w:val="00352636"/>
    <w:rsid w:val="00353FB0"/>
    <w:rsid w:val="00382B67"/>
    <w:rsid w:val="00396DD0"/>
    <w:rsid w:val="003A58A0"/>
    <w:rsid w:val="003B3D77"/>
    <w:rsid w:val="003B5079"/>
    <w:rsid w:val="003B67DB"/>
    <w:rsid w:val="003C397C"/>
    <w:rsid w:val="003C47B7"/>
    <w:rsid w:val="003D01F1"/>
    <w:rsid w:val="003D212C"/>
    <w:rsid w:val="003E2557"/>
    <w:rsid w:val="003E355A"/>
    <w:rsid w:val="003E5936"/>
    <w:rsid w:val="003F3265"/>
    <w:rsid w:val="003F50BB"/>
    <w:rsid w:val="003F7149"/>
    <w:rsid w:val="003F71CB"/>
    <w:rsid w:val="0040149A"/>
    <w:rsid w:val="00402711"/>
    <w:rsid w:val="0040429E"/>
    <w:rsid w:val="00415992"/>
    <w:rsid w:val="00431932"/>
    <w:rsid w:val="00433789"/>
    <w:rsid w:val="00440AC4"/>
    <w:rsid w:val="00455F2A"/>
    <w:rsid w:val="00467DBA"/>
    <w:rsid w:val="00472300"/>
    <w:rsid w:val="00474792"/>
    <w:rsid w:val="0048225F"/>
    <w:rsid w:val="0048474E"/>
    <w:rsid w:val="004929B9"/>
    <w:rsid w:val="0049502D"/>
    <w:rsid w:val="00496D3B"/>
    <w:rsid w:val="004A1710"/>
    <w:rsid w:val="004A2F41"/>
    <w:rsid w:val="004A5069"/>
    <w:rsid w:val="004A5AB2"/>
    <w:rsid w:val="004B4AC3"/>
    <w:rsid w:val="004B5034"/>
    <w:rsid w:val="004C33C5"/>
    <w:rsid w:val="004C582F"/>
    <w:rsid w:val="004D7106"/>
    <w:rsid w:val="004D7444"/>
    <w:rsid w:val="004E288C"/>
    <w:rsid w:val="004E4343"/>
    <w:rsid w:val="004E58FD"/>
    <w:rsid w:val="004E675C"/>
    <w:rsid w:val="004F2FD9"/>
    <w:rsid w:val="005022DB"/>
    <w:rsid w:val="00502D6A"/>
    <w:rsid w:val="005057F8"/>
    <w:rsid w:val="00521F11"/>
    <w:rsid w:val="00523C42"/>
    <w:rsid w:val="00524D5B"/>
    <w:rsid w:val="00535EB6"/>
    <w:rsid w:val="005364E9"/>
    <w:rsid w:val="0053751F"/>
    <w:rsid w:val="00542090"/>
    <w:rsid w:val="00546E2D"/>
    <w:rsid w:val="00547410"/>
    <w:rsid w:val="00551FBC"/>
    <w:rsid w:val="0056769B"/>
    <w:rsid w:val="00574F52"/>
    <w:rsid w:val="0059608B"/>
    <w:rsid w:val="00597B63"/>
    <w:rsid w:val="005A099B"/>
    <w:rsid w:val="005A1786"/>
    <w:rsid w:val="005A6AA3"/>
    <w:rsid w:val="005A7F21"/>
    <w:rsid w:val="005B3D9C"/>
    <w:rsid w:val="005C058D"/>
    <w:rsid w:val="005C298D"/>
    <w:rsid w:val="005D5343"/>
    <w:rsid w:val="005E084A"/>
    <w:rsid w:val="005F7B5B"/>
    <w:rsid w:val="006002F5"/>
    <w:rsid w:val="00603A5B"/>
    <w:rsid w:val="00607091"/>
    <w:rsid w:val="0061029F"/>
    <w:rsid w:val="00610B88"/>
    <w:rsid w:val="00610F94"/>
    <w:rsid w:val="006111C8"/>
    <w:rsid w:val="00616BCA"/>
    <w:rsid w:val="006305C2"/>
    <w:rsid w:val="006348AB"/>
    <w:rsid w:val="00642E0C"/>
    <w:rsid w:val="00643609"/>
    <w:rsid w:val="006475B4"/>
    <w:rsid w:val="00686219"/>
    <w:rsid w:val="0069078D"/>
    <w:rsid w:val="00691152"/>
    <w:rsid w:val="006A5078"/>
    <w:rsid w:val="006B42BC"/>
    <w:rsid w:val="006B7617"/>
    <w:rsid w:val="006C5957"/>
    <w:rsid w:val="006D1968"/>
    <w:rsid w:val="006E75CC"/>
    <w:rsid w:val="00705DF9"/>
    <w:rsid w:val="00713B52"/>
    <w:rsid w:val="00714622"/>
    <w:rsid w:val="00714716"/>
    <w:rsid w:val="00716F6E"/>
    <w:rsid w:val="0073003D"/>
    <w:rsid w:val="00747271"/>
    <w:rsid w:val="00754F7A"/>
    <w:rsid w:val="00760459"/>
    <w:rsid w:val="007710EC"/>
    <w:rsid w:val="00777769"/>
    <w:rsid w:val="00790918"/>
    <w:rsid w:val="00790E63"/>
    <w:rsid w:val="00792EFE"/>
    <w:rsid w:val="007A502A"/>
    <w:rsid w:val="007C4EA9"/>
    <w:rsid w:val="007D3315"/>
    <w:rsid w:val="007D34E2"/>
    <w:rsid w:val="007D3F69"/>
    <w:rsid w:val="007E3E48"/>
    <w:rsid w:val="007F2B0E"/>
    <w:rsid w:val="007F7E38"/>
    <w:rsid w:val="0080133A"/>
    <w:rsid w:val="00810271"/>
    <w:rsid w:val="008140AF"/>
    <w:rsid w:val="00825CF6"/>
    <w:rsid w:val="0084172C"/>
    <w:rsid w:val="0084213D"/>
    <w:rsid w:val="00861536"/>
    <w:rsid w:val="008741D1"/>
    <w:rsid w:val="0087542F"/>
    <w:rsid w:val="008807F8"/>
    <w:rsid w:val="00882F59"/>
    <w:rsid w:val="00887CC8"/>
    <w:rsid w:val="0089579F"/>
    <w:rsid w:val="008A3D6B"/>
    <w:rsid w:val="008A708B"/>
    <w:rsid w:val="008C24B6"/>
    <w:rsid w:val="008C3DC6"/>
    <w:rsid w:val="008C4FF7"/>
    <w:rsid w:val="008D5069"/>
    <w:rsid w:val="009004CC"/>
    <w:rsid w:val="0090168D"/>
    <w:rsid w:val="009266F7"/>
    <w:rsid w:val="00927980"/>
    <w:rsid w:val="00941DFA"/>
    <w:rsid w:val="00952925"/>
    <w:rsid w:val="00952AEB"/>
    <w:rsid w:val="00962267"/>
    <w:rsid w:val="009623D3"/>
    <w:rsid w:val="00962AA3"/>
    <w:rsid w:val="009643F4"/>
    <w:rsid w:val="0096670B"/>
    <w:rsid w:val="00970A9E"/>
    <w:rsid w:val="0098074F"/>
    <w:rsid w:val="00984DE0"/>
    <w:rsid w:val="0099472E"/>
    <w:rsid w:val="009A4922"/>
    <w:rsid w:val="009C58B5"/>
    <w:rsid w:val="009D38D8"/>
    <w:rsid w:val="009E505A"/>
    <w:rsid w:val="009F47CA"/>
    <w:rsid w:val="009F4BA4"/>
    <w:rsid w:val="009F609C"/>
    <w:rsid w:val="00A0248D"/>
    <w:rsid w:val="00A11AEE"/>
    <w:rsid w:val="00A20993"/>
    <w:rsid w:val="00A23889"/>
    <w:rsid w:val="00A30BAF"/>
    <w:rsid w:val="00A31125"/>
    <w:rsid w:val="00A3426D"/>
    <w:rsid w:val="00A35269"/>
    <w:rsid w:val="00A359C3"/>
    <w:rsid w:val="00A35FE6"/>
    <w:rsid w:val="00A40371"/>
    <w:rsid w:val="00A47B74"/>
    <w:rsid w:val="00A50657"/>
    <w:rsid w:val="00A538C0"/>
    <w:rsid w:val="00A54618"/>
    <w:rsid w:val="00A55E5F"/>
    <w:rsid w:val="00A5694C"/>
    <w:rsid w:val="00A57054"/>
    <w:rsid w:val="00A61D57"/>
    <w:rsid w:val="00A62132"/>
    <w:rsid w:val="00A65342"/>
    <w:rsid w:val="00A70A18"/>
    <w:rsid w:val="00A97728"/>
    <w:rsid w:val="00AA7AB1"/>
    <w:rsid w:val="00AC2464"/>
    <w:rsid w:val="00AC2D4E"/>
    <w:rsid w:val="00AC3D0B"/>
    <w:rsid w:val="00AC3E02"/>
    <w:rsid w:val="00AD60B6"/>
    <w:rsid w:val="00AF0A54"/>
    <w:rsid w:val="00AF48FD"/>
    <w:rsid w:val="00AF5313"/>
    <w:rsid w:val="00B02B79"/>
    <w:rsid w:val="00B03C9D"/>
    <w:rsid w:val="00B125A8"/>
    <w:rsid w:val="00B16C01"/>
    <w:rsid w:val="00B30FA4"/>
    <w:rsid w:val="00B41BA2"/>
    <w:rsid w:val="00B43827"/>
    <w:rsid w:val="00B52A9F"/>
    <w:rsid w:val="00B54AFE"/>
    <w:rsid w:val="00B54C56"/>
    <w:rsid w:val="00B652E1"/>
    <w:rsid w:val="00B80B40"/>
    <w:rsid w:val="00B93404"/>
    <w:rsid w:val="00BA1129"/>
    <w:rsid w:val="00BA15EF"/>
    <w:rsid w:val="00BA6782"/>
    <w:rsid w:val="00BB4C55"/>
    <w:rsid w:val="00BC0DE9"/>
    <w:rsid w:val="00BC109C"/>
    <w:rsid w:val="00BC359C"/>
    <w:rsid w:val="00BC4CA1"/>
    <w:rsid w:val="00BD1081"/>
    <w:rsid w:val="00BD1FF6"/>
    <w:rsid w:val="00BE093D"/>
    <w:rsid w:val="00BF63BD"/>
    <w:rsid w:val="00C037EF"/>
    <w:rsid w:val="00C05D4F"/>
    <w:rsid w:val="00C065C4"/>
    <w:rsid w:val="00C30A5C"/>
    <w:rsid w:val="00C311A1"/>
    <w:rsid w:val="00C33D5F"/>
    <w:rsid w:val="00C45C2C"/>
    <w:rsid w:val="00C505CA"/>
    <w:rsid w:val="00C50EF0"/>
    <w:rsid w:val="00C5124F"/>
    <w:rsid w:val="00C53ACC"/>
    <w:rsid w:val="00C556E5"/>
    <w:rsid w:val="00C56AB5"/>
    <w:rsid w:val="00C723FE"/>
    <w:rsid w:val="00C815C0"/>
    <w:rsid w:val="00C84455"/>
    <w:rsid w:val="00C9230B"/>
    <w:rsid w:val="00CA7C0C"/>
    <w:rsid w:val="00CB327B"/>
    <w:rsid w:val="00CC7459"/>
    <w:rsid w:val="00CD494C"/>
    <w:rsid w:val="00CD4A17"/>
    <w:rsid w:val="00CD6CB9"/>
    <w:rsid w:val="00CD758F"/>
    <w:rsid w:val="00D02563"/>
    <w:rsid w:val="00D02BD3"/>
    <w:rsid w:val="00D14F20"/>
    <w:rsid w:val="00D21AFD"/>
    <w:rsid w:val="00D30BA5"/>
    <w:rsid w:val="00D315AA"/>
    <w:rsid w:val="00D33091"/>
    <w:rsid w:val="00D3397D"/>
    <w:rsid w:val="00D37B85"/>
    <w:rsid w:val="00D4345C"/>
    <w:rsid w:val="00D43772"/>
    <w:rsid w:val="00D452CE"/>
    <w:rsid w:val="00D52919"/>
    <w:rsid w:val="00D570BC"/>
    <w:rsid w:val="00D720AA"/>
    <w:rsid w:val="00D73CE3"/>
    <w:rsid w:val="00D74541"/>
    <w:rsid w:val="00D800DA"/>
    <w:rsid w:val="00D81069"/>
    <w:rsid w:val="00D85D2C"/>
    <w:rsid w:val="00D9705B"/>
    <w:rsid w:val="00DA06EC"/>
    <w:rsid w:val="00DA1272"/>
    <w:rsid w:val="00DA1520"/>
    <w:rsid w:val="00DA529D"/>
    <w:rsid w:val="00DC0521"/>
    <w:rsid w:val="00DC1818"/>
    <w:rsid w:val="00DC2D03"/>
    <w:rsid w:val="00DD49C5"/>
    <w:rsid w:val="00DD6672"/>
    <w:rsid w:val="00DE1EFF"/>
    <w:rsid w:val="00DF76C7"/>
    <w:rsid w:val="00E044A8"/>
    <w:rsid w:val="00E073D3"/>
    <w:rsid w:val="00E1335F"/>
    <w:rsid w:val="00E26E06"/>
    <w:rsid w:val="00E340F8"/>
    <w:rsid w:val="00E351F9"/>
    <w:rsid w:val="00E43E06"/>
    <w:rsid w:val="00E52D3D"/>
    <w:rsid w:val="00E53CF3"/>
    <w:rsid w:val="00E53ED4"/>
    <w:rsid w:val="00E64E3C"/>
    <w:rsid w:val="00E65F08"/>
    <w:rsid w:val="00E70E83"/>
    <w:rsid w:val="00E7192E"/>
    <w:rsid w:val="00E74980"/>
    <w:rsid w:val="00E9673B"/>
    <w:rsid w:val="00E97071"/>
    <w:rsid w:val="00EA1D8F"/>
    <w:rsid w:val="00EA553E"/>
    <w:rsid w:val="00EA6207"/>
    <w:rsid w:val="00EB4535"/>
    <w:rsid w:val="00EC7155"/>
    <w:rsid w:val="00ED50E8"/>
    <w:rsid w:val="00EE01CA"/>
    <w:rsid w:val="00EE33C0"/>
    <w:rsid w:val="00F005A2"/>
    <w:rsid w:val="00F00876"/>
    <w:rsid w:val="00F029B6"/>
    <w:rsid w:val="00F114C7"/>
    <w:rsid w:val="00F1153A"/>
    <w:rsid w:val="00F150BE"/>
    <w:rsid w:val="00F2336F"/>
    <w:rsid w:val="00F264A0"/>
    <w:rsid w:val="00F33A71"/>
    <w:rsid w:val="00F408D6"/>
    <w:rsid w:val="00F424A1"/>
    <w:rsid w:val="00F42CEA"/>
    <w:rsid w:val="00F616F0"/>
    <w:rsid w:val="00F62B5A"/>
    <w:rsid w:val="00F63D30"/>
    <w:rsid w:val="00F66D18"/>
    <w:rsid w:val="00F710EE"/>
    <w:rsid w:val="00F819C4"/>
    <w:rsid w:val="00F86280"/>
    <w:rsid w:val="00F87E05"/>
    <w:rsid w:val="00F96B2D"/>
    <w:rsid w:val="00FA3970"/>
    <w:rsid w:val="00FB7397"/>
    <w:rsid w:val="00FC51CD"/>
    <w:rsid w:val="00FD2145"/>
    <w:rsid w:val="00FD4510"/>
    <w:rsid w:val="00FE4FD0"/>
    <w:rsid w:val="00FE6D03"/>
    <w:rsid w:val="00FF1CA9"/>
    <w:rsid w:val="00FF7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3653AA"/>
  <w15:chartTrackingRefBased/>
  <w15:docId w15:val="{49EC2510-1F59-4AF7-A5B0-21DA6B23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lang w:val="en-GB"/>
    </w:rPr>
  </w:style>
  <w:style w:type="paragraph" w:styleId="Cmsor1">
    <w:name w:val="heading 1"/>
    <w:basedOn w:val="Norml"/>
    <w:next w:val="Norml"/>
    <w:qFormat/>
    <w:pPr>
      <w:spacing w:before="240" w:after="120"/>
      <w:ind w:left="357" w:hanging="357"/>
      <w:outlineLvl w:val="0"/>
    </w:pPr>
    <w:rPr>
      <w:b/>
      <w:caps/>
      <w:sz w:val="26"/>
      <w:lang w:val="en-US"/>
    </w:rPr>
  </w:style>
  <w:style w:type="paragraph" w:styleId="Cmsor2">
    <w:name w:val="heading 2"/>
    <w:basedOn w:val="Norml"/>
    <w:next w:val="Norml"/>
    <w:qFormat/>
    <w:pPr>
      <w:keepNext/>
      <w:spacing w:before="240" w:after="60"/>
      <w:outlineLvl w:val="1"/>
    </w:pPr>
    <w:rPr>
      <w:rFonts w:ascii="Helvetica" w:hAnsi="Helvetica"/>
      <w:b/>
      <w:i/>
      <w:sz w:val="24"/>
    </w:rPr>
  </w:style>
  <w:style w:type="paragraph" w:styleId="Cmsor3">
    <w:name w:val="heading 3"/>
    <w:basedOn w:val="Norml"/>
    <w:next w:val="Norml"/>
    <w:qFormat/>
    <w:pPr>
      <w:keepNext/>
      <w:keepLines/>
      <w:spacing w:before="120" w:after="80"/>
      <w:outlineLvl w:val="2"/>
    </w:pPr>
    <w:rPr>
      <w:b/>
      <w:kern w:val="28"/>
      <w:sz w:val="24"/>
      <w:lang w:val="en-US"/>
    </w:rPr>
  </w:style>
  <w:style w:type="paragraph" w:styleId="Cmsor4">
    <w:name w:val="heading 4"/>
    <w:basedOn w:val="Norml"/>
    <w:next w:val="Norml"/>
    <w:qFormat/>
    <w:pPr>
      <w:keepNext/>
      <w:jc w:val="both"/>
      <w:outlineLvl w:val="3"/>
    </w:pPr>
    <w:rPr>
      <w:b/>
      <w:noProof/>
    </w:rPr>
  </w:style>
  <w:style w:type="paragraph" w:styleId="Cmsor5">
    <w:name w:val="heading 5"/>
    <w:basedOn w:val="Norml"/>
    <w:next w:val="Norml"/>
    <w:qFormat/>
    <w:pPr>
      <w:keepNext/>
      <w:jc w:val="both"/>
      <w:outlineLvl w:val="4"/>
    </w:pPr>
    <w:rPr>
      <w:noProof/>
    </w:rPr>
  </w:style>
  <w:style w:type="paragraph" w:styleId="Cmsor6">
    <w:name w:val="heading 6"/>
    <w:basedOn w:val="Norml"/>
    <w:next w:val="Norml"/>
    <w:qFormat/>
    <w:pPr>
      <w:keepNext/>
      <w:tabs>
        <w:tab w:val="left" w:pos="-720"/>
        <w:tab w:val="left" w:pos="4536"/>
      </w:tabs>
      <w:suppressAutoHyphens/>
      <w:outlineLvl w:val="5"/>
    </w:pPr>
    <w:rPr>
      <w:i/>
    </w:rPr>
  </w:style>
  <w:style w:type="paragraph" w:styleId="Cmsor7">
    <w:name w:val="heading 7"/>
    <w:basedOn w:val="Norml"/>
    <w:next w:val="Norml"/>
    <w:qFormat/>
    <w:pPr>
      <w:keepNext/>
      <w:tabs>
        <w:tab w:val="left" w:pos="-720"/>
        <w:tab w:val="left" w:pos="4536"/>
      </w:tabs>
      <w:suppressAutoHyphens/>
      <w:jc w:val="both"/>
      <w:outlineLvl w:val="6"/>
    </w:pPr>
    <w:rPr>
      <w:i/>
    </w:rPr>
  </w:style>
  <w:style w:type="paragraph" w:styleId="Cmsor8">
    <w:name w:val="heading 8"/>
    <w:basedOn w:val="Norml"/>
    <w:next w:val="Norml"/>
    <w:qFormat/>
    <w:pPr>
      <w:keepNext/>
      <w:ind w:left="567" w:hanging="567"/>
      <w:jc w:val="both"/>
      <w:outlineLvl w:val="7"/>
    </w:pPr>
    <w:rPr>
      <w:b/>
      <w:i/>
    </w:rPr>
  </w:style>
  <w:style w:type="paragraph" w:styleId="Cmsor9">
    <w:name w:val="heading 9"/>
    <w:basedOn w:val="Norml"/>
    <w:next w:val="Norml"/>
    <w:qFormat/>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153"/>
        <w:tab w:val="right" w:pos="8306"/>
      </w:tabs>
      <w:spacing w:line="240" w:lineRule="auto"/>
    </w:pPr>
    <w:rPr>
      <w:rFonts w:ascii="Helvetica" w:hAnsi="Helvetica"/>
      <w:sz w:val="20"/>
    </w:rPr>
  </w:style>
  <w:style w:type="paragraph" w:styleId="llb">
    <w:name w:val="footer"/>
    <w:basedOn w:val="Norml"/>
    <w:link w:val="llbChar"/>
    <w:uiPriority w:val="99"/>
    <w:pPr>
      <w:tabs>
        <w:tab w:val="center" w:pos="4536"/>
        <w:tab w:val="center" w:pos="8930"/>
      </w:tabs>
      <w:spacing w:line="240" w:lineRule="auto"/>
    </w:pPr>
    <w:rPr>
      <w:rFonts w:ascii="Helvetica" w:hAnsi="Helvetica"/>
      <w:sz w:val="16"/>
    </w:rPr>
  </w:style>
  <w:style w:type="character" w:styleId="Oldalszm">
    <w:name w:val="page number"/>
    <w:basedOn w:val="Bekezdsalapbettpusa"/>
  </w:style>
  <w:style w:type="paragraph" w:styleId="Szvegtrzsbehzssal">
    <w:name w:val="Body Text Indent"/>
    <w:basedOn w:val="Norml"/>
    <w:pPr>
      <w:tabs>
        <w:tab w:val="clear" w:pos="567"/>
      </w:tabs>
      <w:autoSpaceDE w:val="0"/>
      <w:autoSpaceDN w:val="0"/>
      <w:adjustRightInd w:val="0"/>
      <w:spacing w:line="240" w:lineRule="auto"/>
      <w:ind w:left="720"/>
      <w:jc w:val="both"/>
    </w:pPr>
    <w:rPr>
      <w:szCs w:val="22"/>
      <w:lang w:eastAsia="en-GB"/>
    </w:rPr>
  </w:style>
  <w:style w:type="paragraph" w:styleId="Szvegtrzs3">
    <w:name w:val="Body Text 3"/>
    <w:basedOn w:val="Norml"/>
    <w:pPr>
      <w:tabs>
        <w:tab w:val="clear" w:pos="567"/>
      </w:tabs>
      <w:autoSpaceDE w:val="0"/>
      <w:autoSpaceDN w:val="0"/>
      <w:adjustRightInd w:val="0"/>
      <w:spacing w:line="240" w:lineRule="auto"/>
      <w:jc w:val="both"/>
    </w:pPr>
    <w:rPr>
      <w:color w:val="0000FF"/>
      <w:szCs w:val="22"/>
      <w:lang w:eastAsia="en-GB"/>
    </w:rPr>
  </w:style>
  <w:style w:type="paragraph" w:styleId="Szvegtrzsbehzssal2">
    <w:name w:val="Body Text Indent 2"/>
    <w:basedOn w:val="Norml"/>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pPr>
      <w:tabs>
        <w:tab w:val="clear" w:pos="567"/>
      </w:tabs>
      <w:spacing w:line="240" w:lineRule="auto"/>
    </w:pPr>
    <w:rPr>
      <w:i/>
      <w:color w:val="008000"/>
    </w:rPr>
  </w:style>
  <w:style w:type="paragraph" w:styleId="Szvegtrzs2">
    <w:name w:val="Body Text 2"/>
    <w:basedOn w:val="Norml"/>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semiHidden/>
    <w:rPr>
      <w:sz w:val="16"/>
      <w:szCs w:val="16"/>
    </w:rPr>
  </w:style>
  <w:style w:type="paragraph" w:styleId="Jegyzetszveg">
    <w:name w:val="annotation text"/>
    <w:basedOn w:val="Norml"/>
    <w:semiHidden/>
    <w:rPr>
      <w:sz w:val="20"/>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styleId="Dokumentumtrkp">
    <w:name w:val="Document Map"/>
    <w:basedOn w:val="Norml"/>
    <w:semiHidden/>
    <w:pPr>
      <w:shd w:val="clear" w:color="auto" w:fill="000080"/>
    </w:pPr>
    <w:rPr>
      <w:rFonts w:ascii="Tahoma" w:hAnsi="Tahoma" w:cs="Tahoma"/>
    </w:rPr>
  </w:style>
  <w:style w:type="character" w:styleId="Hiperhivatkozs">
    <w:name w:val="Hyperlink"/>
    <w:rPr>
      <w:color w:val="0000FF"/>
      <w:u w:val="single"/>
    </w:rPr>
  </w:style>
  <w:style w:type="paragraph" w:customStyle="1" w:styleId="AHeader1">
    <w:name w:val="AHeader 1"/>
    <w:basedOn w:val="Norml"/>
    <w:pPr>
      <w:numPr>
        <w:numId w:val="30"/>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s>
    </w:pPr>
    <w:rPr>
      <w:sz w:val="22"/>
    </w:rPr>
  </w:style>
  <w:style w:type="paragraph" w:customStyle="1" w:styleId="AHeader3">
    <w:name w:val="AHeader 3"/>
    <w:basedOn w:val="AHeader2"/>
    <w:pPr>
      <w:numPr>
        <w:ilvl w:val="2"/>
      </w:numPr>
      <w:tabs>
        <w:tab w:val="clear" w:pos="1276"/>
        <w:tab w:val="num" w:pos="360"/>
      </w:tabs>
    </w:pPr>
  </w:style>
  <w:style w:type="paragraph" w:customStyle="1" w:styleId="AHeader2abc">
    <w:name w:val="AHeader 2 abc"/>
    <w:basedOn w:val="AHeader3"/>
    <w:pPr>
      <w:numPr>
        <w:ilvl w:val="3"/>
      </w:numPr>
      <w:tabs>
        <w:tab w:val="clear" w:pos="1276"/>
        <w:tab w:val="num" w:pos="360"/>
      </w:tabs>
      <w:jc w:val="both"/>
    </w:pPr>
    <w:rPr>
      <w:b w:val="0"/>
      <w:bCs w:val="0"/>
    </w:rPr>
  </w:style>
  <w:style w:type="paragraph" w:customStyle="1" w:styleId="AHeader3abc">
    <w:name w:val="AHeader 3 abc"/>
    <w:basedOn w:val="AHeader2abc"/>
    <w:pPr>
      <w:numPr>
        <w:ilvl w:val="4"/>
      </w:numPr>
      <w:tabs>
        <w:tab w:val="clear" w:pos="1701"/>
        <w:tab w:val="num" w:pos="360"/>
      </w:tabs>
    </w:pPr>
  </w:style>
  <w:style w:type="paragraph" w:styleId="Szvegtrzsbehzssal3">
    <w:name w:val="Body Text Indent 3"/>
    <w:basedOn w:val="Norml"/>
    <w:pPr>
      <w:tabs>
        <w:tab w:val="left" w:pos="1134"/>
      </w:tabs>
      <w:autoSpaceDE w:val="0"/>
      <w:autoSpaceDN w:val="0"/>
      <w:adjustRightInd w:val="0"/>
      <w:ind w:left="633"/>
      <w:jc w:val="both"/>
    </w:pPr>
    <w:rPr>
      <w:szCs w:val="21"/>
    </w:rPr>
  </w:style>
  <w:style w:type="character" w:styleId="Mrltotthiperhivatkozs">
    <w:name w:val="FollowedHyperlink"/>
    <w:rPr>
      <w:color w:val="800080"/>
      <w:u w:val="single"/>
    </w:rPr>
  </w:style>
  <w:style w:type="paragraph" w:customStyle="1" w:styleId="Default">
    <w:name w:val="Default"/>
    <w:pPr>
      <w:autoSpaceDE w:val="0"/>
      <w:autoSpaceDN w:val="0"/>
      <w:adjustRightInd w:val="0"/>
    </w:pPr>
  </w:style>
  <w:style w:type="paragraph" w:styleId="Buborkszveg">
    <w:name w:val="Balloon Text"/>
    <w:basedOn w:val="Norml"/>
    <w:semiHidden/>
    <w:rPr>
      <w:rFonts w:ascii="Tahoma" w:hAnsi="Tahoma" w:cs="Tahoma"/>
      <w:sz w:val="16"/>
      <w:szCs w:val="16"/>
    </w:rPr>
  </w:style>
  <w:style w:type="paragraph" w:styleId="Megjegyzstrgya">
    <w:name w:val="annotation subject"/>
    <w:basedOn w:val="Jegyzetszveg"/>
    <w:next w:val="Jegyzetszveg"/>
    <w:semiHidden/>
    <w:rsid w:val="00C53ACC"/>
    <w:rPr>
      <w:b/>
      <w:bCs/>
    </w:rPr>
  </w:style>
  <w:style w:type="paragraph" w:customStyle="1" w:styleId="BodytextAgency">
    <w:name w:val="Body text (Agency)"/>
    <w:basedOn w:val="Norml"/>
    <w:link w:val="BodytextAgencyChar"/>
    <w:rsid w:val="00F00876"/>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00876"/>
    <w:rPr>
      <w:rFonts w:ascii="Verdana" w:eastAsia="Verdana" w:hAnsi="Verdana" w:cs="Verdana"/>
      <w:sz w:val="18"/>
      <w:szCs w:val="18"/>
    </w:rPr>
  </w:style>
  <w:style w:type="paragraph" w:styleId="Listaszerbekezds">
    <w:name w:val="List Paragraph"/>
    <w:basedOn w:val="Norml"/>
    <w:uiPriority w:val="34"/>
    <w:qFormat/>
    <w:rsid w:val="002A4C6E"/>
    <w:pPr>
      <w:ind w:left="720"/>
    </w:pPr>
  </w:style>
  <w:style w:type="table" w:styleId="Rcsostblzat">
    <w:name w:val="Table Grid"/>
    <w:basedOn w:val="Normltblzat"/>
    <w:rsid w:val="00083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bChar">
    <w:name w:val="Élőláb Char"/>
    <w:link w:val="llb"/>
    <w:uiPriority w:val="99"/>
    <w:rsid w:val="00610F94"/>
    <w:rPr>
      <w:rFonts w:ascii="Helvetica" w:hAnsi="Helvetica"/>
      <w:sz w:val="16"/>
      <w:lang w:val="en-GB"/>
    </w:rPr>
  </w:style>
  <w:style w:type="paragraph" w:styleId="Vltozat">
    <w:name w:val="Revision"/>
    <w:hidden/>
    <w:uiPriority w:val="99"/>
    <w:semiHidden/>
    <w:rsid w:val="00A3426D"/>
    <w:rPr>
      <w:sz w:val="22"/>
      <w:lang w:val="en-GB"/>
    </w:rPr>
  </w:style>
  <w:style w:type="paragraph" w:styleId="NormlWeb">
    <w:name w:val="Normal (Web)"/>
    <w:basedOn w:val="Norml"/>
    <w:uiPriority w:val="99"/>
    <w:unhideWhenUsed/>
    <w:rsid w:val="00D14F20"/>
    <w:pPr>
      <w:tabs>
        <w:tab w:val="clear" w:pos="567"/>
      </w:tabs>
      <w:spacing w:after="143" w:line="240" w:lineRule="auto"/>
    </w:pPr>
    <w:rPr>
      <w:sz w:val="24"/>
      <w:szCs w:val="24"/>
      <w:lang w:val="en-US"/>
    </w:rPr>
  </w:style>
  <w:style w:type="character" w:customStyle="1" w:styleId="lfejChar">
    <w:name w:val="Élőfej Char"/>
    <w:basedOn w:val="Bekezdsalapbettpusa"/>
    <w:link w:val="lfej"/>
    <w:uiPriority w:val="99"/>
    <w:rsid w:val="007E3E48"/>
    <w:rPr>
      <w:rFonts w:ascii="Helvetica" w:hAnsi="Helvetic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2367">
      <w:bodyDiv w:val="1"/>
      <w:marLeft w:val="0"/>
      <w:marRight w:val="0"/>
      <w:marTop w:val="0"/>
      <w:marBottom w:val="0"/>
      <w:divBdr>
        <w:top w:val="none" w:sz="0" w:space="0" w:color="auto"/>
        <w:left w:val="none" w:sz="0" w:space="0" w:color="auto"/>
        <w:bottom w:val="none" w:sz="0" w:space="0" w:color="auto"/>
        <w:right w:val="none" w:sz="0" w:space="0" w:color="auto"/>
      </w:divBdr>
      <w:divsChild>
        <w:div w:id="932787070">
          <w:marLeft w:val="0"/>
          <w:marRight w:val="0"/>
          <w:marTop w:val="0"/>
          <w:marBottom w:val="0"/>
          <w:divBdr>
            <w:top w:val="none" w:sz="0" w:space="0" w:color="auto"/>
            <w:left w:val="none" w:sz="0" w:space="0" w:color="auto"/>
            <w:bottom w:val="none" w:sz="0" w:space="0" w:color="auto"/>
            <w:right w:val="none" w:sz="0" w:space="0" w:color="auto"/>
          </w:divBdr>
          <w:divsChild>
            <w:div w:id="953485487">
              <w:marLeft w:val="-225"/>
              <w:marRight w:val="-225"/>
              <w:marTop w:val="0"/>
              <w:marBottom w:val="0"/>
              <w:divBdr>
                <w:top w:val="none" w:sz="0" w:space="0" w:color="auto"/>
                <w:left w:val="none" w:sz="0" w:space="0" w:color="auto"/>
                <w:bottom w:val="none" w:sz="0" w:space="0" w:color="auto"/>
                <w:right w:val="none" w:sz="0" w:space="0" w:color="auto"/>
              </w:divBdr>
              <w:divsChild>
                <w:div w:id="315457503">
                  <w:marLeft w:val="0"/>
                  <w:marRight w:val="0"/>
                  <w:marTop w:val="0"/>
                  <w:marBottom w:val="0"/>
                  <w:divBdr>
                    <w:top w:val="none" w:sz="0" w:space="0" w:color="auto"/>
                    <w:left w:val="none" w:sz="0" w:space="0" w:color="auto"/>
                    <w:bottom w:val="none" w:sz="0" w:space="0" w:color="auto"/>
                    <w:right w:val="none" w:sz="0" w:space="0" w:color="auto"/>
                  </w:divBdr>
                  <w:divsChild>
                    <w:div w:id="1305040062">
                      <w:marLeft w:val="0"/>
                      <w:marRight w:val="0"/>
                      <w:marTop w:val="0"/>
                      <w:marBottom w:val="0"/>
                      <w:divBdr>
                        <w:top w:val="none" w:sz="0" w:space="0" w:color="auto"/>
                        <w:left w:val="none" w:sz="0" w:space="0" w:color="auto"/>
                        <w:bottom w:val="none" w:sz="0" w:space="0" w:color="auto"/>
                        <w:right w:val="none" w:sz="0" w:space="0" w:color="auto"/>
                      </w:divBdr>
                      <w:divsChild>
                        <w:div w:id="397018631">
                          <w:marLeft w:val="0"/>
                          <w:marRight w:val="0"/>
                          <w:marTop w:val="0"/>
                          <w:marBottom w:val="0"/>
                          <w:divBdr>
                            <w:top w:val="none" w:sz="0" w:space="0" w:color="auto"/>
                            <w:left w:val="none" w:sz="0" w:space="0" w:color="auto"/>
                            <w:bottom w:val="none" w:sz="0" w:space="0" w:color="auto"/>
                            <w:right w:val="none" w:sz="0" w:space="0" w:color="auto"/>
                          </w:divBdr>
                          <w:divsChild>
                            <w:div w:id="1472939984">
                              <w:marLeft w:val="0"/>
                              <w:marRight w:val="0"/>
                              <w:marTop w:val="0"/>
                              <w:marBottom w:val="0"/>
                              <w:divBdr>
                                <w:top w:val="none" w:sz="0" w:space="0" w:color="auto"/>
                                <w:left w:val="none" w:sz="0" w:space="0" w:color="auto"/>
                                <w:bottom w:val="none" w:sz="0" w:space="0" w:color="auto"/>
                                <w:right w:val="none" w:sz="0" w:space="0" w:color="auto"/>
                              </w:divBdr>
                              <w:divsChild>
                                <w:div w:id="1968850878">
                                  <w:marLeft w:val="0"/>
                                  <w:marRight w:val="0"/>
                                  <w:marTop w:val="0"/>
                                  <w:marBottom w:val="0"/>
                                  <w:divBdr>
                                    <w:top w:val="none" w:sz="0" w:space="0" w:color="auto"/>
                                    <w:left w:val="none" w:sz="0" w:space="0" w:color="auto"/>
                                    <w:bottom w:val="none" w:sz="0" w:space="0" w:color="auto"/>
                                    <w:right w:val="none" w:sz="0" w:space="0" w:color="auto"/>
                                  </w:divBdr>
                                  <w:divsChild>
                                    <w:div w:id="9868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632934">
      <w:bodyDiv w:val="1"/>
      <w:marLeft w:val="0"/>
      <w:marRight w:val="0"/>
      <w:marTop w:val="0"/>
      <w:marBottom w:val="0"/>
      <w:divBdr>
        <w:top w:val="none" w:sz="0" w:space="0" w:color="auto"/>
        <w:left w:val="none" w:sz="0" w:space="0" w:color="auto"/>
        <w:bottom w:val="none" w:sz="0" w:space="0" w:color="auto"/>
        <w:right w:val="none" w:sz="0" w:space="0" w:color="auto"/>
      </w:divBdr>
    </w:div>
    <w:div w:id="504055193">
      <w:bodyDiv w:val="1"/>
      <w:marLeft w:val="0"/>
      <w:marRight w:val="0"/>
      <w:marTop w:val="0"/>
      <w:marBottom w:val="0"/>
      <w:divBdr>
        <w:top w:val="none" w:sz="0" w:space="0" w:color="auto"/>
        <w:left w:val="none" w:sz="0" w:space="0" w:color="auto"/>
        <w:bottom w:val="none" w:sz="0" w:space="0" w:color="auto"/>
        <w:right w:val="none" w:sz="0" w:space="0" w:color="auto"/>
      </w:divBdr>
    </w:div>
    <w:div w:id="676999253">
      <w:bodyDiv w:val="1"/>
      <w:marLeft w:val="0"/>
      <w:marRight w:val="0"/>
      <w:marTop w:val="0"/>
      <w:marBottom w:val="0"/>
      <w:divBdr>
        <w:top w:val="none" w:sz="0" w:space="0" w:color="auto"/>
        <w:left w:val="none" w:sz="0" w:space="0" w:color="auto"/>
        <w:bottom w:val="none" w:sz="0" w:space="0" w:color="auto"/>
        <w:right w:val="none" w:sz="0" w:space="0" w:color="auto"/>
      </w:divBdr>
    </w:div>
    <w:div w:id="952322391">
      <w:bodyDiv w:val="1"/>
      <w:marLeft w:val="0"/>
      <w:marRight w:val="0"/>
      <w:marTop w:val="0"/>
      <w:marBottom w:val="0"/>
      <w:divBdr>
        <w:top w:val="none" w:sz="0" w:space="0" w:color="auto"/>
        <w:left w:val="none" w:sz="0" w:space="0" w:color="auto"/>
        <w:bottom w:val="none" w:sz="0" w:space="0" w:color="auto"/>
        <w:right w:val="none" w:sz="0" w:space="0" w:color="auto"/>
      </w:divBdr>
    </w:div>
    <w:div w:id="1249846537">
      <w:bodyDiv w:val="1"/>
      <w:marLeft w:val="0"/>
      <w:marRight w:val="0"/>
      <w:marTop w:val="0"/>
      <w:marBottom w:val="0"/>
      <w:divBdr>
        <w:top w:val="none" w:sz="0" w:space="0" w:color="auto"/>
        <w:left w:val="none" w:sz="0" w:space="0" w:color="auto"/>
        <w:bottom w:val="none" w:sz="0" w:space="0" w:color="auto"/>
        <w:right w:val="none" w:sz="0" w:space="0" w:color="auto"/>
      </w:divBdr>
      <w:divsChild>
        <w:div w:id="737947360">
          <w:blockQuote w:val="1"/>
          <w:marLeft w:val="600"/>
          <w:marRight w:val="0"/>
          <w:marTop w:val="0"/>
          <w:marBottom w:val="0"/>
          <w:divBdr>
            <w:top w:val="none" w:sz="0" w:space="0" w:color="auto"/>
            <w:left w:val="none" w:sz="0" w:space="0" w:color="auto"/>
            <w:bottom w:val="none" w:sz="0" w:space="0" w:color="auto"/>
            <w:right w:val="none" w:sz="0" w:space="0" w:color="auto"/>
          </w:divBdr>
        </w:div>
        <w:div w:id="172376514">
          <w:blockQuote w:val="1"/>
          <w:marLeft w:val="600"/>
          <w:marRight w:val="0"/>
          <w:marTop w:val="0"/>
          <w:marBottom w:val="0"/>
          <w:divBdr>
            <w:top w:val="none" w:sz="0" w:space="0" w:color="auto"/>
            <w:left w:val="none" w:sz="0" w:space="0" w:color="auto"/>
            <w:bottom w:val="none" w:sz="0" w:space="0" w:color="auto"/>
            <w:right w:val="none" w:sz="0" w:space="0" w:color="auto"/>
          </w:divBdr>
          <w:divsChild>
            <w:div w:id="1695156145">
              <w:blockQuote w:val="1"/>
              <w:marLeft w:val="600"/>
              <w:marRight w:val="0"/>
              <w:marTop w:val="0"/>
              <w:marBottom w:val="0"/>
              <w:divBdr>
                <w:top w:val="none" w:sz="0" w:space="0" w:color="auto"/>
                <w:left w:val="none" w:sz="0" w:space="0" w:color="auto"/>
                <w:bottom w:val="none" w:sz="0" w:space="0" w:color="auto"/>
                <w:right w:val="none" w:sz="0" w:space="0" w:color="auto"/>
              </w:divBdr>
            </w:div>
            <w:div w:id="32401220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243949345">
          <w:blockQuote w:val="1"/>
          <w:marLeft w:val="600"/>
          <w:marRight w:val="0"/>
          <w:marTop w:val="0"/>
          <w:marBottom w:val="0"/>
          <w:divBdr>
            <w:top w:val="none" w:sz="0" w:space="0" w:color="auto"/>
            <w:left w:val="none" w:sz="0" w:space="0" w:color="auto"/>
            <w:bottom w:val="none" w:sz="0" w:space="0" w:color="auto"/>
            <w:right w:val="none" w:sz="0" w:space="0" w:color="auto"/>
          </w:divBdr>
        </w:div>
        <w:div w:id="1954289831">
          <w:blockQuote w:val="1"/>
          <w:marLeft w:val="600"/>
          <w:marRight w:val="0"/>
          <w:marTop w:val="0"/>
          <w:marBottom w:val="0"/>
          <w:divBdr>
            <w:top w:val="none" w:sz="0" w:space="0" w:color="auto"/>
            <w:left w:val="none" w:sz="0" w:space="0" w:color="auto"/>
            <w:bottom w:val="none" w:sz="0" w:space="0" w:color="auto"/>
            <w:right w:val="none" w:sz="0" w:space="0" w:color="auto"/>
          </w:divBdr>
          <w:divsChild>
            <w:div w:id="1698964220">
              <w:blockQuote w:val="1"/>
              <w:marLeft w:val="600"/>
              <w:marRight w:val="0"/>
              <w:marTop w:val="0"/>
              <w:marBottom w:val="0"/>
              <w:divBdr>
                <w:top w:val="none" w:sz="0" w:space="0" w:color="auto"/>
                <w:left w:val="none" w:sz="0" w:space="0" w:color="auto"/>
                <w:bottom w:val="none" w:sz="0" w:space="0" w:color="auto"/>
                <w:right w:val="none" w:sz="0" w:space="0" w:color="auto"/>
              </w:divBdr>
            </w:div>
            <w:div w:id="96403927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476097468">
      <w:bodyDiv w:val="1"/>
      <w:marLeft w:val="0"/>
      <w:marRight w:val="0"/>
      <w:marTop w:val="0"/>
      <w:marBottom w:val="0"/>
      <w:divBdr>
        <w:top w:val="none" w:sz="0" w:space="0" w:color="auto"/>
        <w:left w:val="none" w:sz="0" w:space="0" w:color="auto"/>
        <w:bottom w:val="none" w:sz="0" w:space="0" w:color="auto"/>
        <w:right w:val="none" w:sz="0" w:space="0" w:color="auto"/>
      </w:divBdr>
    </w:div>
    <w:div w:id="1550800583">
      <w:bodyDiv w:val="1"/>
      <w:marLeft w:val="0"/>
      <w:marRight w:val="0"/>
      <w:marTop w:val="0"/>
      <w:marBottom w:val="0"/>
      <w:divBdr>
        <w:top w:val="none" w:sz="0" w:space="0" w:color="auto"/>
        <w:left w:val="none" w:sz="0" w:space="0" w:color="auto"/>
        <w:bottom w:val="none" w:sz="0" w:space="0" w:color="auto"/>
        <w:right w:val="none" w:sz="0" w:space="0" w:color="auto"/>
      </w:divBdr>
    </w:div>
    <w:div w:id="1573617143">
      <w:bodyDiv w:val="1"/>
      <w:marLeft w:val="0"/>
      <w:marRight w:val="0"/>
      <w:marTop w:val="0"/>
      <w:marBottom w:val="0"/>
      <w:divBdr>
        <w:top w:val="none" w:sz="0" w:space="0" w:color="auto"/>
        <w:left w:val="none" w:sz="0" w:space="0" w:color="auto"/>
        <w:bottom w:val="none" w:sz="0" w:space="0" w:color="auto"/>
        <w:right w:val="none" w:sz="0" w:space="0" w:color="auto"/>
      </w:divBdr>
    </w:div>
    <w:div w:id="1591547026">
      <w:bodyDiv w:val="1"/>
      <w:marLeft w:val="0"/>
      <w:marRight w:val="0"/>
      <w:marTop w:val="0"/>
      <w:marBottom w:val="0"/>
      <w:divBdr>
        <w:top w:val="none" w:sz="0" w:space="0" w:color="auto"/>
        <w:left w:val="none" w:sz="0" w:space="0" w:color="auto"/>
        <w:bottom w:val="none" w:sz="0" w:space="0" w:color="auto"/>
        <w:right w:val="none" w:sz="0" w:space="0" w:color="auto"/>
      </w:divBdr>
    </w:div>
    <w:div w:id="1640645642">
      <w:bodyDiv w:val="1"/>
      <w:marLeft w:val="0"/>
      <w:marRight w:val="0"/>
      <w:marTop w:val="0"/>
      <w:marBottom w:val="0"/>
      <w:divBdr>
        <w:top w:val="none" w:sz="0" w:space="0" w:color="auto"/>
        <w:left w:val="none" w:sz="0" w:space="0" w:color="auto"/>
        <w:bottom w:val="none" w:sz="0" w:space="0" w:color="auto"/>
        <w:right w:val="none" w:sz="0" w:space="0" w:color="auto"/>
      </w:divBdr>
    </w:div>
    <w:div w:id="208629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3577D309241A44B691DF85F8A56B6E" ma:contentTypeVersion="60" ma:contentTypeDescription="Create a new document." ma:contentTypeScope="" ma:versionID="3c96e1834dcdb4d2b0d97d0da8e37393">
  <xsd:schema xmlns:xsd="http://www.w3.org/2001/XMLSchema" xmlns:xs="http://www.w3.org/2001/XMLSchema" xmlns:p="http://schemas.microsoft.com/office/2006/metadata/properties" xmlns:ns2="ab4c40fc-b9da-498a-a643-ed8060d12465" xmlns:ns3="5a086511-33fc-4d32-b298-ffdb5eac5094" targetNamespace="http://schemas.microsoft.com/office/2006/metadata/properties" ma:root="true" ma:fieldsID="4335beb7b63afdf86e6200b4010b74d6" ns2:_="" ns3:_="">
    <xsd:import namespace="ab4c40fc-b9da-498a-a643-ed8060d12465"/>
    <xsd:import namespace="5a086511-33fc-4d32-b298-ffdb5eac5094"/>
    <xsd:element name="properties">
      <xsd:complexType>
        <xsd:sequence>
          <xsd:element name="documentManagement">
            <xsd:complexType>
              <xsd:all>
                <xsd:element ref="ns2:Procedure_number" minOccurs="0"/>
                <xsd:element ref="ns2:Trade_x0020_name" minOccurs="0"/>
                <xsd:element ref="ns3:Old_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_Flow_SignoffStatus" minOccurs="0"/>
                <xsd:element ref="ns3:MediaServiceObjectDetectorVersions" minOccurs="0"/>
                <xsd:element ref="ns3:MediaServiceSearchProperties" minOccurs="0"/>
                <xsd:element ref="ns3:MediaServiceBillingMetadata" minOccurs="0"/>
                <xsd:element ref="ns3:Pharmform" minOccurs="0"/>
                <xsd:element ref="ns3:Proces" minOccurs="0"/>
                <xsd:element ref="ns3:Region" minOccurs="0"/>
                <xsd:element ref="ns3:StrengthDL" minOccurs="0"/>
                <xsd:element ref="ns3:Strength_x0020_DL_x003a__x0020_Tytu_x0142_" minOccurs="0"/>
                <xsd:element ref="ns3:FormDL" minOccurs="0"/>
                <xsd:element ref="ns3:Index" minOccurs="0"/>
                <xsd:element ref="ns3:EXCLUSION" minOccurs="0"/>
                <xsd:element ref="ns3:SyncStatus" minOccurs="0"/>
                <xsd:element ref="ns3:SyncDate" minOccurs="0"/>
                <xsd:element ref="ns3:IndexingM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4c40fc-b9da-498a-a643-ed8060d12465" elementFormDefault="qualified">
    <xsd:import namespace="http://schemas.microsoft.com/office/2006/documentManagement/types"/>
    <xsd:import namespace="http://schemas.microsoft.com/office/infopath/2007/PartnerControls"/>
    <xsd:element name="Procedure_number" ma:index="8" nillable="true" ma:displayName="Procedure number" ma:internalName="Procedure_number" ma:readOnly="false">
      <xsd:simpleType>
        <xsd:restriction base="dms:Text">
          <xsd:maxLength value="255"/>
        </xsd:restriction>
      </xsd:simpleType>
    </xsd:element>
    <xsd:element name="Trade_x0020_name" ma:index="9" nillable="true" ma:displayName="Trade name" ma:internalName="Trade_x0020_name" ma:readOnly="false">
      <xsd:simpleType>
        <xsd:restriction base="dms:Text">
          <xsd:maxLength value="255"/>
        </xsd:restriction>
      </xsd:simpleType>
    </xsd:element>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5e15eef-bed3-4811-9ae3-46a183e5a408}" ma:internalName="TaxCatchAll" ma:showField="CatchAllData" ma:web="ab4c40fc-b9da-498a-a643-ed8060d124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086511-33fc-4d32-b298-ffdb5eac5094" elementFormDefault="qualified">
    <xsd:import namespace="http://schemas.microsoft.com/office/2006/documentManagement/types"/>
    <xsd:import namespace="http://schemas.microsoft.com/office/infopath/2007/PartnerControls"/>
    <xsd:element name="Old_ID" ma:index="10" nillable="true" ma:displayName="Old_ID" ma:decimals="0" ma:internalName="Old_ID" ma:percentage="FALSE">
      <xsd:simpleType>
        <xsd:restriction base="dms:Number"/>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Tagi obrazów" ma:readOnly="false" ma:fieldId="{5cf76f15-5ced-4ddc-b409-7134ff3c332f}" ma:taxonomyMulti="true" ma:sspId="828fc68d-9c09-46fb-a745-e1d53b1c734f" ma:termSetId="09814cd3-568e-fe90-9814-8d621ff8fb84" ma:anchorId="fba54fb3-c3e1-fe81-a776-ca4b69148c4d" ma:open="true" ma:isKeyword="false">
      <xsd:complexType>
        <xsd:sequence>
          <xsd:element ref="pc:Terms" minOccurs="0" maxOccurs="1"/>
        </xsd:sequence>
      </xsd:complexType>
    </xsd:element>
    <xsd:element name="_Flow_SignoffStatus" ma:index="27" nillable="true" ma:displayName="Sign-off status" ma:internalName="Sign_x002d_off_x0020_status">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element name="Pharmform" ma:index="31" nillable="true" ma:displayName="Pharm form" ma:default="pharm form" ma:format="Dropdown" ma:internalName="Pharmform">
      <xsd:simpleType>
        <xsd:restriction base="dms:Text">
          <xsd:maxLength value="255"/>
        </xsd:restriction>
      </xsd:simpleType>
    </xsd:element>
    <xsd:element name="Proces" ma:index="32" nillable="true" ma:displayName="Proces" ma:format="Dropdown" ma:internalName="Proces">
      <xsd:simpleType>
        <xsd:restriction base="dms:Choice">
          <xsd:enumeration value="Registration"/>
          <xsd:enumeration value="Variation"/>
          <xsd:enumeration value="Renewal"/>
        </xsd:restriction>
      </xsd:simpleType>
    </xsd:element>
    <xsd:element name="Region" ma:index="33" nillable="true" ma:displayName="Region" ma:description="Regiony rejestracyjne" ma:format="Dropdown" ma:internalName="Region">
      <xsd:simpleType>
        <xsd:restriction base="dms:Choice">
          <xsd:enumeration value="EAEU"/>
          <xsd:enumeration value="EU"/>
          <xsd:enumeration value="nonEU"/>
        </xsd:restriction>
      </xsd:simpleType>
    </xsd:element>
    <xsd:element name="StrengthDL" ma:index="34" nillable="true" ma:displayName="Strength DL" ma:description="ogólne formy farmaceutyczne wykorzystywane w AIDL" ma:format="Dropdown" ma:list="486f06c2-efb1-4bb5-bb91-0f47a53c7d80" ma:internalName="StrengthDL" ma:showField="Title">
      <xsd:simpleType>
        <xsd:restriction base="dms:Lookup"/>
      </xsd:simpleType>
    </xsd:element>
    <xsd:element name="Strength_x0020_DL_x003a__x0020_Tytu_x0142_" ma:index="35" nillable="true" ma:displayName="Strength DL: Tytuł" ma:description="ogólne formy farmaceutyczne wykorzystywane w AIDL" ma:format="Dropdown" ma:list="486f06c2-efb1-4bb5-bb91-0f47a53c7d80" ma:internalName="Strength_x0020_DL_x003a__x0020_Tytu_x0142_" ma:readOnly="true" ma:showField="Title">
      <xsd:simpleType>
        <xsd:restriction base="dms:Lookup"/>
      </xsd:simpleType>
    </xsd:element>
    <xsd:element name="FormDL" ma:index="36" nillable="true" ma:displayName="Form DL" ma:description="Ujednolicona i ustandaryzowana lista form farmaceutycznych. Lista zawęża obszar wyszukiwania, precyzuje wyniki i ogranicza halucynowanie" ma:format="Dropdown" ma:indexed="true" ma:internalName="FormDL">
      <xsd:simpleType>
        <xsd:restriction base="dms:Choice">
          <xsd:enumeration value="capsules"/>
          <xsd:enumeration value="ear"/>
          <xsd:enumeration value="eye"/>
          <xsd:enumeration value="inhalation"/>
          <xsd:enumeration value="injections"/>
          <xsd:enumeration value="nasal"/>
          <xsd:enumeration value="oralliquid"/>
          <xsd:enumeration value="oralsolid"/>
          <xsd:enumeration value="oromucosal"/>
          <xsd:enumeration value="rectal / vaginal"/>
          <xsd:enumeration value="tablets"/>
          <xsd:enumeration value="topical"/>
        </xsd:restriction>
      </xsd:simpleType>
    </xsd:element>
    <xsd:element name="Index" ma:index="37" nillable="true" ma:displayName="Index" ma:description="kolumna służąca do wyłączenia zakresu z indeksowania. Elementy opisane jako NO nie będę brane pod uwagę w wynikach wyszukiwania przez agenta" ma:format="Dropdown" ma:internalName="Index">
      <xsd:simpleType>
        <xsd:restriction base="dms:Choice">
          <xsd:enumeration value="YES"/>
          <xsd:enumeration value="NO"/>
        </xsd:restriction>
      </xsd:simpleType>
    </xsd:element>
    <xsd:element name="EXCLUSION" ma:index="38" nillable="true" ma:displayName="EXCLUSION" ma:default="1" ma:format="Dropdown" ma:indexed="true" ma:internalName="EXCLUSION">
      <xsd:simpleType>
        <xsd:restriction base="dms:Boolean"/>
      </xsd:simpleType>
    </xsd:element>
    <xsd:element name="SyncStatus" ma:index="39" nillable="true" ma:displayName="SyncStatus" ma:format="Dropdown" ma:internalName="SyncStatus">
      <xsd:simpleType>
        <xsd:restriction base="dms:Choice">
          <xsd:enumeration value="In progress"/>
          <xsd:enumeration value="Synced"/>
          <xsd:enumeration value="Sync Failed"/>
        </xsd:restriction>
      </xsd:simpleType>
    </xsd:element>
    <xsd:element name="SyncDate" ma:index="40" nillable="true" ma:displayName="SyncDate" ma:format="DateTime" ma:internalName="SyncDate">
      <xsd:simpleType>
        <xsd:restriction base="dms:DateTime"/>
      </xsd:simpleType>
    </xsd:element>
    <xsd:element name="IndexingMode" ma:index="41" nillable="true" ma:displayName="IndexingMode" ma:format="Dropdown" ma:internalName="IndexingMode">
      <xsd:simpleType>
        <xsd:restriction base="dms:Choice">
          <xsd:enumeration value="Basic"/>
          <xsd:enumeration value="Advanc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rade_x0020_name xmlns="ab4c40fc-b9da-498a-a643-ed8060d12465" xsi:nil="true"/>
    <TaxCatchAll xmlns="ab4c40fc-b9da-498a-a643-ed8060d12465" xsi:nil="true"/>
    <SyncDate xmlns="5a086511-33fc-4d32-b298-ffdb5eac5094" xsi:nil="true"/>
    <FormDL xmlns="5a086511-33fc-4d32-b298-ffdb5eac5094" xsi:nil="true"/>
    <_Flow_SignoffStatus xmlns="5a086511-33fc-4d32-b298-ffdb5eac5094" xsi:nil="true"/>
    <IndexingMode xmlns="5a086511-33fc-4d32-b298-ffdb5eac5094" xsi:nil="true"/>
    <EXCLUSION xmlns="5a086511-33fc-4d32-b298-ffdb5eac5094">true</EXCLUSION>
    <lcf76f155ced4ddcb4097134ff3c332f xmlns="5a086511-33fc-4d32-b298-ffdb5eac5094">
      <Terms xmlns="http://schemas.microsoft.com/office/infopath/2007/PartnerControls"/>
    </lcf76f155ced4ddcb4097134ff3c332f>
    <StrengthDL xmlns="5a086511-33fc-4d32-b298-ffdb5eac5094" xsi:nil="true"/>
    <Old_ID xmlns="5a086511-33fc-4d32-b298-ffdb5eac5094" xsi:nil="true"/>
    <Procedure_number xmlns="ab4c40fc-b9da-498a-a643-ed8060d12465" xsi:nil="true"/>
    <Pharmform xmlns="5a086511-33fc-4d32-b298-ffdb5eac5094">pharm form</Pharmform>
    <Proces xmlns="5a086511-33fc-4d32-b298-ffdb5eac5094" xsi:nil="true"/>
    <Region xmlns="5a086511-33fc-4d32-b298-ffdb5eac5094" xsi:nil="true"/>
    <SyncStatus xmlns="5a086511-33fc-4d32-b298-ffdb5eac5094" xsi:nil="true"/>
    <Index xmlns="5a086511-33fc-4d32-b298-ffdb5eac5094" xsi:nil="true"/>
  </documentManagement>
</p:properties>
</file>

<file path=customXml/itemProps1.xml><?xml version="1.0" encoding="utf-8"?>
<ds:datastoreItem xmlns:ds="http://schemas.openxmlformats.org/officeDocument/2006/customXml" ds:itemID="{44B443F0-61DF-4816-9C91-82349B8905F9}">
  <ds:schemaRefs>
    <ds:schemaRef ds:uri="http://schemas.microsoft.com/sharepoint/v3/contenttype/forms"/>
  </ds:schemaRefs>
</ds:datastoreItem>
</file>

<file path=customXml/itemProps2.xml><?xml version="1.0" encoding="utf-8"?>
<ds:datastoreItem xmlns:ds="http://schemas.openxmlformats.org/officeDocument/2006/customXml" ds:itemID="{FB5BA99B-56A4-4057-8004-5FDBB4A60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4c40fc-b9da-498a-a643-ed8060d12465"/>
    <ds:schemaRef ds:uri="5a086511-33fc-4d32-b298-ffdb5eac5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32DB1C-63DD-424D-ABF3-A763E77B5F45}">
  <ds:schemaRefs>
    <ds:schemaRef ds:uri="http://www.w3.org/XML/1998/namespace"/>
    <ds:schemaRef ds:uri="http://purl.org/dc/dcmitype/"/>
    <ds:schemaRef ds:uri="http://schemas.microsoft.com/office/2006/metadata/properties"/>
    <ds:schemaRef ds:uri="http://purl.org/dc/elements/1.1/"/>
    <ds:schemaRef ds:uri="5a086511-33fc-4d32-b298-ffdb5eac5094"/>
    <ds:schemaRef ds:uri="http://schemas.microsoft.com/office/infopath/2007/PartnerControls"/>
    <ds:schemaRef ds:uri="http://schemas.microsoft.com/office/2006/documentManagement/types"/>
    <ds:schemaRef ds:uri="http://schemas.openxmlformats.org/package/2006/metadata/core-properties"/>
    <ds:schemaRef ds:uri="ab4c40fc-b9da-498a-a643-ed8060d12465"/>
    <ds:schemaRef ds:uri="http://purl.org/dc/terms/"/>
  </ds:schemaRefs>
</ds:datastoreItem>
</file>

<file path=docMetadata/LabelInfo.xml><?xml version="1.0" encoding="utf-8"?>
<clbl:labelList xmlns:clbl="http://schemas.microsoft.com/office/2020/mipLabelMetadata">
  <clbl:label id="{c6b8addf-0b3b-488d-8eca-906be3ac452f}" enabled="1" method="Standard" siteId="{d1e23d19-ded6-4d66-850c-0d4f35bf2edc}"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5004</Words>
  <Characters>37615</Characters>
  <Application>Microsoft Office Word</Application>
  <DocSecurity>0</DocSecurity>
  <Lines>313</Lines>
  <Paragraphs>85</Paragraphs>
  <ScaleCrop>false</ScaleCrop>
  <HeadingPairs>
    <vt:vector size="6" baseType="variant">
      <vt:variant>
        <vt:lpstr>Cím</vt:lpstr>
      </vt:variant>
      <vt:variant>
        <vt:i4>1</vt:i4>
      </vt:variant>
      <vt:variant>
        <vt:lpstr>Title</vt:lpstr>
      </vt:variant>
      <vt:variant>
        <vt:i4>1</vt:i4>
      </vt:variant>
      <vt:variant>
        <vt:lpstr>Tytuł</vt:lpstr>
      </vt:variant>
      <vt:variant>
        <vt:i4>1</vt:i4>
      </vt:variant>
    </vt:vector>
  </HeadingPairs>
  <TitlesOfParts>
    <vt:vector size="3" baseType="lpstr">
      <vt:lpstr>Hreferralspccleanen</vt:lpstr>
      <vt:lpstr>Hreferralspccleanen</vt:lpstr>
      <vt:lpstr>Hreferralspccleanen</vt:lpstr>
    </vt:vector>
  </TitlesOfParts>
  <Company>EMEA</Company>
  <LinksUpToDate>false</LinksUpToDate>
  <CharactersWithSpaces>42534</CharactersWithSpaces>
  <SharedDoc>false</SharedDoc>
  <HLinks>
    <vt:vector size="12" baseType="variant">
      <vt:variant>
        <vt:i4>2359399</vt:i4>
      </vt:variant>
      <vt:variant>
        <vt:i4>3</vt:i4>
      </vt:variant>
      <vt:variant>
        <vt:i4>0</vt:i4>
      </vt:variant>
      <vt:variant>
        <vt:i4>5</vt:i4>
      </vt:variant>
      <vt:variant>
        <vt:lpwstr>http://www.ema.europa.eu/docs/en_GB/document_library/Template_or_form/2013/03/WC500139752.doc</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Hreferralspccleanen</dc:title>
  <dc:subject>General-EMA/53548/2010</dc:subject>
  <dc:creator>European Medicines Agency</dc:creator>
  <cp:keywords/>
  <cp:lastModifiedBy>HU_OGYI_50.1</cp:lastModifiedBy>
  <cp:revision>2</cp:revision>
  <cp:lastPrinted>2016-02-25T10:14:00Z</cp:lastPrinted>
  <dcterms:created xsi:type="dcterms:W3CDTF">2026-08-05T10:07:00Z</dcterms:created>
  <dcterms:modified xsi:type="dcterms:W3CDTF">2026-08-05T10:07:00Z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Title">
    <vt:lpwstr/>
  </property>
  <property fmtid="{D5CDD505-2E9C-101B-9397-08002B2CF9AE}" pid="6" name="DM_Language">
    <vt:lpwstr/>
  </property>
  <property fmtid="{D5CDD505-2E9C-101B-9397-08002B2CF9AE}" pid="7" name="DM_Owner">
    <vt:lpwstr>Espinasse Claire</vt:lpwstr>
  </property>
  <property fmtid="{D5CDD505-2E9C-101B-9397-08002B2CF9AE}" pid="8" name="DM_emea_cc">
    <vt:lpwstr/>
  </property>
  <property fmtid="{D5CDD505-2E9C-101B-9397-08002B2CF9AE}" pid="9" name="DM_emea_message_subject">
    <vt:lpwstr/>
  </property>
  <property fmtid="{D5CDD505-2E9C-101B-9397-08002B2CF9AE}" pid="10" name="DM_emea_doc_number">
    <vt:lpwstr>53548</vt:lpwstr>
  </property>
  <property fmtid="{D5CDD505-2E9C-101B-9397-08002B2CF9AE}" pid="11" name="DM_emea_received_date">
    <vt:lpwstr>nulldate</vt:lpwstr>
  </property>
  <property fmtid="{D5CDD505-2E9C-101B-9397-08002B2CF9AE}" pid="12" name="DM_emea_resp_body">
    <vt:lpwstr/>
  </property>
  <property fmtid="{D5CDD505-2E9C-101B-9397-08002B2CF9AE}" pid="13" name="DM_emea_revision_label">
    <vt:lpwstr/>
  </property>
  <property fmtid="{D5CDD505-2E9C-101B-9397-08002B2CF9AE}" pid="14" name="DM_emea_to">
    <vt:lpwstr/>
  </property>
  <property fmtid="{D5CDD505-2E9C-101B-9397-08002B2CF9AE}" pid="15" name="DM_emea_bcc">
    <vt:lpwstr/>
  </property>
  <property fmtid="{D5CDD505-2E9C-101B-9397-08002B2CF9AE}" pid="16" name="DM_emea_doc_category">
    <vt:lpwstr>General</vt:lpwstr>
  </property>
  <property fmtid="{D5CDD505-2E9C-101B-9397-08002B2CF9AE}" pid="17" name="DM_emea_from">
    <vt:lpwstr/>
  </property>
  <property fmtid="{D5CDD505-2E9C-101B-9397-08002B2CF9AE}" pid="18" name="DM_emea_internal_label">
    <vt:lpwstr>EMA</vt:lpwstr>
  </property>
  <property fmtid="{D5CDD505-2E9C-101B-9397-08002B2CF9AE}" pid="19" name="DM_emea_legal_date">
    <vt:lpwstr>nulldate</vt:lpwstr>
  </property>
  <property fmtid="{D5CDD505-2E9C-101B-9397-08002B2CF9AE}" pid="20" name="DM_emea_year">
    <vt:lpwstr>2010</vt:lpwstr>
  </property>
  <property fmtid="{D5CDD505-2E9C-101B-9397-08002B2CF9AE}" pid="21" name="DM_emea_sent_date">
    <vt:lpwstr>nulldate</vt:lpwstr>
  </property>
  <property fmtid="{D5CDD505-2E9C-101B-9397-08002B2CF9AE}" pid="22" name="DM_emea_doc_lang">
    <vt:lpwstr/>
  </property>
  <property fmtid="{D5CDD505-2E9C-101B-9397-08002B2CF9AE}" pid="23" name="DM_emea_meeting_status">
    <vt:lpwstr/>
  </property>
  <property fmtid="{D5CDD505-2E9C-101B-9397-08002B2CF9AE}" pid="24" name="DM_emea_meeting_action">
    <vt:lpwstr/>
  </property>
  <property fmtid="{D5CDD505-2E9C-101B-9397-08002B2CF9AE}" pid="25" name="DM_emea_meeting_hyperlink">
    <vt:lpwstr/>
  </property>
  <property fmtid="{D5CDD505-2E9C-101B-9397-08002B2CF9AE}" pid="26" name="DM_emea_meeting_title">
    <vt:lpwstr/>
  </property>
  <property fmtid="{D5CDD505-2E9C-101B-9397-08002B2CF9AE}" pid="27" name="DM_emea_meeting_ref">
    <vt:lpwstr/>
  </property>
  <property fmtid="{D5CDD505-2E9C-101B-9397-08002B2CF9AE}" pid="28" name="DM_emea_meeting_flags">
    <vt:lpwstr/>
  </property>
  <property fmtid="{D5CDD505-2E9C-101B-9397-08002B2CF9AE}" pid="29" name="DM_Subject">
    <vt:lpwstr>General-EMA/53548/2010</vt:lpwstr>
  </property>
  <property fmtid="{D5CDD505-2E9C-101B-9397-08002B2CF9AE}" pid="30" name="DM_Version">
    <vt:lpwstr>CURRENT,1.3</vt:lpwstr>
  </property>
  <property fmtid="{D5CDD505-2E9C-101B-9397-08002B2CF9AE}" pid="31" name="DM_Name">
    <vt:lpwstr>Hreferralspccleanen</vt:lpwstr>
  </property>
  <property fmtid="{D5CDD505-2E9C-101B-9397-08002B2CF9AE}" pid="32" name="DM_Creation_Date">
    <vt:lpwstr>05/02/2016 17:09:34</vt:lpwstr>
  </property>
  <property fmtid="{D5CDD505-2E9C-101B-9397-08002B2CF9AE}" pid="33" name="DM_Modify_Date">
    <vt:lpwstr>05/02/2016 17:10:00</vt:lpwstr>
  </property>
  <property fmtid="{D5CDD505-2E9C-101B-9397-08002B2CF9AE}" pid="34" name="DM_Creator_Name">
    <vt:lpwstr>Akhtar Tia</vt:lpwstr>
  </property>
  <property fmtid="{D5CDD505-2E9C-101B-9397-08002B2CF9AE}" pid="35" name="DM_Modifier_Name">
    <vt:lpwstr>Akhtar Tia</vt:lpwstr>
  </property>
  <property fmtid="{D5CDD505-2E9C-101B-9397-08002B2CF9AE}" pid="36" name="DM_Type">
    <vt:lpwstr>emea_document</vt:lpwstr>
  </property>
  <property fmtid="{D5CDD505-2E9C-101B-9397-08002B2CF9AE}" pid="37" name="DM_DocRefId">
    <vt:lpwstr>EMA/64179/2016</vt:lpwstr>
  </property>
  <property fmtid="{D5CDD505-2E9C-101B-9397-08002B2CF9AE}" pid="38" name="DM_Category">
    <vt:lpwstr>Templates and Form</vt:lpwstr>
  </property>
  <property fmtid="{D5CDD505-2E9C-101B-9397-08002B2CF9AE}" pid="39" name="DM_Path">
    <vt:lpwstr>/02b. Administration of Scientific Meeting/WPs SAGs DGs and other WGs/CxMP - QRD/3. Other activities/02. Procedures/01. QRD PI templates/03 QRD H-Referral templates/08 H Referral template v 4.0 February16</vt:lpwstr>
  </property>
  <property fmtid="{D5CDD505-2E9C-101B-9397-08002B2CF9AE}" pid="40" name="DM_emea_doc_ref_id">
    <vt:lpwstr>EMA/64179/2016</vt:lpwstr>
  </property>
  <property fmtid="{D5CDD505-2E9C-101B-9397-08002B2CF9AE}" pid="41" name="DM_Modifer_Name">
    <vt:lpwstr>Akhtar Tia</vt:lpwstr>
  </property>
  <property fmtid="{D5CDD505-2E9C-101B-9397-08002B2CF9AE}" pid="42" name="DM_Modified_Date">
    <vt:lpwstr>05/02/2016 17:10:00</vt:lpwstr>
  </property>
  <property fmtid="{D5CDD505-2E9C-101B-9397-08002B2CF9AE}" pid="43" name="ContentTypeId">
    <vt:lpwstr>0x0101002D3577D309241A44B691DF85F8A56B6E</vt:lpwstr>
  </property>
  <property fmtid="{D5CDD505-2E9C-101B-9397-08002B2CF9AE}" pid="44" name="MSIP_Label_52c6716a-2832-4ee8-8ee5-b4471006f0c1_Enabled">
    <vt:lpwstr>true</vt:lpwstr>
  </property>
  <property fmtid="{D5CDD505-2E9C-101B-9397-08002B2CF9AE}" pid="45" name="MSIP_Label_52c6716a-2832-4ee8-8ee5-b4471006f0c1_SetDate">
    <vt:lpwstr>2022-03-31T11:39:47Z</vt:lpwstr>
  </property>
  <property fmtid="{D5CDD505-2E9C-101B-9397-08002B2CF9AE}" pid="46" name="MSIP_Label_52c6716a-2832-4ee8-8ee5-b4471006f0c1_Method">
    <vt:lpwstr>Privileged</vt:lpwstr>
  </property>
  <property fmtid="{D5CDD505-2E9C-101B-9397-08002B2CF9AE}" pid="47" name="MSIP_Label_52c6716a-2832-4ee8-8ee5-b4471006f0c1_Name">
    <vt:lpwstr>Poufne – Bez Oznaczeń</vt:lpwstr>
  </property>
  <property fmtid="{D5CDD505-2E9C-101B-9397-08002B2CF9AE}" pid="48" name="MSIP_Label_52c6716a-2832-4ee8-8ee5-b4471006f0c1_SiteId">
    <vt:lpwstr>edf3cfc4-ee60-4b92-a2cb-da2c123fc895</vt:lpwstr>
  </property>
  <property fmtid="{D5CDD505-2E9C-101B-9397-08002B2CF9AE}" pid="49" name="MSIP_Label_52c6716a-2832-4ee8-8ee5-b4471006f0c1_ActionId">
    <vt:lpwstr>7a57e5ca-b93a-4051-8d2e-eca3783aa748</vt:lpwstr>
  </property>
  <property fmtid="{D5CDD505-2E9C-101B-9397-08002B2CF9AE}" pid="50" name="MSIP_Label_52c6716a-2832-4ee8-8ee5-b4471006f0c1_ContentBits">
    <vt:lpwstr>0</vt:lpwstr>
  </property>
  <property fmtid="{D5CDD505-2E9C-101B-9397-08002B2CF9AE}" pid="51" name="Order">
    <vt:r8>225299000</vt:r8>
  </property>
  <property fmtid="{D5CDD505-2E9C-101B-9397-08002B2CF9AE}" pid="52" name="Responsible_person">
    <vt:lpwstr/>
  </property>
  <property fmtid="{D5CDD505-2E9C-101B-9397-08002B2CF9AE}" pid="53" name="Link">
    <vt:lpwstr/>
  </property>
  <property fmtid="{D5CDD505-2E9C-101B-9397-08002B2CF9AE}" pid="54" name="DocumentSetDescription">
    <vt:lpwstr/>
  </property>
  <property fmtid="{D5CDD505-2E9C-101B-9397-08002B2CF9AE}" pid="55" name="Strengths">
    <vt:lpwstr/>
  </property>
  <property fmtid="{D5CDD505-2E9C-101B-9397-08002B2CF9AE}" pid="56" name="Key word">
    <vt:lpwstr/>
  </property>
  <property fmtid="{D5CDD505-2E9C-101B-9397-08002B2CF9AE}" pid="57" name="API">
    <vt:lpwstr/>
  </property>
  <property fmtid="{D5CDD505-2E9C-101B-9397-08002B2CF9AE}" pid="58" name="Registration process nonEU only">
    <vt:lpwstr/>
  </property>
  <property fmtid="{D5CDD505-2E9C-101B-9397-08002B2CF9AE}" pid="59" name="Pharmaceutical_forms">
    <vt:lpwstr/>
  </property>
  <property fmtid="{D5CDD505-2E9C-101B-9397-08002B2CF9AE}" pid="60" name="Typ produktu">
    <vt:lpwstr/>
  </property>
  <property fmtid="{D5CDD505-2E9C-101B-9397-08002B2CF9AE}" pid="61" name="_ExtendedDescription">
    <vt:lpwstr/>
  </property>
  <property fmtid="{D5CDD505-2E9C-101B-9397-08002B2CF9AE}" pid="62" name="URL">
    <vt:lpwstr/>
  </property>
</Properties>
</file>