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8CD8E" w14:textId="77777777" w:rsidR="001A6DFC" w:rsidRPr="00670657" w:rsidRDefault="001A6DFC" w:rsidP="001A6DFC">
      <w:pPr>
        <w:widowControl w:val="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GYÓGYSZER NEVE</w:t>
      </w:r>
    </w:p>
    <w:p w14:paraId="65829DB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5EE9939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MSN 250 mg filmtabletta</w:t>
      </w:r>
    </w:p>
    <w:p w14:paraId="41CF78A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500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 mg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filmtabletta</w:t>
      </w:r>
    </w:p>
    <w:p w14:paraId="4F5430A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DB40E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55677CC" w14:textId="77777777" w:rsidR="001A6DFC" w:rsidRPr="00670657" w:rsidRDefault="001A6DFC" w:rsidP="001A6DFC">
      <w:pPr>
        <w:widowControl w:val="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MINŐSÉGI ÉS MENNYISÉGI ÖSSZETÉTEL</w:t>
      </w:r>
    </w:p>
    <w:p w14:paraId="713EB3D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0D85F3B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250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 mg filmtabletta</w:t>
      </w:r>
    </w:p>
    <w:p w14:paraId="66E32E0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250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 mg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-acetátot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tartalmaz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filmtablettánként,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ami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223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 mg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abirateronnak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meg.</w:t>
      </w:r>
    </w:p>
    <w:p w14:paraId="3468F8F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A23E75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500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 mg filmtabletta</w:t>
      </w:r>
    </w:p>
    <w:p w14:paraId="0E6E8C4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500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 mg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-acetátot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tartalmaz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filmtablettánként,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ami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446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 mg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abirateronnak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meg.</w:t>
      </w:r>
    </w:p>
    <w:p w14:paraId="42088F4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6D90E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Ismert hatású segédanyag(ok)</w:t>
      </w:r>
    </w:p>
    <w:p w14:paraId="4F5DB0C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853DCF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250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 mg filmtabletta</w:t>
      </w:r>
    </w:p>
    <w:p w14:paraId="2450062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120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 mg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laktózt (laktóz-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monohidrát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formájában) és 6,75 mg nátriumot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tartalmaz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filmtablettánként.</w:t>
      </w:r>
    </w:p>
    <w:p w14:paraId="2D0908F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AAD7A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500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 mg filmtabletta</w:t>
      </w:r>
    </w:p>
    <w:p w14:paraId="0B202AA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241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 mg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laktózt (laktóz-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monohidrát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formájában) és 13,5 mg nátriumot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tartalmaz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filmtablettánként.</w:t>
      </w:r>
    </w:p>
    <w:p w14:paraId="6C108A8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1A02D2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segédanyagok teljes listáját lásd a 6.1 pontban.</w:t>
      </w:r>
    </w:p>
    <w:p w14:paraId="08F1C4D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18DCA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AD67C4A" w14:textId="77777777" w:rsidR="001A6DFC" w:rsidRPr="00670657" w:rsidRDefault="001A6DFC" w:rsidP="001A6DFC">
      <w:pPr>
        <w:widowControl w:val="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GYÓGYSZERFORMA</w:t>
      </w:r>
    </w:p>
    <w:p w14:paraId="716AF97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2FF27C71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Filmtabletta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49CC5E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611A5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250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 mg filmtabletta</w:t>
      </w:r>
    </w:p>
    <w:p w14:paraId="613D4DC1" w14:textId="0DDD9D73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Bézs színű,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ovális, kb. 16 mm hosszú és 9 mm széles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filmtabletta,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egyik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oldalán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„MA”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, másik oldalán „21” mélynyomású </w:t>
      </w:r>
      <w:r w:rsidR="00E86B33">
        <w:rPr>
          <w:rFonts w:ascii="Times New Roman" w:eastAsia="Times New Roman" w:hAnsi="Times New Roman" w:cs="Times New Roman"/>
          <w:kern w:val="0"/>
          <w14:ligatures w14:val="none"/>
        </w:rPr>
        <w:t>jelöléssel ellátva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7DCDB8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DD970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500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 mg filmtabletta</w:t>
      </w:r>
    </w:p>
    <w:p w14:paraId="55F836CB" w14:textId="69E029D3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Lila,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ovális, kb. 20 mm hosszú és 10 mm széles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filmtabletta,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egyik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oldalán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„MA”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, másik oldalán „22” mélynyomású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</w:t>
      </w:r>
      <w:r w:rsidR="00E86B33">
        <w:rPr>
          <w:rFonts w:ascii="Times New Roman" w:eastAsia="Times New Roman" w:hAnsi="Times New Roman" w:cs="Times New Roman"/>
          <w:kern w:val="0"/>
          <w14:ligatures w14:val="none"/>
        </w:rPr>
        <w:t>öléssel ellátva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E5AF39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240E77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FD8040" w14:textId="77777777" w:rsidR="001A6DFC" w:rsidRPr="00670657" w:rsidRDefault="001A6DFC" w:rsidP="001A6DFC">
      <w:pPr>
        <w:widowControl w:val="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KLINIKAI JELLEMZŐK</w:t>
      </w:r>
    </w:p>
    <w:p w14:paraId="1E2DE90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2505EFE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Terápiás javallatok</w:t>
      </w:r>
    </w:p>
    <w:p w14:paraId="405926B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730132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prednizonnal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prednizolonnal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kombinációban</w:t>
      </w:r>
    </w:p>
    <w:p w14:paraId="4A5B87A0" w14:textId="77777777" w:rsidR="001A6DFC" w:rsidRPr="00670657" w:rsidRDefault="001A6DFC" w:rsidP="001A6DFC">
      <w:pPr>
        <w:widowControl w:val="0"/>
        <w:numPr>
          <w:ilvl w:val="2"/>
          <w:numId w:val="13"/>
        </w:numPr>
        <w:autoSpaceDE w:val="0"/>
        <w:autoSpaceDN w:val="0"/>
        <w:spacing w:after="0" w:line="240" w:lineRule="auto"/>
        <w:ind w:left="567" w:right="-1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újonnan diagnosztizált, magas kockázatú,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metasztatizáló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hormonszenzitív prosztatarák (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metastatic</w:t>
      </w:r>
      <w:proofErr w:type="spellEnd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hormone</w:t>
      </w:r>
      <w:proofErr w:type="spellEnd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sensitive</w:t>
      </w:r>
      <w:proofErr w:type="spellEnd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prostate</w:t>
      </w:r>
      <w:proofErr w:type="spellEnd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cancer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mHSPC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kezelésére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javallott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felnőtt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férfiaknál, androgén-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deprivációs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kezeléssel (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androgen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deprivation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therapy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–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ADT) kombinálva (lásd 5.1 pont);</w:t>
      </w:r>
    </w:p>
    <w:p w14:paraId="346ED167" w14:textId="57B1843A" w:rsidR="001A6DFC" w:rsidRPr="00670657" w:rsidRDefault="001A6DFC" w:rsidP="001A6DFC">
      <w:pPr>
        <w:widowControl w:val="0"/>
        <w:numPr>
          <w:ilvl w:val="2"/>
          <w:numId w:val="13"/>
        </w:numPr>
        <w:autoSpaceDE w:val="0"/>
        <w:autoSpaceDN w:val="0"/>
        <w:spacing w:after="0" w:line="240" w:lineRule="auto"/>
        <w:ind w:left="567" w:right="-1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olyan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metasztatizáló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kasztrációrezisztens prosztatarákban (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metastatic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castration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resistant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prostate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cancer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–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mCRPC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) szenvedő felnőtt férfiak kezelésére javallott, akik sikertelen androgén-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deprivációs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követően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tünetmentesek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enyhe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tüneteket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mutattak,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 akiknél a klinikai állapot alapján a kemoterápiás kezelés még nem javallott (lásd 5.1 pont);</w:t>
      </w:r>
    </w:p>
    <w:p w14:paraId="1A6432D0" w14:textId="77777777" w:rsidR="001A6DFC" w:rsidRPr="00670657" w:rsidRDefault="001A6DFC" w:rsidP="001A6DFC">
      <w:pPr>
        <w:widowControl w:val="0"/>
        <w:numPr>
          <w:ilvl w:val="2"/>
          <w:numId w:val="13"/>
        </w:numPr>
        <w:autoSpaceDE w:val="0"/>
        <w:autoSpaceDN w:val="0"/>
        <w:spacing w:after="0" w:line="240" w:lineRule="auto"/>
        <w:ind w:left="567" w:right="-1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mCRPC-ben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felnőtt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férfiak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kezelésére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javallott,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betegsége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docetaxel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alapú kemoterápia mellett vagy azt követően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progrediált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0FE199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28D9B8" w14:textId="77777777" w:rsidR="001A6DFC" w:rsidRPr="00670657" w:rsidRDefault="001A6DFC" w:rsidP="001A6DFC">
      <w:pPr>
        <w:keepNext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lastRenderedPageBreak/>
        <w:t>Adagolás és alkalmazás</w:t>
      </w:r>
    </w:p>
    <w:p w14:paraId="5D35718F" w14:textId="77777777" w:rsidR="001A6DFC" w:rsidRPr="00670657" w:rsidRDefault="001A6DFC" w:rsidP="001A6DFC">
      <w:pPr>
        <w:keepNext/>
        <w:autoSpaceDE w:val="0"/>
        <w:autoSpaceDN w:val="0"/>
        <w:spacing w:after="0" w:line="240" w:lineRule="auto"/>
        <w:ind w:right="2439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65275C1" w14:textId="502A9995" w:rsidR="001A6DFC" w:rsidRPr="00670657" w:rsidRDefault="001A6DFC" w:rsidP="001A6DFC">
      <w:pPr>
        <w:keepNext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gyógyszert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megfelelő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egészségügyi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szakembernek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51F8C">
        <w:rPr>
          <w:rFonts w:ascii="Times New Roman" w:eastAsia="Times New Roman" w:hAnsi="Times New Roman" w:cs="Times New Roman"/>
          <w:kern w:val="0"/>
          <w14:ligatures w14:val="none"/>
        </w:rPr>
        <w:t>felírnia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47C622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2CE415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Adagolás</w:t>
      </w:r>
    </w:p>
    <w:p w14:paraId="2DAE8CC4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 ajánlott dózis 1000 mg (négy darab 250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tabletta vagy két darab 500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mg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tabletta),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napi egyszeri dózisban, amit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tilos étkezéskor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bevenni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lent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„Az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módja”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című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részt).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tabletták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étkezés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közben történő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bevétele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növeli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szisztémás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expozícióját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4.5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5.2 pont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).</w:t>
      </w:r>
    </w:p>
    <w:p w14:paraId="1C5AF7F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8E7CAD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prednizon</w:t>
      </w:r>
      <w:proofErr w:type="spellEnd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adagolása</w:t>
      </w:r>
    </w:p>
    <w:p w14:paraId="1F5DB3F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metasztatizáló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hormonszenzitív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prosztatarák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mHSPC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)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MSN-t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napi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 mg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együtt alkalmazzák.</w:t>
      </w:r>
    </w:p>
    <w:p w14:paraId="68CCAE24" w14:textId="0D52D448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metasztatizáló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kasztrációrezisztens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prosztatarák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mCRPC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)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MSN-t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napi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mg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együtt alkalmazzák.</w:t>
      </w:r>
    </w:p>
    <w:p w14:paraId="0F417E8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E9F1C7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kezelés alatt olyan betegeknél, akiket nem sebészeti eljárással kasztráltak,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luteinizáló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hormon-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releasing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hormon-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(LHRH-)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analógokkal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végzett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gyógyszeres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kasztrációt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folytatni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kell.</w:t>
      </w:r>
    </w:p>
    <w:p w14:paraId="1914CA6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DA5362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Javasolt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monitorozás</w:t>
      </w:r>
    </w:p>
    <w:p w14:paraId="561AFEC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szérumtranszamináz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-szintek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értékeit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megkezdése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előtt,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első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három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hónapjában kéthetente, majd ezt követően havonta mérni kell. Havonta kell ellenőrizni a vérnyomást, a szérumkáliumszintet, illetve a folyadékretenciót. Azonban az olyan betegeket, akiknél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pangásos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szívelégtelenség magas kockázata áll fenn, a kezelés első három hónapjában kéthetente, majd ezt követően havonta kell ellenőrizni (lásd 4.4 pont).</w:t>
      </w:r>
    </w:p>
    <w:p w14:paraId="64AD3A9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AD76F7" w14:textId="1177D92B" w:rsidR="001A6DFC" w:rsidRPr="00670657" w:rsidRDefault="001A6DFC" w:rsidP="005240F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Azoknál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betegeknél, akiknél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már a kezelést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megelőzően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áll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fenn,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vagy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MSN-kezelés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hypokalaemia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alakul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fontolóra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venni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szérumkáliumszintjének 4 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mmol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/l szinten vagy magasabb szinten való tartását.</w:t>
      </w:r>
    </w:p>
    <w:p w14:paraId="6DB9BFD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A017A5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-kezelést átmenetileg abba kell hagyni, és megfelelő kezelést kell kezdeni azoknál a betegeknél, akiknél ≥ 3-as súlyossági fokú toxicitás alakul ki, beleértve a </w:t>
      </w:r>
      <w:proofErr w:type="spellStart"/>
      <w:r w:rsidRPr="0037435B">
        <w:rPr>
          <w:rFonts w:ascii="Times New Roman" w:eastAsia="Times New Roman" w:hAnsi="Times New Roman" w:cs="Times New Roman"/>
          <w:kern w:val="0"/>
          <w14:ligatures w14:val="none"/>
        </w:rPr>
        <w:t>hypertensiót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oedemát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más,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mineralokortikoid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toxicitást is.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MSN-kezelés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 kezdhető újra, amíg 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toxicitás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tünetei 1-es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súlyossági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fokúra nem enyhülnek, 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kiindulási értékre vissza nem állnak.</w:t>
      </w:r>
    </w:p>
    <w:p w14:paraId="75BF305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AEB0E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MSN,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napi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dózisának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kihagyása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következő napon, a szokásos napi dózissal kell folytatni.</w:t>
      </w:r>
    </w:p>
    <w:p w14:paraId="42C48CF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960C8C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proofErr w:type="spellStart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>Hepatotoxicitás</w:t>
      </w:r>
      <w:proofErr w:type="spellEnd"/>
    </w:p>
    <w:p w14:paraId="61036D7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Azoknál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alakul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(a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glutamát-piruvát-transzamináz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[GPT] vagy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glutamát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-oxálacetát-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transzamináz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[GOT] szintje a normálérték felső határának 5-szöröse fölé emelkedik), a kezelést azonnal fel kell függeszteni (lásd 4.4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pont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).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azután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folytatható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csökkentett,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napi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egyszeri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500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mg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adaggal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(két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250 mg-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tabletta vagy egy 500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tabletta), miután a beteg májfunkciós vizsgálati eredményei visszatértek a kiindulási értékekre. A kezelést újrakezdő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szérumtranszamináz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-szintjeit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három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hónapon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legalább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kéthetente,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majd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követően havonta ellenőrizni kell. Amennyiben a csökkentett, napi 500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dózis mellett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ismételten kialakul, a kezelést le kell állítani.</w:t>
      </w:r>
    </w:p>
    <w:p w14:paraId="5B8B024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E4849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Amennyiben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során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bármikor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lép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GPT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GOT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értéke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normálérték felső határának 20-szorosa), a kezelést abba kell hagyni, és a beteg kezelése nem kezdhető újra.</w:t>
      </w:r>
    </w:p>
    <w:p w14:paraId="1FC054CD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3082075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>Májkárosodás</w:t>
      </w:r>
    </w:p>
    <w:p w14:paraId="075FE69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dózis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módosítása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szükséges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megelőzően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enyhe fokú,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Child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Pugh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stádiumú májkárosodásban szenvedő betegeknél.</w:t>
      </w:r>
    </w:p>
    <w:p w14:paraId="051E678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A77829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közepesen súlyos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májkárosodás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Child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Pugh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stádium)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körülbelül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négyszeresére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növelte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szisztémás expozícióját 1000 mg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egyszeri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per 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alkalmazását követően (lásd 5.2 pont). A közepesen súlyos vagy súlyos fokú májkárosodásban szenvedő (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Child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Pugh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B vagy C stádium) betegeknél az ismételt adagolású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klinikai hatásosságára és biztonságosságára vonatkozóan nem állnak rendelkezésre adatok. A dózis módosítása előre nem határozható meg.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MSN alkalmazását közepesen súlyos fokú májkárosodásban szenvedő betegeknél alaposan át kell gondolni,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esetükben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előnyeinek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egyértelműen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 kell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haladniuk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lehetséges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kockázatot (lásd 4.2 és 5.2 pont).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MSN-t nem szabad súlyos fokú májkárosodásban szenvedő betegeknél alkalmazni (lásd 4.3, 4.4 és 5.2 pont).</w:t>
      </w:r>
    </w:p>
    <w:p w14:paraId="55DA743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A917D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>Vesekárosodás</w:t>
      </w:r>
    </w:p>
    <w:p w14:paraId="4A04F70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dózis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módosítása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szükséges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vesekárosodásban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5.2 pont).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Prosztatarákban és súlyos fokú vesekárosodásban szenvedő betegekkel azonban nincs klinikai tapasztalat. Ezeknél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elővigyázatosság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ajánlott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4.4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pont).</w:t>
      </w:r>
    </w:p>
    <w:p w14:paraId="3B86033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37156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Gyermekek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serdülők</w:t>
      </w:r>
    </w:p>
    <w:p w14:paraId="1F3BD207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-acetátnak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gyermekek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serdülők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nincs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releváns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alkalmazása.</w:t>
      </w:r>
    </w:p>
    <w:p w14:paraId="54F51B5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A26359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alkalmazás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módja</w:t>
      </w:r>
    </w:p>
    <w:p w14:paraId="06E3A88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szájon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való.</w:t>
      </w:r>
    </w:p>
    <w:p w14:paraId="66C5B48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tablettákat naponta egyszer, egy adagban, éhgyomorra kell bevenni.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MSN-t étkezés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után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legalább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két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órával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bevenni,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tabletták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bevétele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után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legalább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órán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 szabad ételt fogyasztani. A tablettákat vízzel, egészben kell lenyelni.</w:t>
      </w:r>
    </w:p>
    <w:p w14:paraId="49ABD60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3E4705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Ellenjavallatok</w:t>
      </w:r>
    </w:p>
    <w:p w14:paraId="5037766A" w14:textId="77777777" w:rsidR="001A6DFC" w:rsidRPr="00670657" w:rsidRDefault="001A6DFC" w:rsidP="001A6DFC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AC6940D" w14:textId="77777777" w:rsidR="001A6DFC" w:rsidRPr="00670657" w:rsidRDefault="001A6DFC" w:rsidP="001A6DFC">
      <w:pPr>
        <w:widowControl w:val="0"/>
        <w:numPr>
          <w:ilvl w:val="2"/>
          <w:numId w:val="15"/>
        </w:numPr>
        <w:autoSpaceDE w:val="0"/>
        <w:autoSpaceDN w:val="0"/>
        <w:spacing w:after="0" w:line="240" w:lineRule="auto"/>
        <w:ind w:left="426"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készítmény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hatóanyagával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6.1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pont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felsorolt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bármely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segédanyagával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szembeni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túlérzékenység;</w:t>
      </w:r>
    </w:p>
    <w:p w14:paraId="2F2AA4DE" w14:textId="77777777" w:rsidR="001A6DFC" w:rsidRPr="00670657" w:rsidRDefault="001A6DFC" w:rsidP="001A6DFC">
      <w:pPr>
        <w:widowControl w:val="0"/>
        <w:numPr>
          <w:ilvl w:val="2"/>
          <w:numId w:val="15"/>
        </w:numPr>
        <w:autoSpaceDE w:val="0"/>
        <w:autoSpaceDN w:val="0"/>
        <w:spacing w:after="0" w:line="240" w:lineRule="auto"/>
        <w:ind w:left="426"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terhes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fogamzóképes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nők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4.6 pont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);</w:t>
      </w:r>
    </w:p>
    <w:p w14:paraId="1203B317" w14:textId="77777777" w:rsidR="001A6DFC" w:rsidRPr="00670657" w:rsidRDefault="001A6DFC" w:rsidP="001A6DFC">
      <w:pPr>
        <w:widowControl w:val="0"/>
        <w:numPr>
          <w:ilvl w:val="2"/>
          <w:numId w:val="15"/>
        </w:numPr>
        <w:autoSpaceDE w:val="0"/>
        <w:autoSpaceDN w:val="0"/>
        <w:spacing w:after="0" w:line="240" w:lineRule="auto"/>
        <w:ind w:left="426"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májkárosodás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Child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Pugh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stádium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[lásd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4.2,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4.4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5.2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pont]);</w:t>
      </w:r>
    </w:p>
    <w:p w14:paraId="32FA360C" w14:textId="77777777" w:rsidR="001A6DFC" w:rsidRPr="00670657" w:rsidRDefault="001A6DFC" w:rsidP="001A6DFC">
      <w:pPr>
        <w:widowControl w:val="0"/>
        <w:numPr>
          <w:ilvl w:val="2"/>
          <w:numId w:val="15"/>
        </w:numPr>
        <w:autoSpaceDE w:val="0"/>
        <w:autoSpaceDN w:val="0"/>
        <w:spacing w:after="0" w:line="240" w:lineRule="auto"/>
        <w:ind w:left="426"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prednizonnal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prednizolonnal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együtt adva,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Ra-223-mal kombinációban ellenjavallt.</w:t>
      </w:r>
    </w:p>
    <w:p w14:paraId="43F84925" w14:textId="77777777" w:rsidR="001A6DFC" w:rsidRPr="00670657" w:rsidRDefault="001A6DFC" w:rsidP="001A6DFC">
      <w:pPr>
        <w:widowControl w:val="0"/>
        <w:tabs>
          <w:tab w:val="left" w:pos="805"/>
        </w:tabs>
        <w:autoSpaceDE w:val="0"/>
        <w:autoSpaceDN w:val="0"/>
        <w:spacing w:after="0" w:line="240" w:lineRule="auto"/>
        <w:ind w:right="1705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71AE1AA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Különleges figyelmeztetések és az alkalmazással kapcsolatos óvintézkedések</w:t>
      </w:r>
    </w:p>
    <w:p w14:paraId="4D500CB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130415F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Mineralokortikoid</w:t>
      </w:r>
      <w:proofErr w:type="spellEnd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-túlsúly okozta </w:t>
      </w: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hypertensio</w:t>
      </w:r>
      <w:proofErr w:type="spellEnd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hypokalaemia</w:t>
      </w:r>
      <w:proofErr w:type="spellEnd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, folyadékretenció és szívelégtelenség</w:t>
      </w:r>
    </w:p>
    <w:p w14:paraId="1ECC07B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MSN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CYP17-gátlás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megemelkedett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mineralokortikoid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-szintek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5.1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pont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) következményeként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hypertensiót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folyadékretenciót okozhat (lásd 4.8 pont).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Kortikoszteroid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egyidejű alkalmazása elnyomja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adrenokortikotróp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hormon (ACTH) hatását, ami csökkenti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gyakoriságát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súlyosságát.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Körültekintően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eljárni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betegek kezelésekor, akiknél az alapbetegséget súlyosbíthatja a vérnyomás emelkedése,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(ilyenek pl.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szívglikozidokkal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kezelt betegek) vagy a folyadékretenció (ilyenek pl. a szívelégtelenségben,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instabil angina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pectorisban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közelmúltban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szívinfarktuson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átesett vagy kamrai ritmuszavarban, illetve súlyos fokú vesekárosodásban szenvedő betegek).</w:t>
      </w:r>
    </w:p>
    <w:p w14:paraId="144FCC0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453AB6B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csak fokozott körültekintéssel alkalmazható olyan betegnél, akinek anamnézisében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cardiovascularis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betegség szerepel.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végzett III. fázisú vizsgálatokból kizárták azokat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betegeket,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kontrollált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hypertonia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klinikailag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jelentős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szívbetegség,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például bizonyított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myocardialis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infarctus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6 hónapon belül történt artériás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thromboticus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esemény, súlyos vagy instabil angina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pectoris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NYHA (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New York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Heart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Association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)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III. vagy IV. stádiumú szívelégtelenség (301-es vizsgálat), vagy II–IV. stádiumú szívelégtelenség (3011-es és 302-es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vizsgálat), vagy 50% alatti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ejekciós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frakció állt fenn. A 3011-es és 302-es vizsgálatból kizárták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pitvarfibrillációban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más, gyógyszeres kezelést igénylő szívritmuszavarban szenvedő betegeket.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biztonságosságot nem igazolták &lt; 50%-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balkamrai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ejekciós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frakció (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left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ventricular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ejection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fraction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; LVEF) vagy NYHA III–IV. stádiumú szívelégtelenség (301-es vizsgálat), vagy NYHA II–IV.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stádiumú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szívelégtelenség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(3011-es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302-es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4.8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5.1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pont).</w:t>
      </w:r>
    </w:p>
    <w:p w14:paraId="28E4178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166EF2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-acetát-kezelés megkezdése előtt meg kell fontolni a szívműködés vizsgálatát (pl.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echokardiográfiával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) olyan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pangásos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szívelégtelenség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magas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kockázata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fenn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(pl.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szívelégtelenség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anamnézisben, nem kontrollált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hypertonia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szív eredetű események, mint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ischaemiás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szívbetegség).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 megkezdése előtt a szívelégtelenséget kezelni, a szívműködést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pedig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optimalizálni kell.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hypertensiót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hypokalaemiát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folyadékretenciót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korrigálni kell,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be kell állítani a megfelelő értékeket. A kezelés alatt a vérnyomást, a szérum káliumszintjét, a folyadékretenciót (testtömeg-növekedés, perifériás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oedema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), valamint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pangásos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szívelégtelenségre utaló egyéb jeleket és tüneteket a kezelés első 3 hónapjában kéthetente, majd ezt követően havonta monitorozni kell, valamint korrigálni kell az eltéréseket. Azoknál a betegeknél, akiknél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-acetát-kezeléssel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összefüggésben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hypokalaemiát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észleltek,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QT-megnyúlást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figyeltek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meg. A klinikai állapotnak megfelelő kardiológiai kivizsgálást kell végezni, megfelelő ellátást kell biztosítani, és amennyiben a kardiológiai funkciók klinikailag jelentős mértékben csökkennek, meg kell fontolni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 leállítását (lásd 4.2 pont).</w:t>
      </w:r>
    </w:p>
    <w:p w14:paraId="74F1A0F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4B89F2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Hepatotoxicitás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májkárosodás</w:t>
      </w:r>
    </w:p>
    <w:p w14:paraId="69BEBEB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kontrollos klinikai vizsgálatokban előfordult, hogy a májenzimek szintje olyan jelentős mértékben emelkedett, ami a kezelés megszakításához vagy a dózis módosításához vezetett (lásd 4.8 pont).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szérumtranszamináz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-szinteket a kezelés megkezdése előtt, majd három hónapon át kéthetente, ezt követően havonta kell ellenőrizni. Amennyiben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hepatotoxicitásra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utaló klinikai tünetek vagy jelek alakulnak ki, a szérum-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transzaminázok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szintjét azonnal meg kell mérni. Amennyiben a GPT- vagy GOT-érték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bármikor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meghaladja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normálérték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felső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határának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5-szörösét,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azonnal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 szakítani, és a májfunkciót szigorúan ellenőrizni kell. A kezelés csak akkor kezdhető újra, ha a májfunkciós vizsgálatok eredményei visszatértek a beteg kiindulási értékeire, és akkor is csak csökkentett dózissal (lásd 4.2 pont). Amennyiben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során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bármikor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fokú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alakul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GPT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GOT értéke a normálérték felső határának 20-szorosa), a kezelést azonnal abba kell hagyni, és a beteg kezelése nem kezdhető újra.</w:t>
      </w:r>
    </w:p>
    <w:p w14:paraId="55A8203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DE8C9B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vizsgálatokból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kizárták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aktív 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tünetekkel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járó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vírusos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hepatitis-fertőzésben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szenvedő betegeket, ezért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ezen betegcsoportban történő alkalmazásával kapcsolatban nem állnak rendelkezésre adatok.</w:t>
      </w:r>
    </w:p>
    <w:p w14:paraId="568FC60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ADC6A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Közepesen súlyos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fokú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májkárosodásban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Child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Pugh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stádium)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ismételt adagolású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klinikai biztonságosságára és hatásosságára vonatkozóan nem állnak rendelkezésre adatok.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alkalmazását közepesen súlyos fokú májkárosodásban szenvedő betegeknél alaposan át kell gondolni, és esetükben a kezelés előnyeinek egyértelműen meg kell haladniuk a lehetséges kockázatot (lásd 4.2 és 5.2 pont).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-acetátot súlyos fokú májkárosodásban szenvedő betegeknél nem szabad alkalmazni (lásd 4.2, 4.3 és 5.2 pont).</w:t>
      </w:r>
    </w:p>
    <w:p w14:paraId="79A9C32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0B0F05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forgalomba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hozatalt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követően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ritkán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akut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májelégtelenség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fulmináns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hepatitis előfordulásáról számoltak be, néhány esetben halálos kimenetellel (lásd 4.8 pont).</w:t>
      </w:r>
    </w:p>
    <w:p w14:paraId="1F00D13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D66C06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Kortikoszteroid</w:t>
      </w:r>
      <w:proofErr w:type="spellEnd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-megvonás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stresszhelyzetek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kezelése</w:t>
      </w:r>
    </w:p>
    <w:p w14:paraId="69F05F8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megvonásakor körültekintéssel kell eljárni, és a beteget a mellékvesekéreg-elégtelenség mielőbbi felismerése érdekében megfigyelés alatt kell tartani. Amennyiben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-acetát-kezelést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kortikoszteroid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-megvonást követően is folytatják, a beteget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folyamatosan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monitorozni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alakulnak-e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mineralokortikoid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-túlsúlyra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jellemző tünetek (lásd a fenti információkat).</w:t>
      </w:r>
    </w:p>
    <w:p w14:paraId="458DF5D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21D289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kezelt, szokatlan stressznek kitett betegeknél nagyobb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kortikoszteroid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-dózisra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lehet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szükség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stresszhelyzetet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megelőzően,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követően.</w:t>
      </w:r>
    </w:p>
    <w:p w14:paraId="63AB5A3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FB0A15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Csontsűrűség</w:t>
      </w:r>
    </w:p>
    <w:p w14:paraId="762B14C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metasztatizáló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előrehaladott prosztatarákban szenvedő férfiaknál előfordulhat a csontsűrűség csökkenése.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glükokortikoidokkal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kombinált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fokozhatja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hatást.</w:t>
      </w:r>
    </w:p>
    <w:p w14:paraId="6DC9AFC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6D6A0F4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lastRenderedPageBreak/>
        <w:t>Korábban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alkalmazott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ketokonazol</w:t>
      </w:r>
      <w:proofErr w:type="spellEnd"/>
    </w:p>
    <w:p w14:paraId="18D925D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Alacsonyabb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válaszarány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várható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akiket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prosztatarák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előzőleg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ketokonazollal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kezeltek.</w:t>
      </w:r>
    </w:p>
    <w:p w14:paraId="5D8D2CC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FBA45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Hyperglykaemia</w:t>
      </w:r>
      <w:proofErr w:type="spellEnd"/>
    </w:p>
    <w:p w14:paraId="4FDB589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glükokortikoidok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növelheti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hyperglykaemia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előfordulását,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ezért 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diabeteses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 vércukorszintjét gyakran kell mérni.</w:t>
      </w:r>
    </w:p>
    <w:p w14:paraId="2CE3912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14419E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Hypoglykaemia</w:t>
      </w:r>
      <w:proofErr w:type="spellEnd"/>
    </w:p>
    <w:p w14:paraId="1CA358A4" w14:textId="36524656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Hypoglykaemia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eseteit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jelentették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adása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kapcsán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olyan,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kezelést megelőzően fennálló diabetesben szenvedő betegeknél, akik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pioglitazont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repaglinidet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kaptak (lásd 4.5 pont); ezért a diabeteses betegek </w:t>
      </w:r>
      <w:r w:rsidRPr="00657CE4">
        <w:rPr>
          <w:rFonts w:ascii="Times New Roman" w:eastAsia="Times New Roman" w:hAnsi="Times New Roman" w:cs="Times New Roman"/>
          <w:kern w:val="0"/>
          <w14:ligatures w14:val="none"/>
        </w:rPr>
        <w:t xml:space="preserve">vércukorszintjét </w:t>
      </w:r>
      <w:r w:rsidR="00657CE4">
        <w:rPr>
          <w:rFonts w:ascii="Times New Roman" w:eastAsia="Times New Roman" w:hAnsi="Times New Roman" w:cs="Times New Roman"/>
          <w:kern w:val="0"/>
          <w14:ligatures w14:val="none"/>
        </w:rPr>
        <w:t>monitorozni</w:t>
      </w:r>
      <w:r w:rsidR="00657CE4" w:rsidRPr="00657CE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57CE4">
        <w:rPr>
          <w:rFonts w:ascii="Times New Roman" w:eastAsia="Times New Roman" w:hAnsi="Times New Roman" w:cs="Times New Roman"/>
          <w:kern w:val="0"/>
          <w14:ligatures w14:val="none"/>
        </w:rPr>
        <w:t>kell.</w:t>
      </w:r>
    </w:p>
    <w:p w14:paraId="418C404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C89CBB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Kemoterápiával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történő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együttes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alkalmazás</w:t>
      </w:r>
    </w:p>
    <w:p w14:paraId="0D58031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citotoxikus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kemoterápiával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egyidejű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alkalmazásának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biztonságosságát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 hatásosságát nem igazolták (lásd 5.1 pont).</w:t>
      </w:r>
    </w:p>
    <w:p w14:paraId="047C6A1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3FFE10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Segédanyagokkal szembeni intolerancia</w:t>
      </w:r>
    </w:p>
    <w:p w14:paraId="7A68CB7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Laktóz</w:t>
      </w:r>
    </w:p>
    <w:p w14:paraId="2152931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laktózt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tartalmaz.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Ritkán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előforduló,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örökletes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galaktózintoleranciában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teljes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laktáz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-hiányban vagy glükóz-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galaktóz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malabszorpcióban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 készítmény nem szedhető.</w:t>
      </w:r>
    </w:p>
    <w:p w14:paraId="77E17A6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02178D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Nátrium</w:t>
      </w:r>
    </w:p>
    <w:p w14:paraId="3F26A002" w14:textId="6379996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 a gyógyszer 27 mg nátriumot tartalmaz 1000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napi dózisonként (négy 250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két 500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tablett</w:t>
      </w:r>
      <w:r w:rsidR="00657CE4">
        <w:rPr>
          <w:rFonts w:ascii="Times New Roman" w:eastAsia="Times New Roman" w:hAnsi="Times New Roman" w:cs="Times New Roman"/>
          <w:kern w:val="0"/>
          <w14:ligatures w14:val="none"/>
        </w:rPr>
        <w:t>ában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), ami megfelel a WHO által ajánlott maximális napi 2 g nátriumbevitel 1,35%</w:t>
      </w:r>
      <w:r w:rsidR="00657CE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ának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felnőtteknél.</w:t>
      </w:r>
    </w:p>
    <w:p w14:paraId="47D551E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B306D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Lehetséges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kockázatok</w:t>
      </w:r>
    </w:p>
    <w:p w14:paraId="3819773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Anaemia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szexuális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diszfunkció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fordulhat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metasztatizáló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prosztatarákban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felnőtt férfiaknál, beleértve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-acetát-kezelésben részesülőket is.</w:t>
      </w:r>
    </w:p>
    <w:p w14:paraId="43FF330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0564AC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vázizomzatra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gyakorolt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hatások</w:t>
      </w:r>
    </w:p>
    <w:p w14:paraId="79803C1D" w14:textId="31E2F625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-acetáttal kezelt betegeknél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myopathia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rhabdomyol</w:t>
      </w:r>
      <w:r w:rsidR="00502A4B">
        <w:rPr>
          <w:rFonts w:ascii="Times New Roman" w:eastAsia="Times New Roman" w:hAnsi="Times New Roman" w:cs="Times New Roman"/>
          <w:kern w:val="0"/>
          <w14:ligatures w14:val="none"/>
        </w:rPr>
        <w:t>y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eseteit jelentették. Az esetek többsége a kezelés megkezdését követő első 6 hónapban alakult ki, és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 abbahagyását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követően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rendeződött.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Elővigyázatosság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ajánlott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akiket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egyidejűleg olyan gyógyszerekkel kezelnek, amelyek ismerten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myopathiát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rhabdomyol</w:t>
      </w:r>
      <w:r w:rsidR="00502A4B">
        <w:rPr>
          <w:rFonts w:ascii="Times New Roman" w:eastAsia="Times New Roman" w:hAnsi="Times New Roman" w:cs="Times New Roman"/>
          <w:kern w:val="0"/>
          <w14:ligatures w14:val="none"/>
        </w:rPr>
        <w:t>y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sist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okoznak.</w:t>
      </w:r>
    </w:p>
    <w:p w14:paraId="478F13B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6F4B5B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Gyógyszerkölcsönhatások</w:t>
      </w:r>
    </w:p>
    <w:p w14:paraId="04EB091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-acetát-expozíció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csökkenésének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kockázata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kerülni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CYP3A4 erős induktorainak alkalmazását, hacsak nincs más kezelési lehetőség (lásd 4.5 pont).</w:t>
      </w:r>
    </w:p>
    <w:p w14:paraId="47C87D4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7A5F3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prednizon</w:t>
      </w:r>
      <w:proofErr w:type="spellEnd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/</w:t>
      </w: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kombinációja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Ra-223-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mal</w:t>
      </w:r>
    </w:p>
    <w:p w14:paraId="7EA4703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Amint azt a klinikai vizsgálatokban megfigyelték, a tünetmentes vagy enyhe tüneteket mutató prosztatarákos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törések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fokozott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kockázata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emelkedett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mortalitási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tendencia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kombinációs kezelés Ra-223-mal együtt ellenjavallt (lásd 4.3 pont).</w:t>
      </w:r>
    </w:p>
    <w:p w14:paraId="0571CBB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A10E4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kombináció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utolsó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dózisának alkalmazása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után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legalább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napig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 javasolt megkezdeni a következő, Ra-223-mal történő kezelést.</w:t>
      </w:r>
    </w:p>
    <w:p w14:paraId="32AEDCF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5EE748" w14:textId="77777777" w:rsidR="001A6DFC" w:rsidRPr="00C5550B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5550B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Gyógyszerkölcsönhatások és egyéb interakciók</w:t>
      </w:r>
    </w:p>
    <w:p w14:paraId="48DBBE4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311F6CD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étel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hatása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abirateronra</w:t>
      </w:r>
      <w:proofErr w:type="spellEnd"/>
    </w:p>
    <w:p w14:paraId="1D9FD6D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étkezés közbeni bevétel jelentősen növeli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felszívódását. Hatásosságát és biztonságosságát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étkezés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közbeni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bevétel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igazolták,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ezért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gyógyszert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tilos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étkezés közben bevenni (lásd 4.2 és 5.2 pont)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.</w:t>
      </w:r>
    </w:p>
    <w:p w14:paraId="1801C24F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1688202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lastRenderedPageBreak/>
        <w:t>Gyógyszerkölcsönhatások</w:t>
      </w:r>
    </w:p>
    <w:p w14:paraId="7F4533C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Más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gyógyszerek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-expozícióra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kifejtett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hatásai</w:t>
      </w:r>
    </w:p>
    <w:p w14:paraId="1CE0566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 farmakokinetikai interakciós klinikai vizsgálatban, amelyben egészséges önkénteseket az erős CYP3A4-induktor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rifampicinnel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napon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naponta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600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 mg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dózissal előkezeltek,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majd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követően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egyszeri dózisban 1000 mg 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-acetátot adtak, az 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átlagos plazma-AUC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∞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-értéke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csökkent.</w:t>
      </w:r>
    </w:p>
    <w:p w14:paraId="6560544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B8D5ED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erős CYP3A4-induktorok (pl.: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fenitoin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karbamazepin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rifampicin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rifabutin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rifapentin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fenobarbitál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közönséges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orbáncfű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[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Hypericum</w:t>
      </w:r>
      <w:proofErr w:type="spellEnd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perforatum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])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kerülendő, hacsak nincs más kezelési lehetőség.</w:t>
      </w:r>
    </w:p>
    <w:p w14:paraId="397B2E8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5B59AA8" w14:textId="6B09BCFC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 másik, egészséges önkéntesek bevonásával végzett klinikai farmakokinetikai interakciós vizsgálatban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ketokonazol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erős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CYP3A4-gátló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egyidejű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alkalmazásának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klinikailag jelentős hatása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farmakokinetikájára.</w:t>
      </w:r>
    </w:p>
    <w:p w14:paraId="62FB0B2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3E7B52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Más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gyógyszerek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expozíciójára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kifejtett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hatás</w:t>
      </w:r>
    </w:p>
    <w:p w14:paraId="7B1C8448" w14:textId="6FA3FDB0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gátolja a máj CYP2D6 és CYP2C8 gyógyszer</w:t>
      </w:r>
      <w:r w:rsidR="00C5550B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metabolizáló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enzimeit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-acetátnak (és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prednizonnak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) az egyszeri dózisban adott CYP2D6-szubsztrát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dextrometorfánra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gyakorolt hatásának megállapítására elvégzett vizsgálatban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dextrometorfán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szisztémás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expozíciója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(AUC)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megközelítőleg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2,9-szeresére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emelkedett.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dextrometorfán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aktív 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metabolitjának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, a 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dextrorfánnak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az AUC</w:t>
      </w:r>
      <w:r w:rsidRPr="00670657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24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-értéke megközelítőleg 33%-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emelkedett.</w:t>
      </w:r>
    </w:p>
    <w:p w14:paraId="100BC16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087BCB" w14:textId="2F6412F8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Körültekintéssel kell eljárni, amikor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 CYP2D6</w:t>
      </w:r>
      <w:r w:rsidR="00724C0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enzim által aktiválódó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metabolizálódó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gyógyszerekkel egyidejűleg alkalmazzák, különös tekintettel az alacsony terápiás indexű gyógyszerekre. A CYP2D6</w:t>
      </w:r>
      <w:r w:rsidR="00724C0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enzim által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metabolizálódó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alacsony terápiás indexű gyógyszerek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dózisának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csökkentése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megfontolandó.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CYP2D6</w:t>
      </w:r>
      <w:r w:rsidR="00724C0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enzim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által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metabolizálódó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gyógyszerek például: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metoprolol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propranolol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dezipramin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venlafaxin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haloperidol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riszperidon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propafenon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flekainid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kodein,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oxikodon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tramadol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(az utóbbi három gyógyszernél a CYP2D6 közreműködésével alakul ki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analgetikus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hatással rendelkező aktív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).</w:t>
      </w:r>
    </w:p>
    <w:p w14:paraId="1681E4A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2CABB7" w14:textId="69BBC8C2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Egy egészséges önkéntesek bevonásával végzett CYP2C8 gyógyszerinterakciós vizsgálatban, amely során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pioglitazont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1000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 mg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egyszeri dózisával adták együtt,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pioglitazon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AUC</w:t>
      </w:r>
      <w:r w:rsidR="00724C00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értéke 46%-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emelkedett, az aktív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pioglitazon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-metabolitok,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 M-III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 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M-IV AUC-értékei pedig 10–10%-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csökkentek. Amennyiben alacsony terápiás indexű CYP2C8-szubsztrát egyidejű alkalmazására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kerül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sor,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betegeket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ilyen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gyógyszerekkel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összefüggésbe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hozható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toxicitás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jeleinek mielőbbi felismerése érdekében monitorozni kell. A CYP2C8 által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metabolizált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gyógyszerekre példa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pioglitazon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repaglinid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(lásd 4.4 pont).</w:t>
      </w:r>
    </w:p>
    <w:p w14:paraId="1CC439F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EF775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In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vitro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major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metabolit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-szulfát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N-oxid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-szulfát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hepatikus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OATP1B1-transzportergátló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hatását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mutatták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melynek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következményeként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OATP1B1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által eliminált gyógyszerek koncentrációi emelkedhetnek. Nem állnak rendelkezésre klinikai adatok a transzporterekkel összefüggő interakciókról.</w:t>
      </w:r>
    </w:p>
    <w:p w14:paraId="33C2259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A27E0C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Alkalmazása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QT-távolságot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ismerten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megnyújtó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gyógyszerekkel</w:t>
      </w:r>
    </w:p>
    <w:p w14:paraId="26E7E9F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Mivel az androgén-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deprivációs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kezelés megnyújthatja a QT-távolságot, elővigyázatosság javasolt, amikor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-acetátot olyan gyógyszerekkel adják együtt, amelyekről ismert, hogy megnyújtják a QT-távolságot, vagy olyan gyógyszerekkel, amelyek képesek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torsades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de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pointes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-t indukálni, mint például az IA osztályba (pl.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kinidin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dizopiramid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) vagy a III. osztályba tartozó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antiarrhythmiás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(pl.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amiodaron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szotalol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dofetilid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ibutilid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),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metadon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moxifloxacin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antipszichotikumok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stb.</w:t>
      </w:r>
    </w:p>
    <w:p w14:paraId="2A08A71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8FEF3D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Alkalmazása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>spironolaktonnal</w:t>
      </w:r>
      <w:proofErr w:type="spellEnd"/>
    </w:p>
    <w:p w14:paraId="57DCB0A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spironolakton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kötődik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androgénreceptorhoz,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megnövelheti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prosztata-specifikus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antigén (PSA) szintjét.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történő egyidejű alkalmazása nem javasolt (lásd 5.1 pont).</w:t>
      </w:r>
    </w:p>
    <w:p w14:paraId="4871F00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6130674" w14:textId="77777777" w:rsidR="001A6DFC" w:rsidRPr="00670657" w:rsidRDefault="001A6DFC" w:rsidP="001A6DFC">
      <w:pPr>
        <w:keepNext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lastRenderedPageBreak/>
        <w:t>Termékenység, terhesség és szoptatás</w:t>
      </w:r>
    </w:p>
    <w:p w14:paraId="32EB60EA" w14:textId="77777777" w:rsidR="001A6DFC" w:rsidRPr="00670657" w:rsidRDefault="001A6DFC" w:rsidP="001A6DFC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0AF1C38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Fogamzóképes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nők</w:t>
      </w:r>
    </w:p>
    <w:p w14:paraId="77E6052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terhes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nőknél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tekintetében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rendelkezésre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információ. Ez a gyógyszer nem alkalmazható fogamzóképes nőknél.</w:t>
      </w:r>
    </w:p>
    <w:p w14:paraId="4E617CF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04060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Fogamzásgátlás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férfiaknál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nőknél</w:t>
      </w:r>
    </w:p>
    <w:p w14:paraId="6E68A691" w14:textId="6411AACB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ismert,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metabolitjai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megjelennek-e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spermában.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Amennyiben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beteg terhes nővel kerül szexuális kapcsolatba, óvszert kell használnia. Amennyiben a beteg fogamzóképes nővel kerül szexuális kapcsolatba, óvszert és egy másik hatékony fogamzásgátló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módszert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alkalmaznia.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Az á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llatokkal végzett vizsgálatok reprodukciós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toxicitást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igazoltak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(lásd 5.3 pont).</w:t>
      </w:r>
    </w:p>
    <w:p w14:paraId="3FCAE8F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657E89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Terhesség</w:t>
      </w:r>
    </w:p>
    <w:p w14:paraId="55824CF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nők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kezelésére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alkalmazható,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terhes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fogamzóképes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nők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számára ellenjavallt (lásd 4.3 és 5.3 pont).</w:t>
      </w:r>
    </w:p>
    <w:p w14:paraId="02D0238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5EF026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Szoptatás</w:t>
      </w:r>
    </w:p>
    <w:p w14:paraId="3D3BEA8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nők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kezelésére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nem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alkalmazható.</w:t>
      </w:r>
    </w:p>
    <w:p w14:paraId="3EA14E5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D46720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Termékenység</w:t>
      </w:r>
    </w:p>
    <w:p w14:paraId="2292943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befolyásolta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hím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nőstény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patkányok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termékenységét,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azonban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hatások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teljes mértékben reverzibilisek voltak (lásd 5.3 pont).</w:t>
      </w:r>
    </w:p>
    <w:p w14:paraId="6C4D225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62ABF43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A készítmény hatásai a gépjárművezetéshez és a gépek kezeléséhez szükséges képességekre</w:t>
      </w:r>
    </w:p>
    <w:p w14:paraId="10F869F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2505456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elhanyagolható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mértékben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befolyásolja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gépjárművezetéshez és a gépek kezeléséhez szükséges képességeket.</w:t>
      </w:r>
    </w:p>
    <w:p w14:paraId="5643534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476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DDED94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Nemkívánatos hatások, mellékhatások</w:t>
      </w:r>
    </w:p>
    <w:p w14:paraId="2FF0487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018E74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biztonságossági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profil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összefoglalása</w:t>
      </w:r>
    </w:p>
    <w:p w14:paraId="466C8347" w14:textId="0418D828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összetett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végpontú,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III.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fázisú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során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tapasztalt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egyik analízisében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következő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mellékhatásokat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≥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figyelték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perifériás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oedema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hypertensio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húgyúti fertőzés, és emelkedett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glutamát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piruvát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transzamináz</w:t>
      </w:r>
      <w:proofErr w:type="spellEnd"/>
      <w:r w:rsidR="003D479A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szint és/vagy emelkedett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glutamát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-oxálacetát-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transzamináz</w:t>
      </w:r>
      <w:proofErr w:type="spellEnd"/>
      <w:r w:rsidR="003D479A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szint. A további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fontos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közé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tartoznak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szívbetegségek, 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törések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allergiás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alveolitis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BF50C6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2E92AC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Hatásmechanizmusából fakadóan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-acetátnak a következő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farmakodinámiás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hatásai lehetnek: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hypertensio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hypokalaemia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 folyadékretenció. 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III. fázisú klinikai vizsgálatokban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mineralokortikoidok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előre látható mellékhatásait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 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gyakrabban figyelték meg, mint a placebóval kezelteknél: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18% vs. 8%,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hypertensio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22% vs. 16% és folyadékretenció (perifériás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oedema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) 23% vs. 17%.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 betegeknél, szemben a placebóval kezelt betegekkel, a mellékhatásokra vonatkozó, közös terminológiai kritériumok (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Common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Terminology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Criteria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for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Adverse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Events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 CTCAE) (4.0 verzió) szerinti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fokozatú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– 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előbbi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sorrendnek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megfelelően –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6%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vs.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CTCAE (4.0 verzió) 3. és 4. fokozatú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hypertensiót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 betegek 7% vs. 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és 3. és 4. fokozatú folyadékretenciót (perifériás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oedema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) a betegek 1% vs. 1%-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figyeltek meg.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mineralokortikoid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reakciókat általában sikeresen kezelték gyógyszeresen.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Kortikoszteroid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egyidejű alkalmazása mérsékli ezen mellékhatások gyakoriságát és súlyosságát (lásd 4.4 pont).</w:t>
      </w:r>
    </w:p>
    <w:p w14:paraId="1619DA1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8D0BC7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Mellékhatások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táblázatos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felsorolása</w:t>
      </w:r>
    </w:p>
    <w:p w14:paraId="7ADACA5D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Előrehaladott,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metasztatizáló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prosztatarákban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korábban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LHRH-analóggal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sebészeti kasztrációval kezelt betegek klinikai vizsgálataiban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naponta 1000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dózisban alkalmazták kis dózisú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(napi 5 vagy 10 mg, az indikációtól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függően) kombinációban.</w:t>
      </w:r>
    </w:p>
    <w:p w14:paraId="3692475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C7FB06" w14:textId="77777777" w:rsidR="001A6DFC" w:rsidRPr="00670657" w:rsidRDefault="001A6DFC" w:rsidP="005240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vizsgálatok során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forgalomba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hozatalt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követően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megfigyelt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alábbiakban gyakorisági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kategóriák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szerint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kerülnek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felsorolásra.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gyakorisági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kategóriák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meghatározása: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nagyon gyakori (≥ 1/10); gyakori (≥ 1/100 – &lt; 1/10); nem gyakori (≥ 1/1000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  <w:t> &lt; 1/100); ritka (≥ 1/10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000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&lt;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1/1000);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nagyon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ritka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(&lt;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1/10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000)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ismert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gyakoriság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rendelkezésre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álló adatokból nem állapítható meg).</w:t>
      </w:r>
    </w:p>
    <w:p w14:paraId="26F5D8E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gyakorisági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kategóriákon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belül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súlyosság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szerint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csökkenő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sorrendben kerülnek megadásra.</w:t>
      </w:r>
    </w:p>
    <w:p w14:paraId="408F6AA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BE562E2" w14:textId="14D2124E" w:rsidR="001A6DFC" w:rsidRPr="00670657" w:rsidRDefault="001A6DFC" w:rsidP="005240F4">
      <w:pPr>
        <w:widowControl w:val="0"/>
        <w:autoSpaceDE w:val="0"/>
        <w:autoSpaceDN w:val="0"/>
        <w:spacing w:after="0" w:line="240" w:lineRule="auto"/>
        <w:ind w:left="1276" w:right="-1" w:hanging="1276"/>
        <w:outlineLvl w:val="1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 táblázat: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>A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klinikai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vizsgálatok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során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forgalomba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hozatalt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követően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azonosított 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mellékhatások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4678"/>
      </w:tblGrid>
      <w:tr w:rsidR="001A6DFC" w:rsidRPr="00670657" w14:paraId="20BB022C" w14:textId="77777777" w:rsidTr="00670657">
        <w:trPr>
          <w:trHeight w:val="275"/>
        </w:trPr>
        <w:tc>
          <w:tcPr>
            <w:tcW w:w="4390" w:type="dxa"/>
          </w:tcPr>
          <w:p w14:paraId="1A0F46EE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Szervrendszeri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kategória</w:t>
            </w:r>
            <w:proofErr w:type="spellEnd"/>
          </w:p>
        </w:tc>
        <w:tc>
          <w:tcPr>
            <w:tcW w:w="4678" w:type="dxa"/>
          </w:tcPr>
          <w:p w14:paraId="5720CF3C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Mellékhatás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és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gyakoriság</w:t>
            </w:r>
            <w:proofErr w:type="spellEnd"/>
          </w:p>
        </w:tc>
      </w:tr>
      <w:tr w:rsidR="001A6DFC" w:rsidRPr="00670657" w14:paraId="0DCD61E0" w14:textId="77777777" w:rsidTr="00670657">
        <w:trPr>
          <w:trHeight w:val="551"/>
        </w:trPr>
        <w:tc>
          <w:tcPr>
            <w:tcW w:w="4390" w:type="dxa"/>
          </w:tcPr>
          <w:p w14:paraId="414F0F80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Fertőző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betegségek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és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parazitafertőzések</w:t>
            </w:r>
            <w:proofErr w:type="spellEnd"/>
          </w:p>
        </w:tc>
        <w:tc>
          <w:tcPr>
            <w:tcW w:w="4678" w:type="dxa"/>
          </w:tcPr>
          <w:p w14:paraId="11128036" w14:textId="77777777" w:rsidR="001A6DFC" w:rsidRPr="005240F4" w:rsidRDefault="001A6DFC" w:rsidP="001A6DFC">
            <w:pPr>
              <w:ind w:right="1335"/>
              <w:rPr>
                <w:rFonts w:ascii="Times New Roman" w:eastAsia="Times New Roman" w:hAnsi="Times New Roman" w:cs="Times New Roman"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nagyon gyakori: húgyúti fertőzés gyakori: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sepsis</w:t>
            </w:r>
            <w:proofErr w:type="spellEnd"/>
          </w:p>
        </w:tc>
      </w:tr>
      <w:tr w:rsidR="001A6DFC" w:rsidRPr="00670657" w14:paraId="6D41B0B5" w14:textId="77777777" w:rsidTr="00670657">
        <w:trPr>
          <w:trHeight w:val="268"/>
        </w:trPr>
        <w:tc>
          <w:tcPr>
            <w:tcW w:w="4390" w:type="dxa"/>
          </w:tcPr>
          <w:p w14:paraId="1B308214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Immunrendszeri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betegségek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és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tünetek</w:t>
            </w:r>
            <w:proofErr w:type="spellEnd"/>
          </w:p>
        </w:tc>
        <w:tc>
          <w:tcPr>
            <w:tcW w:w="4678" w:type="dxa"/>
          </w:tcPr>
          <w:p w14:paraId="2EFAF97B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nem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ismert</w:t>
            </w:r>
            <w:proofErr w:type="spellEnd"/>
            <w:r w:rsidRPr="00C15AD7">
              <w:rPr>
                <w:rFonts w:ascii="Times New Roman" w:eastAsia="Times New Roman" w:hAnsi="Times New Roman" w:cs="Times New Roman"/>
              </w:rPr>
              <w:t>: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anaphylaxiás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reakciók</w:t>
            </w:r>
            <w:proofErr w:type="spellEnd"/>
          </w:p>
        </w:tc>
      </w:tr>
      <w:tr w:rsidR="001A6DFC" w:rsidRPr="00670657" w14:paraId="1E01EC6B" w14:textId="77777777" w:rsidTr="00670657">
        <w:trPr>
          <w:trHeight w:val="275"/>
        </w:trPr>
        <w:tc>
          <w:tcPr>
            <w:tcW w:w="4390" w:type="dxa"/>
          </w:tcPr>
          <w:p w14:paraId="0C250578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Endokrin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betegségek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és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tünetek</w:t>
            </w:r>
            <w:proofErr w:type="spellEnd"/>
          </w:p>
        </w:tc>
        <w:tc>
          <w:tcPr>
            <w:tcW w:w="4678" w:type="dxa"/>
          </w:tcPr>
          <w:p w14:paraId="034F8DDC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nem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gyakori</w:t>
            </w:r>
            <w:proofErr w:type="spellEnd"/>
            <w:r w:rsidRPr="00C15AD7">
              <w:rPr>
                <w:rFonts w:ascii="Times New Roman" w:eastAsia="Times New Roman" w:hAnsi="Times New Roman" w:cs="Times New Roman"/>
              </w:rPr>
              <w:t>: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mellékvese-</w:t>
            </w:r>
            <w:r w:rsidRPr="005240F4">
              <w:rPr>
                <w:rFonts w:ascii="Times New Roman" w:eastAsia="Times New Roman" w:hAnsi="Times New Roman" w:cs="Times New Roman"/>
              </w:rPr>
              <w:t>elégtelenség</w:t>
            </w:r>
            <w:proofErr w:type="spellEnd"/>
          </w:p>
        </w:tc>
      </w:tr>
      <w:tr w:rsidR="001A6DFC" w:rsidRPr="00670657" w14:paraId="53105F96" w14:textId="77777777" w:rsidTr="00670657">
        <w:trPr>
          <w:trHeight w:val="551"/>
        </w:trPr>
        <w:tc>
          <w:tcPr>
            <w:tcW w:w="4390" w:type="dxa"/>
          </w:tcPr>
          <w:p w14:paraId="4AD780E4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b/>
                <w:lang w:val="hu-HU"/>
              </w:rPr>
              <w:t>Anyagcsere- és táplálkozási betegségek és tünetek</w:t>
            </w:r>
          </w:p>
        </w:tc>
        <w:tc>
          <w:tcPr>
            <w:tcW w:w="4678" w:type="dxa"/>
          </w:tcPr>
          <w:p w14:paraId="48788843" w14:textId="77777777" w:rsidR="001A6DFC" w:rsidRPr="005240F4" w:rsidRDefault="001A6DFC" w:rsidP="001A6DFC">
            <w:pPr>
              <w:ind w:right="1335"/>
              <w:rPr>
                <w:rFonts w:ascii="Times New Roman" w:eastAsia="Times New Roman" w:hAnsi="Times New Roman" w:cs="Times New Roman"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nagyon gyakori: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hypokalaemia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 gyakori: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hypertriglyceridaemia</w:t>
            </w:r>
            <w:proofErr w:type="spellEnd"/>
          </w:p>
        </w:tc>
      </w:tr>
      <w:tr w:rsidR="001A6DFC" w:rsidRPr="00670657" w14:paraId="20C2E6D3" w14:textId="77777777" w:rsidTr="00670657">
        <w:trPr>
          <w:trHeight w:val="1379"/>
        </w:trPr>
        <w:tc>
          <w:tcPr>
            <w:tcW w:w="4390" w:type="dxa"/>
          </w:tcPr>
          <w:p w14:paraId="362FD0E3" w14:textId="77777777" w:rsidR="001A6DFC" w:rsidRPr="005240F4" w:rsidRDefault="001A6DFC" w:rsidP="001A6DFC">
            <w:pPr>
              <w:ind w:right="5"/>
              <w:rPr>
                <w:rFonts w:ascii="Times New Roman" w:eastAsia="Times New Roman" w:hAnsi="Times New Roman" w:cs="Times New Roman"/>
                <w:b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b/>
                <w:lang w:val="hu-HU"/>
              </w:rPr>
              <w:t>Szívbetegségek és a szívvel kapcsolatos tünetek</w:t>
            </w:r>
          </w:p>
        </w:tc>
        <w:tc>
          <w:tcPr>
            <w:tcW w:w="4678" w:type="dxa"/>
          </w:tcPr>
          <w:p w14:paraId="636D74AC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gyakori: szívelégtelenség*, angina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pectoris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,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pitvarfibrilláció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,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tachycardia</w:t>
            </w:r>
            <w:proofErr w:type="spellEnd"/>
          </w:p>
          <w:p w14:paraId="7921CD03" w14:textId="77777777" w:rsidR="001A6DFC" w:rsidRPr="005240F4" w:rsidRDefault="001A6DFC" w:rsidP="001A6DFC">
            <w:pPr>
              <w:ind w:right="1335"/>
              <w:rPr>
                <w:rFonts w:ascii="Times New Roman" w:eastAsia="Times New Roman" w:hAnsi="Times New Roman" w:cs="Times New Roman"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nem gyakori: egyéb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arrhythmiák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 nem ismert: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myocardialis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infarctus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lang w:val="hu-HU"/>
              </w:rPr>
              <w:t>, QT-megnyúlás (lásd 4.4 és 4.5 pont)</w:t>
            </w:r>
          </w:p>
        </w:tc>
      </w:tr>
      <w:tr w:rsidR="001A6DFC" w:rsidRPr="00670657" w14:paraId="74316631" w14:textId="77777777" w:rsidTr="00670657">
        <w:trPr>
          <w:trHeight w:val="275"/>
        </w:trPr>
        <w:tc>
          <w:tcPr>
            <w:tcW w:w="4390" w:type="dxa"/>
          </w:tcPr>
          <w:p w14:paraId="701DF482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Érbetegségek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és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tünetek</w:t>
            </w:r>
            <w:proofErr w:type="spellEnd"/>
          </w:p>
        </w:tc>
        <w:tc>
          <w:tcPr>
            <w:tcW w:w="4678" w:type="dxa"/>
          </w:tcPr>
          <w:p w14:paraId="483A007C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nagyon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gyakori</w:t>
            </w:r>
            <w:proofErr w:type="spellEnd"/>
            <w:r w:rsidRPr="00C15AD7">
              <w:rPr>
                <w:rFonts w:ascii="Times New Roman" w:eastAsia="Times New Roman" w:hAnsi="Times New Roman" w:cs="Times New Roman"/>
              </w:rPr>
              <w:t>: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hypertensio</w:t>
            </w:r>
            <w:proofErr w:type="spellEnd"/>
          </w:p>
        </w:tc>
      </w:tr>
      <w:tr w:rsidR="001A6DFC" w:rsidRPr="00670657" w14:paraId="44502641" w14:textId="77777777" w:rsidTr="00670657">
        <w:trPr>
          <w:trHeight w:val="551"/>
        </w:trPr>
        <w:tc>
          <w:tcPr>
            <w:tcW w:w="4390" w:type="dxa"/>
          </w:tcPr>
          <w:p w14:paraId="262A5B24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b/>
                <w:lang w:val="hu-HU"/>
              </w:rPr>
              <w:t xml:space="preserve">Légzőrendszeri, mellkasi és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b/>
                <w:lang w:val="hu-HU"/>
              </w:rPr>
              <w:t>mediastinalis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  <w:lang w:val="hu-HU"/>
              </w:rPr>
              <w:t xml:space="preserve"> betegségek és tünetek</w:t>
            </w:r>
          </w:p>
        </w:tc>
        <w:tc>
          <w:tcPr>
            <w:tcW w:w="4678" w:type="dxa"/>
          </w:tcPr>
          <w:p w14:paraId="41F738F0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ritka</w:t>
            </w:r>
            <w:proofErr w:type="spellEnd"/>
            <w:r w:rsidRPr="00C15AD7">
              <w:rPr>
                <w:rFonts w:ascii="Times New Roman" w:eastAsia="Times New Roman" w:hAnsi="Times New Roman" w:cs="Times New Roman"/>
              </w:rPr>
              <w:t>: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allergiás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alveolitis</w:t>
            </w:r>
            <w:r w:rsidRPr="005240F4">
              <w:rPr>
                <w:rFonts w:ascii="Times New Roman" w:eastAsia="Times New Roman" w:hAnsi="Times New Roman" w:cs="Times New Roman"/>
                <w:vertAlign w:val="superscript"/>
              </w:rPr>
              <w:t>a</w:t>
            </w:r>
            <w:proofErr w:type="spellEnd"/>
          </w:p>
        </w:tc>
      </w:tr>
      <w:tr w:rsidR="001A6DFC" w:rsidRPr="00670657" w14:paraId="7688E93B" w14:textId="77777777" w:rsidTr="00670657">
        <w:trPr>
          <w:trHeight w:val="554"/>
        </w:trPr>
        <w:tc>
          <w:tcPr>
            <w:tcW w:w="4390" w:type="dxa"/>
          </w:tcPr>
          <w:p w14:paraId="51D86800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Emésztőrendszeri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betegségek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  <w:b/>
              </w:rPr>
              <w:t>és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tünetek</w:t>
            </w:r>
            <w:proofErr w:type="spellEnd"/>
          </w:p>
        </w:tc>
        <w:tc>
          <w:tcPr>
            <w:tcW w:w="4678" w:type="dxa"/>
          </w:tcPr>
          <w:p w14:paraId="761AA06A" w14:textId="77777777" w:rsidR="001A6DFC" w:rsidRPr="005240F4" w:rsidRDefault="001A6DFC" w:rsidP="001A6DFC">
            <w:pPr>
              <w:ind w:right="1554"/>
              <w:rPr>
                <w:rFonts w:ascii="Times New Roman" w:eastAsia="Times New Roman" w:hAnsi="Times New Roman" w:cs="Times New Roman"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nagyon gyakori: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diarrhoea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 gyakori: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dyspepsia</w:t>
            </w:r>
            <w:proofErr w:type="spellEnd"/>
          </w:p>
        </w:tc>
      </w:tr>
      <w:tr w:rsidR="001A6DFC" w:rsidRPr="00670657" w14:paraId="6BFE4FC9" w14:textId="77777777" w:rsidTr="00670657">
        <w:trPr>
          <w:trHeight w:val="1009"/>
        </w:trPr>
        <w:tc>
          <w:tcPr>
            <w:tcW w:w="4390" w:type="dxa"/>
          </w:tcPr>
          <w:p w14:paraId="7D687DD5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b/>
                <w:lang w:val="hu-HU"/>
              </w:rPr>
              <w:t>Máj- és epebetegségek, illetve tünetek</w:t>
            </w:r>
          </w:p>
        </w:tc>
        <w:tc>
          <w:tcPr>
            <w:tcW w:w="4678" w:type="dxa"/>
          </w:tcPr>
          <w:p w14:paraId="2CB048E5" w14:textId="6E956602" w:rsidR="001A6DFC" w:rsidRPr="005240F4" w:rsidRDefault="001A6DFC" w:rsidP="001A6DFC">
            <w:pPr>
              <w:ind w:right="504"/>
              <w:rPr>
                <w:rFonts w:ascii="Times New Roman" w:eastAsia="Times New Roman" w:hAnsi="Times New Roman" w:cs="Times New Roman"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nagyon gyakori: emelkedett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glutamát-piruvát-transzamináz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lang w:val="hu-HU"/>
              </w:rPr>
              <w:t xml:space="preserve">- és/vagy emelkedett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glutamát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lang w:val="hu-HU"/>
              </w:rPr>
              <w:t>-oxálacetát-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transzamináz</w:t>
            </w:r>
            <w:proofErr w:type="spellEnd"/>
            <w:r w:rsidR="00476BB2">
              <w:rPr>
                <w:rFonts w:ascii="Times New Roman" w:eastAsia="Times New Roman" w:hAnsi="Times New Roman" w:cs="Times New Roman"/>
                <w:lang w:val="hu-HU"/>
              </w:rPr>
              <w:t>-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lang w:val="hu-HU"/>
              </w:rPr>
              <w:t>szint</w:t>
            </w:r>
            <w:r w:rsidRPr="005240F4">
              <w:rPr>
                <w:rFonts w:ascii="Times New Roman" w:eastAsia="Times New Roman" w:hAnsi="Times New Roman" w:cs="Times New Roman"/>
                <w:vertAlign w:val="superscript"/>
                <w:lang w:val="hu-HU"/>
              </w:rPr>
              <w:t>b</w:t>
            </w:r>
            <w:proofErr w:type="spellEnd"/>
          </w:p>
          <w:p w14:paraId="01E93E0E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lang w:val="hu-HU"/>
              </w:rPr>
              <w:t>ritka: fulmináns hepatitis, akut májelégtelenség</w:t>
            </w:r>
          </w:p>
        </w:tc>
      </w:tr>
      <w:tr w:rsidR="001A6DFC" w:rsidRPr="00670657" w14:paraId="78C03934" w14:textId="77777777" w:rsidTr="00670657">
        <w:trPr>
          <w:trHeight w:val="505"/>
        </w:trPr>
        <w:tc>
          <w:tcPr>
            <w:tcW w:w="4390" w:type="dxa"/>
          </w:tcPr>
          <w:p w14:paraId="1647D4C6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b/>
                <w:lang w:val="hu-HU"/>
              </w:rPr>
              <w:t>A bőr és a bőr alatti szövet betegségei és tünetei</w:t>
            </w:r>
          </w:p>
        </w:tc>
        <w:tc>
          <w:tcPr>
            <w:tcW w:w="4678" w:type="dxa"/>
          </w:tcPr>
          <w:p w14:paraId="5CBA78FC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gyakori</w:t>
            </w:r>
            <w:proofErr w:type="spellEnd"/>
            <w:r w:rsidRPr="00C15AD7">
              <w:rPr>
                <w:rFonts w:ascii="Times New Roman" w:eastAsia="Times New Roman" w:hAnsi="Times New Roman" w:cs="Times New Roman"/>
              </w:rPr>
              <w:t>: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bőrkiütés</w:t>
            </w:r>
            <w:proofErr w:type="spellEnd"/>
          </w:p>
        </w:tc>
      </w:tr>
      <w:tr w:rsidR="001A6DFC" w:rsidRPr="00670657" w14:paraId="287378C0" w14:textId="77777777" w:rsidTr="00670657">
        <w:trPr>
          <w:trHeight w:val="554"/>
        </w:trPr>
        <w:tc>
          <w:tcPr>
            <w:tcW w:w="4390" w:type="dxa"/>
          </w:tcPr>
          <w:p w14:paraId="015F820C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b/>
                <w:lang w:val="hu-HU"/>
              </w:rPr>
              <w:t>A csont- és izomrendszer, valamint a kötőszövet betegségei és tünetei</w:t>
            </w:r>
          </w:p>
        </w:tc>
        <w:tc>
          <w:tcPr>
            <w:tcW w:w="4678" w:type="dxa"/>
          </w:tcPr>
          <w:p w14:paraId="480CA71A" w14:textId="74775E86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nem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gyakori</w:t>
            </w:r>
            <w:proofErr w:type="spellEnd"/>
            <w:r w:rsidRPr="00C15AD7">
              <w:rPr>
                <w:rFonts w:ascii="Times New Roman" w:eastAsia="Times New Roman" w:hAnsi="Times New Roman" w:cs="Times New Roman"/>
              </w:rPr>
              <w:t>: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76BB2">
              <w:rPr>
                <w:rFonts w:ascii="Times New Roman" w:eastAsia="Times New Roman" w:hAnsi="Times New Roman" w:cs="Times New Roman"/>
              </w:rPr>
              <w:t>myopathia</w:t>
            </w:r>
            <w:proofErr w:type="spellEnd"/>
            <w:r w:rsidRPr="00476BB2">
              <w:rPr>
                <w:rFonts w:ascii="Times New Roman" w:eastAsia="Times New Roman" w:hAnsi="Times New Roman" w:cs="Times New Roman"/>
              </w:rPr>
              <w:t>,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rhabdomyol</w:t>
            </w:r>
            <w:r w:rsidR="00502A4B" w:rsidRPr="00476BB2">
              <w:rPr>
                <w:rFonts w:ascii="Times New Roman" w:eastAsia="Times New Roman" w:hAnsi="Times New Roman" w:cs="Times New Roman"/>
              </w:rPr>
              <w:t>y</w:t>
            </w:r>
            <w:r w:rsidRPr="005240F4">
              <w:rPr>
                <w:rFonts w:ascii="Times New Roman" w:eastAsia="Times New Roman" w:hAnsi="Times New Roman" w:cs="Times New Roman"/>
              </w:rPr>
              <w:t>sis</w:t>
            </w:r>
          </w:p>
        </w:tc>
      </w:tr>
      <w:tr w:rsidR="001A6DFC" w:rsidRPr="00670657" w14:paraId="36401782" w14:textId="77777777" w:rsidTr="00670657">
        <w:trPr>
          <w:trHeight w:val="275"/>
        </w:trPr>
        <w:tc>
          <w:tcPr>
            <w:tcW w:w="4390" w:type="dxa"/>
          </w:tcPr>
          <w:p w14:paraId="70EC16B1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b/>
                <w:lang w:val="hu-HU"/>
              </w:rPr>
              <w:t>Vese- és húgyúti betegségek és tünetek</w:t>
            </w:r>
          </w:p>
        </w:tc>
        <w:tc>
          <w:tcPr>
            <w:tcW w:w="4678" w:type="dxa"/>
          </w:tcPr>
          <w:p w14:paraId="2C2F864E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gyakori</w:t>
            </w:r>
            <w:proofErr w:type="spellEnd"/>
            <w:r w:rsidRPr="00C15AD7">
              <w:rPr>
                <w:rFonts w:ascii="Times New Roman" w:eastAsia="Times New Roman" w:hAnsi="Times New Roman" w:cs="Times New Roman"/>
              </w:rPr>
              <w:t>: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haematuria</w:t>
            </w:r>
            <w:proofErr w:type="spellEnd"/>
          </w:p>
        </w:tc>
      </w:tr>
      <w:tr w:rsidR="001A6DFC" w:rsidRPr="00670657" w14:paraId="5C6FE412" w14:textId="77777777" w:rsidTr="00670657">
        <w:trPr>
          <w:trHeight w:val="551"/>
        </w:trPr>
        <w:tc>
          <w:tcPr>
            <w:tcW w:w="4390" w:type="dxa"/>
          </w:tcPr>
          <w:p w14:paraId="53D2A068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b/>
                <w:lang w:val="hu-HU"/>
              </w:rPr>
              <w:t>Általános tünetek, az alkalmazás helyén fellépő reakciók</w:t>
            </w:r>
          </w:p>
        </w:tc>
        <w:tc>
          <w:tcPr>
            <w:tcW w:w="4678" w:type="dxa"/>
          </w:tcPr>
          <w:p w14:paraId="526088E0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nagyon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gyakori</w:t>
            </w:r>
            <w:proofErr w:type="spellEnd"/>
            <w:r w:rsidRPr="00C15AD7">
              <w:rPr>
                <w:rFonts w:ascii="Times New Roman" w:eastAsia="Times New Roman" w:hAnsi="Times New Roman" w:cs="Times New Roman"/>
              </w:rPr>
              <w:t>: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perifériás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oedema</w:t>
            </w:r>
            <w:proofErr w:type="spellEnd"/>
          </w:p>
        </w:tc>
      </w:tr>
      <w:tr w:rsidR="001A6DFC" w:rsidRPr="00670657" w14:paraId="11C6D14D" w14:textId="77777777" w:rsidTr="00670657">
        <w:trPr>
          <w:trHeight w:val="552"/>
        </w:trPr>
        <w:tc>
          <w:tcPr>
            <w:tcW w:w="4390" w:type="dxa"/>
          </w:tcPr>
          <w:p w14:paraId="4B8D798E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b/>
                <w:lang w:val="hu-HU"/>
              </w:rPr>
              <w:t>Sérülés, mérgezés és a beavatkozással kapcsolatos szövődmények</w:t>
            </w:r>
          </w:p>
        </w:tc>
        <w:tc>
          <w:tcPr>
            <w:tcW w:w="4678" w:type="dxa"/>
          </w:tcPr>
          <w:p w14:paraId="0D7D0F76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C15AD7">
              <w:rPr>
                <w:rFonts w:ascii="Times New Roman" w:eastAsia="Times New Roman" w:hAnsi="Times New Roman" w:cs="Times New Roman"/>
              </w:rPr>
              <w:t>gyakori</w:t>
            </w:r>
            <w:proofErr w:type="spellEnd"/>
            <w:r w:rsidRPr="00C15AD7">
              <w:rPr>
                <w:rFonts w:ascii="Times New Roman" w:eastAsia="Times New Roman" w:hAnsi="Times New Roman" w:cs="Times New Roman"/>
              </w:rPr>
              <w:t>: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törések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>**</w:t>
            </w:r>
          </w:p>
        </w:tc>
      </w:tr>
    </w:tbl>
    <w:p w14:paraId="135829A1" w14:textId="10756271" w:rsidR="001A6DFC" w:rsidRPr="005240F4" w:rsidRDefault="001A6DFC" w:rsidP="00E91145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right="-1" w:hanging="284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*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ab/>
        <w:t xml:space="preserve">A szívelégtelenséghez tartoznak még a következők: 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pangásos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szívelégtelenség, balkamra</w:t>
      </w:r>
      <w:r w:rsidR="00E91145">
        <w:rPr>
          <w:rFonts w:ascii="Times New Roman" w:eastAsia="Times New Roman" w:hAnsi="Times New Roman" w:cs="Times New Roman"/>
          <w:kern w:val="0"/>
          <w14:ligatures w14:val="none"/>
        </w:rPr>
        <w:t xml:space="preserve">i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elégtelenség, valamint csökkent 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ejekciós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frakció.</w:t>
      </w:r>
    </w:p>
    <w:p w14:paraId="3841B0DF" w14:textId="77777777" w:rsidR="001A6DFC" w:rsidRPr="00670657" w:rsidRDefault="001A6DFC" w:rsidP="005240F4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right="-1" w:hanging="284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**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ab/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törésekhez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tartozik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osteoporosis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pathologiás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töréseken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kívül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minden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törés.</w:t>
      </w:r>
    </w:p>
    <w:p w14:paraId="4B2B3B5F" w14:textId="77777777" w:rsidR="001A6DFC" w:rsidRPr="00670657" w:rsidRDefault="001A6DFC" w:rsidP="005240F4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right="-1" w:hanging="284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a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ab/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forgalomba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hozatalt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spontán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bejelentések.</w:t>
      </w:r>
    </w:p>
    <w:p w14:paraId="5491759D" w14:textId="261E8536" w:rsidR="001A6DFC" w:rsidRPr="00670657" w:rsidRDefault="001A6DFC" w:rsidP="005240F4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right="-1" w:hanging="284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b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ab/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emelkedett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glutamát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piruvát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transzamináz</w:t>
      </w:r>
      <w:proofErr w:type="spellEnd"/>
      <w:r w:rsidR="00476BB2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szinthez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és/vagy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emelkedett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glutamát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-oxálacetát-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transzamináz</w:t>
      </w:r>
      <w:proofErr w:type="spellEnd"/>
      <w:r w:rsidR="00476BB2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szinthez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tartozik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emelkedett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GPT-szint,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emelkedett GOT-szint és a kóros májfunkció is.</w:t>
      </w:r>
    </w:p>
    <w:p w14:paraId="6B59FA8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43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ECD57F" w14:textId="1EE7D40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következő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CTCAE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(4. verzió)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szerinti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3-as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súlyossági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fokú mellékhatások fordultak elő: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5%; húgyúti fertőzés 2%, emelkedett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glutamát-piruvát-transzamináz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és/vagy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emelkedett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glutamát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-oxálacetát-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transzamináz</w:t>
      </w:r>
      <w:proofErr w:type="spellEnd"/>
      <w:r w:rsidR="00476BB2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4%,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hypertensio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6%,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törések 2%;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perifériás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oedema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szívelégtelenség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pitvarfibrilláció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1–1%.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CTCAE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(4.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verzió)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szerinti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3-as súlyossági fokú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hypertriglyceridaemia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angina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pectoris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 betegek &lt; 1%-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alakult ki. A CTCAE (4. verzió)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szerinti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4-es súlyossági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fokú húgyúti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fertőzés, emelkedett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glutamát-piruvát-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transzamináz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 és/vagy emelkedett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glutamát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-oxálacetát-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transzamináz</w:t>
      </w:r>
      <w:proofErr w:type="spellEnd"/>
      <w:r w:rsidR="00476BB2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szint,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szívelégtelenség,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pitvarfibrilláció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törés a betegek &lt; 1%-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fordult elő.</w:t>
      </w:r>
    </w:p>
    <w:p w14:paraId="19C75BD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hormonszenzitív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betegcsoportban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hypertensio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hypokalaemia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magasabb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incidenciáját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figyelték meg (3011-es vizsgálat).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Hypertensiót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 hormonszenzitív betegcsoport (3011-es vizsgálat) betegeinek 36,7%-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jelentettek, szemben a 301-es vizsgálat betegeinek 11,8%-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ával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a 302-es 20,2%-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ával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01B97A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Hypokalaemiát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hormonszenzitív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betegcsoport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(3011-es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betegeinek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20,4%-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figyeltek meg, szemben a 301-es vizsgálat betegeinek 19,2%-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ával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a 302-es 14,9%-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ával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D94E8B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B147B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nemkívánatos események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incidenciája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súlyossági foka magasabb volt azoknak a betegeknek az alcsoportjában,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kiindulási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ECOG-teljesítménystátusz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értéke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valamint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időseknél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(≥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75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év).</w:t>
      </w:r>
    </w:p>
    <w:p w14:paraId="4018318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B302AC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Egyes kiválasztott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mellékhatások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leírása</w:t>
      </w:r>
    </w:p>
    <w:p w14:paraId="01E528D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Szív-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érrendszeri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reakciók</w:t>
      </w:r>
    </w:p>
    <w:p w14:paraId="4F5CD4B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három III. fázisú vizsgálatból kizárták a következő betegségekben szenvedő alanyokat: nem kontrollált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hypertonia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klinikailag jelentős szívbetegség, mint például bizonyított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myocardialis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infarctus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megelőző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előfordult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artériás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thromboticus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esemény,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instabil angina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pectoris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NYHA III–IV. stádiumú szívelégtelenség (301-es vizsgálat) vagy NYHA II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  <w:t xml:space="preserve">IV. stádiumú szívelégtelenség (3011-es és 302-es vizsgálat), illetve 50% alá csökkent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ejekciós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frakció. A vizsgálatba bevont összes beteg (az aktív készítménnyel és a placebóval kezelt betegek egyaránt) egyidejűleg androgén-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deprivációs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kezelést, többségében LHRH-analóggal végzett kezelést is kapott, amit összefüggésbe hoztak a kialakult cukorbetegséggel,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myocardialis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infarctussal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cerebrovascularis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történéssel 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hirtelen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szívhalállal.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III.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fázisú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vizsgálatokban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szív-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érrendszeri mellékhatások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incidenciája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-acetáttal kezelt csoportban, illetve a placebóval kezelt csoportban a következő volt: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pitvarfibrilláció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: 2,6% </w:t>
      </w:r>
      <w:r w:rsidRPr="00670657">
        <w:rPr>
          <w:rFonts w:ascii="Times New Roman" w:eastAsia="Times New Roman" w:hAnsi="Times New Roman" w:cs="Times New Roman"/>
          <w:iCs/>
          <w:kern w:val="0"/>
          <w14:ligatures w14:val="none"/>
        </w:rPr>
        <w:t>vs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. 2,0%,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tachycardia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: 1,9% </w:t>
      </w:r>
      <w:r w:rsidRPr="00670657">
        <w:rPr>
          <w:rFonts w:ascii="Times New Roman" w:eastAsia="Times New Roman" w:hAnsi="Times New Roman" w:cs="Times New Roman"/>
          <w:iCs/>
          <w:kern w:val="0"/>
          <w14:ligatures w14:val="none"/>
        </w:rPr>
        <w:t>vs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. 1,0%, angina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pectoris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1,7%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Cs/>
          <w:kern w:val="0"/>
          <w14:ligatures w14:val="none"/>
        </w:rPr>
        <w:t>vs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0,8%,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szívelégtelenség: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0,7%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Cs/>
          <w:kern w:val="0"/>
          <w14:ligatures w14:val="none"/>
        </w:rPr>
        <w:t>vs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0,2%,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arrhythmia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0,7%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Cs/>
          <w:kern w:val="0"/>
          <w14:ligatures w14:val="none"/>
        </w:rPr>
        <w:t>vs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.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0,5%.</w:t>
      </w:r>
    </w:p>
    <w:p w14:paraId="3758453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063772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proofErr w:type="spellStart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>Hepatotoxicitás</w:t>
      </w:r>
      <w:proofErr w:type="spellEnd"/>
    </w:p>
    <w:p w14:paraId="12DF649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GPT-,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GOT-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összbilirubinszint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emelkedésével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járó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hepatotoxicitásról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számoltak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az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kapó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III. fázisú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vizsgálatokban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 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megközelítőleg 6%-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jelentettek 3.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és 4. fokozatú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(pl.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normálérték felső határának 5-szörösét meghaladó GPT- vagy GOT-értékeket, vagy a normálérték felső határának 1,5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  <w:t>szeresét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meghaladó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bilirubinszinteket),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jellemzően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megkezdését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első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3 hónapban. A 3011-es vizsgálatban 3. vagy 4. fokozatú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 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8,4%-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figyeltek meg. Tíz,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-acetátot kapó betegnél állították le a kezelést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miatt: kettőnek 2. fokozatú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hatnak 3. fokozatú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és kettőnek 4.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fokozatú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hepatotoxicitása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3011-es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miatt.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A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III. fázisú klinikai vizsgálatokban a májfunkciós értékek emelkedése gyakoribb volt azoknál a betegeknél,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GPT-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GOT-értéke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kiinduláskor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emelkedett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azoknál,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kiinduláskor normális értékeket mértek. Azokban az esetekben, amikor a GPT- vagy GOT-értékek meghaladták a normálérték felső határának 5-szörösét, illetve a bilirubin-értékek a normálérték felső határának 3-szorosát,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-acetát-kezelést átmenetileg megszakították vagy végleg abbahagyták. Két esetben a májfunkciós értékek jelentősen megemelkedtek (lásd 4.4 pont). Ennek a két betegnek, akiknek a kiinduláskor normális májfunkciós értékeket mértek, a GPT- illetve GOT-szintjei a normálérték felső határának 15–40-szeresére, bilirubinszintjei a normálérték felső határának 2–6-szorosára emelkedtek. A kezelés felfüggesztését követően mindkét beteg májfunkciós értékei normalizálódtak, és az egyik betegnél a kezelés folytatása után nem következett be újabb emelkedés.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302-es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3-as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súlyossági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GPT-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GOT-szint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emelkedést 35 (6,5%)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-acetáttal kezelt betegnél figyeltek meg.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transzaminázszint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-emelkedések minden esetben rendeződtek, kivéve 3 beteget (2 beteg új, többszörös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májmetasztázissal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1 beteg GOT-szint emelkedéssel 3 héttel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utolsó adagjának beadását követően). A III. fázisú klinikai vizsgálatokban a kezelés megszakítását GPT-, illetve GOT-szint emelkedése vagy kóros májfunkció miatt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-acetáttal kezelteknél 1,1%, a placebóval kezelteknél 0,6% gyakorisággal jelentették,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miatti halálesetet nem jelentettek.</w:t>
      </w:r>
    </w:p>
    <w:p w14:paraId="1F22E8F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95146F2" w14:textId="77777777" w:rsidR="001A6DFC" w:rsidRPr="00670657" w:rsidRDefault="001A6DFC" w:rsidP="001A6DFC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klinikai vizsgálatokban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kockázatát úgy csökkentették, hogy kizárták azokat a betegeket, akiknél a kiinduláskor hepatitist vagy a májfunkciós vizsgálati eredményekben jelentős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eltéréseket találtak. A 3011-es vizsgálatból kizárták azokat a betegeket, akiknek a kiindulási GPT- és GOT-szintje magasabb volt, mint a normálérték felső határának 2,5-szerese, a bilirubinszintje magasabb volt, mint a normálérték felső határának 1,5-szerese, valamint azokat is, akiknek aktív vagy tüneteket okozó vírusos hepatitise vagy krónikus májbetegsége volt, illetve akiknek májműködési zavar miatt másodlagosan kialakuló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ascitese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véralvadási zavara volt. A 301-es vizsgálatból kizárták azokat a betegeket, akiknek a kiindulási GPT- és GOT-értéke a normálérték felső határának 2,5-szerese vagy annál magasabb volt, és nem volt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májmetasztázisuk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illetve azokat, akiknél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májmetasztázis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jelenlétében ezek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értékek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normálérték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felső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határának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mint 5-szörösei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voltak. 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302-es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vehettek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részt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májmetasztázisa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illetve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kizárták azokat a betegeket, akiknek a kiindulási GPT- és GOT-értéke a normálérték felső határának 2,5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  <w:t>szerese vagy annál magasabb volt. A klinikai vizsgálatokban részt vevő betegeknél előforduló kóros májfunkciós értékeket kifejezetten csak a kezelés megszakításával kezelték, és a kezelés folytatását csak azt követően engedélyezték, ha a májfunkciós eredmények a beteg kiindulási értékeire visszaálltak (lásd 4.2 pont). Olyan betegek kezelését nem folytatták, akiknél a GPT- vagy GOT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  <w:t xml:space="preserve">értékek a normálérték felső határának 20-szorosa fölé emelkedtek. Nem ismert, hogy ilyen betegeknél a kezelés folytatása biztonságos-e.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mechanizmusa nem ismert.</w:t>
      </w:r>
    </w:p>
    <w:p w14:paraId="5E1B704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AE4C3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Feltételezett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mellékhatások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bejelentése</w:t>
      </w:r>
    </w:p>
    <w:p w14:paraId="02AFF68A" w14:textId="024E45BF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gyógyszer engedélyezését követően lényeges a feltételezett mellékhatások bejelentése, mert ez fontos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eszköze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annak,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előny/kockázat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profilját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folyamatosan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figyelemmel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lehessen kísérni. Az egészségügyi szakembereket kérjük, hogy jelentsék be a feltételezett mellékhatásokat a hatóság részére az </w:t>
      </w:r>
      <w:hyperlink r:id="rId7">
        <w:r w:rsidRPr="005240F4">
          <w:rPr>
            <w:rFonts w:ascii="Times New Roman" w:eastAsia="Times New Roman" w:hAnsi="Times New Roman" w:cs="Times New Roman"/>
            <w:color w:val="0000FF"/>
            <w:kern w:val="0"/>
            <w:u w:val="single" w:color="0000FF"/>
            <w14:ligatures w14:val="none"/>
          </w:rPr>
          <w:t>V. függelékben</w:t>
        </w:r>
      </w:hyperlink>
      <w:r w:rsidRPr="005240F4">
        <w:rPr>
          <w:rFonts w:ascii="Times New Roman" w:eastAsia="Times New Roman" w:hAnsi="Times New Roman" w:cs="Times New Roman"/>
          <w:color w:val="0000FF"/>
          <w:kern w:val="0"/>
          <w:u w:val="single" w:color="0000FF"/>
          <w14:ligatures w14:val="none"/>
        </w:rPr>
        <w:t xml:space="preserve"> </w:t>
      </w:r>
      <w:r w:rsidRPr="005240F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található elérhetőségek valamelyikén keresztül</w:t>
      </w:r>
      <w:r w:rsidRPr="0067065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</w:p>
    <w:p w14:paraId="3391C3F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A174DD8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Túladagolás</w:t>
      </w:r>
    </w:p>
    <w:p w14:paraId="6B123F0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6087DD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túladagolásáról szerzett tapasztalatok korlátozottak humán vonatkozásban.</w:t>
      </w:r>
    </w:p>
    <w:p w14:paraId="7ED108B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47F2E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Nincs specifikus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antidotum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. Túladagolás esetén az alkalmazást abba kell hagyni, és általános szupportív kezelést kell alkalmazni, beleértve a beteg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monitorozását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hogy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arrhythmiák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hypokalaemia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illetve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folyadékretencióra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utaló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tünetek mielőbb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felismerésre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kerüljenek.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májműködést is vizsgálni kell.</w:t>
      </w:r>
    </w:p>
    <w:p w14:paraId="473E582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DC931B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A849630" w14:textId="77777777" w:rsidR="001A6DFC" w:rsidRPr="00670657" w:rsidRDefault="001A6DFC" w:rsidP="001A6DFC">
      <w:pPr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670657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FARMAKOLÓGIAI TULAJDONSÁGOK</w:t>
      </w:r>
    </w:p>
    <w:p w14:paraId="7B829A6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5C6B7CD9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Farmakodinámiás tulajdonságok</w:t>
      </w:r>
    </w:p>
    <w:p w14:paraId="22A179A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469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7C5004B" w14:textId="0FD668D0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Farmakoterápiás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csoport: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endocrin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terápia,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egyéb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hormonantagonisták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rokon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anyagok,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ATC</w:t>
      </w:r>
      <w:r w:rsidR="00180EE6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kód: 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L02BX03</w:t>
      </w:r>
    </w:p>
    <w:p w14:paraId="4BA9040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0D598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Hatásmechanizmus</w:t>
      </w:r>
    </w:p>
    <w:p w14:paraId="512FDAEB" w14:textId="2F7F9E6D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in vivo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abirateronná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alakul, am</w:t>
      </w:r>
      <w:r w:rsidR="00180EE6">
        <w:rPr>
          <w:rFonts w:ascii="Times New Roman" w:eastAsia="Times New Roman" w:hAnsi="Times New Roman" w:cs="Times New Roman"/>
          <w:kern w:val="0"/>
          <w14:ligatures w14:val="none"/>
        </w:rPr>
        <w:t>ely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gátolja az androgének bioszintézisét. </w:t>
      </w:r>
      <w:r w:rsidRPr="004932D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4932D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932D7">
        <w:rPr>
          <w:rFonts w:ascii="Times New Roman" w:eastAsia="Times New Roman" w:hAnsi="Times New Roman" w:cs="Times New Roman"/>
          <w:kern w:val="0"/>
          <w14:ligatures w14:val="none"/>
        </w:rPr>
        <w:t>kifejezetten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17α-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hidroxiláz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/C17,20-liáz-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(CYP17-)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enzim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működését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gátolja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szelektíven.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Ez az enzim a here, a mellékvese és a prosztatatumor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szöveteiben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expresszálódik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és az androgén-bioszintézishez szükséges. A CYP17 katalizálja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pregnenolon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progeszteron 17α-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hidroxilációval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a C17,20 kötés hasításával történő átalakulását a tesztoszteron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prekurzoraivá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DHEA-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vá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illetve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androszténdionná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. A CYP17 gátlása ugyanakkor a mellékvesékben fokozza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mineralokortikoidok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termelődését (lásd 4.4 pont).</w:t>
      </w:r>
    </w:p>
    <w:p w14:paraId="33EE4B8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7D451EF" w14:textId="4DED822E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 androgénérzékeny prosztatarák reagál az androgénszintet csökkentő kezelésre. Az androgén-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deprivációs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kezelések, mint pl. az LHRH-analógokkal történő kezelés vagy a sebészeti kasztráció, csökkentik a herék androgéntermelését, de nem befolyásolják a mellékvesék és a tumor androgéntermelését.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abirateronnal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szérum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tesztoszteronszintjét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kimutathatósági szint alá csökkenti (kereskedelmi forgalomban lévő </w:t>
      </w:r>
      <w:r w:rsidR="00B2323A">
        <w:rPr>
          <w:rFonts w:ascii="Times New Roman" w:eastAsia="Times New Roman" w:hAnsi="Times New Roman" w:cs="Times New Roman"/>
          <w:kern w:val="0"/>
          <w14:ligatures w14:val="none"/>
        </w:rPr>
        <w:t>teszttel</w:t>
      </w:r>
      <w:r w:rsidR="00B2323A"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vizsgálva), ha LHRH-analóggal (vagy sebészeti kasztrációval) együttesen alkalmazzák.</w:t>
      </w:r>
    </w:p>
    <w:p w14:paraId="07581A2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59EF8229" w14:textId="77777777" w:rsidR="001A6DFC" w:rsidRPr="00670657" w:rsidRDefault="001A6DFC" w:rsidP="005240F4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E1F79">
        <w:rPr>
          <w:rFonts w:ascii="Times New Roman" w:eastAsia="Times New Roman" w:hAnsi="Times New Roman" w:cs="Times New Roman"/>
          <w:kern w:val="0"/>
          <w:u w:val="single"/>
          <w14:ligatures w14:val="none"/>
        </w:rPr>
        <w:lastRenderedPageBreak/>
        <w:t>Farmakodinámiás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hatások</w:t>
      </w:r>
    </w:p>
    <w:p w14:paraId="546149BE" w14:textId="2BA7FC99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nagyobb mértékben csökkenti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tesztoszteron,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illetve egyéb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androgének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szintjét a szérumban, mint az önmagában alkalmazott LHRH-analóg-kezelés, vagy a sebészeti kasztráció. Ez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 androgén-bioszintézishez szükséges CYP17</w:t>
      </w:r>
      <w:r w:rsidR="006E1F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enzim szelektív gátlásának köszönhető. A PSA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biomarkerként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szolgál a prosztatarákos betegeknél. Egy III. fázisú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vizsgálatban, amelyben olyan betegek vettek részt, akiknél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taxánokkal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végzett korábbi kemoterápiás kezelés sikertelennek bizonyult,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38%-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ának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míg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placebóval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ának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csökkent legalább 50%-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 kiindulási PSA-szintje.</w:t>
      </w:r>
    </w:p>
    <w:p w14:paraId="3356D89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C0C9A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Klinikai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hatásosság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biztonságosság</w:t>
      </w:r>
    </w:p>
    <w:p w14:paraId="7005554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hatásosságot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három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randomizált,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placebokontrollos,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multicentrikus,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III.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fázisú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klinikai vizsgálatban (3011-es,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302-es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301-es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igazolták,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mHSPC-ben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mCRPC-ben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3011-es vizsgálatba olyan, újonnan (a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randomizációtól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számított 3 hónapon belül) diagnosztizált,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mHSPC-ben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szenvedő betegeket vontak be, akik magas kockázatú prognosztikai faktorokkal rendelkeztek. A magas kockázatú prognózis azt jelentette, hogy az alábbi 3 kockázati tényező közül legalább 2 jelen volt a betegnél: (1) ≥ 8-as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Gleason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-pontszám; (2) 3 vagy több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lézió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jelenléte a </w:t>
      </w:r>
      <w:proofErr w:type="spellStart"/>
      <w:r w:rsidRPr="00084834">
        <w:rPr>
          <w:rFonts w:ascii="Times New Roman" w:eastAsia="Times New Roman" w:hAnsi="Times New Roman" w:cs="Times New Roman"/>
          <w:kern w:val="0"/>
          <w14:ligatures w14:val="none"/>
        </w:rPr>
        <w:t>csontszcintigráfián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; (3) mérhető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visceralis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(a nyirokcsomó-betegséget kivéve)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metasztázis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jelenléte. Az aktív karon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-acetátot 1000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napi dózisban, napi egyszeri 5 mg, kis dózisú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kombinálva adták, a standard androgén-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deprivációs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kezelés (ADT) (LHRH-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agonista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orchiectomia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) kiegészítéseként. A kontrollkaron lévő betegek ADT-t és placebót kaptak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és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helyett is. A 302-es vizsgálatba korábban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docetaxel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-kezelésben nem részesült betegeket vontak be, míg a 301-es vizsgálatba bevont betegek korábban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docetaxel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-kezelésben részesültek. A betegeket LHRH-analóggal kezelték vagy előzetesen sebészeti beavatkozás útján kasztrálták. Az aktív kezelési karon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-acetátot naponta 1000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dózisban alkalmazták, kis dózisú, naponta kétszer 5 mg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kombinációban. A kontrollcsoportban lévő betegek placebót és kis dózisban, naponta kétszer 5 mg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kaptak.</w:t>
      </w:r>
    </w:p>
    <w:p w14:paraId="17A63CF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F7CDEF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szérum-PSA-szintben észlelt változások önmagukban nem mindig jelzik előre a kezelés klinikai előnyét.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Emiatt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minden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javasolták,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mindaddig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folytassák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vizsgálati kezelést, amíg az alábbiakban részletezett,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adott kezelés megszakítására vonatkozó feltételek nem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teljesültek.</w:t>
      </w:r>
    </w:p>
    <w:p w14:paraId="5482756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BDF022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spironolakton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egyik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megengedett,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mivel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spironolakton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kötődik az androgénreceptorhoz, és megnövelheti a PSA-szintet.</w:t>
      </w:r>
    </w:p>
    <w:p w14:paraId="2562772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D82A72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b/>
          <w:i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i/>
          <w:kern w:val="0"/>
          <w14:ligatures w14:val="none"/>
        </w:rPr>
        <w:t xml:space="preserve">3011-es vizsgálat (újonnan diagnosztizált, magas kockázatú </w:t>
      </w:r>
      <w:proofErr w:type="spellStart"/>
      <w:r w:rsidRPr="00670657">
        <w:rPr>
          <w:rFonts w:ascii="Times New Roman" w:eastAsia="Times New Roman" w:hAnsi="Times New Roman" w:cs="Times New Roman"/>
          <w:b/>
          <w:i/>
          <w:kern w:val="0"/>
          <w14:ligatures w14:val="none"/>
        </w:rPr>
        <w:t>mHSPC-ben</w:t>
      </w:r>
      <w:proofErr w:type="spellEnd"/>
      <w:r w:rsidRPr="00670657">
        <w:rPr>
          <w:rFonts w:ascii="Times New Roman" w:eastAsia="Times New Roman" w:hAnsi="Times New Roman" w:cs="Times New Roman"/>
          <w:b/>
          <w:i/>
          <w:kern w:val="0"/>
          <w14:ligatures w14:val="none"/>
        </w:rPr>
        <w:t xml:space="preserve"> szenvedő betegek)</w:t>
      </w:r>
    </w:p>
    <w:p w14:paraId="2852762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3011-es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1199)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bevont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medián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életkora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67 év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-acetáttal kezelt betegek száma rasszok szerinti csoportosításban a következő volt: 832 (69,4%) kaukázusi, 246 (20,5%) ázsiai, 25 (2,1%) fekete bőrű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afro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-amerikai, 80 (6,7%) egyéb, 13 (1,1%) nem ismert/nem jelentett és 3 (0,3%) amerikai indián vagy alaszkai bennszülött. A betegek 97%-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az ECOG-teljesítménystátusz értéke 0 vagy 1 volt Azokat a betegeket, akikről tudott volt, hogy agyi áttétekben, nem kontrollált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hypertoniaban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jelentős szívbetegségben vagy NYHA II–IV-es stádiumú szívelégtelenségben szenvedtek, kizárták a vizsgálatból. Azokat a betegeket, akiket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metasztatizáló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prosztatarák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korábban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gyógyszerrel,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irradiációval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műtéttel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kezeltek,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kizárták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vizsgálatból, kivéve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metasztatizáló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betegség okozta tünetek miatt végzett, legfeljebb 3 hónapig tartó androgén-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deprivációs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kezelést, 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 1 ciklus palliatív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sugárkezelést vagy sebészeti kezelést. A társprimer (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  <w:t>primer) hatásossági végpont a teljes túlélés (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overall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survival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OS) és a radiológiai progressziómentes túlélés (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radiographic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progression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-free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survival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–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rPFS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) volt. A rövid fájdalomértékelő kérdőívvel (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Brief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Pain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Inventory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Short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Form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 BPI-SF) meghatározott medián kiindulási fájdalompontszám egyaránt 2,0 volt a kezelést kapó és a placebocsoportban is. A kezelésből származó előny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értékeléséhez a társprimer végpontok értékei mellett figyelembe vették még a csontrendszert érintő események megjelenéséig eltelt időt, a prosztatarák következő kezelésének megkezdéséig eltelt időt, a kemoterápia megkezdéséig eltelt időt, a fájdalom progressziójáig eltelt időt és a PSA progressziójáig eltelt időt. A kezelést a betegség progressziójáig, a beteg beleegyezésének visszavonásáig, az elfogadhatatlan toxicitás megjelenéséig vagy a halál bekövetkezéséig folytatták.</w:t>
      </w:r>
    </w:p>
    <w:p w14:paraId="7E8B95D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C00A450" w14:textId="436AB914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A radiológiai progressziómentes túlélést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randomizációtól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 radiológiai progresszió megjelenéséig, 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bármilyen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okból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bekövetkező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halálozásig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eltelt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időként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definiálták.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radiológiai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progresszió magában foglalta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csontszcintigráfiával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kimutatott progressziót (a módosított PCWG2 –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Prostate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Cancer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Working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Group 2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– szerint) vagy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lágyrészléziók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CT-vel vagy MR-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rel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kimutatott progresszióját (a RECIST 1.1 szerint).</w:t>
      </w:r>
    </w:p>
    <w:p w14:paraId="4FAC5BE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rPFS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tekintetében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terápiás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csoportok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között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szignifikáns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különbséget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figyeltek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(lásd 2. táblázat és 1. ábra).</w:t>
      </w:r>
    </w:p>
    <w:p w14:paraId="224F0B7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D774D1D" w14:textId="77777777" w:rsidR="001A6DFC" w:rsidRPr="00670657" w:rsidRDefault="001A6DFC" w:rsidP="005240F4">
      <w:pPr>
        <w:widowControl w:val="0"/>
        <w:autoSpaceDE w:val="0"/>
        <w:autoSpaceDN w:val="0"/>
        <w:spacing w:after="0" w:line="240" w:lineRule="auto"/>
        <w:ind w:left="1276" w:right="-1" w:hanging="1276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 táblázat: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>Radiológiai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progressziómentes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túlélés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rétegzett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analízis,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beválasztás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szerinti betegcsoport (PCR3011-vizsgálat)</w:t>
      </w:r>
    </w:p>
    <w:p w14:paraId="74D6218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Style w:val="TableNormal"/>
        <w:tblW w:w="9088" w:type="dxa"/>
        <w:tblLayout w:type="fixed"/>
        <w:tblLook w:val="01E0" w:firstRow="1" w:lastRow="1" w:firstColumn="1" w:lastColumn="1" w:noHBand="0" w:noVBand="0"/>
      </w:tblPr>
      <w:tblGrid>
        <w:gridCol w:w="3119"/>
        <w:gridCol w:w="3317"/>
        <w:gridCol w:w="2652"/>
      </w:tblGrid>
      <w:tr w:rsidR="001A6DFC" w:rsidRPr="00670657" w14:paraId="54998CC6" w14:textId="77777777" w:rsidTr="00670657">
        <w:trPr>
          <w:trHeight w:val="198"/>
        </w:trPr>
        <w:tc>
          <w:tcPr>
            <w:tcW w:w="3119" w:type="dxa"/>
            <w:tcBorders>
              <w:top w:val="single" w:sz="4" w:space="0" w:color="000000"/>
            </w:tcBorders>
          </w:tcPr>
          <w:p w14:paraId="55D2447D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3317" w:type="dxa"/>
            <w:tcBorders>
              <w:top w:val="single" w:sz="4" w:space="0" w:color="000000"/>
            </w:tcBorders>
          </w:tcPr>
          <w:p w14:paraId="7E9A4BA5" w14:textId="77777777" w:rsidR="001A6DFC" w:rsidRPr="00670657" w:rsidRDefault="001A6DFC" w:rsidP="001A6DFC">
            <w:pPr>
              <w:ind w:right="154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  <w:b/>
              </w:rPr>
              <w:t>AA-P</w:t>
            </w:r>
          </w:p>
        </w:tc>
        <w:tc>
          <w:tcPr>
            <w:tcW w:w="2652" w:type="dxa"/>
            <w:tcBorders>
              <w:top w:val="single" w:sz="4" w:space="0" w:color="000000"/>
            </w:tcBorders>
          </w:tcPr>
          <w:p w14:paraId="0054E9CA" w14:textId="77777777" w:rsidR="001A6DFC" w:rsidRPr="00670657" w:rsidRDefault="001A6DFC" w:rsidP="001A6DFC">
            <w:pPr>
              <w:ind w:right="15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  <w:b/>
              </w:rPr>
              <w:t>Placebo</w:t>
            </w:r>
          </w:p>
        </w:tc>
      </w:tr>
      <w:tr w:rsidR="001A6DFC" w:rsidRPr="00670657" w14:paraId="17514E30" w14:textId="77777777" w:rsidTr="00670657">
        <w:trPr>
          <w:trHeight w:val="266"/>
        </w:trPr>
        <w:tc>
          <w:tcPr>
            <w:tcW w:w="3119" w:type="dxa"/>
          </w:tcPr>
          <w:p w14:paraId="21BA7015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Randomizált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betegek</w:t>
            </w:r>
            <w:proofErr w:type="spellEnd"/>
          </w:p>
        </w:tc>
        <w:tc>
          <w:tcPr>
            <w:tcW w:w="3317" w:type="dxa"/>
          </w:tcPr>
          <w:p w14:paraId="086AA9ED" w14:textId="77777777" w:rsidR="001A6DFC" w:rsidRPr="00670657" w:rsidRDefault="001A6DFC" w:rsidP="001A6DFC">
            <w:pPr>
              <w:ind w:right="154"/>
              <w:jc w:val="center"/>
              <w:rPr>
                <w:rFonts w:ascii="Times New Roman" w:eastAsia="Times New Roman" w:hAnsi="Times New Roman" w:cs="Times New Roman"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597</w:t>
            </w:r>
          </w:p>
        </w:tc>
        <w:tc>
          <w:tcPr>
            <w:tcW w:w="2652" w:type="dxa"/>
          </w:tcPr>
          <w:p w14:paraId="7F05A9D5" w14:textId="77777777" w:rsidR="001A6DFC" w:rsidRPr="00670657" w:rsidRDefault="001A6DFC" w:rsidP="001A6DFC">
            <w:pPr>
              <w:ind w:right="150"/>
              <w:jc w:val="center"/>
              <w:rPr>
                <w:rFonts w:ascii="Times New Roman" w:eastAsia="Times New Roman" w:hAnsi="Times New Roman" w:cs="Times New Roman"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602</w:t>
            </w:r>
          </w:p>
        </w:tc>
      </w:tr>
      <w:tr w:rsidR="001A6DFC" w:rsidRPr="00670657" w14:paraId="65746FCF" w14:textId="77777777" w:rsidTr="00670657">
        <w:trPr>
          <w:trHeight w:val="273"/>
        </w:trPr>
        <w:tc>
          <w:tcPr>
            <w:tcW w:w="3119" w:type="dxa"/>
          </w:tcPr>
          <w:p w14:paraId="25313A04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Esemény</w:t>
            </w:r>
            <w:proofErr w:type="spellEnd"/>
          </w:p>
        </w:tc>
        <w:tc>
          <w:tcPr>
            <w:tcW w:w="3317" w:type="dxa"/>
          </w:tcPr>
          <w:p w14:paraId="6C8B763B" w14:textId="77777777" w:rsidR="001A6DFC" w:rsidRPr="00670657" w:rsidRDefault="001A6DFC" w:rsidP="001A6DFC">
            <w:pPr>
              <w:ind w:right="154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239 </w:t>
            </w:r>
            <w:r w:rsidRPr="005240F4">
              <w:rPr>
                <w:rFonts w:ascii="Times New Roman" w:eastAsia="Times New Roman" w:hAnsi="Times New Roman" w:cs="Times New Roman"/>
              </w:rPr>
              <w:t>(40,0%)</w:t>
            </w:r>
          </w:p>
        </w:tc>
        <w:tc>
          <w:tcPr>
            <w:tcW w:w="2652" w:type="dxa"/>
          </w:tcPr>
          <w:p w14:paraId="3D4399EA" w14:textId="77777777" w:rsidR="001A6DFC" w:rsidRPr="00670657" w:rsidRDefault="001A6DFC" w:rsidP="001A6DFC">
            <w:pPr>
              <w:ind w:right="150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354 </w:t>
            </w:r>
            <w:r w:rsidRPr="005240F4">
              <w:rPr>
                <w:rFonts w:ascii="Times New Roman" w:eastAsia="Times New Roman" w:hAnsi="Times New Roman" w:cs="Times New Roman"/>
              </w:rPr>
              <w:t>(58,8%)</w:t>
            </w:r>
          </w:p>
        </w:tc>
      </w:tr>
      <w:tr w:rsidR="001A6DFC" w:rsidRPr="00670657" w14:paraId="090CF50C" w14:textId="77777777" w:rsidTr="00670657">
        <w:trPr>
          <w:trHeight w:val="259"/>
        </w:trPr>
        <w:tc>
          <w:tcPr>
            <w:tcW w:w="3119" w:type="dxa"/>
          </w:tcPr>
          <w:p w14:paraId="3EF2552E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Cenzorált</w:t>
            </w:r>
            <w:proofErr w:type="spellEnd"/>
          </w:p>
        </w:tc>
        <w:tc>
          <w:tcPr>
            <w:tcW w:w="3317" w:type="dxa"/>
          </w:tcPr>
          <w:p w14:paraId="71BA9EA6" w14:textId="77777777" w:rsidR="001A6DFC" w:rsidRPr="00670657" w:rsidRDefault="001A6DFC" w:rsidP="001A6DFC">
            <w:pPr>
              <w:ind w:right="154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358 </w:t>
            </w:r>
            <w:r w:rsidRPr="005240F4">
              <w:rPr>
                <w:rFonts w:ascii="Times New Roman" w:eastAsia="Times New Roman" w:hAnsi="Times New Roman" w:cs="Times New Roman"/>
              </w:rPr>
              <w:t>(60,0%)</w:t>
            </w:r>
          </w:p>
        </w:tc>
        <w:tc>
          <w:tcPr>
            <w:tcW w:w="2652" w:type="dxa"/>
          </w:tcPr>
          <w:p w14:paraId="1F653773" w14:textId="77777777" w:rsidR="001A6DFC" w:rsidRPr="00670657" w:rsidRDefault="001A6DFC" w:rsidP="001A6DFC">
            <w:pPr>
              <w:ind w:right="150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248 </w:t>
            </w:r>
            <w:r w:rsidRPr="005240F4">
              <w:rPr>
                <w:rFonts w:ascii="Times New Roman" w:eastAsia="Times New Roman" w:hAnsi="Times New Roman" w:cs="Times New Roman"/>
              </w:rPr>
              <w:t>(41,2%)</w:t>
            </w:r>
          </w:p>
        </w:tc>
      </w:tr>
      <w:tr w:rsidR="001A6DFC" w:rsidRPr="00670657" w14:paraId="56A07868" w14:textId="77777777" w:rsidTr="00670657">
        <w:trPr>
          <w:trHeight w:val="403"/>
        </w:trPr>
        <w:tc>
          <w:tcPr>
            <w:tcW w:w="3119" w:type="dxa"/>
          </w:tcPr>
          <w:p w14:paraId="51217EA9" w14:textId="77777777" w:rsidR="001A6DFC" w:rsidRPr="005240F4" w:rsidRDefault="001A6DFC" w:rsidP="001A6DFC">
            <w:pPr>
              <w:ind w:right="208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734D86">
              <w:rPr>
                <w:rFonts w:ascii="Times New Roman" w:eastAsia="Times New Roman" w:hAnsi="Times New Roman" w:cs="Times New Roman"/>
              </w:rPr>
              <w:t>Az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34D86">
              <w:rPr>
                <w:rFonts w:ascii="Times New Roman" w:eastAsia="Times New Roman" w:hAnsi="Times New Roman" w:cs="Times New Roman"/>
              </w:rPr>
              <w:t>eseményig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34D86">
              <w:rPr>
                <w:rFonts w:ascii="Times New Roman" w:eastAsia="Times New Roman" w:hAnsi="Times New Roman" w:cs="Times New Roman"/>
              </w:rPr>
              <w:t>eltelt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34D86">
              <w:rPr>
                <w:rFonts w:ascii="Times New Roman" w:eastAsia="Times New Roman" w:hAnsi="Times New Roman" w:cs="Times New Roman"/>
              </w:rPr>
              <w:t>idő</w:t>
            </w:r>
            <w:proofErr w:type="spellEnd"/>
            <w:r w:rsidRPr="00734D86">
              <w:rPr>
                <w:rFonts w:ascii="Times New Roman" w:eastAsia="Times New Roman" w:hAnsi="Times New Roman" w:cs="Times New Roman"/>
              </w:rPr>
              <w:t xml:space="preserve"> </w:t>
            </w:r>
            <w:r w:rsidRPr="005240F4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hónap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>)</w:t>
            </w:r>
          </w:p>
          <w:p w14:paraId="0D05072B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Medián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(95%-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os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CI)</w:t>
            </w:r>
          </w:p>
        </w:tc>
        <w:tc>
          <w:tcPr>
            <w:tcW w:w="3317" w:type="dxa"/>
          </w:tcPr>
          <w:p w14:paraId="14F0B412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7138D9E6" w14:textId="77777777" w:rsidR="001A6DFC" w:rsidRPr="00670657" w:rsidRDefault="001A6DFC" w:rsidP="001A6DFC">
            <w:pPr>
              <w:ind w:right="154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33,02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(29,57;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NB)</w:t>
            </w:r>
          </w:p>
        </w:tc>
        <w:tc>
          <w:tcPr>
            <w:tcW w:w="2652" w:type="dxa"/>
          </w:tcPr>
          <w:p w14:paraId="2D0C31B6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47DBCEFC" w14:textId="77777777" w:rsidR="001A6DFC" w:rsidRPr="00670657" w:rsidRDefault="001A6DFC" w:rsidP="001A6DFC">
            <w:pPr>
              <w:ind w:right="150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14,78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(14,69;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18,27)</w:t>
            </w:r>
          </w:p>
        </w:tc>
      </w:tr>
      <w:tr w:rsidR="001A6DFC" w:rsidRPr="00670657" w14:paraId="09B7B540" w14:textId="77777777" w:rsidTr="00670657">
        <w:trPr>
          <w:trHeight w:val="270"/>
        </w:trPr>
        <w:tc>
          <w:tcPr>
            <w:tcW w:w="3119" w:type="dxa"/>
          </w:tcPr>
          <w:p w14:paraId="653805F8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Tartomány</w:t>
            </w:r>
            <w:proofErr w:type="spellEnd"/>
          </w:p>
        </w:tc>
        <w:tc>
          <w:tcPr>
            <w:tcW w:w="3317" w:type="dxa"/>
          </w:tcPr>
          <w:p w14:paraId="3149F348" w14:textId="77777777" w:rsidR="001A6DFC" w:rsidRPr="00670657" w:rsidRDefault="001A6DFC" w:rsidP="001A6DFC">
            <w:pPr>
              <w:ind w:right="154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(0,0+;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41,0+)</w:t>
            </w:r>
          </w:p>
        </w:tc>
        <w:tc>
          <w:tcPr>
            <w:tcW w:w="2652" w:type="dxa"/>
          </w:tcPr>
          <w:p w14:paraId="7D06D21E" w14:textId="77777777" w:rsidR="001A6DFC" w:rsidRPr="00670657" w:rsidRDefault="001A6DFC" w:rsidP="001A6DFC">
            <w:pPr>
              <w:ind w:right="150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(0,0+;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40,6+)</w:t>
            </w:r>
          </w:p>
        </w:tc>
      </w:tr>
      <w:tr w:rsidR="001A6DFC" w:rsidRPr="00670657" w14:paraId="4BA2A28C" w14:textId="77777777" w:rsidTr="00670657">
        <w:trPr>
          <w:trHeight w:val="272"/>
        </w:trPr>
        <w:tc>
          <w:tcPr>
            <w:tcW w:w="3119" w:type="dxa"/>
          </w:tcPr>
          <w:p w14:paraId="67B0FE89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p-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érték</w:t>
            </w:r>
            <w:r w:rsidRPr="005240F4">
              <w:rPr>
                <w:rFonts w:ascii="Times New Roman" w:eastAsia="Times New Roman" w:hAnsi="Times New Roman" w:cs="Times New Roman"/>
                <w:vertAlign w:val="superscript"/>
              </w:rPr>
              <w:t>a</w:t>
            </w:r>
            <w:proofErr w:type="spellEnd"/>
          </w:p>
        </w:tc>
        <w:tc>
          <w:tcPr>
            <w:tcW w:w="3317" w:type="dxa"/>
          </w:tcPr>
          <w:p w14:paraId="0C21C702" w14:textId="77777777" w:rsidR="001A6DFC" w:rsidRPr="00670657" w:rsidRDefault="001A6DFC" w:rsidP="001A6DFC">
            <w:pPr>
              <w:ind w:right="154"/>
              <w:jc w:val="center"/>
              <w:rPr>
                <w:rFonts w:ascii="Times New Roman" w:eastAsia="Times New Roman" w:hAnsi="Times New Roman" w:cs="Times New Roman"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&lt;0,0001</w:t>
            </w:r>
          </w:p>
        </w:tc>
        <w:tc>
          <w:tcPr>
            <w:tcW w:w="2652" w:type="dxa"/>
          </w:tcPr>
          <w:p w14:paraId="06DC4729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1A6DFC" w:rsidRPr="00670657" w14:paraId="0A4DA733" w14:textId="77777777" w:rsidTr="00670657">
        <w:trPr>
          <w:trHeight w:val="282"/>
        </w:trPr>
        <w:tc>
          <w:tcPr>
            <w:tcW w:w="3119" w:type="dxa"/>
            <w:tcBorders>
              <w:bottom w:val="single" w:sz="4" w:space="0" w:color="000000"/>
            </w:tcBorders>
          </w:tcPr>
          <w:p w14:paraId="3942A69B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  <w:lang w:val="es-ES"/>
              </w:rPr>
            </w:pPr>
            <w:r w:rsidRPr="00670657">
              <w:rPr>
                <w:rFonts w:ascii="Times New Roman" w:eastAsia="Times New Roman" w:hAnsi="Times New Roman" w:cs="Times New Roman"/>
                <w:lang w:val="es-ES"/>
              </w:rPr>
              <w:t>Relatív</w:t>
            </w:r>
            <w:r w:rsidRPr="005240F4">
              <w:rPr>
                <w:rFonts w:ascii="Times New Roman" w:eastAsia="Times New Roman" w:hAnsi="Times New Roman" w:cs="Times New Roman"/>
                <w:lang w:val="es-ES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  <w:lang w:val="es-ES"/>
              </w:rPr>
              <w:t>hazárd</w:t>
            </w:r>
            <w:r w:rsidRPr="005240F4">
              <w:rPr>
                <w:rFonts w:ascii="Times New Roman" w:eastAsia="Times New Roman" w:hAnsi="Times New Roman" w:cs="Times New Roman"/>
                <w:lang w:val="es-ES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  <w:lang w:val="es-ES"/>
              </w:rPr>
              <w:t>(95%-os</w:t>
            </w:r>
            <w:r w:rsidRPr="005240F4">
              <w:rPr>
                <w:rFonts w:ascii="Times New Roman" w:eastAsia="Times New Roman" w:hAnsi="Times New Roman" w:cs="Times New Roman"/>
                <w:lang w:val="es-ES"/>
              </w:rPr>
              <w:t xml:space="preserve"> CI)</w:t>
            </w:r>
            <w:r w:rsidRPr="005240F4">
              <w:rPr>
                <w:rFonts w:ascii="Times New Roman" w:eastAsia="Times New Roman" w:hAnsi="Times New Roman" w:cs="Times New Roman"/>
                <w:vertAlign w:val="superscript"/>
                <w:lang w:val="es-ES"/>
              </w:rPr>
              <w:t>b</w:t>
            </w:r>
          </w:p>
        </w:tc>
        <w:tc>
          <w:tcPr>
            <w:tcW w:w="3317" w:type="dxa"/>
            <w:tcBorders>
              <w:bottom w:val="single" w:sz="4" w:space="0" w:color="000000"/>
            </w:tcBorders>
          </w:tcPr>
          <w:p w14:paraId="4CFE68AA" w14:textId="77777777" w:rsidR="001A6DFC" w:rsidRPr="00670657" w:rsidRDefault="001A6DFC" w:rsidP="001A6DFC">
            <w:pPr>
              <w:ind w:right="154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0,466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(0,394;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0,550)</w:t>
            </w:r>
          </w:p>
        </w:tc>
        <w:tc>
          <w:tcPr>
            <w:tcW w:w="2652" w:type="dxa"/>
            <w:tcBorders>
              <w:bottom w:val="single" w:sz="4" w:space="0" w:color="000000"/>
            </w:tcBorders>
          </w:tcPr>
          <w:p w14:paraId="57023239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01417FB" w14:textId="669243E9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Megjegyzés: + = cenzorált megfigyelés, NB = nem becsülhető. A radiológiai progressziót és a halálozást tekintetbe vették az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rPFS</w:t>
      </w:r>
      <w:proofErr w:type="spellEnd"/>
      <w:r w:rsidR="0080733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-</w:t>
      </w: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esemény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defininiálásakor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. AA-P = alanyok, akik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-acetátot és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prednizont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kaptak.</w:t>
      </w:r>
    </w:p>
    <w:p w14:paraId="7DE8EAD2" w14:textId="144422AE" w:rsidR="001A6DFC" w:rsidRPr="005240F4" w:rsidRDefault="001A6DFC" w:rsidP="00807339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p-érték egy ECOG-teljesítménystátusz-pontszám (0/1 vagy 2) és egy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visceralis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lézió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(hiányzik vagy jelen van) szerint rétegzett lograng-próbából származik.</w:t>
      </w:r>
    </w:p>
    <w:p w14:paraId="6B85770B" w14:textId="77777777" w:rsidR="001A6DFC" w:rsidRPr="005240F4" w:rsidRDefault="001A6DFC" w:rsidP="00807339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14:ligatures w14:val="none"/>
        </w:rPr>
        <w:t>b</w:t>
      </w: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A relatív hazárd egy rétegzett arányos hazárd modellből származik. 1 alatti relatív hazárd az AA</w:t>
      </w: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noBreakHyphen/>
        <w:t>P</w:t>
      </w: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noBreakHyphen/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nek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kedvez.</w:t>
      </w:r>
    </w:p>
    <w:p w14:paraId="566E98C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E7F091" w14:textId="14F3294E" w:rsidR="001A6DFC" w:rsidRPr="005240F4" w:rsidRDefault="001A6DFC" w:rsidP="005240F4">
      <w:pPr>
        <w:widowControl w:val="0"/>
        <w:autoSpaceDE w:val="0"/>
        <w:autoSpaceDN w:val="0"/>
        <w:spacing w:after="0" w:line="240" w:lineRule="auto"/>
        <w:ind w:left="1276" w:right="-1" w:hanging="1276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 ábra: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>A radiológiai progresszió</w:t>
      </w:r>
      <w:r w:rsidR="0080733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mentes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túlélés Kaplan–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Meier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-görbéje, beválasztás szerinti betegcsoport (PCR3011-vizsgálat)</w:t>
      </w:r>
    </w:p>
    <w:p w14:paraId="3C04E88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anchor distT="0" distB="0" distL="0" distR="0" simplePos="0" relativeHeight="251659264" behindDoc="1" locked="0" layoutInCell="1" allowOverlap="1" wp14:anchorId="67C3B4C0" wp14:editId="59FA0CF4">
            <wp:simplePos x="0" y="0"/>
            <wp:positionH relativeFrom="page">
              <wp:posOffset>1164404</wp:posOffset>
            </wp:positionH>
            <wp:positionV relativeFrom="paragraph">
              <wp:posOffset>249907</wp:posOffset>
            </wp:positionV>
            <wp:extent cx="5176313" cy="3120390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6313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5A6F6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5F7141EC" w14:textId="5CCE665B" w:rsidR="001A6DFC" w:rsidRPr="00670657" w:rsidRDefault="001A6DFC" w:rsidP="001A6DFC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teljes túlélés statisztikailag szignifikáns javulását észlelték az AA-P plusz ADT javára 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placebo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plusz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ADT-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hez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képest, a halálozási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kockázat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34%-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csökkenése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mellett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(relatív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hazárd =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0,66;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95%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CI: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D249D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0,56</w:t>
      </w:r>
      <w:r w:rsidR="00DD249D">
        <w:rPr>
          <w:rFonts w:ascii="Times New Roman" w:eastAsia="Times New Roman" w:hAnsi="Times New Roman" w:cs="Times New Roman"/>
          <w:kern w:val="0"/>
          <w14:ligatures w14:val="none"/>
        </w:rPr>
        <w:t xml:space="preserve">;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0,78</w:t>
      </w:r>
      <w:r w:rsidR="00DD249D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; 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&lt;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0,0001),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táblázat 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ábra).</w:t>
      </w:r>
    </w:p>
    <w:p w14:paraId="16FAE3B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1FE82F4" w14:textId="77777777" w:rsidR="001A6DFC" w:rsidRPr="005240F4" w:rsidRDefault="001A6DFC" w:rsidP="005240F4">
      <w:pPr>
        <w:keepNext/>
        <w:autoSpaceDE w:val="0"/>
        <w:autoSpaceDN w:val="0"/>
        <w:spacing w:after="0" w:line="240" w:lineRule="auto"/>
        <w:ind w:left="1276" w:hanging="1276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3. táblázat: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 xml:space="preserve">A PCR3011-vizsgálatban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-acetáttal vagy placebóval kezelt betegek teljes túlélése (beválasztás szerinti analízis)</w:t>
      </w:r>
    </w:p>
    <w:p w14:paraId="0BF28936" w14:textId="77777777" w:rsidR="001A6DFC" w:rsidRPr="00670657" w:rsidRDefault="001A6DFC">
      <w:pPr>
        <w:keepNext/>
        <w:autoSpaceDE w:val="0"/>
        <w:autoSpaceDN w:val="0"/>
        <w:spacing w:after="0" w:line="240" w:lineRule="auto"/>
        <w:ind w:right="-11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9271" w:type="dxa"/>
        <w:tblInd w:w="10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4"/>
        <w:gridCol w:w="3402"/>
        <w:gridCol w:w="2715"/>
      </w:tblGrid>
      <w:tr w:rsidR="001A6DFC" w:rsidRPr="00670657" w14:paraId="727097DA" w14:textId="77777777" w:rsidTr="00670657">
        <w:trPr>
          <w:trHeight w:hRule="exact" w:val="860"/>
        </w:trPr>
        <w:tc>
          <w:tcPr>
            <w:tcW w:w="3154" w:type="dxa"/>
            <w:tcBorders>
              <w:top w:val="single" w:sz="4" w:space="0" w:color="000000"/>
            </w:tcBorders>
          </w:tcPr>
          <w:p w14:paraId="7286836D" w14:textId="77777777" w:rsidR="001A6DFC" w:rsidRPr="00670657" w:rsidRDefault="001A6DFC" w:rsidP="001A6DFC">
            <w:pPr>
              <w:keepNext/>
              <w:autoSpaceDE w:val="0"/>
              <w:autoSpaceDN w:val="0"/>
              <w:spacing w:after="0" w:line="240" w:lineRule="auto"/>
              <w:ind w:right="505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Teljes túlélés</w:t>
            </w:r>
          </w:p>
        </w:tc>
        <w:tc>
          <w:tcPr>
            <w:tcW w:w="3402" w:type="dxa"/>
            <w:tcBorders>
              <w:top w:val="single" w:sz="4" w:space="0" w:color="000000"/>
            </w:tcBorders>
          </w:tcPr>
          <w:p w14:paraId="2D6CF040" w14:textId="77777777" w:rsidR="001A6DFC" w:rsidRPr="005240F4" w:rsidRDefault="001A6DFC" w:rsidP="001A6DFC">
            <w:pPr>
              <w:keepNext/>
              <w:autoSpaceDE w:val="0"/>
              <w:autoSpaceDN w:val="0"/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proofErr w:type="spellStart"/>
            <w:r w:rsidRPr="005240F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Abirateron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-acetát</w:t>
            </w:r>
          </w:p>
          <w:p w14:paraId="47498045" w14:textId="77777777" w:rsidR="001A6DFC" w:rsidRPr="005240F4" w:rsidRDefault="001A6DFC" w:rsidP="001A6DFC">
            <w:pPr>
              <w:keepNext/>
              <w:autoSpaceDE w:val="0"/>
              <w:autoSpaceDN w:val="0"/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proofErr w:type="spellStart"/>
            <w:r w:rsidRPr="00670657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prednizonnal</w:t>
            </w:r>
            <w:proofErr w:type="spellEnd"/>
          </w:p>
          <w:p w14:paraId="69CAB9AB" w14:textId="77777777" w:rsidR="001A6DFC" w:rsidRPr="00670657" w:rsidRDefault="001A6DFC" w:rsidP="001A6DFC">
            <w:pPr>
              <w:keepNext/>
              <w:autoSpaceDE w:val="0"/>
              <w:autoSpaceDN w:val="0"/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(n = 597)</w:t>
            </w:r>
          </w:p>
        </w:tc>
        <w:tc>
          <w:tcPr>
            <w:tcW w:w="2715" w:type="dxa"/>
            <w:tcBorders>
              <w:top w:val="single" w:sz="4" w:space="0" w:color="000000"/>
            </w:tcBorders>
          </w:tcPr>
          <w:p w14:paraId="2141D6D3" w14:textId="77777777" w:rsidR="001A6DFC" w:rsidRPr="00670657" w:rsidRDefault="001A6DFC" w:rsidP="001A6DFC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Placebo</w:t>
            </w:r>
          </w:p>
          <w:p w14:paraId="75DB203C" w14:textId="77777777" w:rsidR="001A6DFC" w:rsidRPr="00670657" w:rsidRDefault="001A6DFC" w:rsidP="001A6DFC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(n =602)</w:t>
            </w:r>
          </w:p>
        </w:tc>
      </w:tr>
      <w:tr w:rsidR="001A6DFC" w:rsidRPr="00670657" w14:paraId="6FE50A88" w14:textId="77777777" w:rsidTr="00670657">
        <w:trPr>
          <w:trHeight w:hRule="exact" w:val="240"/>
        </w:trPr>
        <w:tc>
          <w:tcPr>
            <w:tcW w:w="3154" w:type="dxa"/>
            <w:tcBorders>
              <w:top w:val="single" w:sz="4" w:space="0" w:color="auto"/>
            </w:tcBorders>
          </w:tcPr>
          <w:p w14:paraId="647E8259" w14:textId="77777777" w:rsidR="001A6DFC" w:rsidRPr="00670657" w:rsidRDefault="001A6DFC" w:rsidP="001A6DF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Halálozás (%)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645B8FC8" w14:textId="77777777" w:rsidR="001A6DFC" w:rsidRPr="00670657" w:rsidRDefault="001A6DFC" w:rsidP="001A6DF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275 (46%)</w:t>
            </w:r>
          </w:p>
        </w:tc>
        <w:tc>
          <w:tcPr>
            <w:tcW w:w="2715" w:type="dxa"/>
            <w:tcBorders>
              <w:top w:val="single" w:sz="4" w:space="0" w:color="auto"/>
            </w:tcBorders>
          </w:tcPr>
          <w:p w14:paraId="27A7EABD" w14:textId="77777777" w:rsidR="001A6DFC" w:rsidRPr="00670657" w:rsidRDefault="001A6DFC" w:rsidP="001A6DF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343 (57%)</w:t>
            </w:r>
          </w:p>
        </w:tc>
      </w:tr>
      <w:tr w:rsidR="001A6DFC" w:rsidRPr="00670657" w14:paraId="2F1DC7DD" w14:textId="77777777" w:rsidTr="00670657">
        <w:trPr>
          <w:trHeight w:hRule="exact" w:val="230"/>
        </w:trPr>
        <w:tc>
          <w:tcPr>
            <w:tcW w:w="3154" w:type="dxa"/>
          </w:tcPr>
          <w:p w14:paraId="40D1F440" w14:textId="75398DD1" w:rsidR="001A6DFC" w:rsidRPr="00670657" w:rsidRDefault="001A6DFC">
            <w:pPr>
              <w:widowControl w:val="0"/>
              <w:autoSpaceDE w:val="0"/>
              <w:autoSpaceDN w:val="0"/>
              <w:spacing w:after="0" w:line="226" w:lineRule="exact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Medián túlélés (hónap)</w:t>
            </w:r>
          </w:p>
        </w:tc>
        <w:tc>
          <w:tcPr>
            <w:tcW w:w="3402" w:type="dxa"/>
          </w:tcPr>
          <w:p w14:paraId="51940401" w14:textId="77777777" w:rsidR="001A6DFC" w:rsidRPr="00670657" w:rsidRDefault="001A6DFC" w:rsidP="001A6DFC">
            <w:pPr>
              <w:widowControl w:val="0"/>
              <w:autoSpaceDE w:val="0"/>
              <w:autoSpaceDN w:val="0"/>
              <w:spacing w:after="0" w:line="226" w:lineRule="exact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53,3</w:t>
            </w:r>
          </w:p>
        </w:tc>
        <w:tc>
          <w:tcPr>
            <w:tcW w:w="2715" w:type="dxa"/>
          </w:tcPr>
          <w:p w14:paraId="366A8284" w14:textId="77777777" w:rsidR="001A6DFC" w:rsidRPr="00670657" w:rsidRDefault="001A6DFC" w:rsidP="001A6DFC">
            <w:pPr>
              <w:widowControl w:val="0"/>
              <w:autoSpaceDE w:val="0"/>
              <w:autoSpaceDN w:val="0"/>
              <w:spacing w:after="0" w:line="226" w:lineRule="exact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36,5</w:t>
            </w:r>
          </w:p>
        </w:tc>
      </w:tr>
      <w:tr w:rsidR="001A6DFC" w:rsidRPr="00670657" w14:paraId="1EE3A447" w14:textId="77777777" w:rsidTr="00670657">
        <w:trPr>
          <w:trHeight w:hRule="exact" w:val="230"/>
        </w:trPr>
        <w:tc>
          <w:tcPr>
            <w:tcW w:w="3154" w:type="dxa"/>
            <w:tcBorders>
              <w:bottom w:val="single" w:sz="4" w:space="0" w:color="000000"/>
            </w:tcBorders>
          </w:tcPr>
          <w:p w14:paraId="24892ED2" w14:textId="77777777" w:rsidR="001A6DFC" w:rsidRPr="00670657" w:rsidRDefault="001A6DFC" w:rsidP="001A6DFC">
            <w:pPr>
              <w:widowControl w:val="0"/>
              <w:autoSpaceDE w:val="0"/>
              <w:autoSpaceDN w:val="0"/>
              <w:spacing w:after="0" w:line="222" w:lineRule="exact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(95%-</w:t>
            </w:r>
            <w:proofErr w:type="spellStart"/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os</w:t>
            </w:r>
            <w:proofErr w:type="spellEnd"/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CI)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14:paraId="3DD5F758" w14:textId="77777777" w:rsidR="001A6DFC" w:rsidRPr="00670657" w:rsidRDefault="001A6DFC" w:rsidP="001A6DFC">
            <w:pPr>
              <w:widowControl w:val="0"/>
              <w:autoSpaceDE w:val="0"/>
              <w:autoSpaceDN w:val="0"/>
              <w:spacing w:after="0" w:line="225" w:lineRule="exact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(48,2; NE)</w:t>
            </w:r>
          </w:p>
        </w:tc>
        <w:tc>
          <w:tcPr>
            <w:tcW w:w="2715" w:type="dxa"/>
            <w:tcBorders>
              <w:bottom w:val="single" w:sz="4" w:space="0" w:color="000000"/>
            </w:tcBorders>
          </w:tcPr>
          <w:p w14:paraId="547EC8A1" w14:textId="77777777" w:rsidR="001A6DFC" w:rsidRPr="00670657" w:rsidRDefault="001A6DFC" w:rsidP="001A6DFC">
            <w:pPr>
              <w:widowControl w:val="0"/>
              <w:autoSpaceDE w:val="0"/>
              <w:autoSpaceDN w:val="0"/>
              <w:spacing w:after="0" w:line="226" w:lineRule="exact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(33,5; 40,0)</w:t>
            </w:r>
          </w:p>
        </w:tc>
      </w:tr>
      <w:tr w:rsidR="001A6DFC" w:rsidRPr="00670657" w14:paraId="586D2C83" w14:textId="77777777" w:rsidTr="00670657">
        <w:trPr>
          <w:trHeight w:hRule="exact" w:val="285"/>
        </w:trPr>
        <w:tc>
          <w:tcPr>
            <w:tcW w:w="3154" w:type="dxa"/>
            <w:tcBorders>
              <w:bottom w:val="single" w:sz="4" w:space="0" w:color="000000"/>
            </w:tcBorders>
          </w:tcPr>
          <w:p w14:paraId="1E21FED4" w14:textId="77777777" w:rsidR="001A6DFC" w:rsidRPr="00670657" w:rsidRDefault="001A6DFC" w:rsidP="001A6DFC">
            <w:pPr>
              <w:widowControl w:val="0"/>
              <w:autoSpaceDE w:val="0"/>
              <w:autoSpaceDN w:val="0"/>
              <w:spacing w:after="0" w:line="251" w:lineRule="exact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Relatív hazárd (95%-</w:t>
            </w:r>
            <w:proofErr w:type="spellStart"/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os</w:t>
            </w:r>
            <w:proofErr w:type="spellEnd"/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CI)</w:t>
            </w:r>
            <w:r w:rsidRPr="00670657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1</w:t>
            </w:r>
          </w:p>
        </w:tc>
        <w:tc>
          <w:tcPr>
            <w:tcW w:w="6117" w:type="dxa"/>
            <w:gridSpan w:val="2"/>
            <w:tcBorders>
              <w:bottom w:val="single" w:sz="4" w:space="0" w:color="000000"/>
            </w:tcBorders>
          </w:tcPr>
          <w:p w14:paraId="1939C5FD" w14:textId="77777777" w:rsidR="001A6DFC" w:rsidRPr="00670657" w:rsidRDefault="001A6DFC" w:rsidP="001A6DFC">
            <w:pPr>
              <w:widowControl w:val="0"/>
              <w:autoSpaceDE w:val="0"/>
              <w:autoSpaceDN w:val="0"/>
              <w:spacing w:after="0" w:line="226" w:lineRule="exact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7065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0,66 (0,56; 0,78)</w:t>
            </w:r>
          </w:p>
        </w:tc>
      </w:tr>
    </w:tbl>
    <w:p w14:paraId="6F5180DE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ind w:right="-11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NB= nem becsülhető</w:t>
      </w:r>
    </w:p>
    <w:p w14:paraId="24C9B857" w14:textId="6A30B8EA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:vertAlign w:val="superscript"/>
          <w14:ligatures w14:val="none"/>
        </w:rPr>
        <w:t>1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A relatív hazárd egy rétegzett arányos hazárd</w:t>
      </w:r>
      <w:r w:rsidR="00DD249D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modellből származik. Az 1 alatti relatív hazárd az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abirateron+prednizon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előnyét mutatja.</w:t>
      </w:r>
    </w:p>
    <w:p w14:paraId="69B1A67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F4BFA4C" w14:textId="77777777" w:rsidR="001A6DFC" w:rsidRPr="005240F4" w:rsidRDefault="001A6DFC" w:rsidP="005240F4">
      <w:pPr>
        <w:keepNext/>
        <w:autoSpaceDE w:val="0"/>
        <w:autoSpaceDN w:val="0"/>
        <w:spacing w:after="0" w:line="240" w:lineRule="auto"/>
        <w:ind w:left="1276" w:hanging="1276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 ábra: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>A teljes túlélés Kaplan–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Meier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-féle görbéje, beválasztás szerinti betegcsoport a PCR3011-vizsgálat analízisében</w:t>
      </w:r>
    </w:p>
    <w:p w14:paraId="00CE120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anchor distT="0" distB="0" distL="0" distR="0" simplePos="0" relativeHeight="251660288" behindDoc="1" locked="0" layoutInCell="1" allowOverlap="1" wp14:anchorId="68CFD95C" wp14:editId="08D28DC5">
            <wp:simplePos x="0" y="0"/>
            <wp:positionH relativeFrom="page">
              <wp:posOffset>930040</wp:posOffset>
            </wp:positionH>
            <wp:positionV relativeFrom="paragraph">
              <wp:posOffset>207356</wp:posOffset>
            </wp:positionV>
            <wp:extent cx="5534457" cy="3365563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4457" cy="33655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953C0C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42DA57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E4E5F">
        <w:rPr>
          <w:rFonts w:ascii="Times New Roman" w:eastAsia="Times New Roman" w:hAnsi="Times New Roman" w:cs="Times New Roman"/>
          <w:kern w:val="0"/>
          <w14:ligatures w14:val="none"/>
        </w:rPr>
        <w:t>Az alcsoport-analízisek következetesen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-acetát-kezelésnek kedveznek. Az AA-P-kezelés hatása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rPFS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-re és az OS-re az előre meghatározott alcsoportokban kedvező volt, és összhangban 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teljes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betegcsoporttal,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kivéve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2-es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ECOG-pontszámú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alcsoportot,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ahol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észleltek a kedvező hatás irányába mutató tendenciát, ugyanakkor a kis mintaméret (n = 40) korlátozza bármilyen jelentőségteljes következtetés levonását.</w:t>
      </w:r>
    </w:p>
    <w:p w14:paraId="6631135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3C0571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teljes túlélésben és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rPFS-ben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észlelt javulások mellett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 placebokezeléshez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viszonyított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kedvező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hatását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minden,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meghatározott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másodlagos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végpont esetén igazolták.</w:t>
      </w:r>
    </w:p>
    <w:p w14:paraId="04D9B65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F350F2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740823">
        <w:rPr>
          <w:rFonts w:ascii="Times New Roman" w:eastAsia="Times New Roman" w:hAnsi="Times New Roman" w:cs="Times New Roman"/>
          <w:i/>
          <w:kern w:val="0"/>
          <w14:ligatures w14:val="none"/>
        </w:rPr>
        <w:t>302-es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740823">
        <w:rPr>
          <w:rFonts w:ascii="Times New Roman" w:eastAsia="Times New Roman" w:hAnsi="Times New Roman" w:cs="Times New Roman"/>
          <w:i/>
          <w:kern w:val="0"/>
          <w14:ligatures w14:val="none"/>
        </w:rPr>
        <w:t>vizsgálat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(korábban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kemoterápiában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részesült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betegek)</w:t>
      </w:r>
    </w:p>
    <w:p w14:paraId="21934C6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Ebbe a vizsgálatba olyan, korábban kemoterápiában nem részesült betegeket vontak be, akik tünetmentesek voltak vagy enyhe tüneteket mutattak, és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klinikum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alapján a kemoterápia még nem 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javallott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számukra.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rövid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fájdalomértékelő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kérdőív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Brief</w:t>
      </w:r>
      <w:proofErr w:type="spellEnd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Pain</w:t>
      </w:r>
      <w:proofErr w:type="spellEnd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Inventory-Short</w:t>
      </w:r>
      <w:proofErr w:type="spellEnd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Form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BPI-SF) szerint, az elmúlt 24 órában észlelt legerősebb fájdalom alapján 0–1 pontra értékelt betegeket tünetmentesnek tekintették, a 2–3 pontra értékelt betegeket pedig enyhe tüneteket mutatóknak.</w:t>
      </w:r>
    </w:p>
    <w:p w14:paraId="2AE78B6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FDAA7F0" w14:textId="47E28B45" w:rsidR="001A6DFC" w:rsidRPr="00670657" w:rsidRDefault="001A6DFC" w:rsidP="005240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A 302-es vizsgálatba bevont betegek (n = 1088) medián életkora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-acetáttal és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kezelteknél 71 év, a placebóval és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prednizolonnal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kezelteknél pedig 70 év volt.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 betegek rassz szerinti megoszlása 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alábbi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volt: kaukázusi: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520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(95,4%),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fekete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bőrű: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15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(2,8%),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ázsiai: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(0,7%)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egyéb: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(1,1%).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Eastern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Cooperative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Oncology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Group (ECOG) teljesítménystátusza mindkét karon a betegek 76%-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ának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volt 0 pontos és 24%-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ának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volt 1 pontos. A betegek 50%-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ának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volt kizárólag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csontmetasztázisa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a betegek további 31%-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ának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volt csont- és lágyrész- vagy nyirokcsomó-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metasztázisa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és a betegek 19%-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ának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volt kizárólag lágyrész- vagy nyirokcsomó-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metasztázisa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. A vizsgálatból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kizárták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azokat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betegeket,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visceralis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metasztázisa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társprimer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hatásossági végpont 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teljes túlélés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overall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survival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OS) és a radiológiai progressziómentes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túlélés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radiographic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progression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-free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survival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rPFS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) volt. A kezelésből származó előny értékeléséhez a társprimer végpontok értékei mellett figyelembe vették még a daganatos fájdalom miatt szükségessé váló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opiátalkalmazásig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eltelt időt,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citotoxikus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kemoterápia megkezdéséig eltelt időt, az ECOG szerinti teljesítménystátusz ≥ 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pont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os romlásáig és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Prostate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Cancer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Working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Group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 (PCWG2) feltétele szerinti PSA-szint</w:t>
      </w:r>
      <w:r w:rsidR="00740823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emelkedésig eltelt időt. A vizsgálati készítménnyel végzett kezelést az egyértelmű klinikai progresszió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hagyták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abba.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vizsgáló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döntése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alapján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akkor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abbahagyhatták,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ha a progressziót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radiológiailag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igazolták.</w:t>
      </w:r>
    </w:p>
    <w:p w14:paraId="52694F4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D13D76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radiológiai progressziómentes túlélést (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rPFS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) meghatározott időközönként végzett képalkotó vizsgálatok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alapján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értékelték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PCWG2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(csontelváltozásokra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vonatkozó)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feltételrendszere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szerint,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szolid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tumorok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észlelt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terápiás válaszok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értékelésére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szolgáló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Response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Evaluation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Criteria</w:t>
      </w:r>
      <w:proofErr w:type="spellEnd"/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In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Solid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Tumors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RECIST) módosított kritériumrendszer szerint (a lágyrészelváltozások szempontjából).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rPFS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elemzéséhez a radiológiai progresszió központosított értékelését alkalmazták.</w:t>
      </w:r>
    </w:p>
    <w:p w14:paraId="6D3C28A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rPFS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tervezett értékelésekor 401 esemény következett be.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-acetáttal kezelt betegek közül 150 (28%) esetben, míg a placebóval kezelt betegek közül 251 (46%) esetben találtak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radiológiailag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igazolt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progressziót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beteg. 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rPFS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tekintetében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jelentős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különbséget találtak a kezelési csoportok között (lásd 4. táblázat és 3. ábra).</w:t>
      </w:r>
    </w:p>
    <w:p w14:paraId="37F016B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A32233" w14:textId="77777777" w:rsidR="001A6DFC" w:rsidRPr="005240F4" w:rsidRDefault="001A6DFC" w:rsidP="005240F4">
      <w:pPr>
        <w:keepNext/>
        <w:autoSpaceDE w:val="0"/>
        <w:autoSpaceDN w:val="0"/>
        <w:spacing w:after="0" w:line="240" w:lineRule="auto"/>
        <w:ind w:left="1276" w:hanging="1276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4. táblázat: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 xml:space="preserve">302. vizsgálat: A radiológiai progresszió nélküli túlélés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-acetát vagy placebo 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vagy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kombinációval, plusz LHRH-analóggal kezelt vagy korábban sebészeti kasztráción átesett betegeknél.</w:t>
      </w:r>
    </w:p>
    <w:p w14:paraId="5D63C43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022"/>
        <w:gridCol w:w="3023"/>
        <w:gridCol w:w="3016"/>
      </w:tblGrid>
      <w:tr w:rsidR="001A6DFC" w:rsidRPr="00670657" w14:paraId="666D5F9E" w14:textId="77777777" w:rsidTr="00670657">
        <w:tc>
          <w:tcPr>
            <w:tcW w:w="3070" w:type="dxa"/>
            <w:tcBorders>
              <w:top w:val="single" w:sz="4" w:space="0" w:color="auto"/>
              <w:bottom w:val="single" w:sz="4" w:space="0" w:color="auto"/>
            </w:tcBorders>
          </w:tcPr>
          <w:p w14:paraId="576B229C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</w:p>
        </w:tc>
        <w:tc>
          <w:tcPr>
            <w:tcW w:w="3070" w:type="dxa"/>
            <w:tcBorders>
              <w:top w:val="single" w:sz="4" w:space="0" w:color="auto"/>
              <w:bottom w:val="single" w:sz="4" w:space="0" w:color="auto"/>
            </w:tcBorders>
          </w:tcPr>
          <w:p w14:paraId="441B9017" w14:textId="77777777" w:rsidR="001A6DFC" w:rsidRPr="005240F4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Abirateron-acetát</w:t>
            </w:r>
            <w:proofErr w:type="spellEnd"/>
          </w:p>
          <w:p w14:paraId="70739EE4" w14:textId="77777777" w:rsidR="001A6DFC" w:rsidRPr="00670657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  <w:b/>
              </w:rPr>
              <w:t>(n = 546)</w:t>
            </w:r>
          </w:p>
        </w:tc>
        <w:tc>
          <w:tcPr>
            <w:tcW w:w="3071" w:type="dxa"/>
            <w:tcBorders>
              <w:top w:val="single" w:sz="4" w:space="0" w:color="auto"/>
              <w:bottom w:val="single" w:sz="4" w:space="0" w:color="auto"/>
            </w:tcBorders>
          </w:tcPr>
          <w:p w14:paraId="1EA3772F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Placebo </w:t>
            </w:r>
          </w:p>
          <w:p w14:paraId="001FFE59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  <w:b/>
              </w:rPr>
              <w:t>(n = </w:t>
            </w:r>
            <w:r w:rsidRPr="005240F4">
              <w:rPr>
                <w:rFonts w:ascii="Times New Roman" w:eastAsia="Times New Roman" w:hAnsi="Times New Roman" w:cs="Times New Roman"/>
                <w:b/>
              </w:rPr>
              <w:t>542)</w:t>
            </w:r>
          </w:p>
        </w:tc>
      </w:tr>
      <w:tr w:rsidR="001A6DFC" w:rsidRPr="00670657" w14:paraId="2F6FADA3" w14:textId="77777777" w:rsidTr="00670657">
        <w:tc>
          <w:tcPr>
            <w:tcW w:w="3070" w:type="dxa"/>
            <w:tcBorders>
              <w:top w:val="single" w:sz="4" w:space="0" w:color="auto"/>
            </w:tcBorders>
          </w:tcPr>
          <w:p w14:paraId="0CFA0E97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b/>
                <w:lang w:val="fr-FR"/>
              </w:rPr>
              <w:t>Radiológiai progresszió nélküli túlélés (rPFS)</w:t>
            </w:r>
          </w:p>
        </w:tc>
        <w:tc>
          <w:tcPr>
            <w:tcW w:w="3070" w:type="dxa"/>
            <w:tcBorders>
              <w:top w:val="single" w:sz="4" w:space="0" w:color="auto"/>
            </w:tcBorders>
          </w:tcPr>
          <w:p w14:paraId="700E5EB7" w14:textId="77777777" w:rsidR="001A6DFC" w:rsidRPr="005240F4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14:paraId="72548498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</w:p>
        </w:tc>
      </w:tr>
      <w:tr w:rsidR="001A6DFC" w:rsidRPr="00670657" w14:paraId="52264A2D" w14:textId="77777777" w:rsidTr="00670657">
        <w:tc>
          <w:tcPr>
            <w:tcW w:w="3070" w:type="dxa"/>
          </w:tcPr>
          <w:p w14:paraId="6A6507C6" w14:textId="77777777" w:rsidR="001A6DFC" w:rsidRPr="005240F4" w:rsidRDefault="001A6DFC" w:rsidP="001A6DFC">
            <w:pPr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1D59FF">
              <w:rPr>
                <w:rFonts w:ascii="Times New Roman" w:eastAsia="Times New Roman" w:hAnsi="Times New Roman" w:cs="Times New Roman"/>
              </w:rPr>
              <w:t>Progresszió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D59FF">
              <w:rPr>
                <w:rFonts w:ascii="Times New Roman" w:eastAsia="Times New Roman" w:hAnsi="Times New Roman" w:cs="Times New Roman"/>
              </w:rPr>
              <w:t>vagy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halál</w:t>
            </w:r>
            <w:proofErr w:type="spellEnd"/>
          </w:p>
        </w:tc>
        <w:tc>
          <w:tcPr>
            <w:tcW w:w="3070" w:type="dxa"/>
          </w:tcPr>
          <w:p w14:paraId="40E834A9" w14:textId="77777777" w:rsidR="001A6DFC" w:rsidRPr="00670657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150 </w:t>
            </w:r>
            <w:r w:rsidRPr="005240F4">
              <w:rPr>
                <w:rFonts w:ascii="Times New Roman" w:eastAsia="Times New Roman" w:hAnsi="Times New Roman" w:cs="Times New Roman"/>
              </w:rPr>
              <w:t>(28%)</w:t>
            </w:r>
          </w:p>
        </w:tc>
        <w:tc>
          <w:tcPr>
            <w:tcW w:w="3071" w:type="dxa"/>
          </w:tcPr>
          <w:p w14:paraId="2739094B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251 </w:t>
            </w:r>
            <w:r w:rsidRPr="005240F4">
              <w:rPr>
                <w:rFonts w:ascii="Times New Roman" w:eastAsia="Times New Roman" w:hAnsi="Times New Roman" w:cs="Times New Roman"/>
              </w:rPr>
              <w:t>(46%)</w:t>
            </w:r>
          </w:p>
        </w:tc>
      </w:tr>
      <w:tr w:rsidR="001A6DFC" w:rsidRPr="00670657" w14:paraId="0E494579" w14:textId="77777777" w:rsidTr="00670657">
        <w:tc>
          <w:tcPr>
            <w:tcW w:w="3070" w:type="dxa"/>
          </w:tcPr>
          <w:p w14:paraId="21F88893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Medián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rPFS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hónap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070" w:type="dxa"/>
          </w:tcPr>
          <w:p w14:paraId="569C3C47" w14:textId="77777777" w:rsidR="001A6DFC" w:rsidRPr="005240F4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1D59FF">
              <w:rPr>
                <w:rFonts w:ascii="Times New Roman" w:eastAsia="Times New Roman" w:hAnsi="Times New Roman" w:cs="Times New Roman"/>
              </w:rPr>
              <w:t>nem</w:t>
            </w:r>
            <w:proofErr w:type="spellEnd"/>
            <w:r w:rsidRPr="001D59F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D59FF">
              <w:rPr>
                <w:rFonts w:ascii="Times New Roman" w:eastAsia="Times New Roman" w:hAnsi="Times New Roman" w:cs="Times New Roman"/>
              </w:rPr>
              <w:t>elért</w:t>
            </w:r>
            <w:proofErr w:type="spellEnd"/>
          </w:p>
        </w:tc>
        <w:tc>
          <w:tcPr>
            <w:tcW w:w="3071" w:type="dxa"/>
          </w:tcPr>
          <w:p w14:paraId="42C15792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8,3</w:t>
            </w:r>
          </w:p>
        </w:tc>
      </w:tr>
      <w:tr w:rsidR="001A6DFC" w:rsidRPr="00670657" w14:paraId="64C8B494" w14:textId="77777777" w:rsidTr="00670657">
        <w:tc>
          <w:tcPr>
            <w:tcW w:w="3070" w:type="dxa"/>
          </w:tcPr>
          <w:p w14:paraId="2BFAE6BC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(95%-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os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 xml:space="preserve"> CI)</w:t>
            </w:r>
          </w:p>
        </w:tc>
        <w:tc>
          <w:tcPr>
            <w:tcW w:w="3070" w:type="dxa"/>
          </w:tcPr>
          <w:p w14:paraId="5372817A" w14:textId="77777777" w:rsidR="001A6DFC" w:rsidRPr="00670657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(11,66; NB)</w:t>
            </w:r>
          </w:p>
        </w:tc>
        <w:tc>
          <w:tcPr>
            <w:tcW w:w="3071" w:type="dxa"/>
          </w:tcPr>
          <w:p w14:paraId="6ADE1496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(8,12;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8,54)</w:t>
            </w:r>
          </w:p>
        </w:tc>
      </w:tr>
      <w:tr w:rsidR="001A6DFC" w:rsidRPr="00670657" w14:paraId="6A8BB9B4" w14:textId="77777777" w:rsidTr="00670657">
        <w:tc>
          <w:tcPr>
            <w:tcW w:w="3070" w:type="dxa"/>
          </w:tcPr>
          <w:p w14:paraId="02C475CD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p-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érték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6141" w:type="dxa"/>
            <w:gridSpan w:val="2"/>
          </w:tcPr>
          <w:p w14:paraId="45E7D964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&lt; 0,0001</w:t>
            </w:r>
          </w:p>
        </w:tc>
      </w:tr>
      <w:tr w:rsidR="001A6DFC" w:rsidRPr="00670657" w14:paraId="5F57EF35" w14:textId="77777777" w:rsidTr="00670657">
        <w:tc>
          <w:tcPr>
            <w:tcW w:w="3070" w:type="dxa"/>
            <w:tcBorders>
              <w:bottom w:val="single" w:sz="4" w:space="0" w:color="auto"/>
            </w:tcBorders>
          </w:tcPr>
          <w:p w14:paraId="0D602036" w14:textId="77777777" w:rsidR="001A6DFC" w:rsidRPr="00670657" w:rsidRDefault="001A6DFC" w:rsidP="001A6DFC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Relatív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hazárd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>** (95%-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os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 xml:space="preserve"> CI)</w:t>
            </w:r>
          </w:p>
        </w:tc>
        <w:tc>
          <w:tcPr>
            <w:tcW w:w="6141" w:type="dxa"/>
            <w:gridSpan w:val="2"/>
            <w:tcBorders>
              <w:bottom w:val="single" w:sz="4" w:space="0" w:color="auto"/>
            </w:tcBorders>
          </w:tcPr>
          <w:p w14:paraId="3BC067B9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0,425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(0,347;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0,522)</w:t>
            </w:r>
          </w:p>
        </w:tc>
      </w:tr>
    </w:tbl>
    <w:p w14:paraId="4B80BDA3" w14:textId="77777777" w:rsidR="001A6DFC" w:rsidRPr="005240F4" w:rsidRDefault="001A6DFC" w:rsidP="005240F4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NB: Nem becsült.</w:t>
      </w:r>
    </w:p>
    <w:p w14:paraId="24F7F9F2" w14:textId="3A4F2742" w:rsidR="001A6DFC" w:rsidRPr="005240F4" w:rsidRDefault="001A6DFC" w:rsidP="005240F4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*</w:t>
      </w: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 xml:space="preserve">A p-értéket a </w:t>
      </w:r>
      <w:r w:rsidR="001D59FF" w:rsidRPr="0065093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kiindulási </w:t>
      </w: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ECOG</w:t>
      </w:r>
      <w:r w:rsidR="001D59F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-</w:t>
      </w: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teljesítménystátusz-pontszám (0 vagy 1) szerint rétegezett lograng-próba alapján határozták meg.</w:t>
      </w:r>
    </w:p>
    <w:p w14:paraId="583C89B0" w14:textId="77777777" w:rsidR="001A6DFC" w:rsidRPr="005240F4" w:rsidRDefault="001A6DFC" w:rsidP="005240F4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**</w:t>
      </w:r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 xml:space="preserve">Az 1 alatti relatív hazárd az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-acetát előnyét jelenti.</w:t>
      </w:r>
    </w:p>
    <w:p w14:paraId="257AF76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7336A3" w14:textId="77777777" w:rsidR="001A6DFC" w:rsidRPr="005240F4" w:rsidRDefault="001A6DFC" w:rsidP="005240F4">
      <w:pPr>
        <w:keepNext/>
        <w:autoSpaceDE w:val="0"/>
        <w:autoSpaceDN w:val="0"/>
        <w:spacing w:after="0" w:line="240" w:lineRule="auto"/>
        <w:ind w:left="1276" w:hanging="1276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3. ábra: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 xml:space="preserve">Az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-acetát vagy placebo 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vagy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kombinációval, valamint LHRH-analóggal vagy korábban sebészeti kasztrációval kezelt betegekre vonatkozó radiológiai progressziómentes túlélés Kaplan–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Meier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-féle görbéi</w:t>
      </w:r>
    </w:p>
    <w:p w14:paraId="5403F8D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10956EE6" wp14:editId="4FCC2719">
            <wp:extent cx="5396753" cy="3719601"/>
            <wp:effectExtent l="0" t="0" r="0" b="0"/>
            <wp:docPr id="12963069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3069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5554" cy="3725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DF9B1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AA =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-acetát</w:t>
      </w:r>
    </w:p>
    <w:p w14:paraId="1110CDE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CB6C44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résztvevők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teljes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túlélésre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(OS)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vonatkozó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adatait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folyamatosan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gyűjtötték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második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időközi értékelést követően is.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rPFS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vizsgálók által végzett radiológiai áttekintését, mint utánkövető érzékenységi elemzést, az 5. táblázat és a 4. ábra mutatja be.</w:t>
      </w:r>
    </w:p>
    <w:p w14:paraId="1A955AB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EC721A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Hatszázhét (607) beteg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progrediált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radiológiailag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vagy halt meg: 271 (50%)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-acetát-csoportban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336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(62%)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placebocsoportban.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radiológiai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progresszió vagy a halálozás kockázatát 47%-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csökkentette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placebóhoz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képest (relatív hazárd = 0,530; 95%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CI: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[0,451;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0,623],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&lt;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0,0001).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rPFS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mediánja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16,5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-acetát-csoportban és 8,3 hónap a placebocsoportban.</w:t>
      </w:r>
    </w:p>
    <w:p w14:paraId="6862324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305D8F" w14:textId="77777777" w:rsidR="001A6DFC" w:rsidRPr="005240F4" w:rsidRDefault="001A6DFC" w:rsidP="005240F4">
      <w:pPr>
        <w:keepNext/>
        <w:autoSpaceDE w:val="0"/>
        <w:autoSpaceDN w:val="0"/>
        <w:spacing w:after="0" w:line="240" w:lineRule="auto"/>
        <w:ind w:left="1276" w:hanging="1276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5. táblázat: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 xml:space="preserve">302-es vizsgálat: A radiológiai progresszió nélküli túlélés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-acetát vagy placebo 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vagy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kombinációval, plusz LHRH-analóggal kezelt vagy korábban sebészeti kasztráción átesett betegeknél (az OS második időközi értékelésekor – vizsgálói áttekintés)</w:t>
      </w:r>
    </w:p>
    <w:p w14:paraId="4C82098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tbl>
      <w:tblPr>
        <w:tblStyle w:val="Rcsostblzat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5"/>
        <w:gridCol w:w="3026"/>
        <w:gridCol w:w="3020"/>
      </w:tblGrid>
      <w:tr w:rsidR="001A6DFC" w:rsidRPr="00670657" w14:paraId="60400B60" w14:textId="77777777" w:rsidTr="00670657">
        <w:tc>
          <w:tcPr>
            <w:tcW w:w="3070" w:type="dxa"/>
            <w:tcBorders>
              <w:top w:val="single" w:sz="4" w:space="0" w:color="auto"/>
              <w:bottom w:val="single" w:sz="4" w:space="0" w:color="auto"/>
            </w:tcBorders>
          </w:tcPr>
          <w:p w14:paraId="33B4139A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</w:p>
        </w:tc>
        <w:tc>
          <w:tcPr>
            <w:tcW w:w="3070" w:type="dxa"/>
            <w:tcBorders>
              <w:top w:val="single" w:sz="4" w:space="0" w:color="auto"/>
              <w:bottom w:val="single" w:sz="4" w:space="0" w:color="auto"/>
            </w:tcBorders>
          </w:tcPr>
          <w:p w14:paraId="1E60BE15" w14:textId="77777777" w:rsidR="001A6DFC" w:rsidRPr="005240F4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Abirateron-acetát</w:t>
            </w:r>
            <w:proofErr w:type="spellEnd"/>
          </w:p>
          <w:p w14:paraId="0068FBE2" w14:textId="77777777" w:rsidR="001A6DFC" w:rsidRPr="00670657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  <w:b/>
              </w:rPr>
              <w:t>(n = 546)</w:t>
            </w:r>
          </w:p>
        </w:tc>
        <w:tc>
          <w:tcPr>
            <w:tcW w:w="3071" w:type="dxa"/>
            <w:tcBorders>
              <w:top w:val="single" w:sz="4" w:space="0" w:color="auto"/>
              <w:bottom w:val="single" w:sz="4" w:space="0" w:color="auto"/>
            </w:tcBorders>
          </w:tcPr>
          <w:p w14:paraId="5693AED1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Placebo </w:t>
            </w:r>
          </w:p>
          <w:p w14:paraId="7AA67E16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  <w:b/>
              </w:rPr>
              <w:t>(n = </w:t>
            </w:r>
            <w:r w:rsidRPr="005240F4">
              <w:rPr>
                <w:rFonts w:ascii="Times New Roman" w:eastAsia="Times New Roman" w:hAnsi="Times New Roman" w:cs="Times New Roman"/>
                <w:b/>
              </w:rPr>
              <w:t>542)</w:t>
            </w:r>
          </w:p>
        </w:tc>
      </w:tr>
      <w:tr w:rsidR="001A6DFC" w:rsidRPr="00670657" w14:paraId="3008B8F1" w14:textId="77777777" w:rsidTr="00670657">
        <w:tc>
          <w:tcPr>
            <w:tcW w:w="3070" w:type="dxa"/>
            <w:tcBorders>
              <w:top w:val="single" w:sz="4" w:space="0" w:color="auto"/>
            </w:tcBorders>
          </w:tcPr>
          <w:p w14:paraId="1401459C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b/>
                <w:lang w:val="fr-FR"/>
              </w:rPr>
              <w:t>Radiológiai progresszió nélküli túlélés (rPFS)</w:t>
            </w:r>
          </w:p>
        </w:tc>
        <w:tc>
          <w:tcPr>
            <w:tcW w:w="3070" w:type="dxa"/>
            <w:tcBorders>
              <w:top w:val="single" w:sz="4" w:space="0" w:color="auto"/>
            </w:tcBorders>
          </w:tcPr>
          <w:p w14:paraId="0FD81C16" w14:textId="77777777" w:rsidR="001A6DFC" w:rsidRPr="005240F4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14:paraId="70BA241F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</w:p>
        </w:tc>
      </w:tr>
      <w:tr w:rsidR="001A6DFC" w:rsidRPr="00670657" w14:paraId="3E0CB645" w14:textId="77777777" w:rsidTr="00670657">
        <w:tc>
          <w:tcPr>
            <w:tcW w:w="3070" w:type="dxa"/>
          </w:tcPr>
          <w:p w14:paraId="59ABBCCE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1D59FF">
              <w:rPr>
                <w:rFonts w:ascii="Times New Roman" w:eastAsia="Times New Roman" w:hAnsi="Times New Roman" w:cs="Times New Roman"/>
              </w:rPr>
              <w:t>Progresszió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D59FF">
              <w:rPr>
                <w:rFonts w:ascii="Times New Roman" w:eastAsia="Times New Roman" w:hAnsi="Times New Roman" w:cs="Times New Roman"/>
              </w:rPr>
              <w:t>vagy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halál</w:t>
            </w:r>
            <w:proofErr w:type="spellEnd"/>
          </w:p>
        </w:tc>
        <w:tc>
          <w:tcPr>
            <w:tcW w:w="3070" w:type="dxa"/>
          </w:tcPr>
          <w:p w14:paraId="2C772113" w14:textId="77777777" w:rsidR="001A6DFC" w:rsidRPr="00670657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271 </w:t>
            </w:r>
            <w:r w:rsidRPr="005240F4">
              <w:rPr>
                <w:rFonts w:ascii="Times New Roman" w:eastAsia="Times New Roman" w:hAnsi="Times New Roman" w:cs="Times New Roman"/>
              </w:rPr>
              <w:t>(50%)</w:t>
            </w:r>
          </w:p>
        </w:tc>
        <w:tc>
          <w:tcPr>
            <w:tcW w:w="3071" w:type="dxa"/>
          </w:tcPr>
          <w:p w14:paraId="713CA181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336 </w:t>
            </w:r>
            <w:r w:rsidRPr="005240F4">
              <w:rPr>
                <w:rFonts w:ascii="Times New Roman" w:eastAsia="Times New Roman" w:hAnsi="Times New Roman" w:cs="Times New Roman"/>
              </w:rPr>
              <w:t>(62%)</w:t>
            </w:r>
          </w:p>
        </w:tc>
      </w:tr>
      <w:tr w:rsidR="001A6DFC" w:rsidRPr="00670657" w14:paraId="38D887AE" w14:textId="77777777" w:rsidTr="00670657">
        <w:tc>
          <w:tcPr>
            <w:tcW w:w="3070" w:type="dxa"/>
          </w:tcPr>
          <w:p w14:paraId="08B937D5" w14:textId="09A1D138" w:rsidR="001A6DFC" w:rsidRPr="005240F4" w:rsidRDefault="001A6DFC">
            <w:pPr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1D59FF">
              <w:rPr>
                <w:rFonts w:ascii="Times New Roman" w:eastAsia="Times New Roman" w:hAnsi="Times New Roman" w:cs="Times New Roman"/>
              </w:rPr>
              <w:t>Medián</w:t>
            </w:r>
            <w:proofErr w:type="spellEnd"/>
            <w:r w:rsidRPr="001D59F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D59FF">
              <w:rPr>
                <w:rFonts w:ascii="Times New Roman" w:eastAsia="Times New Roman" w:hAnsi="Times New Roman" w:cs="Times New Roman"/>
              </w:rPr>
              <w:t>rPFS</w:t>
            </w:r>
            <w:proofErr w:type="spellEnd"/>
            <w:r w:rsidRPr="001D59FF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1D59FF">
              <w:rPr>
                <w:rFonts w:ascii="Times New Roman" w:eastAsia="Times New Roman" w:hAnsi="Times New Roman" w:cs="Times New Roman"/>
              </w:rPr>
              <w:t>hónap</w:t>
            </w:r>
            <w:proofErr w:type="spellEnd"/>
            <w:r w:rsidRPr="001D59FF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070" w:type="dxa"/>
          </w:tcPr>
          <w:p w14:paraId="449F93C9" w14:textId="77777777" w:rsidR="001A6DFC" w:rsidRPr="00670657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70657">
              <w:rPr>
                <w:rFonts w:ascii="Times New Roman" w:eastAsia="Times New Roman" w:hAnsi="Times New Roman" w:cs="Times New Roman"/>
                <w:bCs/>
              </w:rPr>
              <w:t>16,5</w:t>
            </w:r>
          </w:p>
        </w:tc>
        <w:tc>
          <w:tcPr>
            <w:tcW w:w="3071" w:type="dxa"/>
          </w:tcPr>
          <w:p w14:paraId="38F562B5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8,3</w:t>
            </w:r>
          </w:p>
        </w:tc>
      </w:tr>
      <w:tr w:rsidR="001A6DFC" w:rsidRPr="00670657" w14:paraId="0DA13233" w14:textId="77777777" w:rsidTr="00670657">
        <w:tc>
          <w:tcPr>
            <w:tcW w:w="3070" w:type="dxa"/>
          </w:tcPr>
          <w:p w14:paraId="65D9F474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(95%-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os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 xml:space="preserve"> CI)</w:t>
            </w:r>
          </w:p>
        </w:tc>
        <w:tc>
          <w:tcPr>
            <w:tcW w:w="3070" w:type="dxa"/>
          </w:tcPr>
          <w:p w14:paraId="7583E299" w14:textId="77777777" w:rsidR="001A6DFC" w:rsidRPr="00670657" w:rsidRDefault="001A6DFC" w:rsidP="001A6DFC">
            <w:pPr>
              <w:ind w:right="-3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(13,80; 16,79)</w:t>
            </w:r>
          </w:p>
        </w:tc>
        <w:tc>
          <w:tcPr>
            <w:tcW w:w="3071" w:type="dxa"/>
          </w:tcPr>
          <w:p w14:paraId="5F990D54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(8,05;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9,43</w:t>
            </w:r>
            <w:r w:rsidRPr="0067065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1A6DFC" w:rsidRPr="00670657" w14:paraId="61D01A61" w14:textId="77777777" w:rsidTr="00670657">
        <w:tc>
          <w:tcPr>
            <w:tcW w:w="3070" w:type="dxa"/>
          </w:tcPr>
          <w:p w14:paraId="7C0F8A77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p-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érték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6141" w:type="dxa"/>
            <w:gridSpan w:val="2"/>
          </w:tcPr>
          <w:p w14:paraId="7B40036B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&lt; 0,0001</w:t>
            </w:r>
          </w:p>
        </w:tc>
      </w:tr>
      <w:tr w:rsidR="001A6DFC" w:rsidRPr="00670657" w14:paraId="1F944E74" w14:textId="77777777" w:rsidTr="00670657">
        <w:tc>
          <w:tcPr>
            <w:tcW w:w="3070" w:type="dxa"/>
            <w:tcBorders>
              <w:bottom w:val="single" w:sz="4" w:space="0" w:color="auto"/>
            </w:tcBorders>
          </w:tcPr>
          <w:p w14:paraId="0790D47B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Relatív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hazárd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>** (95%-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os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 xml:space="preserve"> CI)</w:t>
            </w:r>
          </w:p>
        </w:tc>
        <w:tc>
          <w:tcPr>
            <w:tcW w:w="6141" w:type="dxa"/>
            <w:gridSpan w:val="2"/>
            <w:tcBorders>
              <w:bottom w:val="single" w:sz="4" w:space="0" w:color="auto"/>
            </w:tcBorders>
          </w:tcPr>
          <w:p w14:paraId="5A3432F9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0,530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(0,451;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0,623)</w:t>
            </w:r>
          </w:p>
        </w:tc>
      </w:tr>
    </w:tbl>
    <w:p w14:paraId="1792835F" w14:textId="25965FD0" w:rsidR="001A6DFC" w:rsidRPr="005240F4" w:rsidRDefault="001A6DFC" w:rsidP="001D59FF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right="51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*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ab/>
        <w:t xml:space="preserve">A p-értéket az </w:t>
      </w:r>
      <w:r w:rsidR="001D59FF" w:rsidRPr="005E5778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kiindulási 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ECOG</w:t>
      </w:r>
      <w:r w:rsidR="001D59FF">
        <w:rPr>
          <w:rFonts w:ascii="Times New Roman" w:eastAsia="Times New Roman" w:hAnsi="Times New Roman" w:cs="Times New Roman"/>
          <w:kern w:val="0"/>
          <w:sz w:val="20"/>
          <w14:ligatures w14:val="none"/>
        </w:rPr>
        <w:t>-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teljesítménystátusz-pontszám (0 vagy 1) szerint rétegezett lograng-próba alapján határozták meg.</w:t>
      </w:r>
    </w:p>
    <w:p w14:paraId="6AC69512" w14:textId="77777777" w:rsidR="001A6DFC" w:rsidRPr="005240F4" w:rsidRDefault="001A6DFC" w:rsidP="001D59FF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right="51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**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ab/>
        <w:t xml:space="preserve">Az 1 alatti relatív hazárd az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-acetát előnyét jelenti.</w:t>
      </w:r>
    </w:p>
    <w:p w14:paraId="5F51D14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D6161C" w14:textId="77777777" w:rsidR="001A6DFC" w:rsidRPr="005240F4" w:rsidRDefault="001A6DFC" w:rsidP="005240F4">
      <w:pPr>
        <w:keepNext/>
        <w:autoSpaceDE w:val="0"/>
        <w:autoSpaceDN w:val="0"/>
        <w:spacing w:after="0" w:line="240" w:lineRule="auto"/>
        <w:ind w:left="1276" w:hanging="1276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4. ábra: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 xml:space="preserve">Az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-acetát vagy placebo 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vagy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kombinációval, valamint LHRH-analóggal vagy korábban sebészeti kasztrációval kezelt betegekre vonatkozó radiológiai progressziómentes túlélés Kaplan–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Meier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-féle görbéi (az OS második időközi értékelésekor – vizsgálói áttekintés)</w:t>
      </w:r>
    </w:p>
    <w:p w14:paraId="101B2C6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anchor distT="0" distB="0" distL="0" distR="0" simplePos="0" relativeHeight="251661312" behindDoc="1" locked="0" layoutInCell="1" allowOverlap="1" wp14:anchorId="6604D71A" wp14:editId="62BCE54C">
            <wp:simplePos x="0" y="0"/>
            <wp:positionH relativeFrom="page">
              <wp:posOffset>963295</wp:posOffset>
            </wp:positionH>
            <wp:positionV relativeFrom="paragraph">
              <wp:posOffset>268605</wp:posOffset>
            </wp:positionV>
            <wp:extent cx="5114290" cy="3738245"/>
            <wp:effectExtent l="0" t="0" r="0" b="0"/>
            <wp:wrapTopAndBottom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429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834B66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30F07C0C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AA =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-acetát</w:t>
      </w:r>
    </w:p>
    <w:p w14:paraId="14D392B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3B0D685" w14:textId="14E67719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 OS szempontjából tervezett időközi értékelést (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interim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analysis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; IA) 333 haláleset bekövetkezése után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végezték.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vizsgálatot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észlelt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előnyök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mértéke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alapján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nyílt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elrendezésűvé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tették,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placebokezelést kapó betegek részére felajánlották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-acetát-kezelést. A teljes túlélés hosszabb volt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kezelteknél, mint a placebóval kezelteknél, 25%-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csökkent a halálozás kockázata (relatív hazárd = 0,752; 95%-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CI: [0,606–0,934], p = 0,0097), azonban az OS értéke nem ért be, és az időközi eredmények nem érték el a leállítás előre meghatározott statisztikai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szignifikancia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szintjét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A3B1F"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táblázat).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túlélés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után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követése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folytatódott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időközi értékelés után.</w:t>
      </w:r>
    </w:p>
    <w:p w14:paraId="022263D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C5CF96E" w14:textId="0AF2BAAD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OS tervezett végső értékelését 741 haláleset bekövetkezése után végezték (utánkövetés medián értéke: 49 hónap).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-acetát-kezelést kapó betegek 65%-a halt meg (546 beteg közül 354), míg a placebót kapó betegek 71%-a (542 beteg közül 387).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EA3B1F">
        <w:rPr>
          <w:rFonts w:ascii="Times New Roman" w:eastAsia="Times New Roman" w:hAnsi="Times New Roman" w:cs="Times New Roman"/>
          <w:kern w:val="0"/>
          <w14:ligatures w14:val="none"/>
        </w:rPr>
        <w:t>acetát-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kezelést kapó csoport javára statisztikailag szignifikáns OS-előnyt mutattak ki a halálozási kockázat 19,4%-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csökkenésével (relatív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hazárd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0,806;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95%-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CI: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[0,697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0,931],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 = 0,0033)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medián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4,4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javulásával (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34,7 hónap, placebo 30,3 hónap) (lásd 6. táblázat és 5. ábra). Ezt a javulást annak ellenére kimutatták, hogy a placebocsoport 44%-a későbbi kezelésként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-acetátot kapott.</w:t>
      </w:r>
    </w:p>
    <w:p w14:paraId="15D9F85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619B484" w14:textId="77777777" w:rsidR="001A6DFC" w:rsidRPr="005240F4" w:rsidRDefault="001A6DFC" w:rsidP="005240F4">
      <w:pPr>
        <w:keepNext/>
        <w:autoSpaceDE w:val="0"/>
        <w:autoSpaceDN w:val="0"/>
        <w:spacing w:after="0" w:line="240" w:lineRule="auto"/>
        <w:ind w:left="1276" w:hanging="1276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6. táblázat: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 xml:space="preserve">302-es vizsgálat: A teljes túlélés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-acetát vagy placebo 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vagy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kombinációval, plusz LHRH-analóggal kezelt vagy korábban sebészeti kasztráción átesett betegeknél</w:t>
      </w:r>
    </w:p>
    <w:p w14:paraId="032F16A8" w14:textId="77777777" w:rsidR="001A6DFC" w:rsidRPr="00670657" w:rsidRDefault="001A6DFC" w:rsidP="001A6DFC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tbl>
      <w:tblPr>
        <w:tblStyle w:val="TableNormal"/>
        <w:tblW w:w="8808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3421"/>
        <w:gridCol w:w="2126"/>
        <w:gridCol w:w="3261"/>
      </w:tblGrid>
      <w:tr w:rsidR="001A6DFC" w:rsidRPr="00670657" w14:paraId="33713052" w14:textId="77777777" w:rsidTr="00670657">
        <w:trPr>
          <w:trHeight w:val="578"/>
        </w:trPr>
        <w:tc>
          <w:tcPr>
            <w:tcW w:w="3421" w:type="dxa"/>
            <w:tcBorders>
              <w:top w:val="single" w:sz="4" w:space="0" w:color="000000"/>
              <w:bottom w:val="single" w:sz="4" w:space="0" w:color="000000"/>
            </w:tcBorders>
          </w:tcPr>
          <w:p w14:paraId="4084D152" w14:textId="77777777" w:rsidR="001A6DFC" w:rsidRPr="005240F4" w:rsidRDefault="001A6DFC" w:rsidP="001A6DFC">
            <w:pPr>
              <w:keepNext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</w:tcPr>
          <w:p w14:paraId="425F09AA" w14:textId="77777777" w:rsidR="001A6DFC" w:rsidRPr="00670657" w:rsidRDefault="001A6DFC" w:rsidP="001A6DFC">
            <w:pPr>
              <w:keepNext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Abirateron-acetát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  <w:b/>
              </w:rPr>
              <w:t>(n = 546)</w:t>
            </w:r>
          </w:p>
        </w:tc>
        <w:tc>
          <w:tcPr>
            <w:tcW w:w="3261" w:type="dxa"/>
            <w:tcBorders>
              <w:top w:val="single" w:sz="4" w:space="0" w:color="000000"/>
              <w:bottom w:val="single" w:sz="4" w:space="0" w:color="000000"/>
            </w:tcBorders>
          </w:tcPr>
          <w:p w14:paraId="53028531" w14:textId="77777777" w:rsidR="001A6DFC" w:rsidRPr="005240F4" w:rsidRDefault="001A6DFC" w:rsidP="001A6DFC">
            <w:pPr>
              <w:keepNext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  <w:b/>
              </w:rPr>
              <w:t>Placebo</w:t>
            </w:r>
          </w:p>
          <w:p w14:paraId="22BC78C0" w14:textId="77777777" w:rsidR="001A6DFC" w:rsidRPr="00670657" w:rsidRDefault="001A6DFC" w:rsidP="001A6DFC">
            <w:pPr>
              <w:keepNext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  <w:b/>
              </w:rPr>
              <w:t>(n =</w:t>
            </w:r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542)</w:t>
            </w:r>
          </w:p>
        </w:tc>
      </w:tr>
      <w:tr w:rsidR="001A6DFC" w:rsidRPr="00670657" w14:paraId="108ED743" w14:textId="77777777" w:rsidTr="00670657">
        <w:trPr>
          <w:trHeight w:val="273"/>
        </w:trPr>
        <w:tc>
          <w:tcPr>
            <w:tcW w:w="3421" w:type="dxa"/>
            <w:tcBorders>
              <w:top w:val="single" w:sz="4" w:space="0" w:color="000000"/>
            </w:tcBorders>
          </w:tcPr>
          <w:p w14:paraId="18579A13" w14:textId="77777777" w:rsidR="001A6DFC" w:rsidRPr="005240F4" w:rsidRDefault="001A6DFC" w:rsidP="001A6DFC">
            <w:pPr>
              <w:keepNext/>
              <w:ind w:right="83"/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FF7B61">
              <w:rPr>
                <w:rFonts w:ascii="Times New Roman" w:eastAsia="Times New Roman" w:hAnsi="Times New Roman" w:cs="Times New Roman"/>
                <w:b/>
              </w:rPr>
              <w:t>Túlélés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FF7B61">
              <w:rPr>
                <w:rFonts w:ascii="Times New Roman" w:eastAsia="Times New Roman" w:hAnsi="Times New Roman" w:cs="Times New Roman"/>
                <w:b/>
              </w:rPr>
              <w:t>időközi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értékelése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</w:tcBorders>
          </w:tcPr>
          <w:p w14:paraId="73BE8E09" w14:textId="77777777" w:rsidR="001A6DFC" w:rsidRPr="00670657" w:rsidRDefault="001A6DFC" w:rsidP="001A6DFC">
            <w:pPr>
              <w:keepNext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4" w:space="0" w:color="000000"/>
            </w:tcBorders>
          </w:tcPr>
          <w:p w14:paraId="705BE5E1" w14:textId="77777777" w:rsidR="001A6DFC" w:rsidRPr="00670657" w:rsidRDefault="001A6DFC" w:rsidP="001A6DFC">
            <w:pPr>
              <w:keepNext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A6DFC" w:rsidRPr="00670657" w14:paraId="3A5F3792" w14:textId="77777777" w:rsidTr="00670657">
        <w:trPr>
          <w:trHeight w:val="287"/>
        </w:trPr>
        <w:tc>
          <w:tcPr>
            <w:tcW w:w="3421" w:type="dxa"/>
          </w:tcPr>
          <w:p w14:paraId="52E4D5D1" w14:textId="77777777" w:rsidR="001A6DFC" w:rsidRPr="005240F4" w:rsidRDefault="001A6DFC" w:rsidP="001A6DFC">
            <w:pPr>
              <w:ind w:right="8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F7B61">
              <w:rPr>
                <w:rFonts w:ascii="Times New Roman" w:eastAsia="Times New Roman" w:hAnsi="Times New Roman" w:cs="Times New Roman"/>
              </w:rPr>
              <w:t>Halál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(%)</w:t>
            </w:r>
          </w:p>
        </w:tc>
        <w:tc>
          <w:tcPr>
            <w:tcW w:w="2126" w:type="dxa"/>
          </w:tcPr>
          <w:p w14:paraId="2FEBA0C6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147 </w:t>
            </w:r>
            <w:r w:rsidRPr="005240F4">
              <w:rPr>
                <w:rFonts w:ascii="Times New Roman" w:eastAsia="Times New Roman" w:hAnsi="Times New Roman" w:cs="Times New Roman"/>
              </w:rPr>
              <w:t>(27%)</w:t>
            </w:r>
          </w:p>
        </w:tc>
        <w:tc>
          <w:tcPr>
            <w:tcW w:w="3261" w:type="dxa"/>
          </w:tcPr>
          <w:p w14:paraId="7D838A57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186 </w:t>
            </w:r>
            <w:r w:rsidRPr="005240F4">
              <w:rPr>
                <w:rFonts w:ascii="Times New Roman" w:eastAsia="Times New Roman" w:hAnsi="Times New Roman" w:cs="Times New Roman"/>
              </w:rPr>
              <w:t>(34%)</w:t>
            </w:r>
          </w:p>
        </w:tc>
      </w:tr>
      <w:tr w:rsidR="001A6DFC" w:rsidRPr="00670657" w14:paraId="6CB1305D" w14:textId="77777777" w:rsidTr="00670657">
        <w:trPr>
          <w:trHeight w:val="288"/>
        </w:trPr>
        <w:tc>
          <w:tcPr>
            <w:tcW w:w="3421" w:type="dxa"/>
          </w:tcPr>
          <w:p w14:paraId="71E3C190" w14:textId="77777777" w:rsidR="001A6DFC" w:rsidRPr="005240F4" w:rsidRDefault="001A6DFC" w:rsidP="001A6DFC">
            <w:pPr>
              <w:ind w:right="8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F7B61">
              <w:rPr>
                <w:rFonts w:ascii="Times New Roman" w:eastAsia="Times New Roman" w:hAnsi="Times New Roman" w:cs="Times New Roman"/>
              </w:rPr>
              <w:t>Medián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F7B61">
              <w:rPr>
                <w:rFonts w:ascii="Times New Roman" w:eastAsia="Times New Roman" w:hAnsi="Times New Roman" w:cs="Times New Roman"/>
              </w:rPr>
              <w:t>túlélés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hónap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126" w:type="dxa"/>
          </w:tcPr>
          <w:p w14:paraId="4985B63C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F7B61">
              <w:rPr>
                <w:rFonts w:ascii="Times New Roman" w:eastAsia="Times New Roman" w:hAnsi="Times New Roman" w:cs="Times New Roman"/>
              </w:rPr>
              <w:t>nem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elért</w:t>
            </w:r>
            <w:proofErr w:type="spellEnd"/>
          </w:p>
        </w:tc>
        <w:tc>
          <w:tcPr>
            <w:tcW w:w="3261" w:type="dxa"/>
          </w:tcPr>
          <w:p w14:paraId="29ACFEA1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27,2</w:t>
            </w:r>
          </w:p>
        </w:tc>
      </w:tr>
      <w:tr w:rsidR="001A6DFC" w:rsidRPr="00670657" w14:paraId="2CDED792" w14:textId="77777777" w:rsidTr="00670657">
        <w:trPr>
          <w:trHeight w:val="287"/>
        </w:trPr>
        <w:tc>
          <w:tcPr>
            <w:tcW w:w="3421" w:type="dxa"/>
          </w:tcPr>
          <w:p w14:paraId="649963BB" w14:textId="77777777" w:rsidR="001A6DFC" w:rsidRPr="00670657" w:rsidRDefault="001A6DFC" w:rsidP="001A6DFC">
            <w:pPr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(95%-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os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CI)</w:t>
            </w:r>
          </w:p>
        </w:tc>
        <w:tc>
          <w:tcPr>
            <w:tcW w:w="2126" w:type="dxa"/>
          </w:tcPr>
          <w:p w14:paraId="6B93F830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(NB;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NB)</w:t>
            </w:r>
          </w:p>
        </w:tc>
        <w:tc>
          <w:tcPr>
            <w:tcW w:w="3261" w:type="dxa"/>
          </w:tcPr>
          <w:p w14:paraId="26A541ED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(25,95;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NB)</w:t>
            </w:r>
          </w:p>
        </w:tc>
      </w:tr>
      <w:tr w:rsidR="001A6DFC" w:rsidRPr="00670657" w14:paraId="69AFC2A8" w14:textId="77777777" w:rsidTr="00670657">
        <w:trPr>
          <w:trHeight w:val="287"/>
        </w:trPr>
        <w:tc>
          <w:tcPr>
            <w:tcW w:w="3421" w:type="dxa"/>
          </w:tcPr>
          <w:p w14:paraId="7C00D7E6" w14:textId="77777777" w:rsidR="001A6DFC" w:rsidRPr="00670657" w:rsidRDefault="001A6DFC" w:rsidP="001A6DFC">
            <w:pPr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p-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érték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5387" w:type="dxa"/>
            <w:gridSpan w:val="2"/>
          </w:tcPr>
          <w:p w14:paraId="476786EB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0,0097</w:t>
            </w:r>
          </w:p>
        </w:tc>
      </w:tr>
      <w:tr w:rsidR="001A6DFC" w:rsidRPr="00670657" w14:paraId="6164D6C1" w14:textId="77777777" w:rsidTr="005240F4">
        <w:trPr>
          <w:trHeight w:val="284"/>
        </w:trPr>
        <w:tc>
          <w:tcPr>
            <w:tcW w:w="3421" w:type="dxa"/>
          </w:tcPr>
          <w:p w14:paraId="18ED933F" w14:textId="2C4C1D9F" w:rsidR="001A6DFC" w:rsidRPr="005240F4" w:rsidRDefault="001A6DFC">
            <w:pPr>
              <w:ind w:right="83"/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740823">
              <w:rPr>
                <w:rFonts w:ascii="Times New Roman" w:eastAsia="Times New Roman" w:hAnsi="Times New Roman" w:cs="Times New Roman"/>
              </w:rPr>
              <w:t>Relatív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40823">
              <w:rPr>
                <w:rFonts w:ascii="Times New Roman" w:eastAsia="Times New Roman" w:hAnsi="Times New Roman" w:cs="Times New Roman"/>
              </w:rPr>
              <w:t>hazárd</w:t>
            </w:r>
            <w:proofErr w:type="spellEnd"/>
            <w:r w:rsidRPr="00740823">
              <w:rPr>
                <w:rFonts w:ascii="Times New Roman" w:eastAsia="Times New Roman" w:hAnsi="Times New Roman" w:cs="Times New Roman"/>
              </w:rPr>
              <w:t>** (95%-</w:t>
            </w:r>
            <w:proofErr w:type="spellStart"/>
            <w:r w:rsidRPr="00740823">
              <w:rPr>
                <w:rFonts w:ascii="Times New Roman" w:eastAsia="Times New Roman" w:hAnsi="Times New Roman" w:cs="Times New Roman"/>
              </w:rPr>
              <w:t>os</w:t>
            </w:r>
            <w:proofErr w:type="spellEnd"/>
            <w:r w:rsidRPr="00740823">
              <w:rPr>
                <w:rFonts w:ascii="Times New Roman" w:eastAsia="Times New Roman" w:hAnsi="Times New Roman" w:cs="Times New Roman"/>
              </w:rPr>
              <w:t xml:space="preserve"> CI)</w:t>
            </w:r>
          </w:p>
        </w:tc>
        <w:tc>
          <w:tcPr>
            <w:tcW w:w="5387" w:type="dxa"/>
            <w:gridSpan w:val="2"/>
          </w:tcPr>
          <w:p w14:paraId="6D3690FB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0,752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(0,606;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0,934)</w:t>
            </w:r>
          </w:p>
        </w:tc>
      </w:tr>
      <w:tr w:rsidR="00FF7B61" w:rsidRPr="00670657" w14:paraId="04BBF3F4" w14:textId="77777777" w:rsidTr="005240F4">
        <w:trPr>
          <w:trHeight w:val="284"/>
        </w:trPr>
        <w:tc>
          <w:tcPr>
            <w:tcW w:w="3421" w:type="dxa"/>
          </w:tcPr>
          <w:p w14:paraId="7C37D1B2" w14:textId="1C5C7170" w:rsidR="00FF7B61" w:rsidRPr="00740823" w:rsidRDefault="00FF7B61" w:rsidP="001A6DFC">
            <w:pPr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  <w:r w:rsidRPr="00047274">
              <w:rPr>
                <w:rFonts w:ascii="Times New Roman" w:eastAsia="Times New Roman" w:hAnsi="Times New Roman" w:cs="Times New Roman"/>
                <w:b/>
                <w:lang w:val="hu-HU"/>
              </w:rPr>
              <w:t>Túlélés végső értékelése</w:t>
            </w:r>
          </w:p>
        </w:tc>
        <w:tc>
          <w:tcPr>
            <w:tcW w:w="5387" w:type="dxa"/>
            <w:gridSpan w:val="2"/>
          </w:tcPr>
          <w:p w14:paraId="0474826B" w14:textId="77777777" w:rsidR="00FF7B61" w:rsidRPr="00670657" w:rsidRDefault="00FF7B61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A6DFC" w:rsidRPr="00670657" w14:paraId="16AB304A" w14:textId="77777777" w:rsidTr="00670657">
        <w:trPr>
          <w:trHeight w:val="287"/>
        </w:trPr>
        <w:tc>
          <w:tcPr>
            <w:tcW w:w="3421" w:type="dxa"/>
          </w:tcPr>
          <w:p w14:paraId="748FA7C4" w14:textId="77777777" w:rsidR="001A6DFC" w:rsidRPr="005240F4" w:rsidRDefault="001A6DFC" w:rsidP="001A6DFC">
            <w:pPr>
              <w:ind w:right="8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Halál</w:t>
            </w:r>
            <w:proofErr w:type="spellEnd"/>
          </w:p>
        </w:tc>
        <w:tc>
          <w:tcPr>
            <w:tcW w:w="2126" w:type="dxa"/>
          </w:tcPr>
          <w:p w14:paraId="4623FB7F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354 </w:t>
            </w:r>
            <w:r w:rsidRPr="005240F4">
              <w:rPr>
                <w:rFonts w:ascii="Times New Roman" w:eastAsia="Times New Roman" w:hAnsi="Times New Roman" w:cs="Times New Roman"/>
              </w:rPr>
              <w:t>(65%)</w:t>
            </w:r>
          </w:p>
        </w:tc>
        <w:tc>
          <w:tcPr>
            <w:tcW w:w="3261" w:type="dxa"/>
          </w:tcPr>
          <w:p w14:paraId="6D740330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387 </w:t>
            </w:r>
            <w:r w:rsidRPr="005240F4">
              <w:rPr>
                <w:rFonts w:ascii="Times New Roman" w:eastAsia="Times New Roman" w:hAnsi="Times New Roman" w:cs="Times New Roman"/>
              </w:rPr>
              <w:t>(71%)</w:t>
            </w:r>
          </w:p>
        </w:tc>
      </w:tr>
      <w:tr w:rsidR="001A6DFC" w:rsidRPr="00670657" w14:paraId="4A3042D9" w14:textId="77777777" w:rsidTr="00670657">
        <w:trPr>
          <w:trHeight w:val="558"/>
        </w:trPr>
        <w:tc>
          <w:tcPr>
            <w:tcW w:w="3421" w:type="dxa"/>
          </w:tcPr>
          <w:p w14:paraId="4068576E" w14:textId="7F1919E6" w:rsidR="001A6DFC" w:rsidRPr="005240F4" w:rsidRDefault="001A6DFC" w:rsidP="001A6DFC">
            <w:pPr>
              <w:ind w:right="8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lang w:val="es-ES"/>
              </w:rPr>
              <w:t xml:space="preserve">Medián túlélés </w:t>
            </w:r>
            <w:r w:rsidR="00FF7B61">
              <w:rPr>
                <w:rFonts w:ascii="Times New Roman" w:eastAsia="Times New Roman" w:hAnsi="Times New Roman" w:cs="Times New Roman"/>
                <w:lang w:val="es-ES"/>
              </w:rPr>
              <w:t>(</w:t>
            </w:r>
            <w:r w:rsidRPr="005240F4">
              <w:rPr>
                <w:rFonts w:ascii="Times New Roman" w:eastAsia="Times New Roman" w:hAnsi="Times New Roman" w:cs="Times New Roman"/>
                <w:lang w:val="es-ES"/>
              </w:rPr>
              <w:t>hónap</w:t>
            </w:r>
            <w:r w:rsidR="00FF7B61">
              <w:rPr>
                <w:rFonts w:ascii="Times New Roman" w:eastAsia="Times New Roman" w:hAnsi="Times New Roman" w:cs="Times New Roman"/>
                <w:lang w:val="es-ES"/>
              </w:rPr>
              <w:t>)</w:t>
            </w:r>
          </w:p>
          <w:p w14:paraId="7DEEFAE9" w14:textId="77777777" w:rsidR="001A6DFC" w:rsidRPr="005240F4" w:rsidRDefault="001A6DFC" w:rsidP="001A6DFC">
            <w:pPr>
              <w:ind w:right="8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5240F4">
              <w:rPr>
                <w:rFonts w:ascii="Times New Roman" w:eastAsia="Times New Roman" w:hAnsi="Times New Roman" w:cs="Times New Roman"/>
                <w:lang w:val="es-ES"/>
              </w:rPr>
              <w:t>(95%-os CI)</w:t>
            </w:r>
          </w:p>
        </w:tc>
        <w:tc>
          <w:tcPr>
            <w:tcW w:w="2126" w:type="dxa"/>
          </w:tcPr>
          <w:p w14:paraId="541CC8AF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34,7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 xml:space="preserve">(32,7; </w:t>
            </w:r>
            <w:r w:rsidRPr="005240F4">
              <w:rPr>
                <w:rFonts w:ascii="Times New Roman" w:eastAsia="Times New Roman" w:hAnsi="Times New Roman" w:cs="Times New Roman"/>
              </w:rPr>
              <w:t>36,8)</w:t>
            </w:r>
          </w:p>
        </w:tc>
        <w:tc>
          <w:tcPr>
            <w:tcW w:w="3261" w:type="dxa"/>
          </w:tcPr>
          <w:p w14:paraId="6F4BCE25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30,3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 xml:space="preserve">(28,7; </w:t>
            </w:r>
            <w:r w:rsidRPr="005240F4">
              <w:rPr>
                <w:rFonts w:ascii="Times New Roman" w:eastAsia="Times New Roman" w:hAnsi="Times New Roman" w:cs="Times New Roman"/>
              </w:rPr>
              <w:t>33,3)</w:t>
            </w:r>
          </w:p>
        </w:tc>
      </w:tr>
      <w:tr w:rsidR="001A6DFC" w:rsidRPr="00670657" w14:paraId="00E2487D" w14:textId="77777777" w:rsidTr="00670657">
        <w:trPr>
          <w:trHeight w:val="306"/>
        </w:trPr>
        <w:tc>
          <w:tcPr>
            <w:tcW w:w="3421" w:type="dxa"/>
          </w:tcPr>
          <w:p w14:paraId="38815DC4" w14:textId="77777777" w:rsidR="001A6DFC" w:rsidRPr="00670657" w:rsidRDefault="001A6DFC" w:rsidP="001A6DFC">
            <w:pPr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p-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érték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5387" w:type="dxa"/>
            <w:gridSpan w:val="2"/>
          </w:tcPr>
          <w:p w14:paraId="55F7075C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0,0033</w:t>
            </w:r>
          </w:p>
        </w:tc>
      </w:tr>
      <w:tr w:rsidR="001A6DFC" w:rsidRPr="00670657" w14:paraId="564B2D5F" w14:textId="77777777" w:rsidTr="00670657">
        <w:trPr>
          <w:trHeight w:val="267"/>
        </w:trPr>
        <w:tc>
          <w:tcPr>
            <w:tcW w:w="3421" w:type="dxa"/>
            <w:tcBorders>
              <w:bottom w:val="single" w:sz="4" w:space="0" w:color="000000"/>
            </w:tcBorders>
          </w:tcPr>
          <w:p w14:paraId="0403A4C0" w14:textId="77777777" w:rsidR="001A6DFC" w:rsidRPr="00670657" w:rsidRDefault="001A6DFC" w:rsidP="001A6DFC">
            <w:pPr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F7B61">
              <w:rPr>
                <w:rFonts w:ascii="Times New Roman" w:eastAsia="Times New Roman" w:hAnsi="Times New Roman" w:cs="Times New Roman"/>
              </w:rPr>
              <w:t>Relatív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hazárd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>** (95%-</w:t>
            </w:r>
            <w:proofErr w:type="spellStart"/>
            <w:r w:rsidRPr="00670657">
              <w:rPr>
                <w:rFonts w:ascii="Times New Roman" w:eastAsia="Times New Roman" w:hAnsi="Times New Roman" w:cs="Times New Roman"/>
              </w:rPr>
              <w:t>os</w:t>
            </w:r>
            <w:proofErr w:type="spellEnd"/>
            <w:r w:rsidRPr="00670657">
              <w:rPr>
                <w:rFonts w:ascii="Times New Roman" w:eastAsia="Times New Roman" w:hAnsi="Times New Roman" w:cs="Times New Roman"/>
              </w:rPr>
              <w:t xml:space="preserve"> CI)</w:t>
            </w:r>
          </w:p>
        </w:tc>
        <w:tc>
          <w:tcPr>
            <w:tcW w:w="5387" w:type="dxa"/>
            <w:gridSpan w:val="2"/>
            <w:tcBorders>
              <w:bottom w:val="single" w:sz="4" w:space="0" w:color="000000"/>
            </w:tcBorders>
          </w:tcPr>
          <w:p w14:paraId="1AD41C37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0,806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(0,697;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0,931)</w:t>
            </w:r>
          </w:p>
        </w:tc>
      </w:tr>
    </w:tbl>
    <w:p w14:paraId="1D1889B1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NB: Nem becsült.</w:t>
      </w:r>
    </w:p>
    <w:p w14:paraId="516703F2" w14:textId="4E187ED2" w:rsidR="001A6DFC" w:rsidRPr="005240F4" w:rsidRDefault="001A6DFC" w:rsidP="00FF7B61">
      <w:pPr>
        <w:widowControl w:val="0"/>
        <w:tabs>
          <w:tab w:val="left" w:pos="284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*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ab/>
        <w:t xml:space="preserve">A p-értéket az </w:t>
      </w:r>
      <w:r w:rsidR="00FF7B61" w:rsidRPr="00EA0DFD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kiindulási 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ECOG</w:t>
      </w:r>
      <w:r w:rsidR="00FF7B61">
        <w:rPr>
          <w:rFonts w:ascii="Times New Roman" w:eastAsia="Times New Roman" w:hAnsi="Times New Roman" w:cs="Times New Roman"/>
          <w:kern w:val="0"/>
          <w:sz w:val="20"/>
          <w14:ligatures w14:val="none"/>
        </w:rPr>
        <w:t>-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teljesítménystátusz-pontszám (0 vagy 1) szerint rétegezett lograng-próba alapján határozták meg.</w:t>
      </w:r>
    </w:p>
    <w:p w14:paraId="780F410A" w14:textId="77777777" w:rsidR="001A6DFC" w:rsidRPr="005240F4" w:rsidRDefault="001A6DFC" w:rsidP="00FF7B61">
      <w:pPr>
        <w:widowControl w:val="0"/>
        <w:tabs>
          <w:tab w:val="left" w:pos="284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**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ab/>
        <w:t xml:space="preserve">Az 1 alatti relatív hazárd az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-acetát előnyét jelenti.</w:t>
      </w:r>
    </w:p>
    <w:p w14:paraId="7C3F0C9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9D24BA1" w14:textId="667FC8D9" w:rsidR="001A6DFC" w:rsidRPr="005240F4" w:rsidRDefault="001A6DFC" w:rsidP="005240F4">
      <w:pPr>
        <w:keepNext/>
        <w:autoSpaceDE w:val="0"/>
        <w:autoSpaceDN w:val="0"/>
        <w:spacing w:after="0" w:line="240" w:lineRule="auto"/>
        <w:ind w:left="1276" w:hanging="1276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5. ábra: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 xml:space="preserve">Az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-acetát vagy placebo 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vagy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kombinációval, valamint LHRH-analóggal </w:t>
      </w:r>
      <w:r w:rsidR="00FF7B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kezelt 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vagy korábban sebészeti kasztráción átesett betegek Kaplan–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Meier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-féle túlélési görbéi, végső értékelés</w:t>
      </w:r>
    </w:p>
    <w:p w14:paraId="33AC2C7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F31B36E" w14:textId="6AEF7440" w:rsidR="001A6DFC" w:rsidRPr="00670657" w:rsidRDefault="00873AA2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26EAF">
        <w:rPr>
          <w:rFonts w:eastAsia="Times New Roman"/>
          <w:noProof/>
          <w:szCs w:val="20"/>
          <w:lang w:eastAsia="hu-HU"/>
        </w:rPr>
        <w:drawing>
          <wp:inline distT="0" distB="0" distL="0" distR="0" wp14:anchorId="5B9D1D30" wp14:editId="16E7A624">
            <wp:extent cx="5760085" cy="4341308"/>
            <wp:effectExtent l="0" t="0" r="0" b="254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341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D6EA2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5E4A1770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AA =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-acetát</w:t>
      </w:r>
    </w:p>
    <w:p w14:paraId="5B7214A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902DC1" w14:textId="77777777" w:rsidR="001A6DFC" w:rsidRPr="00670657" w:rsidRDefault="001A6DFC" w:rsidP="005240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73BDE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73BDE">
        <w:rPr>
          <w:rFonts w:ascii="Times New Roman" w:eastAsia="Times New Roman" w:hAnsi="Times New Roman" w:cs="Times New Roman"/>
          <w:kern w:val="0"/>
          <w14:ligatures w14:val="none"/>
        </w:rPr>
        <w:t>teljes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73BDE">
        <w:rPr>
          <w:rFonts w:ascii="Times New Roman" w:eastAsia="Times New Roman" w:hAnsi="Times New Roman" w:cs="Times New Roman"/>
          <w:kern w:val="0"/>
          <w14:ligatures w14:val="none"/>
        </w:rPr>
        <w:t>túlélésben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73BDE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73BDE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73BDE">
        <w:rPr>
          <w:rFonts w:ascii="Times New Roman" w:eastAsia="Times New Roman" w:hAnsi="Times New Roman" w:cs="Times New Roman"/>
          <w:kern w:val="0"/>
          <w14:ligatures w14:val="none"/>
        </w:rPr>
        <w:t>rPFS-ben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73BDE">
        <w:rPr>
          <w:rFonts w:ascii="Times New Roman" w:eastAsia="Times New Roman" w:hAnsi="Times New Roman" w:cs="Times New Roman"/>
          <w:kern w:val="0"/>
          <w14:ligatures w14:val="none"/>
        </w:rPr>
        <w:t>megfigyelt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javuláson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túl,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placebóhoz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képest minden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további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mért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másodlagos végpontban előnyt mutatott a következők szerint:</w:t>
      </w:r>
    </w:p>
    <w:p w14:paraId="3038171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2DA75E4" w14:textId="0AF62573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PSA-progresszióig eltelt idő a PCWG2</w:t>
      </w:r>
      <w:r w:rsidR="00E73BDE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feltételrendszer szerint: a PSA-progresszióig eltelt idő 11,1 hónap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="00E73BDE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részesülőknél,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5,6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placebóval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(relatív hazárd = 0,488; 95%-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CI: [0,420; 0,568], p &lt; 0,0001).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-acetát-kezeléssel megközelítőleg megduplázódott a PSA-progresszióig eltelt idő (relatív hazárd = 0,488). Az igazolt PSA-választ mutató betegek aránya magasabb volt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-acetát-csoportban, mint a placebocsoportban (62% vs. 24%; p &lt; 0,0001). Olyan betegeknél, akiknél a lágyrészbetegség mérhető volt, a teljes és részleges tumorválaszt mutatók száma jelentősen emelkedett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-acetát-kezeléssel.</w:t>
      </w:r>
    </w:p>
    <w:p w14:paraId="41E98FE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43911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daganatos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fájdalom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szükséges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opiátalkalmazásig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eltelt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idő: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prosztatarák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okozta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fájdalom miatt szükséges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opiátalkalmazásig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eltelt idő medián értéke 33,4 hónap volt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kezelteknél, a placebóval kezelteknél pedig 23,4 hónap (relatív hazárd = 0,721; 95%-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CI: [0,614; 0,846], p &lt; 0,0001) a végső értékeléskor.</w:t>
      </w:r>
    </w:p>
    <w:p w14:paraId="13216A2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3F25BB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citotoxikus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kemoterápia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megkezdéséig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eltelt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idő: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citotoxikus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kemoterápia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megkezdéséig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eltelt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idő mediánja 25,2 hónap volt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kezelteknél, és 16,8 hónap a placebóval kezelteknél (relatív hazárd = 0,580; 95%-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CI: [0,487; 0,691], p &lt; 0,0001).</w:t>
      </w:r>
    </w:p>
    <w:p w14:paraId="03B57DD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AA167E" w14:textId="2007760F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ECOG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szerinti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teljesítménystátusz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≥ 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pont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romlásáig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eltelt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idő: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ECOG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szerinti teljesítménystátusz ≥ 1 ponttal történő romlásáig eltelt idő mediánja 12,3 hónap volt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kezelteknél,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10,9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placebóval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(relatív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hazárd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0,821;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95%-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CI: [0,714; 0,943], p = 0,0053).</w:t>
      </w:r>
    </w:p>
    <w:p w14:paraId="6C2DDB1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63B73E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következő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végpontok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statisztikailag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szignifikáns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előnyt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mutattak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 javára:</w:t>
      </w:r>
    </w:p>
    <w:p w14:paraId="21DA175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6BE6E2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Objektív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terápiás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válasz: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objektív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terápiás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választ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mérhető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betegségben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közül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teljes vagy részleges választ elérők arányaként határozták meg, a RECIST-kritériumok szerint (kiinduláskor a nyirokcsomó méretének legalább 2 cm-esnek kellett lennie ahhoz, hogy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célléziónak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tekintsék). A kiinduláskor a mérhető betegségben szenvedő betegek közül az objektív terápiás választ adók aránya 36% volt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-acetát-csoportban és 16% a placebocsoportban (p &lt; 0,0001).</w:t>
      </w:r>
    </w:p>
    <w:p w14:paraId="12957AB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913ABD" w14:textId="7402020F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Fájdalom: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 az átlagos fájdalomintenzitás progresszióját jelentősen, 18%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0,0490)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csökkentette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placebóhoz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képest.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progresszióig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eltelt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mediánja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26,7 hónap volt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E73BDE">
        <w:rPr>
          <w:rFonts w:ascii="Times New Roman" w:eastAsia="Times New Roman" w:hAnsi="Times New Roman" w:cs="Times New Roman"/>
          <w:kern w:val="0"/>
          <w14:ligatures w14:val="none"/>
        </w:rPr>
        <w:t>acetát-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csoportban és 18,4 hónap a placebocsoportban.</w:t>
      </w:r>
    </w:p>
    <w:p w14:paraId="5D8714F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23D0DD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FACT-P (összpontszám) romlásáig eltelt idő: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 22%-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(p = 0,0028) csökkentette a FACT-P (összpontszám) romlásának kockázatát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placebóhoz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képest. A FACT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  <w:t>P (összpontszám)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romlásáig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eltelt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mediánja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12,7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-acetát-csoportban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8,3 hónap a placebocsoportban.</w:t>
      </w:r>
    </w:p>
    <w:p w14:paraId="1B47F7F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2FFE3C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301-es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vizsgálat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(olyan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betegek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bevonásával,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akik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korábban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kemoterápiás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kezelésben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részesültek)</w:t>
      </w:r>
    </w:p>
    <w:p w14:paraId="1DD1C2C7" w14:textId="5948E9A6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301-es vizsgálatba olyan betegeket vontak be, akik korábban már részesültek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docetaxel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-kezelésben. Nem 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elvárás a betegség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progressziója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docetaxel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mellett,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mert 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 megszakítását a kemoterápia kiváltotta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toxicitás is okozhatta volna. A betegek a vizsgálat</w:t>
      </w:r>
      <w:r w:rsidR="00447A45">
        <w:rPr>
          <w:rFonts w:ascii="Times New Roman" w:eastAsia="Times New Roman" w:hAnsi="Times New Roman" w:cs="Times New Roman"/>
          <w:kern w:val="0"/>
          <w14:ligatures w14:val="none"/>
        </w:rPr>
        <w:t>ban meghatározott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kezelést folytatták a PSA progressziójáig (a kiindulási értéktől/nadírtól számított igazolt 25%-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emelkedés), valamint a protokollban meghatározott radiológiai progresszióig és a tünetek súlyosbodásáig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progresszióig.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Ebből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vizsgálatból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kizárták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azokat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betegeket, akiknél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prosztatarákot korábban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ketokonazollal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kezelték. Az elsődleges hatásossági végpont a teljes túlélés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volt.</w:t>
      </w:r>
    </w:p>
    <w:p w14:paraId="132A075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684D2D" w14:textId="4C8CD7CC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vizsgálatba bevont betegek medián életkora 69 év (tartomány: 39–95) volt. 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 betegek rassz szerinti megoszlása a következő volt: kaukázusi: 737 (93,2%), fekete bőrű: 28 (3,5%),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ázsiai: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(1,4%)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egyéb: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14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(1,8%).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vizsgálatba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bevont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11%-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ának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 pont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ECOG- teljesítménystátusz-pontszáma; 70%-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uknál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igazolták radiológiai vizsgálattal a betegség PSA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  <w:t>emelkedéssel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járó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="00447A4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nélküli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progresszióját;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70%-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uk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részesült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előzetesen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uk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pedig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két kemoterápiás kezelésben.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 betegek 11%-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ának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volt májáttéte.</w:t>
      </w:r>
    </w:p>
    <w:p w14:paraId="1265968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E4BC6E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552 haláleset bekövetkezése után elvégzett, tervezett értékelés során azt figyelték meg, hogy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42%-a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(333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797-ből)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szemben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placebóval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kezeltekkel, ahol 55% volt a halálozások aránya (219 a 398-ból).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 betegeknél a medián teljes túlélés statisztikailag szignifikáns javulást mutatott (lásd 7. táblázat).</w:t>
      </w:r>
    </w:p>
    <w:p w14:paraId="1C1B59C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50CFEF" w14:textId="77777777" w:rsidR="001A6DFC" w:rsidRPr="005240F4" w:rsidRDefault="001A6DFC" w:rsidP="005240F4">
      <w:pPr>
        <w:keepNext/>
        <w:autoSpaceDE w:val="0"/>
        <w:autoSpaceDN w:val="0"/>
        <w:spacing w:after="0" w:line="240" w:lineRule="auto"/>
        <w:ind w:left="1276" w:hanging="1276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7. táblázat: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 xml:space="preserve">A teljes túlélés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-acetát vagy placebo 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vagy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kombinációval, plusz LHRH-analóggal kezelt vagy korábban sebészeti kasztráción átesett betegeknél</w:t>
      </w:r>
    </w:p>
    <w:p w14:paraId="1745E21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tbl>
      <w:tblPr>
        <w:tblStyle w:val="TableNormal"/>
        <w:tblW w:w="8855" w:type="dxa"/>
        <w:tblInd w:w="217" w:type="dxa"/>
        <w:tblLayout w:type="fixed"/>
        <w:tblLook w:val="01E0" w:firstRow="1" w:lastRow="1" w:firstColumn="1" w:lastColumn="1" w:noHBand="0" w:noVBand="0"/>
      </w:tblPr>
      <w:tblGrid>
        <w:gridCol w:w="3611"/>
        <w:gridCol w:w="2551"/>
        <w:gridCol w:w="2693"/>
      </w:tblGrid>
      <w:tr w:rsidR="001A6DFC" w:rsidRPr="00670657" w14:paraId="3DDF4F42" w14:textId="77777777" w:rsidTr="00670657">
        <w:trPr>
          <w:trHeight w:val="251"/>
        </w:trPr>
        <w:tc>
          <w:tcPr>
            <w:tcW w:w="3611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EFF2CCC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551" w:type="dxa"/>
            <w:tcBorders>
              <w:top w:val="single" w:sz="4" w:space="0" w:color="000000"/>
            </w:tcBorders>
          </w:tcPr>
          <w:p w14:paraId="4E6680E6" w14:textId="77777777" w:rsidR="001A6DFC" w:rsidRPr="00670657" w:rsidRDefault="001A6DFC" w:rsidP="001A6DFC">
            <w:pPr>
              <w:ind w:right="3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Abirateron-acetát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</w:tcBorders>
          </w:tcPr>
          <w:p w14:paraId="4D6BDBE2" w14:textId="77777777" w:rsidR="001A6DFC" w:rsidRPr="00670657" w:rsidRDefault="001A6DFC" w:rsidP="001A6DFC">
            <w:pPr>
              <w:ind w:right="6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240F4">
              <w:rPr>
                <w:rFonts w:ascii="Times New Roman" w:eastAsia="Times New Roman" w:hAnsi="Times New Roman" w:cs="Times New Roman"/>
                <w:b/>
              </w:rPr>
              <w:t>Placebo</w:t>
            </w:r>
          </w:p>
        </w:tc>
      </w:tr>
      <w:tr w:rsidR="001A6DFC" w:rsidRPr="00670657" w14:paraId="47859269" w14:textId="77777777" w:rsidTr="00670657">
        <w:trPr>
          <w:trHeight w:val="314"/>
        </w:trPr>
        <w:tc>
          <w:tcPr>
            <w:tcW w:w="3611" w:type="dxa"/>
            <w:vMerge/>
            <w:tcBorders>
              <w:top w:val="nil"/>
              <w:bottom w:val="single" w:sz="4" w:space="0" w:color="000000"/>
            </w:tcBorders>
          </w:tcPr>
          <w:p w14:paraId="3AF06EDE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4DA16F6" w14:textId="77777777" w:rsidR="001A6DFC" w:rsidRPr="00670657" w:rsidRDefault="001A6DFC" w:rsidP="001A6DFC">
            <w:pPr>
              <w:ind w:right="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  <w:b/>
              </w:rPr>
              <w:t>(n =</w:t>
            </w:r>
            <w:r w:rsidRPr="005240F4">
              <w:rPr>
                <w:rFonts w:ascii="Times New Roman" w:eastAsia="Times New Roman" w:hAnsi="Times New Roman" w:cs="Times New Roman"/>
                <w:b/>
              </w:rPr>
              <w:t> 797)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14:paraId="2DAFACD1" w14:textId="77777777" w:rsidR="001A6DFC" w:rsidRPr="00670657" w:rsidRDefault="001A6DFC" w:rsidP="001A6DFC">
            <w:pPr>
              <w:ind w:right="6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70657">
              <w:rPr>
                <w:rFonts w:ascii="Times New Roman" w:eastAsia="Times New Roman" w:hAnsi="Times New Roman" w:cs="Times New Roman"/>
                <w:b/>
              </w:rPr>
              <w:t>(n =</w:t>
            </w:r>
            <w:r w:rsidRPr="005240F4">
              <w:rPr>
                <w:rFonts w:ascii="Times New Roman" w:eastAsia="Times New Roman" w:hAnsi="Times New Roman" w:cs="Times New Roman"/>
                <w:b/>
              </w:rPr>
              <w:t> 398)</w:t>
            </w:r>
          </w:p>
        </w:tc>
      </w:tr>
      <w:tr w:rsidR="001A6DFC" w:rsidRPr="00670657" w14:paraId="24625D8D" w14:textId="77777777" w:rsidTr="00670657">
        <w:trPr>
          <w:trHeight w:val="273"/>
        </w:trPr>
        <w:tc>
          <w:tcPr>
            <w:tcW w:w="3611" w:type="dxa"/>
            <w:tcBorders>
              <w:top w:val="single" w:sz="4" w:space="0" w:color="000000"/>
            </w:tcBorders>
          </w:tcPr>
          <w:p w14:paraId="6A4EA0BB" w14:textId="649CDE4B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FC309E">
              <w:rPr>
                <w:rFonts w:ascii="Times New Roman" w:eastAsia="Times New Roman" w:hAnsi="Times New Roman" w:cs="Times New Roman"/>
                <w:b/>
              </w:rPr>
              <w:t>Elsődleges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FC309E">
              <w:rPr>
                <w:rFonts w:ascii="Times New Roman" w:eastAsia="Times New Roman" w:hAnsi="Times New Roman" w:cs="Times New Roman"/>
                <w:b/>
              </w:rPr>
              <w:t>túlélés</w:t>
            </w:r>
            <w:r w:rsidR="00FC309E" w:rsidRPr="00FC309E">
              <w:rPr>
                <w:rFonts w:ascii="Times New Roman" w:eastAsia="Times New Roman" w:hAnsi="Times New Roman" w:cs="Times New Roman"/>
                <w:b/>
              </w:rPr>
              <w:t>i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elemzés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</w:tcBorders>
          </w:tcPr>
          <w:p w14:paraId="657916EC" w14:textId="77777777" w:rsidR="001A6DFC" w:rsidRPr="00670657" w:rsidRDefault="001A6DFC" w:rsidP="001A6DFC">
            <w:pPr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</w:tcBorders>
          </w:tcPr>
          <w:p w14:paraId="717158A3" w14:textId="77777777" w:rsidR="001A6DFC" w:rsidRPr="00670657" w:rsidRDefault="001A6DFC" w:rsidP="001A6DFC">
            <w:pPr>
              <w:ind w:right="61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A6DFC" w:rsidRPr="00670657" w14:paraId="24FD3275" w14:textId="77777777" w:rsidTr="00670657">
        <w:trPr>
          <w:trHeight w:val="287"/>
        </w:trPr>
        <w:tc>
          <w:tcPr>
            <w:tcW w:w="3611" w:type="dxa"/>
          </w:tcPr>
          <w:p w14:paraId="6CABB945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C309E">
              <w:rPr>
                <w:rFonts w:ascii="Times New Roman" w:eastAsia="Times New Roman" w:hAnsi="Times New Roman" w:cs="Times New Roman"/>
              </w:rPr>
              <w:t>Halálozás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(%)</w:t>
            </w:r>
          </w:p>
        </w:tc>
        <w:tc>
          <w:tcPr>
            <w:tcW w:w="2551" w:type="dxa"/>
          </w:tcPr>
          <w:p w14:paraId="12EF7E1C" w14:textId="77777777" w:rsidR="001A6DFC" w:rsidRPr="00670657" w:rsidRDefault="001A6DFC" w:rsidP="001A6DFC">
            <w:pPr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333 </w:t>
            </w:r>
            <w:r w:rsidRPr="005240F4">
              <w:rPr>
                <w:rFonts w:ascii="Times New Roman" w:eastAsia="Times New Roman" w:hAnsi="Times New Roman" w:cs="Times New Roman"/>
              </w:rPr>
              <w:t>(42%)</w:t>
            </w:r>
          </w:p>
        </w:tc>
        <w:tc>
          <w:tcPr>
            <w:tcW w:w="2693" w:type="dxa"/>
          </w:tcPr>
          <w:p w14:paraId="08C5BD56" w14:textId="77777777" w:rsidR="001A6DFC" w:rsidRPr="00670657" w:rsidRDefault="001A6DFC" w:rsidP="001A6DFC">
            <w:pPr>
              <w:ind w:right="61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219 </w:t>
            </w:r>
            <w:r w:rsidRPr="005240F4">
              <w:rPr>
                <w:rFonts w:ascii="Times New Roman" w:eastAsia="Times New Roman" w:hAnsi="Times New Roman" w:cs="Times New Roman"/>
              </w:rPr>
              <w:t>(55%)</w:t>
            </w:r>
          </w:p>
        </w:tc>
      </w:tr>
      <w:tr w:rsidR="001A6DFC" w:rsidRPr="00670657" w14:paraId="0EF6CFE9" w14:textId="77777777" w:rsidTr="00670657">
        <w:trPr>
          <w:trHeight w:val="271"/>
        </w:trPr>
        <w:tc>
          <w:tcPr>
            <w:tcW w:w="3611" w:type="dxa"/>
          </w:tcPr>
          <w:p w14:paraId="20857E69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  <w:r w:rsidRPr="005240F4">
              <w:rPr>
                <w:rFonts w:ascii="Times New Roman" w:eastAsia="Times New Roman" w:hAnsi="Times New Roman" w:cs="Times New Roman"/>
                <w:lang w:val="es-ES"/>
              </w:rPr>
              <w:t xml:space="preserve">Medián túlélés (hónap) </w:t>
            </w:r>
          </w:p>
          <w:p w14:paraId="3C4F35B2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  <w:r w:rsidRPr="005240F4">
              <w:rPr>
                <w:rFonts w:ascii="Times New Roman" w:eastAsia="Times New Roman" w:hAnsi="Times New Roman" w:cs="Times New Roman"/>
                <w:lang w:val="es-ES"/>
              </w:rPr>
              <w:t>(95%-os CI)</w:t>
            </w:r>
          </w:p>
        </w:tc>
        <w:tc>
          <w:tcPr>
            <w:tcW w:w="2551" w:type="dxa"/>
          </w:tcPr>
          <w:p w14:paraId="45CBC64E" w14:textId="77777777" w:rsidR="001A6DFC" w:rsidRPr="00670657" w:rsidRDefault="001A6DFC" w:rsidP="001A6DFC">
            <w:pPr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14,8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 xml:space="preserve">(14,1; </w:t>
            </w:r>
            <w:r w:rsidRPr="005240F4">
              <w:rPr>
                <w:rFonts w:ascii="Times New Roman" w:eastAsia="Times New Roman" w:hAnsi="Times New Roman" w:cs="Times New Roman"/>
              </w:rPr>
              <w:t>15,4)</w:t>
            </w:r>
          </w:p>
        </w:tc>
        <w:tc>
          <w:tcPr>
            <w:tcW w:w="2693" w:type="dxa"/>
          </w:tcPr>
          <w:p w14:paraId="3583739B" w14:textId="77777777" w:rsidR="001A6DFC" w:rsidRPr="00670657" w:rsidRDefault="001A6DFC" w:rsidP="001A6DFC">
            <w:pPr>
              <w:ind w:right="61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10,9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 xml:space="preserve">(10,2; </w:t>
            </w:r>
            <w:r w:rsidRPr="005240F4">
              <w:rPr>
                <w:rFonts w:ascii="Times New Roman" w:eastAsia="Times New Roman" w:hAnsi="Times New Roman" w:cs="Times New Roman"/>
              </w:rPr>
              <w:t>12,0)</w:t>
            </w:r>
          </w:p>
        </w:tc>
      </w:tr>
      <w:tr w:rsidR="001A6DFC" w:rsidRPr="00670657" w14:paraId="75D034ED" w14:textId="77777777" w:rsidTr="00670657">
        <w:trPr>
          <w:trHeight w:val="186"/>
        </w:trPr>
        <w:tc>
          <w:tcPr>
            <w:tcW w:w="3611" w:type="dxa"/>
          </w:tcPr>
          <w:p w14:paraId="2D92E5E0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p-</w:t>
            </w:r>
            <w:proofErr w:type="spellStart"/>
            <w:r w:rsidRPr="005240F4">
              <w:rPr>
                <w:rFonts w:ascii="Times New Roman" w:eastAsia="Times New Roman" w:hAnsi="Times New Roman" w:cs="Times New Roman"/>
              </w:rPr>
              <w:t>érték</w:t>
            </w:r>
            <w:r w:rsidRPr="005240F4">
              <w:rPr>
                <w:rFonts w:ascii="Times New Roman" w:eastAsia="Times New Roman" w:hAnsi="Times New Roman" w:cs="Times New Roman"/>
                <w:vertAlign w:val="superscript"/>
              </w:rPr>
              <w:t>a</w:t>
            </w:r>
            <w:proofErr w:type="spellEnd"/>
          </w:p>
        </w:tc>
        <w:tc>
          <w:tcPr>
            <w:tcW w:w="5244" w:type="dxa"/>
            <w:gridSpan w:val="2"/>
          </w:tcPr>
          <w:p w14:paraId="7789A01B" w14:textId="77777777" w:rsidR="001A6DFC" w:rsidRPr="00670657" w:rsidRDefault="001A6DFC" w:rsidP="001A6DFC">
            <w:pPr>
              <w:ind w:right="61"/>
              <w:jc w:val="center"/>
              <w:rPr>
                <w:rFonts w:ascii="Times New Roman" w:eastAsia="Times New Roman" w:hAnsi="Times New Roman" w:cs="Times New Roman"/>
              </w:rPr>
            </w:pPr>
            <w:r w:rsidRPr="005240F4">
              <w:rPr>
                <w:rFonts w:ascii="Times New Roman" w:eastAsia="Times New Roman" w:hAnsi="Times New Roman" w:cs="Times New Roman"/>
              </w:rPr>
              <w:t>&lt;0,0001</w:t>
            </w:r>
          </w:p>
        </w:tc>
      </w:tr>
      <w:tr w:rsidR="001A6DFC" w:rsidRPr="00670657" w14:paraId="15226B71" w14:textId="77777777" w:rsidTr="00670657">
        <w:trPr>
          <w:trHeight w:val="291"/>
        </w:trPr>
        <w:tc>
          <w:tcPr>
            <w:tcW w:w="3611" w:type="dxa"/>
          </w:tcPr>
          <w:p w14:paraId="4F8B5185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  <w:r w:rsidRPr="005240F4">
              <w:rPr>
                <w:rFonts w:ascii="Times New Roman" w:eastAsia="Times New Roman" w:hAnsi="Times New Roman" w:cs="Times New Roman"/>
                <w:lang w:val="es-ES"/>
              </w:rPr>
              <w:t>Relatív hazárd (95%-os CI)</w:t>
            </w:r>
            <w:r w:rsidRPr="005240F4">
              <w:rPr>
                <w:rFonts w:ascii="Times New Roman" w:eastAsia="Times New Roman" w:hAnsi="Times New Roman" w:cs="Times New Roman"/>
                <w:vertAlign w:val="superscript"/>
                <w:lang w:val="es-ES"/>
              </w:rPr>
              <w:t>b</w:t>
            </w:r>
          </w:p>
        </w:tc>
        <w:tc>
          <w:tcPr>
            <w:tcW w:w="5244" w:type="dxa"/>
            <w:gridSpan w:val="2"/>
          </w:tcPr>
          <w:p w14:paraId="2EC34B09" w14:textId="77777777" w:rsidR="001A6DFC" w:rsidRPr="00670657" w:rsidRDefault="001A6DFC" w:rsidP="001A6DFC">
            <w:pPr>
              <w:ind w:right="61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0,646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(0,543;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0,768)</w:t>
            </w:r>
          </w:p>
        </w:tc>
      </w:tr>
      <w:tr w:rsidR="001A6DFC" w:rsidRPr="00670657" w14:paraId="60F1DBB7" w14:textId="77777777" w:rsidTr="00670657">
        <w:trPr>
          <w:trHeight w:val="287"/>
        </w:trPr>
        <w:tc>
          <w:tcPr>
            <w:tcW w:w="3611" w:type="dxa"/>
          </w:tcPr>
          <w:p w14:paraId="6480995A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b/>
                <w:lang w:val="hu-HU"/>
              </w:rPr>
            </w:pPr>
            <w:proofErr w:type="spellStart"/>
            <w:r w:rsidRPr="00FC309E">
              <w:rPr>
                <w:rFonts w:ascii="Times New Roman" w:eastAsia="Times New Roman" w:hAnsi="Times New Roman" w:cs="Times New Roman"/>
                <w:b/>
              </w:rPr>
              <w:t>Aktualizált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FC309E">
              <w:rPr>
                <w:rFonts w:ascii="Times New Roman" w:eastAsia="Times New Roman" w:hAnsi="Times New Roman" w:cs="Times New Roman"/>
                <w:b/>
              </w:rPr>
              <w:t>túlélési</w:t>
            </w:r>
            <w:proofErr w:type="spellEnd"/>
            <w:r w:rsidRPr="005240F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5240F4">
              <w:rPr>
                <w:rFonts w:ascii="Times New Roman" w:eastAsia="Times New Roman" w:hAnsi="Times New Roman" w:cs="Times New Roman"/>
                <w:b/>
              </w:rPr>
              <w:t>elemzés</w:t>
            </w:r>
            <w:proofErr w:type="spellEnd"/>
          </w:p>
        </w:tc>
        <w:tc>
          <w:tcPr>
            <w:tcW w:w="2551" w:type="dxa"/>
          </w:tcPr>
          <w:p w14:paraId="34880097" w14:textId="77777777" w:rsidR="001A6DFC" w:rsidRPr="00670657" w:rsidRDefault="001A6DFC" w:rsidP="001A6DFC">
            <w:pPr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</w:tcPr>
          <w:p w14:paraId="608B7419" w14:textId="77777777" w:rsidR="001A6DFC" w:rsidRPr="00670657" w:rsidRDefault="001A6DFC" w:rsidP="001A6DFC">
            <w:pPr>
              <w:ind w:right="61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A6DFC" w:rsidRPr="00670657" w14:paraId="606C4406" w14:textId="77777777" w:rsidTr="00670657">
        <w:trPr>
          <w:trHeight w:val="287"/>
        </w:trPr>
        <w:tc>
          <w:tcPr>
            <w:tcW w:w="3611" w:type="dxa"/>
          </w:tcPr>
          <w:p w14:paraId="3986E641" w14:textId="77777777" w:rsidR="001A6DFC" w:rsidRPr="00670657" w:rsidRDefault="001A6DFC" w:rsidP="001A6DFC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C309E">
              <w:rPr>
                <w:rFonts w:ascii="Times New Roman" w:eastAsia="Times New Roman" w:hAnsi="Times New Roman" w:cs="Times New Roman"/>
              </w:rPr>
              <w:t>Halálozás</w:t>
            </w:r>
            <w:proofErr w:type="spellEnd"/>
            <w:r w:rsidRPr="005240F4">
              <w:rPr>
                <w:rFonts w:ascii="Times New Roman" w:eastAsia="Times New Roman" w:hAnsi="Times New Roman" w:cs="Times New Roman"/>
              </w:rPr>
              <w:t xml:space="preserve"> (%)</w:t>
            </w:r>
          </w:p>
        </w:tc>
        <w:tc>
          <w:tcPr>
            <w:tcW w:w="2551" w:type="dxa"/>
          </w:tcPr>
          <w:p w14:paraId="073C1F3D" w14:textId="77777777" w:rsidR="001A6DFC" w:rsidRPr="00670657" w:rsidRDefault="001A6DFC" w:rsidP="001A6DFC">
            <w:pPr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501 </w:t>
            </w:r>
            <w:r w:rsidRPr="005240F4">
              <w:rPr>
                <w:rFonts w:ascii="Times New Roman" w:eastAsia="Times New Roman" w:hAnsi="Times New Roman" w:cs="Times New Roman"/>
              </w:rPr>
              <w:t>(63%)</w:t>
            </w:r>
          </w:p>
        </w:tc>
        <w:tc>
          <w:tcPr>
            <w:tcW w:w="2693" w:type="dxa"/>
          </w:tcPr>
          <w:p w14:paraId="28870F8C" w14:textId="77777777" w:rsidR="001A6DFC" w:rsidRPr="00670657" w:rsidRDefault="001A6DFC" w:rsidP="001A6DFC">
            <w:pPr>
              <w:ind w:right="61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 xml:space="preserve">274 </w:t>
            </w:r>
            <w:r w:rsidRPr="005240F4">
              <w:rPr>
                <w:rFonts w:ascii="Times New Roman" w:eastAsia="Times New Roman" w:hAnsi="Times New Roman" w:cs="Times New Roman"/>
              </w:rPr>
              <w:t>(69%)</w:t>
            </w:r>
          </w:p>
        </w:tc>
      </w:tr>
      <w:tr w:rsidR="001A6DFC" w:rsidRPr="00670657" w14:paraId="7958FB4D" w14:textId="77777777" w:rsidTr="00670657">
        <w:trPr>
          <w:trHeight w:val="271"/>
        </w:trPr>
        <w:tc>
          <w:tcPr>
            <w:tcW w:w="3611" w:type="dxa"/>
          </w:tcPr>
          <w:p w14:paraId="347A960A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  <w:r w:rsidRPr="005240F4">
              <w:rPr>
                <w:rFonts w:ascii="Times New Roman" w:eastAsia="Times New Roman" w:hAnsi="Times New Roman" w:cs="Times New Roman"/>
                <w:lang w:val="es-ES"/>
              </w:rPr>
              <w:t>Medián túlélés (hónap)</w:t>
            </w:r>
          </w:p>
          <w:p w14:paraId="5DDABAC6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  <w:r w:rsidRPr="005240F4">
              <w:rPr>
                <w:rFonts w:ascii="Times New Roman" w:eastAsia="Times New Roman" w:hAnsi="Times New Roman" w:cs="Times New Roman"/>
                <w:lang w:val="es-ES"/>
              </w:rPr>
              <w:t>(95%-os CI)</w:t>
            </w:r>
          </w:p>
        </w:tc>
        <w:tc>
          <w:tcPr>
            <w:tcW w:w="2551" w:type="dxa"/>
          </w:tcPr>
          <w:p w14:paraId="2B3C202A" w14:textId="77777777" w:rsidR="001A6DFC" w:rsidRPr="00670657" w:rsidRDefault="001A6DFC" w:rsidP="001A6DFC">
            <w:pPr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15,8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 xml:space="preserve">(14,8; </w:t>
            </w:r>
            <w:r w:rsidRPr="005240F4">
              <w:rPr>
                <w:rFonts w:ascii="Times New Roman" w:eastAsia="Times New Roman" w:hAnsi="Times New Roman" w:cs="Times New Roman"/>
              </w:rPr>
              <w:t>17,0)</w:t>
            </w:r>
          </w:p>
        </w:tc>
        <w:tc>
          <w:tcPr>
            <w:tcW w:w="2693" w:type="dxa"/>
          </w:tcPr>
          <w:p w14:paraId="3CAAA3C1" w14:textId="77777777" w:rsidR="001A6DFC" w:rsidRPr="00670657" w:rsidRDefault="001A6DFC" w:rsidP="001A6DFC">
            <w:pPr>
              <w:ind w:right="61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11,2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 xml:space="preserve">(10,4; </w:t>
            </w:r>
            <w:r w:rsidRPr="005240F4">
              <w:rPr>
                <w:rFonts w:ascii="Times New Roman" w:eastAsia="Times New Roman" w:hAnsi="Times New Roman" w:cs="Times New Roman"/>
              </w:rPr>
              <w:t>13,1)</w:t>
            </w:r>
          </w:p>
        </w:tc>
      </w:tr>
      <w:tr w:rsidR="001A6DFC" w:rsidRPr="00670657" w14:paraId="5F15E7E7" w14:textId="77777777" w:rsidTr="00670657">
        <w:trPr>
          <w:trHeight w:val="266"/>
        </w:trPr>
        <w:tc>
          <w:tcPr>
            <w:tcW w:w="3611" w:type="dxa"/>
            <w:tcBorders>
              <w:bottom w:val="single" w:sz="4" w:space="0" w:color="000000"/>
            </w:tcBorders>
          </w:tcPr>
          <w:p w14:paraId="65ADB128" w14:textId="77777777" w:rsidR="001A6DFC" w:rsidRPr="005240F4" w:rsidRDefault="001A6DFC" w:rsidP="001A6DFC">
            <w:pPr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  <w:r w:rsidRPr="005240F4">
              <w:rPr>
                <w:rFonts w:ascii="Times New Roman" w:eastAsia="Times New Roman" w:hAnsi="Times New Roman" w:cs="Times New Roman"/>
                <w:lang w:val="es-ES"/>
              </w:rPr>
              <w:t>Relatív hazárd (95%-os CI)</w:t>
            </w:r>
            <w:r w:rsidRPr="005240F4">
              <w:rPr>
                <w:rFonts w:ascii="Times New Roman" w:eastAsia="Times New Roman" w:hAnsi="Times New Roman" w:cs="Times New Roman"/>
                <w:vertAlign w:val="superscript"/>
                <w:lang w:val="es-ES"/>
              </w:rPr>
              <w:t>b</w:t>
            </w:r>
          </w:p>
        </w:tc>
        <w:tc>
          <w:tcPr>
            <w:tcW w:w="5244" w:type="dxa"/>
            <w:gridSpan w:val="2"/>
            <w:tcBorders>
              <w:bottom w:val="single" w:sz="4" w:space="0" w:color="000000"/>
            </w:tcBorders>
          </w:tcPr>
          <w:p w14:paraId="537232DB" w14:textId="77777777" w:rsidR="001A6DFC" w:rsidRPr="00670657" w:rsidRDefault="001A6DFC" w:rsidP="001A6DFC">
            <w:pPr>
              <w:ind w:right="61"/>
              <w:jc w:val="center"/>
              <w:rPr>
                <w:rFonts w:ascii="Times New Roman" w:eastAsia="Times New Roman" w:hAnsi="Times New Roman" w:cs="Times New Roman"/>
              </w:rPr>
            </w:pPr>
            <w:r w:rsidRPr="00670657">
              <w:rPr>
                <w:rFonts w:ascii="Times New Roman" w:eastAsia="Times New Roman" w:hAnsi="Times New Roman" w:cs="Times New Roman"/>
              </w:rPr>
              <w:t>0,740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</w:t>
            </w:r>
            <w:r w:rsidRPr="00670657">
              <w:rPr>
                <w:rFonts w:ascii="Times New Roman" w:eastAsia="Times New Roman" w:hAnsi="Times New Roman" w:cs="Times New Roman"/>
              </w:rPr>
              <w:t>(0,638;</w:t>
            </w:r>
            <w:r w:rsidRPr="005240F4">
              <w:rPr>
                <w:rFonts w:ascii="Times New Roman" w:eastAsia="Times New Roman" w:hAnsi="Times New Roman" w:cs="Times New Roman"/>
              </w:rPr>
              <w:t xml:space="preserve"> 0,859)</w:t>
            </w:r>
          </w:p>
        </w:tc>
      </w:tr>
    </w:tbl>
    <w:p w14:paraId="666E7BC8" w14:textId="51626DE4" w:rsidR="001A6DFC" w:rsidRPr="005240F4" w:rsidRDefault="001A6DFC" w:rsidP="005240F4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right="3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:vertAlign w:val="superscript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ab/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A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p-értéket az ECOG-teljesítménystátusz-pontszám (0–1 vs. 2), a fájdalompontszám (van vagy nincs), a korábbi kemoterápiás kezelések száma (1 vs. 2), és a betegségprogresszió típusa (csak PSA v</w:t>
      </w:r>
      <w:r w:rsidR="00FC309E">
        <w:rPr>
          <w:rFonts w:ascii="Times New Roman" w:eastAsia="Times New Roman" w:hAnsi="Times New Roman" w:cs="Times New Roman"/>
          <w:kern w:val="0"/>
          <w:sz w:val="20"/>
          <w14:ligatures w14:val="none"/>
        </w:rPr>
        <w:t>s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. radiológiai) szerint rétegezett lograng-próba alapján határozták meg.</w:t>
      </w:r>
    </w:p>
    <w:p w14:paraId="378F92F4" w14:textId="5DE08BBE" w:rsidR="001A6DFC" w:rsidRPr="005240F4" w:rsidRDefault="001A6DFC" w:rsidP="005240F4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right="3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:vertAlign w:val="superscript"/>
          <w14:ligatures w14:val="none"/>
        </w:rPr>
        <w:t>b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ab/>
        <w:t>A relatív hazárd egy rétegezett arányos hazárd</w:t>
      </w:r>
      <w:r w:rsidR="00AA3C37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</w:t>
      </w: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modell alapján került meghatározásra. Az 1 alatti relatív hazárd az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-acetát előnyét jelenti.</w:t>
      </w:r>
    </w:p>
    <w:p w14:paraId="1A0578A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EF35D1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megkezdése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után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néhány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hónappal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összes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értékelési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időpontban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magasabb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túlélők aránya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kezeltek körében, mint a placebóval kezelteknél (lásd 6. ábra).</w:t>
      </w:r>
    </w:p>
    <w:p w14:paraId="3947FA53" w14:textId="77777777" w:rsidR="001A6DFC" w:rsidRPr="005240F4" w:rsidRDefault="001A6DFC" w:rsidP="001A6DFC">
      <w:pPr>
        <w:widowControl w:val="0"/>
        <w:tabs>
          <w:tab w:val="left" w:pos="458"/>
          <w:tab w:val="left" w:pos="1515"/>
        </w:tabs>
        <w:autoSpaceDE w:val="0"/>
        <w:autoSpaceDN w:val="0"/>
        <w:spacing w:after="0" w:line="240" w:lineRule="auto"/>
        <w:ind w:right="536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95B255C" w14:textId="5D387B17" w:rsidR="001A6DFC" w:rsidRPr="005240F4" w:rsidRDefault="001A6DFC" w:rsidP="005240F4">
      <w:pPr>
        <w:keepNext/>
        <w:autoSpaceDE w:val="0"/>
        <w:autoSpaceDN w:val="0"/>
        <w:spacing w:after="0" w:line="240" w:lineRule="auto"/>
        <w:ind w:left="1276" w:hanging="1276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6. ábra: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 xml:space="preserve">Az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-acetát vagy placebo és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vagy 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prednizolon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kombinációval, </w:t>
      </w:r>
      <w:r w:rsidR="00AA3C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plusz</w:t>
      </w:r>
      <w:r w:rsidR="00AA3C37"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LHRH-analóggal </w:t>
      </w:r>
      <w:r w:rsidR="00AA3C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kezelt 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vagy korábban sebészeti kasztráción átesett betegek Kaplan–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Meier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-féle túlélési görbéi</w:t>
      </w:r>
    </w:p>
    <w:p w14:paraId="58B500C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7435B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096394D6" wp14:editId="4C518E8A">
            <wp:extent cx="5590310" cy="3681063"/>
            <wp:effectExtent l="0" t="0" r="0" b="0"/>
            <wp:docPr id="182923583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23583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21361" cy="3701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BC1A3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AA =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-acetát</w:t>
      </w:r>
    </w:p>
    <w:p w14:paraId="197060E9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742843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túlélési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alcsoportelemzés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következetesen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túlélési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előnyét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igazolta (lásd 7. ábra)</w:t>
      </w:r>
    </w:p>
    <w:p w14:paraId="1DD6127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8EF75C" w14:textId="77777777" w:rsidR="001A6DFC" w:rsidRPr="005240F4" w:rsidRDefault="001A6DFC" w:rsidP="005240F4">
      <w:pPr>
        <w:keepNext/>
        <w:autoSpaceDE w:val="0"/>
        <w:autoSpaceDN w:val="0"/>
        <w:spacing w:after="0" w:line="240" w:lineRule="auto"/>
        <w:ind w:left="1276" w:hanging="1276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7. ábra:</w:t>
      </w:r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  <w:t>Teljes túlélés alcsoportonként: relatív hazárd és 95%-</w:t>
      </w:r>
      <w:proofErr w:type="spellStart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os</w:t>
      </w:r>
      <w:proofErr w:type="spellEnd"/>
      <w:r w:rsidRPr="005240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konfidenciaintervallum</w:t>
      </w:r>
    </w:p>
    <w:p w14:paraId="5FB44AA1" w14:textId="4B651566" w:rsidR="001A6DFC" w:rsidRPr="005240F4" w:rsidRDefault="001A6DFC" w:rsidP="001A6DFC">
      <w:pPr>
        <w:keepNext/>
        <w:autoSpaceDE w:val="0"/>
        <w:autoSpaceDN w:val="0"/>
        <w:spacing w:after="0" w:line="240" w:lineRule="auto"/>
        <w:ind w:right="-1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29FE3E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7435B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6FD611D5" wp14:editId="02770015">
            <wp:extent cx="5760085" cy="3633470"/>
            <wp:effectExtent l="0" t="0" r="0" b="5080"/>
            <wp:docPr id="102523228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23228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6A720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AA =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-acetát; BPI = rövid fájdalomértékelő skála; C.I. = konfidenciaintervallum; ECOG (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Eastern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Cooperative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Oncology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Group performance </w:t>
      </w:r>
      <w:proofErr w:type="spellStart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score</w:t>
      </w:r>
      <w:proofErr w:type="spellEnd"/>
      <w:r w:rsidRPr="005240F4">
        <w:rPr>
          <w:rFonts w:ascii="Times New Roman" w:eastAsia="Times New Roman" w:hAnsi="Times New Roman" w:cs="Times New Roman"/>
          <w:kern w:val="0"/>
          <w:sz w:val="20"/>
          <w14:ligatures w14:val="none"/>
        </w:rPr>
        <w:t>); HR = relatív hazárd; NE = nem értékelhető</w:t>
      </w:r>
    </w:p>
    <w:p w14:paraId="137655C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DC5CDD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teljes túlélésben észlelhető javuláson túlmenően, az összes másodlagos vizsgálati végpont tekintetében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kedvezőbb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eredmények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születtek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kezelteknél,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többszöri vizsgálatra történt korrekció után is statisztikailag szignifikánsak voltak a következő esetekben:</w:t>
      </w:r>
    </w:p>
    <w:p w14:paraId="6877B34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325D81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-acetát-kezelést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kapó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szignifikánsan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nagyobb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össz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-PSA-válaszarány (amit a kiindulási értékhez viszonyított ≥ 50%-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csökkenéssel definiáltak), a placebokezelésben részesülőkhöz képest, 38% vs. 10%, p &lt; 0,0001.</w:t>
      </w:r>
    </w:p>
    <w:p w14:paraId="6DE03C7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7C144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PSA-progresszióig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eltelt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mediánja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10,2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és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6,6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placebóval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(relatív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hazárd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0,580;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95%-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CI: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[0,462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0,728],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&lt;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0,0001).</w:t>
      </w:r>
    </w:p>
    <w:p w14:paraId="092264B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77ED5E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radiológiai progressziómentes túlélés medián értéke 5,6 hónap volt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3,6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placebóval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(relatív hazárd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0,673;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95%-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CI: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[0,585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  <w:t>0,776], p &lt; 0,0001).</w:t>
      </w:r>
    </w:p>
    <w:p w14:paraId="27E046A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203185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Fájdalom</w:t>
      </w:r>
    </w:p>
    <w:p w14:paraId="2BC96067" w14:textId="5AD70FE0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kezelteknél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placebocsoporthoz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képest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statisztikailag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szignifikánsan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magasabb volt azon betegek aránya, akiknek fájdalma enyhült (44% vs. 27%, p = 0,0002). A fájdalom enyhítésére reagálónak azt a beteget tekintették, akinél a BPI-SF szerinti legrosszabb fájdalomintenzitás-pontszám az utolsó 24 órában legalább 30%-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csökkent anélkül, hogy a fájdalomcsillapító-használati pontszám növekedett volna, egymás után két vizsgálat során, am</w:t>
      </w:r>
      <w:r w:rsidR="00996F71">
        <w:rPr>
          <w:rFonts w:ascii="Times New Roman" w:eastAsia="Times New Roman" w:hAnsi="Times New Roman" w:cs="Times New Roman"/>
          <w:kern w:val="0"/>
          <w14:ligatures w14:val="none"/>
        </w:rPr>
        <w:t>elye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négy hét különbséggel végeztek el. A fájdalom csökkenése szempontjából csak azoknak a betegeknek 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adatait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elemezték,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kiindulási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fájdalompontszáma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≥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rendelkezésre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állt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legalább egy, a vizsgálat megkezdése után meghatározott fájdalompontszám (n = 512).</w:t>
      </w:r>
    </w:p>
    <w:p w14:paraId="67841BF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232D18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 betegeknél a placebocsoporthoz képest kisebb arányú volt a fájdalom progressziója 6 (22% vs. 28%), 12 (30% vs. 38%) és 18 (35% vs. 46%) hónap után. A fájdalomprogresszió meghatározása: a BPI-SF szerinti legrosszabb fájdalompontszám kiindulási értéktől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számított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≥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30%-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emelkedése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előző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24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órában,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fájdalomcsillapító-használati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pont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szám két egymást követő kontrollvizsgálat során észlelt csökkenése nélkül, vagy a fájdalomcsillapító-használati pontszám két egymást követő kontrollvizsgálat során észlelt ≥ 30%-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emelkedése. A fájdalom progressziójáig eltelt idő 25. 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percentilise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kezeltek csoportjában 7,4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míg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placebokezelést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kapó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4,7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volt.</w:t>
      </w:r>
    </w:p>
    <w:p w14:paraId="029D750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6DA025F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csontrendszert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érintő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események</w:t>
      </w:r>
    </w:p>
    <w:p w14:paraId="33DEA34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 betegek csoportjában a placebocsoporthoz képest alacsonyabb volt a csontrendszert érintő események száma, 6 (18% vs. 28%), 12 (30% vs. 40%) és 18 (35% vs. 40%) hónap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után.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első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csontrendszert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érintő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eseményig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eltelt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25.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percentilise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-acetáttal kezeltek csoportjában a kontrollcsoporténak a kétszerese volt (9,9 hónap vs. 4,9 hónap). A csontrendszert érintő esemény meghatározása: patológiás törés, gerincvelő-kompresszió, palliatív csontbesugárzás vagy csontsebészeti beavatkozás.</w:t>
      </w:r>
    </w:p>
    <w:p w14:paraId="7F2A73B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A72C8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Gyermekek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serdülők</w:t>
      </w:r>
    </w:p>
    <w:p w14:paraId="1A63C4C2" w14:textId="284BDAF5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Európai Gyógyszerügynökség gyermekek és serdülők esetén minden korosztálynál eltekint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vizsgálati eredményeinek benyújtási kötelezettségétől előrehaladott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prosztatarák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indikációban.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Lásd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4.2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pont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gyermekgyógyászati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vonatkozó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információk.</w:t>
      </w:r>
    </w:p>
    <w:p w14:paraId="0080032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334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A066768" w14:textId="77777777" w:rsidR="001A6DFC" w:rsidRPr="005F3AB8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5F3AB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Farmakokinetikai tulajdonságok</w:t>
      </w:r>
    </w:p>
    <w:p w14:paraId="72B9D200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BA51C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adagolását követően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farmakokinetikáját vizsgálták egészséges alanyoknál,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metasztatikus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prosztatarákos betegeknél és máj- vagy vesekárosodásban szenvedő, daganatos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betegségben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alanyoknál.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in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vivo</w:t>
      </w:r>
      <w:r w:rsidRPr="005240F4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gyorsan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átalakult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androgén-bioszintézist gátló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abirateronná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(lásd 5.1 pont).</w:t>
      </w:r>
    </w:p>
    <w:p w14:paraId="4FDFD18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874FAA8" w14:textId="77777777" w:rsidR="001A6DFC" w:rsidRPr="00670657" w:rsidRDefault="001A6DFC" w:rsidP="005240F4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lastRenderedPageBreak/>
        <w:t>Felszívódás</w:t>
      </w:r>
    </w:p>
    <w:p w14:paraId="1AC0F319" w14:textId="77777777" w:rsidR="001A6DFC" w:rsidRPr="00670657" w:rsidRDefault="001A6DFC" w:rsidP="005240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Éhomi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állapotban,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szájon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alkalmazott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megközelítőleg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óra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éri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 maximális plazmakoncentrációt.</w:t>
      </w:r>
    </w:p>
    <w:p w14:paraId="773AC76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013CB3" w14:textId="011BAB8B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étkezés közben történő alkalmazása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éhomi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bevételhez képest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átlagos szisztémás expozíciójának akár 10-szeres (AUC) </w:t>
      </w:r>
      <w:r w:rsidR="005F3AB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="005F3AB8"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akár 17-szeres (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C</w:t>
      </w:r>
      <w:r w:rsidRPr="005240F4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) emelkedését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eredményezi, az étel zsírtartalmától függően. Mivel az étkezések tartalma és összetétele általában változó,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étkezés közbeni bevétele egymástól nagyon eltérő expozíciókat eredményezhet. Emiatt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abiraterone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-acetátot tilos étkezés közben bevenni.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-acetátot naponta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egyszer,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adagban,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éhgyomorra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bevenni.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-acetátot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étkezés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után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legalább két órával kell bevenni, és a tabletták bevétele után legalább egy órán át nem szabad ételt fogyasztani. A tablettákat egészben, vízzel kell lenyelni (lásd 4.2 pont).</w:t>
      </w:r>
    </w:p>
    <w:p w14:paraId="3B82570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25068C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Eloszlás</w:t>
      </w:r>
    </w:p>
    <w:p w14:paraId="31D0629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14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C-abirateron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99,8%-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ban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kötődik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humán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plazmafehérjékhez.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látszólagos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eloszlási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térfogat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kb. 5630 l, ami arra utal, hogy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nagymértékben eloszlik a perifériás szövetekben.</w:t>
      </w:r>
    </w:p>
    <w:p w14:paraId="22636C4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B3E0B2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Biotranszformáció</w:t>
      </w:r>
      <w:proofErr w:type="spellEnd"/>
    </w:p>
    <w:p w14:paraId="763EC0D0" w14:textId="1D90B25D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Pr="00670657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14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C-abirateron-acetát kapszula formájában történő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per 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bevételét követően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abirateronná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hidrolizálódik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ami azután elsősorban a májban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szulfatálással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hidroxilációval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oxidációval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tovább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metabolizálódik. 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keringésben lévő radioaktivitás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nagyobb része (kb. 92%-a)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metabolitjaiból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mutatható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15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kimutatható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metabolitból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metabolit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-szulfát és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-szulfát-N-oxid, amelyek a teljes radioaktivitásnak mintegy 43–43%-át adják.</w:t>
      </w:r>
    </w:p>
    <w:p w14:paraId="6077F01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443487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Elimináció</w:t>
      </w:r>
    </w:p>
    <w:p w14:paraId="543F3B4B" w14:textId="42436643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Egészséges alanyok adatai alapján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átlagos plazmafelezési ideje kb. 15 óra. 1000 mg </w:t>
      </w:r>
      <w:r w:rsidRPr="00670657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14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noBreakHyphen/>
        <w:t xml:space="preserve">abirateron-acetát </w:t>
      </w:r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per </w:t>
      </w:r>
      <w:proofErr w:type="spellStart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alkalmazása után a radioaktivitás 88%-a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székletből, kb. 5%-a pedig a vizeletből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kimutatható.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székletben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jelenlévő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komponensek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változatlan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7C86" w:rsidRPr="00670657">
        <w:rPr>
          <w:rFonts w:ascii="Times New Roman" w:eastAsia="Times New Roman" w:hAnsi="Times New Roman" w:cs="Times New Roman"/>
          <w:kern w:val="0"/>
          <w14:ligatures w14:val="none"/>
        </w:rPr>
        <w:t>(a beadott dózisnak kb. 55%-a</w:t>
      </w:r>
      <w:r w:rsidR="00887C86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887C86"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és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(a beadott dózisnak kb. 22%-a)</w:t>
      </w:r>
      <w:r w:rsidR="00887C86">
        <w:rPr>
          <w:rFonts w:ascii="Times New Roman" w:eastAsia="Times New Roman" w:hAnsi="Times New Roman" w:cs="Times New Roman"/>
          <w:kern w:val="0"/>
          <w14:ligatures w14:val="none"/>
        </w:rPr>
        <w:t xml:space="preserve"> volt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8D28C1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5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54C15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51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Májkárosodás</w:t>
      </w:r>
    </w:p>
    <w:p w14:paraId="2E892967" w14:textId="2EB6E179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farmakokinetikáját már fennálló, enyhe és közepesen súlyos fokú májkárosodásban (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Child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Pugh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stádium)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egészséges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kontrollszemélyeknél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vizsgálták.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Egyszeri, szájon át adott 1000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dózis alkalmazását követően a már fennálló, enyhe fokú májkárosodásban szenvedő betegeknél a szisztémás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-acetát-expozíció 11%-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a közepesen súlyos fokú májkárosodásban szenvedőknél 260%-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emelkedett.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átlagos plazmafelezési ideje kb. 18 órára emelkedett a már fennálló enyhe fokú májkárosodásban szenvedő betegeknél, és kb. 19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órára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közepesen súlyos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májkárosodásban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betegeknél.</w:t>
      </w:r>
    </w:p>
    <w:p w14:paraId="5F061A4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829EE2F" w14:textId="4D145C80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Egy másik klinikai vizsgálatban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farmakokinetikáját már fennálló, súlyos fokú májkárosodásban (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Child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Pugh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C stádium) szenvedő betegeknél (n = 8), valamint 8, normál májfunkciójú,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egészséges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kontrollalanynál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vizsgálták.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 fokú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májkárosodásban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alanyoknál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AUC-értéke megközelítőleg 600%-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a szabad gyógyszerfrakció 80%-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emelkedett a normál májfunkciójú alanyok</w:t>
      </w:r>
      <w:r w:rsidR="002B6660">
        <w:rPr>
          <w:rFonts w:ascii="Times New Roman" w:eastAsia="Times New Roman" w:hAnsi="Times New Roman" w:cs="Times New Roman"/>
          <w:kern w:val="0"/>
          <w14:ligatures w14:val="none"/>
        </w:rPr>
        <w:t>é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hoz képest.</w:t>
      </w:r>
    </w:p>
    <w:p w14:paraId="4BA327E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D3E0CC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már fennálló,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enyhe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májkárosodásban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nincs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szükség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dózis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módosítására.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alkalmazását közepesen súlyos fokú májkárosodásban szenvedő betegeknél alaposan át kell gondolni,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esetükben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előnyeinek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egyértelműen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meg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haladniuk 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lehetséges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kockázatot (lásd 4.2 és 4.4 pont).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-acetátot nem szabad súlyos fokú májkárosodásban szenvedő betegeknél alkalmazni (lásd 4.2, 4.3 és 4.4 pont).</w:t>
      </w:r>
    </w:p>
    <w:p w14:paraId="607C010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41781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Azoknál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alatt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hepatotoxicitás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alakul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felfüggesztése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 a dózis módosítása válhat szükségessé (lásd 4.2 és 4.4 pont).</w:t>
      </w:r>
    </w:p>
    <w:p w14:paraId="3AA8C37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75EFC59" w14:textId="77777777" w:rsidR="001A6DFC" w:rsidRPr="00670657" w:rsidRDefault="001A6DFC" w:rsidP="001A6DFC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lastRenderedPageBreak/>
        <w:t>Vesekárosodás</w:t>
      </w:r>
    </w:p>
    <w:p w14:paraId="1203DFEA" w14:textId="38F49D39" w:rsidR="001A6DFC" w:rsidRPr="00670657" w:rsidRDefault="001A6DFC" w:rsidP="001A6DFC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farmakokinetikáját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tartós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művesekezelést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kapó,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végstádiumú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vesebetegségben szenvedő, és normál veseműködésű, megfeleltetett kontrollalanyok között hasonlították össze. Egyszeri, szájon át adott 1000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dózis alkalmazását követően a szisztémás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-expozíció nem volt magasabb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dializált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, végstádiumú vesebetegségben szenvedőknél. Vesekárosodásban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alkalmazás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(beleértve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fokú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vesekárosodást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is) esetén nem szükséges a dózis csökkentése (lásd 4.2 pont). Klinikai tapasztalat azonban nincs prosztatarákban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súlyos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fokú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vesekárosodásban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betegekkel.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Ilyen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fokozott körültekintéssel kell eljárni.</w:t>
      </w:r>
    </w:p>
    <w:p w14:paraId="39B1D7F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ind w:right="5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B71544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A preklinikai biztonságossági vizsgálatok eredményei</w:t>
      </w:r>
    </w:p>
    <w:p w14:paraId="68B7B92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B47EDB4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 állatokkal végzett összes toxikológiai vizsgálatban a keringő tesztoszteron szintje jelentősen csökkent.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Ennek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eredményeként,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szervek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súlyának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csökkenése,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valamint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reproduktív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szervek,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mellékvesék, a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hypophysis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és az emlők morfológiai és/vagy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hisztopatológiai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elváltozásai voltak megfigyelhetők. Minden változás teljesen vagy részlegesen reverzibilis volt. A reproduktív és androgénszenzitív szervekben bekövetkezett változások összhangban voltak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farmakológiai hatásával. Egy 4 hetes regenerálódási időszakot követően a kezeléssel összefüggő összes hormonális elváltozás megszűnt vagy megszűnőben volt.</w:t>
      </w:r>
    </w:p>
    <w:p w14:paraId="417703F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E09C1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nőstény,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hím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patkányokkal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végzett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fertilitási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vizsgálatokban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csökkentette a fertilitást, ami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-acetát-kezelés befejezése után 4–16 héttel teljesen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rendeződött.</w:t>
      </w:r>
    </w:p>
    <w:p w14:paraId="7CD1B58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42E4108" w14:textId="11640949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Egy patkányokkal végzett fejlődéstoxicitási vizsgálatban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hatással volt a vemhességre,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csökkentette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magzat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A2453">
        <w:rPr>
          <w:rFonts w:ascii="Times New Roman" w:eastAsia="Times New Roman" w:hAnsi="Times New Roman" w:cs="Times New Roman"/>
          <w:kern w:val="0"/>
          <w14:ligatures w14:val="none"/>
        </w:rPr>
        <w:t>testtömegét</w:t>
      </w:r>
      <w:r w:rsidR="007A2453"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túlélését.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külső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szervekre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kifejtett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hatást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is megfigyeltek, noha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nem volt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teratogén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D8197E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ADB4D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Ezekben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patkányokkal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végzett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fertilitási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fejlődéstoxicitási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vizsgálatokban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minden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hatás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farmakológiai hatásával függött össze.</w:t>
      </w:r>
    </w:p>
    <w:p w14:paraId="45FF64D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CD3425" w14:textId="36069B54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reproduktív szervekben bekövetkezett elváltozásoktól eltekintve a hagyományos – farmakológiai biztonságossági, ismételt adagolású dózistoxicitási, genotoxicitási és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karcinogenitási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– vizsgálatokból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származó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jellegű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adatok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igazolták,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készítmény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alkalmazásakor humán vonatkozásban különleges kockázat nem várható.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egy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transzgénikus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(Tg.rasH2)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egerekkel végzett, 6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hónapos vizsgálatban nem volt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karcinogén. Egy patkányokkal végzett 24 hónapos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karcinogenitási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vizsgálatban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növelte a herékben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intersti</w:t>
      </w:r>
      <w:r w:rsidR="007A2453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ialis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sejt</w:t>
      </w:r>
      <w:r w:rsidR="007A2453">
        <w:rPr>
          <w:rFonts w:ascii="Times New Roman" w:eastAsia="Times New Roman" w:hAnsi="Times New Roman" w:cs="Times New Roman"/>
          <w:kern w:val="0"/>
          <w14:ligatures w14:val="none"/>
        </w:rPr>
        <w:t xml:space="preserve">eket érintő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neoplasiák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előfordulási gyakoriságát. Erről az eredményről úgy gondolják, hogy összefügg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-acetát farmakológiai hatásával, és a patkányokra </w:t>
      </w:r>
      <w:r w:rsidR="007A2453" w:rsidRPr="00670657">
        <w:rPr>
          <w:rFonts w:ascii="Times New Roman" w:eastAsia="Times New Roman" w:hAnsi="Times New Roman" w:cs="Times New Roman"/>
          <w:kern w:val="0"/>
          <w14:ligatures w14:val="none"/>
        </w:rPr>
        <w:t>specifikus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.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 nőstény patkányoknál nem volt karcinogén.</w:t>
      </w:r>
    </w:p>
    <w:p w14:paraId="685662A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514952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Becsült környezeti kockázat</w:t>
      </w:r>
    </w:p>
    <w:p w14:paraId="11AA371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hatóanyag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környezeti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kockázatot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jelent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vízi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környezetre,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különösképpen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halakra.</w:t>
      </w:r>
    </w:p>
    <w:p w14:paraId="4A0FF28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D7ECF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6AAF4AE" w14:textId="77777777" w:rsidR="001A6DFC" w:rsidRPr="00670657" w:rsidRDefault="001A6DFC" w:rsidP="001A6DFC">
      <w:pPr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670657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GYÓGYSZERÉSZETI JELLEMZŐK</w:t>
      </w:r>
    </w:p>
    <w:p w14:paraId="7779AA7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18CE58E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Segédanyagok felsorolása</w:t>
      </w:r>
    </w:p>
    <w:p w14:paraId="654F421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2CA74D7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Tablettamag</w:t>
      </w:r>
    </w:p>
    <w:p w14:paraId="2953914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laktóz-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monohidrát</w:t>
      </w:r>
      <w:proofErr w:type="spellEnd"/>
    </w:p>
    <w:p w14:paraId="05F9B38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kroszkarmellóz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-nátrium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(E468) </w:t>
      </w:r>
    </w:p>
    <w:p w14:paraId="57690E3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hipromellóz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2910 (E464)</w:t>
      </w:r>
    </w:p>
    <w:p w14:paraId="7454564F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nátrium-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lauril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-szulfát</w:t>
      </w:r>
    </w:p>
    <w:p w14:paraId="6280033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mikrokristályos cellulóz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(E460) </w:t>
      </w:r>
    </w:p>
    <w:p w14:paraId="6408522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vízmentes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kolloid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szilícium-dioxid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(E551)</w:t>
      </w:r>
    </w:p>
    <w:p w14:paraId="2E45C2E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magnézium-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sztearát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(E470b)</w:t>
      </w:r>
    </w:p>
    <w:p w14:paraId="45539626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32B4156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Filmbevonat</w:t>
      </w:r>
    </w:p>
    <w:p w14:paraId="41A61C4F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poli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vinil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-alkohol) (E1203)</w:t>
      </w:r>
    </w:p>
    <w:p w14:paraId="1C98E14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titán-dioxid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(E171) </w:t>
      </w:r>
    </w:p>
    <w:p w14:paraId="300683A9" w14:textId="72214D3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makrogol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F4E7C">
        <w:rPr>
          <w:rFonts w:ascii="Times New Roman" w:eastAsia="Times New Roman" w:hAnsi="Times New Roman" w:cs="Times New Roman"/>
          <w:kern w:val="0"/>
          <w14:ligatures w14:val="none"/>
        </w:rPr>
        <w:t xml:space="preserve">3350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(E1521)</w:t>
      </w:r>
    </w:p>
    <w:p w14:paraId="04F5A65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talkum (E553b)</w:t>
      </w:r>
    </w:p>
    <w:p w14:paraId="5EFB171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vörös vas-oxid (E172)</w:t>
      </w:r>
    </w:p>
    <w:p w14:paraId="61B0E19B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sárga vas-oxid (E172) (kizárólag a 250 mg-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filmtablettában)</w:t>
      </w:r>
    </w:p>
    <w:p w14:paraId="59CBEFDE" w14:textId="3681B670" w:rsidR="001A6DFC" w:rsidRPr="00670657" w:rsidRDefault="005F4E7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fekete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A6DFC" w:rsidRPr="00670657">
        <w:rPr>
          <w:rFonts w:ascii="Times New Roman" w:eastAsia="Times New Roman" w:hAnsi="Times New Roman" w:cs="Times New Roman"/>
          <w:kern w:val="0"/>
          <w14:ligatures w14:val="none"/>
        </w:rPr>
        <w:t>vas-oxid (E172) (kizárólag az 500 mg-</w:t>
      </w:r>
      <w:proofErr w:type="spellStart"/>
      <w:r w:rsidR="001A6DFC" w:rsidRPr="00670657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="001A6DFC"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filmtablettában)</w:t>
      </w:r>
    </w:p>
    <w:p w14:paraId="7FBDFB7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66468E2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Inkompatibilitások</w:t>
      </w:r>
    </w:p>
    <w:p w14:paraId="4518748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563C25E1" w14:textId="19BF80F9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értelmezhető</w:t>
      </w:r>
      <w:r w:rsidR="005F4E7C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C860EB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DEF647D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Felhasználhatósági időtartam</w:t>
      </w:r>
    </w:p>
    <w:p w14:paraId="03EED95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D15A95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2 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év</w:t>
      </w:r>
    </w:p>
    <w:p w14:paraId="430E3F4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49F5EF1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Különleges tárolási előírások</w:t>
      </w:r>
    </w:p>
    <w:p w14:paraId="410A0197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7EBE6FB" w14:textId="77777777" w:rsidR="001A6DFC" w:rsidRPr="005240F4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igényel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különleges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tárolást.</w:t>
      </w:r>
    </w:p>
    <w:p w14:paraId="7008FEF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29B354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Csomagolás típusa és kiszerelése</w:t>
      </w:r>
    </w:p>
    <w:p w14:paraId="6ED16B8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316842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250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 mg filmtabletta:</w:t>
      </w:r>
    </w:p>
    <w:p w14:paraId="41D91799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120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b film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tabletta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PVC/PE/PVDC//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 és dobozban.</w:t>
      </w:r>
    </w:p>
    <w:p w14:paraId="406B286A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120 ×1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b film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tabletta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PVC/PE/PVDC//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adagonként perforált buborékcsomagolásban és dobozban.</w:t>
      </w:r>
    </w:p>
    <w:p w14:paraId="69FA508F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F166E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MSN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:u w:val="single"/>
          <w14:ligatures w14:val="none"/>
        </w:rPr>
        <w:t>500</w:t>
      </w:r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 mg filmtabletta:</w:t>
      </w:r>
    </w:p>
    <w:p w14:paraId="420657EE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b film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tabletta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PVC/PE/PVDC//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 és dobozban.</w:t>
      </w:r>
    </w:p>
    <w:p w14:paraId="08682A65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56 ×1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b,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60 ×1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b vagy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112 ×1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>b film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tabletta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PVC/PE/PVDC//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adagonként perforált buborékcsomagolásban és dobozban.</w:t>
      </w:r>
    </w:p>
    <w:p w14:paraId="1F2F0B82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AD9312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feltétlenül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mindegyik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kiszerelés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kerül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kereskedelmi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forgalomba.</w:t>
      </w:r>
    </w:p>
    <w:p w14:paraId="293F5E1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0A5A2B" w14:textId="77777777" w:rsidR="001A6DFC" w:rsidRPr="00670657" w:rsidRDefault="001A6DFC" w:rsidP="001A6DFC">
      <w:pPr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A megsemmisítésre vonatkozó különleges óvintézkedések</w:t>
      </w:r>
    </w:p>
    <w:p w14:paraId="4B32297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5E6CBDC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A hatásmechanizmus alapján ez a gyógyszer károsíthatja a magzat fejlődését, ezért az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abirateron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-acetátot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terhes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fogamzóképes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nők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védőfelszerelés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(pl.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védőkesztyű)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nélkül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kezelhetik.</w:t>
      </w:r>
    </w:p>
    <w:p w14:paraId="0CB93A1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F619B6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Bármilyen fel nem használt gyógyszer, illetve hulladékanyag megsemmisítését a gyógyszerekre vonatkozó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előírások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szerint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végrehajtani.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Ez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kockázatot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jelenthet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vízi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környezetre (lásd 5.3 pont).</w:t>
      </w:r>
    </w:p>
    <w:p w14:paraId="54452C0A" w14:textId="36252D00" w:rsidR="001A6DFC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26959F0" w14:textId="5037898D" w:rsidR="00FE1F2B" w:rsidRPr="00FE1F2B" w:rsidRDefault="00FE1F2B" w:rsidP="00FE1F2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lang w:eastAsia="ar-SA" w:bidi="hu-HU"/>
          <w14:ligatures w14:val="none"/>
        </w:rPr>
      </w:pPr>
      <w:r w:rsidRPr="00FE1F2B">
        <w:rPr>
          <w:rFonts w:ascii="Times New Roman" w:eastAsia="Times New Roman" w:hAnsi="Times New Roman" w:cs="Times New Roman"/>
          <w:b/>
          <w:noProof/>
          <w:kern w:val="0"/>
          <w:lang w:eastAsia="ar-SA" w:bidi="hu-HU"/>
          <w14:ligatures w14:val="none"/>
        </w:rPr>
        <w:t>Megjegyzés:</w:t>
      </w:r>
      <w:r w:rsidRPr="00FE1F2B">
        <w:rPr>
          <w:rFonts w:ascii="Times New Roman" w:eastAsia="Times New Roman" w:hAnsi="Times New Roman" w:cs="Times New Roman"/>
          <w:noProof/>
          <w:kern w:val="0"/>
          <w:lang w:eastAsia="ar-SA" w:bidi="hu-HU"/>
          <w14:ligatures w14:val="none"/>
        </w:rPr>
        <w:t xml:space="preserve"> </w:t>
      </w:r>
      <w:r w:rsidRPr="00FE1F2B">
        <w:rPr>
          <w:rFonts w:ascii="Times New Roman" w:eastAsia="Times New Roman" w:hAnsi="Times New Roman" w:cs="Times New Roman"/>
          <w:noProof/>
          <w:kern w:val="0"/>
          <w:lang w:eastAsia="hu-HU" w:bidi="hu-HU"/>
          <w14:ligatures w14:val="none"/>
        </w:rPr>
        <w:sym w:font="Wingdings" w:char="F058"/>
      </w:r>
      <w:r w:rsidRPr="00FE1F2B">
        <w:rPr>
          <w:rFonts w:ascii="Times New Roman" w:eastAsia="Times New Roman" w:hAnsi="Times New Roman" w:cs="Times New Roman"/>
          <w:noProof/>
          <w:kern w:val="0"/>
          <w:lang w:eastAsia="hu-HU" w:bidi="hu-HU"/>
          <w14:ligatures w14:val="none"/>
        </w:rPr>
        <w:sym w:font="Wingdings" w:char="F058"/>
      </w:r>
      <w:r>
        <w:rPr>
          <w:rFonts w:ascii="Times New Roman" w:eastAsia="Times New Roman" w:hAnsi="Times New Roman" w:cs="Times New Roman"/>
          <w:noProof/>
          <w:kern w:val="0"/>
          <w:lang w:eastAsia="ar-SA" w:bidi="hu-HU"/>
          <w14:ligatures w14:val="none"/>
        </w:rPr>
        <w:t xml:space="preserve"> (két kereszt</w:t>
      </w:r>
      <w:r w:rsidRPr="00FE1F2B">
        <w:rPr>
          <w:rFonts w:ascii="Times New Roman" w:eastAsia="Times New Roman" w:hAnsi="Times New Roman" w:cs="Times New Roman"/>
          <w:noProof/>
          <w:kern w:val="0"/>
          <w:lang w:eastAsia="ar-SA" w:bidi="hu-HU"/>
          <w14:ligatures w14:val="none"/>
        </w:rPr>
        <w:t>)</w:t>
      </w:r>
    </w:p>
    <w:p w14:paraId="6EAC0249" w14:textId="77777777" w:rsidR="00FE1F2B" w:rsidRPr="00FE1F2B" w:rsidRDefault="00FE1F2B" w:rsidP="00FE1F2B">
      <w:pPr>
        <w:widowControl w:val="0"/>
        <w:suppressAutoHyphens/>
        <w:autoSpaceDE w:val="0"/>
        <w:autoSpaceDN w:val="0"/>
        <w:spacing w:after="0" w:line="240" w:lineRule="auto"/>
        <w:ind w:left="1"/>
        <w:rPr>
          <w:rFonts w:ascii="Times New Roman" w:eastAsia="Times New Roman" w:hAnsi="Times New Roman" w:cs="Times New Roman"/>
          <w:b/>
          <w:noProof/>
          <w:kern w:val="0"/>
          <w:lang w:eastAsia="ar-SA" w:bidi="hu-HU"/>
          <w14:ligatures w14:val="none"/>
        </w:rPr>
      </w:pPr>
      <w:r w:rsidRPr="005240F4">
        <w:rPr>
          <w:rFonts w:ascii="Times New Roman" w:eastAsia="Times New Roman" w:hAnsi="Times New Roman" w:cs="Times New Roman"/>
          <w:noProof/>
          <w:kern w:val="0"/>
          <w:lang w:eastAsia="ar-SA" w:bidi="hu-HU"/>
          <w14:ligatures w14:val="none"/>
        </w:rPr>
        <w:t xml:space="preserve">Osztályozás: </w:t>
      </w:r>
      <w:r w:rsidRPr="00FE1F2B">
        <w:rPr>
          <w:rFonts w:ascii="Times New Roman" w:eastAsia="Times New Roman" w:hAnsi="Times New Roman" w:cs="Times New Roman"/>
          <w:b/>
          <w:noProof/>
          <w:kern w:val="0"/>
          <w:lang w:eastAsia="ar-SA" w:bidi="hu-HU"/>
          <w14:ligatures w14:val="none"/>
        </w:rPr>
        <w:t>II/2. csoport</w:t>
      </w:r>
    </w:p>
    <w:p w14:paraId="57E089E7" w14:textId="77777777" w:rsidR="00FE1F2B" w:rsidRPr="00FE1F2B" w:rsidRDefault="00FE1F2B" w:rsidP="00FE1F2B">
      <w:pPr>
        <w:widowControl w:val="0"/>
        <w:suppressAutoHyphens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lang w:eastAsia="ar-SA" w:bidi="hu-HU"/>
          <w14:ligatures w14:val="none"/>
        </w:rPr>
      </w:pPr>
      <w:r w:rsidRPr="00FE1F2B">
        <w:rPr>
          <w:rFonts w:ascii="Times New Roman" w:eastAsia="Calibri" w:hAnsi="Times New Roman" w:cs="Times New Roman"/>
          <w:kern w:val="0"/>
          <w:lang w:eastAsia="ar-SA" w:bidi="hu-HU"/>
          <w14:ligatures w14:val="none"/>
        </w:rPr>
        <w:t>Korlátozott érvényű orvosi rendelvényhez kötött, szakorvosi/kórházi diagnózist követően folyamatos szakorvosi ellenőrzés mellett alkalmazható gyógyszer (</w:t>
      </w:r>
      <w:proofErr w:type="spellStart"/>
      <w:r w:rsidRPr="00FE1F2B">
        <w:rPr>
          <w:rFonts w:ascii="Times New Roman" w:eastAsia="Calibri" w:hAnsi="Times New Roman" w:cs="Times New Roman"/>
          <w:kern w:val="0"/>
          <w:lang w:eastAsia="ar-SA" w:bidi="hu-HU"/>
          <w14:ligatures w14:val="none"/>
        </w:rPr>
        <w:t>Sz</w:t>
      </w:r>
      <w:proofErr w:type="spellEnd"/>
      <w:r w:rsidRPr="00FE1F2B">
        <w:rPr>
          <w:rFonts w:ascii="Times New Roman" w:eastAsia="Calibri" w:hAnsi="Times New Roman" w:cs="Times New Roman"/>
          <w:kern w:val="0"/>
          <w:lang w:eastAsia="ar-SA" w:bidi="hu-HU"/>
          <w14:ligatures w14:val="none"/>
        </w:rPr>
        <w:t>).</w:t>
      </w:r>
    </w:p>
    <w:p w14:paraId="4B3C225B" w14:textId="77777777" w:rsidR="00FE1F2B" w:rsidRPr="00670657" w:rsidRDefault="00FE1F2B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CB75C10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153C940" w14:textId="77777777" w:rsidR="001A6DFC" w:rsidRPr="00670657" w:rsidRDefault="001A6DFC" w:rsidP="001A6DFC">
      <w:pPr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670657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 FORGALOMBA HOZATALI ENGEDÉLY JOGOSULTJA</w:t>
      </w:r>
    </w:p>
    <w:p w14:paraId="265C6468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184C08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MSN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Labs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Europe Limited</w:t>
      </w:r>
    </w:p>
    <w:p w14:paraId="1CDBA1BD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KW20A, </w:t>
      </w: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Corradino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Park</w:t>
      </w:r>
    </w:p>
    <w:p w14:paraId="30D8923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>Paola</w:t>
      </w:r>
      <w:proofErr w:type="spellEnd"/>
      <w:r w:rsidRPr="00670657">
        <w:rPr>
          <w:rFonts w:ascii="Times New Roman" w:eastAsia="Times New Roman" w:hAnsi="Times New Roman" w:cs="Times New Roman"/>
          <w:kern w:val="0"/>
          <w14:ligatures w14:val="none"/>
        </w:rPr>
        <w:t xml:space="preserve"> PLA 3000</w:t>
      </w:r>
    </w:p>
    <w:p w14:paraId="7F6D6D63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70657">
        <w:rPr>
          <w:rFonts w:ascii="Times New Roman" w:eastAsia="Times New Roman" w:hAnsi="Times New Roman" w:cs="Times New Roman"/>
          <w:kern w:val="0"/>
          <w14:ligatures w14:val="none"/>
        </w:rPr>
        <w:t>Málta</w:t>
      </w:r>
    </w:p>
    <w:p w14:paraId="240A7E6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19F1C3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094C2F" w14:textId="77777777" w:rsidR="001A6DFC" w:rsidRPr="00670657" w:rsidRDefault="001A6DFC" w:rsidP="001A6DFC">
      <w:pPr>
        <w:keepNext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670657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 FORGALOMBA HOZATALI ENGEDÉLY SZÁMAI</w:t>
      </w:r>
    </w:p>
    <w:p w14:paraId="4FBC6C62" w14:textId="77777777" w:rsidR="001A6DFC" w:rsidRPr="00670657" w:rsidRDefault="001A6DFC" w:rsidP="001A6DFC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197D6C1" w14:textId="77777777" w:rsidR="006A603E" w:rsidRPr="005240F4" w:rsidRDefault="006A603E" w:rsidP="005240F4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proofErr w:type="spellStart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5240F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MSN 250 mg filmtabletta</w:t>
      </w:r>
    </w:p>
    <w:p w14:paraId="0A96C61E" w14:textId="4894B999" w:rsidR="001A6DFC" w:rsidRPr="00D4200E" w:rsidRDefault="001A6DFC" w:rsidP="001A6DFC">
      <w:pPr>
        <w:keepNext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A603E">
        <w:rPr>
          <w:rFonts w:ascii="Times New Roman" w:eastAsia="Times New Roman" w:hAnsi="Times New Roman" w:cs="Times New Roman"/>
          <w:kern w:val="0"/>
          <w14:ligatures w14:val="none"/>
        </w:rPr>
        <w:t>OGYI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-T-</w:t>
      </w:r>
      <w:r w:rsidR="00D4200E" w:rsidRPr="00D4200E">
        <w:rPr>
          <w:rFonts w:ascii="Times New Roman" w:eastAsia="Times New Roman" w:hAnsi="Times New Roman" w:cs="Times New Roman"/>
          <w:kern w:val="0"/>
          <w14:ligatures w14:val="none"/>
        </w:rPr>
        <w:t>24809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/01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120×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</w:t>
      </w:r>
    </w:p>
    <w:p w14:paraId="553B308F" w14:textId="6094E5BF" w:rsidR="001A6DFC" w:rsidRPr="00D4200E" w:rsidRDefault="001A6DFC" w:rsidP="001A6DFC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OGYI-T-</w:t>
      </w:r>
      <w:r w:rsidR="00D4200E" w:rsidRPr="00D4200E">
        <w:rPr>
          <w:rFonts w:ascii="Times New Roman" w:eastAsia="Times New Roman" w:hAnsi="Times New Roman" w:cs="Times New Roman"/>
          <w:kern w:val="0"/>
          <w14:ligatures w14:val="none"/>
        </w:rPr>
        <w:t>24809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/02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120×1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adagonként perforált buborékcsomagolás</w:t>
      </w:r>
    </w:p>
    <w:p w14:paraId="5BEA5CE5" w14:textId="77777777" w:rsidR="006A603E" w:rsidRPr="00D4200E" w:rsidRDefault="006A603E" w:rsidP="001A6DFC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3F8DF42" w14:textId="3C191A21" w:rsidR="006A603E" w:rsidRPr="00D4200E" w:rsidRDefault="006A603E" w:rsidP="005240F4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proofErr w:type="spellStart"/>
      <w:r w:rsidRPr="00D4200E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Abiraterone</w:t>
      </w:r>
      <w:proofErr w:type="spellEnd"/>
      <w:r w:rsidRPr="00D4200E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MSN 500 mg filmtabletta</w:t>
      </w:r>
    </w:p>
    <w:p w14:paraId="5AC2B89C" w14:textId="096EC56A" w:rsidR="001A6DFC" w:rsidRPr="00D4200E" w:rsidRDefault="001A6DFC" w:rsidP="001A6DFC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OGYI-T-</w:t>
      </w:r>
      <w:r w:rsidR="00D4200E" w:rsidRPr="00D4200E">
        <w:rPr>
          <w:rFonts w:ascii="Times New Roman" w:eastAsia="Times New Roman" w:hAnsi="Times New Roman" w:cs="Times New Roman"/>
          <w:kern w:val="0"/>
          <w14:ligatures w14:val="none"/>
        </w:rPr>
        <w:t>24809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/03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6A603E" w:rsidRPr="00D4200E">
        <w:rPr>
          <w:rFonts w:ascii="Times New Roman" w:eastAsia="Times New Roman" w:hAnsi="Times New Roman" w:cs="Times New Roman"/>
          <w:kern w:val="0"/>
          <w14:ligatures w14:val="none"/>
        </w:rPr>
        <w:t>56×1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A603E"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adagonként perforált 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buborékcsomagolás</w:t>
      </w:r>
    </w:p>
    <w:p w14:paraId="7B3130A1" w14:textId="142314B2" w:rsidR="001A6DFC" w:rsidRPr="00D4200E" w:rsidRDefault="001A6DFC" w:rsidP="001A6DFC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OGYI-T-</w:t>
      </w:r>
      <w:r w:rsidR="00D4200E" w:rsidRPr="00D4200E">
        <w:rPr>
          <w:rFonts w:ascii="Times New Roman" w:eastAsia="Times New Roman" w:hAnsi="Times New Roman" w:cs="Times New Roman"/>
          <w:kern w:val="0"/>
          <w14:ligatures w14:val="none"/>
        </w:rPr>
        <w:t>24809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/04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6A603E" w:rsidRPr="00D4200E">
        <w:rPr>
          <w:rFonts w:ascii="Times New Roman" w:eastAsia="Times New Roman" w:hAnsi="Times New Roman" w:cs="Times New Roman"/>
          <w:kern w:val="0"/>
          <w14:ligatures w14:val="none"/>
        </w:rPr>
        <w:t>60×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</w:t>
      </w:r>
    </w:p>
    <w:p w14:paraId="29238946" w14:textId="68D93981" w:rsidR="001A6DFC" w:rsidRPr="00D4200E" w:rsidRDefault="001A6DFC" w:rsidP="001A6DFC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OGYI-T-</w:t>
      </w:r>
      <w:r w:rsidR="00D4200E" w:rsidRPr="00D4200E">
        <w:rPr>
          <w:rFonts w:ascii="Times New Roman" w:eastAsia="Times New Roman" w:hAnsi="Times New Roman" w:cs="Times New Roman"/>
          <w:kern w:val="0"/>
          <w14:ligatures w14:val="none"/>
        </w:rPr>
        <w:t>24809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/05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60×1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adagonként perforált buborékcsomagolás</w:t>
      </w:r>
    </w:p>
    <w:p w14:paraId="535614C6" w14:textId="14715301" w:rsidR="001A6DFC" w:rsidRPr="00670657" w:rsidRDefault="001A6DFC" w:rsidP="001A6DFC">
      <w:pPr>
        <w:widowControl w:val="0"/>
        <w:tabs>
          <w:tab w:val="left" w:pos="2268"/>
          <w:tab w:val="left" w:pos="326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OGYI-T-</w:t>
      </w:r>
      <w:r w:rsidR="00D4200E" w:rsidRPr="00D4200E">
        <w:rPr>
          <w:rFonts w:ascii="Times New Roman" w:eastAsia="Times New Roman" w:hAnsi="Times New Roman" w:cs="Times New Roman"/>
          <w:kern w:val="0"/>
          <w14:ligatures w14:val="none"/>
        </w:rPr>
        <w:t>24809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/06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ab/>
        <w:t>112×1</w:t>
      </w:r>
      <w:r w:rsidRPr="005240F4">
        <w:rPr>
          <w:rFonts w:ascii="Times New Roman" w:eastAsia="Times New Roman" w:hAnsi="Times New Roman" w:cs="Times New Roman"/>
          <w:kern w:val="0"/>
          <w14:ligatures w14:val="none"/>
        </w:rPr>
        <w:tab/>
        <w:t>PVC/PE/PVDC//</w:t>
      </w:r>
      <w:proofErr w:type="spellStart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5240F4">
        <w:rPr>
          <w:rFonts w:ascii="Times New Roman" w:eastAsia="Times New Roman" w:hAnsi="Times New Roman" w:cs="Times New Roman"/>
          <w:kern w:val="0"/>
          <w14:ligatures w14:val="none"/>
        </w:rPr>
        <w:t xml:space="preserve"> adagonként perforált buborékcsomagolás</w:t>
      </w:r>
    </w:p>
    <w:p w14:paraId="2867E1A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bookmarkStart w:id="0" w:name="_GoBack"/>
      <w:bookmarkEnd w:id="0"/>
    </w:p>
    <w:p w14:paraId="344952FC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C015CAB" w14:textId="77777777" w:rsidR="001A6DFC" w:rsidRPr="00670657" w:rsidRDefault="001A6DFC" w:rsidP="001A6DFC">
      <w:pPr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670657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 FORGALOMBA HOZATALI ENGEDÉLY ELSŐ KIADÁSÁNAK/ MEGÚJÍTÁSÁNAK DÁTUMA</w:t>
      </w:r>
    </w:p>
    <w:p w14:paraId="5B4D0521" w14:textId="77777777" w:rsidR="001A6DFC" w:rsidRPr="00670657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CAAA51" w14:textId="6F360DE4" w:rsidR="001A6DFC" w:rsidRPr="00D4200E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A forgalomba hozatali engedély első kiadásának dátuma:</w:t>
      </w:r>
      <w:r w:rsidR="00974B16"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2026. </w:t>
      </w:r>
      <w:r w:rsidR="00D4200E" w:rsidRPr="00D4200E">
        <w:rPr>
          <w:rFonts w:ascii="Times New Roman" w:eastAsia="Times New Roman" w:hAnsi="Times New Roman" w:cs="Times New Roman"/>
          <w:kern w:val="0"/>
          <w14:ligatures w14:val="none"/>
        </w:rPr>
        <w:t>szeptember</w:t>
      </w:r>
      <w:r w:rsidR="00974B16"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4200E" w:rsidRPr="00D4200E">
        <w:rPr>
          <w:rFonts w:ascii="Times New Roman" w:eastAsia="Times New Roman" w:hAnsi="Times New Roman" w:cs="Times New Roman"/>
          <w:kern w:val="0"/>
          <w14:ligatures w14:val="none"/>
        </w:rPr>
        <w:t>29</w:t>
      </w:r>
      <w:r w:rsidR="00974B16" w:rsidRPr="00D4200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DF4AB68" w14:textId="77777777" w:rsidR="001A6DFC" w:rsidRPr="00D4200E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60A7A6" w14:textId="77777777" w:rsidR="001A6DFC" w:rsidRPr="00D4200E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D0C503D" w14:textId="77777777" w:rsidR="001A6DFC" w:rsidRPr="00D4200E" w:rsidRDefault="001A6DFC" w:rsidP="001A6DFC">
      <w:pPr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0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D4200E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 SZÖVEG ELLENŐRZÉSÉNEK DÁTUMA</w:t>
      </w:r>
    </w:p>
    <w:p w14:paraId="4C6F1232" w14:textId="77777777" w:rsidR="001A6DFC" w:rsidRPr="00D4200E" w:rsidRDefault="001A6DFC" w:rsidP="001A6DF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69302D4" w14:textId="413EB6B8" w:rsidR="00145300" w:rsidRPr="005240F4" w:rsidRDefault="00974B16" w:rsidP="005240F4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2026. </w:t>
      </w:r>
      <w:r w:rsidR="00D4200E" w:rsidRPr="00D4200E">
        <w:rPr>
          <w:rFonts w:ascii="Times New Roman" w:eastAsia="Times New Roman" w:hAnsi="Times New Roman" w:cs="Times New Roman"/>
          <w:kern w:val="0"/>
          <w14:ligatures w14:val="none"/>
        </w:rPr>
        <w:t>szeptember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4200E" w:rsidRPr="00D4200E">
        <w:rPr>
          <w:rFonts w:ascii="Times New Roman" w:eastAsia="Times New Roman" w:hAnsi="Times New Roman" w:cs="Times New Roman"/>
          <w:kern w:val="0"/>
          <w14:ligatures w14:val="none"/>
        </w:rPr>
        <w:t>29</w:t>
      </w:r>
      <w:r w:rsidRPr="00D4200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sectPr w:rsidR="00145300" w:rsidRPr="005240F4" w:rsidSect="001A6DFC">
      <w:headerReference w:type="default" r:id="rId15"/>
      <w:footerReference w:type="default" r:id="rId16"/>
      <w:footerReference w:type="first" r:id="rId17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9C2BD3" w14:textId="77777777" w:rsidR="009A6460" w:rsidRDefault="009A6460">
      <w:pPr>
        <w:spacing w:after="0" w:line="240" w:lineRule="auto"/>
      </w:pPr>
      <w:r>
        <w:separator/>
      </w:r>
    </w:p>
  </w:endnote>
  <w:endnote w:type="continuationSeparator" w:id="0">
    <w:p w14:paraId="74604BFD" w14:textId="77777777" w:rsidR="009A6460" w:rsidRDefault="009A6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AE818" w14:textId="77777777" w:rsidR="009A6460" w:rsidRDefault="009A6460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3E2C7A" w14:textId="6613A9F1" w:rsidR="009A6460" w:rsidRPr="005240F4" w:rsidRDefault="009A6460">
    <w:pPr>
      <w:pStyle w:val="llb"/>
      <w:rPr>
        <w:sz w:val="18"/>
        <w:szCs w:val="18"/>
      </w:rPr>
    </w:pPr>
    <w:r w:rsidRPr="005240F4">
      <w:rPr>
        <w:sz w:val="18"/>
        <w:szCs w:val="18"/>
      </w:rPr>
      <w:t>OGYÉI/49153/2023</w:t>
    </w:r>
  </w:p>
  <w:p w14:paraId="1B6B65C2" w14:textId="1BE71DC1" w:rsidR="009A6460" w:rsidRPr="005240F4" w:rsidRDefault="009A6460">
    <w:pPr>
      <w:pStyle w:val="llb"/>
      <w:rPr>
        <w:sz w:val="18"/>
        <w:szCs w:val="18"/>
      </w:rPr>
    </w:pPr>
    <w:r w:rsidRPr="005240F4">
      <w:rPr>
        <w:sz w:val="18"/>
        <w:szCs w:val="18"/>
      </w:rPr>
      <w:t>OGYÉI/49155/2023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D3635" w14:textId="77777777" w:rsidR="009A6460" w:rsidRDefault="009A6460">
      <w:pPr>
        <w:spacing w:after="0" w:line="240" w:lineRule="auto"/>
      </w:pPr>
      <w:r>
        <w:separator/>
      </w:r>
    </w:p>
  </w:footnote>
  <w:footnote w:type="continuationSeparator" w:id="0">
    <w:p w14:paraId="327B5B9D" w14:textId="77777777" w:rsidR="009A6460" w:rsidRDefault="009A6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78904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6EE8237" w14:textId="7742C898" w:rsidR="009A6460" w:rsidRPr="005240F4" w:rsidRDefault="009A6460" w:rsidP="005240F4">
        <w:pPr>
          <w:pStyle w:val="lfej"/>
          <w:jc w:val="center"/>
          <w:rPr>
            <w:sz w:val="18"/>
            <w:szCs w:val="18"/>
          </w:rPr>
        </w:pPr>
        <w:r w:rsidRPr="005240F4">
          <w:rPr>
            <w:sz w:val="18"/>
            <w:szCs w:val="18"/>
          </w:rPr>
          <w:fldChar w:fldCharType="begin"/>
        </w:r>
        <w:r w:rsidRPr="005240F4">
          <w:rPr>
            <w:sz w:val="18"/>
            <w:szCs w:val="18"/>
          </w:rPr>
          <w:instrText>PAGE   \* MERGEFORMAT</w:instrText>
        </w:r>
        <w:r w:rsidRPr="005240F4">
          <w:rPr>
            <w:sz w:val="18"/>
            <w:szCs w:val="18"/>
          </w:rPr>
          <w:fldChar w:fldCharType="separate"/>
        </w:r>
        <w:r w:rsidR="00D4200E">
          <w:rPr>
            <w:noProof/>
            <w:sz w:val="18"/>
            <w:szCs w:val="18"/>
          </w:rPr>
          <w:t>25</w:t>
        </w:r>
        <w:r w:rsidRPr="005240F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1E3F"/>
    <w:multiLevelType w:val="hybridMultilevel"/>
    <w:tmpl w:val="01580518"/>
    <w:lvl w:ilvl="0" w:tplc="C04A4FCE">
      <w:start w:val="1"/>
      <w:numFmt w:val="upperRoman"/>
      <w:lvlText w:val="%1."/>
      <w:lvlJc w:val="left"/>
      <w:pPr>
        <w:ind w:left="4170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800084C">
      <w:numFmt w:val="bullet"/>
      <w:lvlText w:val="•"/>
      <w:lvlJc w:val="left"/>
      <w:pPr>
        <w:ind w:left="4730" w:hanging="197"/>
      </w:pPr>
      <w:rPr>
        <w:rFonts w:hint="default"/>
        <w:lang w:val="hu-HU" w:eastAsia="en-US" w:bidi="ar-SA"/>
      </w:rPr>
    </w:lvl>
    <w:lvl w:ilvl="2" w:tplc="8CC62FCE">
      <w:numFmt w:val="bullet"/>
      <w:lvlText w:val="•"/>
      <w:lvlJc w:val="left"/>
      <w:pPr>
        <w:ind w:left="5281" w:hanging="197"/>
      </w:pPr>
      <w:rPr>
        <w:rFonts w:hint="default"/>
        <w:lang w:val="hu-HU" w:eastAsia="en-US" w:bidi="ar-SA"/>
      </w:rPr>
    </w:lvl>
    <w:lvl w:ilvl="3" w:tplc="64DA7E00">
      <w:numFmt w:val="bullet"/>
      <w:lvlText w:val="•"/>
      <w:lvlJc w:val="left"/>
      <w:pPr>
        <w:ind w:left="5831" w:hanging="197"/>
      </w:pPr>
      <w:rPr>
        <w:rFonts w:hint="default"/>
        <w:lang w:val="hu-HU" w:eastAsia="en-US" w:bidi="ar-SA"/>
      </w:rPr>
    </w:lvl>
    <w:lvl w:ilvl="4" w:tplc="40849164">
      <w:numFmt w:val="bullet"/>
      <w:lvlText w:val="•"/>
      <w:lvlJc w:val="left"/>
      <w:pPr>
        <w:ind w:left="6382" w:hanging="197"/>
      </w:pPr>
      <w:rPr>
        <w:rFonts w:hint="default"/>
        <w:lang w:val="hu-HU" w:eastAsia="en-US" w:bidi="ar-SA"/>
      </w:rPr>
    </w:lvl>
    <w:lvl w:ilvl="5" w:tplc="4E72DEC2">
      <w:numFmt w:val="bullet"/>
      <w:lvlText w:val="•"/>
      <w:lvlJc w:val="left"/>
      <w:pPr>
        <w:ind w:left="6933" w:hanging="197"/>
      </w:pPr>
      <w:rPr>
        <w:rFonts w:hint="default"/>
        <w:lang w:val="hu-HU" w:eastAsia="en-US" w:bidi="ar-SA"/>
      </w:rPr>
    </w:lvl>
    <w:lvl w:ilvl="6" w:tplc="7BDC2862">
      <w:numFmt w:val="bullet"/>
      <w:lvlText w:val="•"/>
      <w:lvlJc w:val="left"/>
      <w:pPr>
        <w:ind w:left="7483" w:hanging="197"/>
      </w:pPr>
      <w:rPr>
        <w:rFonts w:hint="default"/>
        <w:lang w:val="hu-HU" w:eastAsia="en-US" w:bidi="ar-SA"/>
      </w:rPr>
    </w:lvl>
    <w:lvl w:ilvl="7" w:tplc="A8A8E4C8">
      <w:numFmt w:val="bullet"/>
      <w:lvlText w:val="•"/>
      <w:lvlJc w:val="left"/>
      <w:pPr>
        <w:ind w:left="8034" w:hanging="197"/>
      </w:pPr>
      <w:rPr>
        <w:rFonts w:hint="default"/>
        <w:lang w:val="hu-HU" w:eastAsia="en-US" w:bidi="ar-SA"/>
      </w:rPr>
    </w:lvl>
    <w:lvl w:ilvl="8" w:tplc="6D70D08C">
      <w:numFmt w:val="bullet"/>
      <w:lvlText w:val="•"/>
      <w:lvlJc w:val="left"/>
      <w:pPr>
        <w:ind w:left="8585" w:hanging="197"/>
      </w:pPr>
      <w:rPr>
        <w:rFonts w:hint="default"/>
        <w:lang w:val="hu-HU" w:eastAsia="en-US" w:bidi="ar-SA"/>
      </w:rPr>
    </w:lvl>
  </w:abstractNum>
  <w:abstractNum w:abstractNumId="1" w15:restartNumberingAfterBreak="0">
    <w:nsid w:val="094A109C"/>
    <w:multiLevelType w:val="hybridMultilevel"/>
    <w:tmpl w:val="E0AE161A"/>
    <w:lvl w:ilvl="0" w:tplc="3FC001DC">
      <w:numFmt w:val="bullet"/>
      <w:lvlText w:val="-"/>
      <w:lvlJc w:val="left"/>
      <w:pPr>
        <w:ind w:left="805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AFE93F0">
      <w:numFmt w:val="bullet"/>
      <w:lvlText w:val="•"/>
      <w:lvlJc w:val="left"/>
      <w:pPr>
        <w:ind w:left="1688" w:hanging="567"/>
      </w:pPr>
      <w:rPr>
        <w:rFonts w:hint="default"/>
        <w:lang w:val="hu-HU" w:eastAsia="en-US" w:bidi="ar-SA"/>
      </w:rPr>
    </w:lvl>
    <w:lvl w:ilvl="2" w:tplc="D6ECBAD2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95B48B7A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43C67D5A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546C06DE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F06E4AA0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5F384674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2D187D50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15BD282D"/>
    <w:multiLevelType w:val="hybridMultilevel"/>
    <w:tmpl w:val="EBF84924"/>
    <w:lvl w:ilvl="0" w:tplc="47A4B74E">
      <w:start w:val="1"/>
      <w:numFmt w:val="decimal"/>
      <w:lvlText w:val="%1."/>
      <w:lvlJc w:val="left"/>
      <w:pPr>
        <w:ind w:left="80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7963B2A">
      <w:numFmt w:val="bullet"/>
      <w:lvlText w:val="•"/>
      <w:lvlJc w:val="left"/>
      <w:pPr>
        <w:ind w:left="1688" w:hanging="567"/>
      </w:pPr>
      <w:rPr>
        <w:rFonts w:hint="default"/>
        <w:lang w:val="hu-HU" w:eastAsia="en-US" w:bidi="ar-SA"/>
      </w:rPr>
    </w:lvl>
    <w:lvl w:ilvl="2" w:tplc="4074EC5A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CF2EB5F6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4118C602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CE6CB76A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E2101CBE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ECBEC49A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EF9E4520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19CF5BD5"/>
    <w:multiLevelType w:val="multilevel"/>
    <w:tmpl w:val="EEB2D2F8"/>
    <w:lvl w:ilvl="0">
      <w:start w:val="1"/>
      <w:numFmt w:val="decimal"/>
      <w:lvlText w:val="%1."/>
      <w:lvlJc w:val="left"/>
      <w:pPr>
        <w:ind w:left="80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start w:val="1"/>
      <w:numFmt w:val="bullet"/>
      <w:lvlText w:val="-"/>
      <w:lvlJc w:val="left"/>
      <w:pPr>
        <w:ind w:left="598" w:hanging="360"/>
      </w:pPr>
    </w:lvl>
    <w:lvl w:ilvl="3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30323A65"/>
    <w:multiLevelType w:val="hybridMultilevel"/>
    <w:tmpl w:val="06A8A524"/>
    <w:lvl w:ilvl="0" w:tplc="0298EB1A">
      <w:start w:val="1"/>
      <w:numFmt w:val="decimal"/>
      <w:lvlText w:val="%1."/>
      <w:lvlJc w:val="left"/>
      <w:pPr>
        <w:ind w:left="1515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A94DD40">
      <w:numFmt w:val="bullet"/>
      <w:lvlText w:val="•"/>
      <w:lvlJc w:val="left"/>
      <w:pPr>
        <w:ind w:left="2336" w:hanging="221"/>
      </w:pPr>
      <w:rPr>
        <w:rFonts w:hint="default"/>
        <w:lang w:val="hu-HU" w:eastAsia="en-US" w:bidi="ar-SA"/>
      </w:rPr>
    </w:lvl>
    <w:lvl w:ilvl="2" w:tplc="9278940E">
      <w:numFmt w:val="bullet"/>
      <w:lvlText w:val="•"/>
      <w:lvlJc w:val="left"/>
      <w:pPr>
        <w:ind w:left="3153" w:hanging="221"/>
      </w:pPr>
      <w:rPr>
        <w:rFonts w:hint="default"/>
        <w:lang w:val="hu-HU" w:eastAsia="en-US" w:bidi="ar-SA"/>
      </w:rPr>
    </w:lvl>
    <w:lvl w:ilvl="3" w:tplc="5EF8B822">
      <w:numFmt w:val="bullet"/>
      <w:lvlText w:val="•"/>
      <w:lvlJc w:val="left"/>
      <w:pPr>
        <w:ind w:left="3969" w:hanging="221"/>
      </w:pPr>
      <w:rPr>
        <w:rFonts w:hint="default"/>
        <w:lang w:val="hu-HU" w:eastAsia="en-US" w:bidi="ar-SA"/>
      </w:rPr>
    </w:lvl>
    <w:lvl w:ilvl="4" w:tplc="A99EC340">
      <w:numFmt w:val="bullet"/>
      <w:lvlText w:val="•"/>
      <w:lvlJc w:val="left"/>
      <w:pPr>
        <w:ind w:left="4786" w:hanging="221"/>
      </w:pPr>
      <w:rPr>
        <w:rFonts w:hint="default"/>
        <w:lang w:val="hu-HU" w:eastAsia="en-US" w:bidi="ar-SA"/>
      </w:rPr>
    </w:lvl>
    <w:lvl w:ilvl="5" w:tplc="03902520">
      <w:numFmt w:val="bullet"/>
      <w:lvlText w:val="•"/>
      <w:lvlJc w:val="left"/>
      <w:pPr>
        <w:ind w:left="5603" w:hanging="221"/>
      </w:pPr>
      <w:rPr>
        <w:rFonts w:hint="default"/>
        <w:lang w:val="hu-HU" w:eastAsia="en-US" w:bidi="ar-SA"/>
      </w:rPr>
    </w:lvl>
    <w:lvl w:ilvl="6" w:tplc="86A60E4E">
      <w:numFmt w:val="bullet"/>
      <w:lvlText w:val="•"/>
      <w:lvlJc w:val="left"/>
      <w:pPr>
        <w:ind w:left="6419" w:hanging="221"/>
      </w:pPr>
      <w:rPr>
        <w:rFonts w:hint="default"/>
        <w:lang w:val="hu-HU" w:eastAsia="en-US" w:bidi="ar-SA"/>
      </w:rPr>
    </w:lvl>
    <w:lvl w:ilvl="7" w:tplc="196205FC">
      <w:numFmt w:val="bullet"/>
      <w:lvlText w:val="•"/>
      <w:lvlJc w:val="left"/>
      <w:pPr>
        <w:ind w:left="7236" w:hanging="221"/>
      </w:pPr>
      <w:rPr>
        <w:rFonts w:hint="default"/>
        <w:lang w:val="hu-HU" w:eastAsia="en-US" w:bidi="ar-SA"/>
      </w:rPr>
    </w:lvl>
    <w:lvl w:ilvl="8" w:tplc="CE343C4E">
      <w:numFmt w:val="bullet"/>
      <w:lvlText w:val="•"/>
      <w:lvlJc w:val="left"/>
      <w:pPr>
        <w:ind w:left="8053" w:hanging="221"/>
      </w:pPr>
      <w:rPr>
        <w:rFonts w:hint="default"/>
        <w:lang w:val="hu-HU" w:eastAsia="en-US" w:bidi="ar-SA"/>
      </w:rPr>
    </w:lvl>
  </w:abstractNum>
  <w:abstractNum w:abstractNumId="5" w15:restartNumberingAfterBreak="0">
    <w:nsid w:val="3D7D2949"/>
    <w:multiLevelType w:val="hybridMultilevel"/>
    <w:tmpl w:val="2646C0E0"/>
    <w:lvl w:ilvl="0" w:tplc="F9084C58">
      <w:start w:val="1"/>
      <w:numFmt w:val="upperLetter"/>
      <w:lvlText w:val="%1."/>
      <w:lvlJc w:val="left"/>
      <w:pPr>
        <w:ind w:left="80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5B5A04C2">
      <w:start w:val="1"/>
      <w:numFmt w:val="upperLetter"/>
      <w:lvlText w:val="%2."/>
      <w:lvlJc w:val="left"/>
      <w:pPr>
        <w:ind w:left="4064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2" w:tplc="DDB85D9E">
      <w:numFmt w:val="bullet"/>
      <w:lvlText w:val="•"/>
      <w:lvlJc w:val="left"/>
      <w:pPr>
        <w:ind w:left="4685" w:hanging="269"/>
      </w:pPr>
      <w:rPr>
        <w:rFonts w:hint="default"/>
        <w:lang w:val="hu-HU" w:eastAsia="en-US" w:bidi="ar-SA"/>
      </w:rPr>
    </w:lvl>
    <w:lvl w:ilvl="3" w:tplc="F85201E4">
      <w:numFmt w:val="bullet"/>
      <w:lvlText w:val="•"/>
      <w:lvlJc w:val="left"/>
      <w:pPr>
        <w:ind w:left="5310" w:hanging="269"/>
      </w:pPr>
      <w:rPr>
        <w:rFonts w:hint="default"/>
        <w:lang w:val="hu-HU" w:eastAsia="en-US" w:bidi="ar-SA"/>
      </w:rPr>
    </w:lvl>
    <w:lvl w:ilvl="4" w:tplc="DFF8BCD0">
      <w:numFmt w:val="bullet"/>
      <w:lvlText w:val="•"/>
      <w:lvlJc w:val="left"/>
      <w:pPr>
        <w:ind w:left="5935" w:hanging="269"/>
      </w:pPr>
      <w:rPr>
        <w:rFonts w:hint="default"/>
        <w:lang w:val="hu-HU" w:eastAsia="en-US" w:bidi="ar-SA"/>
      </w:rPr>
    </w:lvl>
    <w:lvl w:ilvl="5" w:tplc="F5682ED4">
      <w:numFmt w:val="bullet"/>
      <w:lvlText w:val="•"/>
      <w:lvlJc w:val="left"/>
      <w:pPr>
        <w:ind w:left="6560" w:hanging="269"/>
      </w:pPr>
      <w:rPr>
        <w:rFonts w:hint="default"/>
        <w:lang w:val="hu-HU" w:eastAsia="en-US" w:bidi="ar-SA"/>
      </w:rPr>
    </w:lvl>
    <w:lvl w:ilvl="6" w:tplc="DEB8DB0E">
      <w:numFmt w:val="bullet"/>
      <w:lvlText w:val="•"/>
      <w:lvlJc w:val="left"/>
      <w:pPr>
        <w:ind w:left="7185" w:hanging="269"/>
      </w:pPr>
      <w:rPr>
        <w:rFonts w:hint="default"/>
        <w:lang w:val="hu-HU" w:eastAsia="en-US" w:bidi="ar-SA"/>
      </w:rPr>
    </w:lvl>
    <w:lvl w:ilvl="7" w:tplc="2E72304C">
      <w:numFmt w:val="bullet"/>
      <w:lvlText w:val="•"/>
      <w:lvlJc w:val="left"/>
      <w:pPr>
        <w:ind w:left="7810" w:hanging="269"/>
      </w:pPr>
      <w:rPr>
        <w:rFonts w:hint="default"/>
        <w:lang w:val="hu-HU" w:eastAsia="en-US" w:bidi="ar-SA"/>
      </w:rPr>
    </w:lvl>
    <w:lvl w:ilvl="8" w:tplc="293A23EC">
      <w:numFmt w:val="bullet"/>
      <w:lvlText w:val="•"/>
      <w:lvlJc w:val="left"/>
      <w:pPr>
        <w:ind w:left="8436" w:hanging="269"/>
      </w:pPr>
      <w:rPr>
        <w:rFonts w:hint="default"/>
        <w:lang w:val="hu-HU" w:eastAsia="en-US" w:bidi="ar-SA"/>
      </w:rPr>
    </w:lvl>
  </w:abstractNum>
  <w:abstractNum w:abstractNumId="6" w15:restartNumberingAfterBreak="0">
    <w:nsid w:val="463A7290"/>
    <w:multiLevelType w:val="hybridMultilevel"/>
    <w:tmpl w:val="943C326E"/>
    <w:lvl w:ilvl="0" w:tplc="2A96277C">
      <w:start w:val="6"/>
      <w:numFmt w:val="decimal"/>
      <w:lvlText w:val="%1."/>
      <w:lvlJc w:val="left"/>
      <w:pPr>
        <w:ind w:left="1515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82AD1FA">
      <w:numFmt w:val="bullet"/>
      <w:lvlText w:val="•"/>
      <w:lvlJc w:val="left"/>
      <w:pPr>
        <w:ind w:left="2336" w:hanging="221"/>
      </w:pPr>
      <w:rPr>
        <w:rFonts w:hint="default"/>
        <w:lang w:val="hu-HU" w:eastAsia="en-US" w:bidi="ar-SA"/>
      </w:rPr>
    </w:lvl>
    <w:lvl w:ilvl="2" w:tplc="12C467C8">
      <w:numFmt w:val="bullet"/>
      <w:lvlText w:val="•"/>
      <w:lvlJc w:val="left"/>
      <w:pPr>
        <w:ind w:left="3153" w:hanging="221"/>
      </w:pPr>
      <w:rPr>
        <w:rFonts w:hint="default"/>
        <w:lang w:val="hu-HU" w:eastAsia="en-US" w:bidi="ar-SA"/>
      </w:rPr>
    </w:lvl>
    <w:lvl w:ilvl="3" w:tplc="B95A3BB0">
      <w:numFmt w:val="bullet"/>
      <w:lvlText w:val="•"/>
      <w:lvlJc w:val="left"/>
      <w:pPr>
        <w:ind w:left="3969" w:hanging="221"/>
      </w:pPr>
      <w:rPr>
        <w:rFonts w:hint="default"/>
        <w:lang w:val="hu-HU" w:eastAsia="en-US" w:bidi="ar-SA"/>
      </w:rPr>
    </w:lvl>
    <w:lvl w:ilvl="4" w:tplc="38DE0928">
      <w:numFmt w:val="bullet"/>
      <w:lvlText w:val="•"/>
      <w:lvlJc w:val="left"/>
      <w:pPr>
        <w:ind w:left="4786" w:hanging="221"/>
      </w:pPr>
      <w:rPr>
        <w:rFonts w:hint="default"/>
        <w:lang w:val="hu-HU" w:eastAsia="en-US" w:bidi="ar-SA"/>
      </w:rPr>
    </w:lvl>
    <w:lvl w:ilvl="5" w:tplc="B4024448">
      <w:numFmt w:val="bullet"/>
      <w:lvlText w:val="•"/>
      <w:lvlJc w:val="left"/>
      <w:pPr>
        <w:ind w:left="5603" w:hanging="221"/>
      </w:pPr>
      <w:rPr>
        <w:rFonts w:hint="default"/>
        <w:lang w:val="hu-HU" w:eastAsia="en-US" w:bidi="ar-SA"/>
      </w:rPr>
    </w:lvl>
    <w:lvl w:ilvl="6" w:tplc="140A27EE">
      <w:numFmt w:val="bullet"/>
      <w:lvlText w:val="•"/>
      <w:lvlJc w:val="left"/>
      <w:pPr>
        <w:ind w:left="6419" w:hanging="221"/>
      </w:pPr>
      <w:rPr>
        <w:rFonts w:hint="default"/>
        <w:lang w:val="hu-HU" w:eastAsia="en-US" w:bidi="ar-SA"/>
      </w:rPr>
    </w:lvl>
    <w:lvl w:ilvl="7" w:tplc="57F86182">
      <w:numFmt w:val="bullet"/>
      <w:lvlText w:val="•"/>
      <w:lvlJc w:val="left"/>
      <w:pPr>
        <w:ind w:left="7236" w:hanging="221"/>
      </w:pPr>
      <w:rPr>
        <w:rFonts w:hint="default"/>
        <w:lang w:val="hu-HU" w:eastAsia="en-US" w:bidi="ar-SA"/>
      </w:rPr>
    </w:lvl>
    <w:lvl w:ilvl="8" w:tplc="375E60F4">
      <w:numFmt w:val="bullet"/>
      <w:lvlText w:val="•"/>
      <w:lvlJc w:val="left"/>
      <w:pPr>
        <w:ind w:left="8053" w:hanging="221"/>
      </w:pPr>
      <w:rPr>
        <w:rFonts w:hint="default"/>
        <w:lang w:val="hu-HU" w:eastAsia="en-US" w:bidi="ar-SA"/>
      </w:rPr>
    </w:lvl>
  </w:abstractNum>
  <w:abstractNum w:abstractNumId="7" w15:restartNumberingAfterBreak="0">
    <w:nsid w:val="525C57A2"/>
    <w:multiLevelType w:val="hybridMultilevel"/>
    <w:tmpl w:val="6BE6C4EE"/>
    <w:lvl w:ilvl="0" w:tplc="641027EE">
      <w:start w:val="1"/>
      <w:numFmt w:val="decimal"/>
      <w:lvlText w:val="%1."/>
      <w:lvlJc w:val="left"/>
      <w:pPr>
        <w:ind w:left="1515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1E0B070">
      <w:numFmt w:val="bullet"/>
      <w:lvlText w:val="•"/>
      <w:lvlJc w:val="left"/>
      <w:pPr>
        <w:ind w:left="2336" w:hanging="221"/>
      </w:pPr>
      <w:rPr>
        <w:rFonts w:hint="default"/>
        <w:lang w:val="hu-HU" w:eastAsia="en-US" w:bidi="ar-SA"/>
      </w:rPr>
    </w:lvl>
    <w:lvl w:ilvl="2" w:tplc="54A6D2BA">
      <w:numFmt w:val="bullet"/>
      <w:lvlText w:val="•"/>
      <w:lvlJc w:val="left"/>
      <w:pPr>
        <w:ind w:left="3153" w:hanging="221"/>
      </w:pPr>
      <w:rPr>
        <w:rFonts w:hint="default"/>
        <w:lang w:val="hu-HU" w:eastAsia="en-US" w:bidi="ar-SA"/>
      </w:rPr>
    </w:lvl>
    <w:lvl w:ilvl="3" w:tplc="BB4270D2">
      <w:numFmt w:val="bullet"/>
      <w:lvlText w:val="•"/>
      <w:lvlJc w:val="left"/>
      <w:pPr>
        <w:ind w:left="3969" w:hanging="221"/>
      </w:pPr>
      <w:rPr>
        <w:rFonts w:hint="default"/>
        <w:lang w:val="hu-HU" w:eastAsia="en-US" w:bidi="ar-SA"/>
      </w:rPr>
    </w:lvl>
    <w:lvl w:ilvl="4" w:tplc="896C95F6">
      <w:numFmt w:val="bullet"/>
      <w:lvlText w:val="•"/>
      <w:lvlJc w:val="left"/>
      <w:pPr>
        <w:ind w:left="4786" w:hanging="221"/>
      </w:pPr>
      <w:rPr>
        <w:rFonts w:hint="default"/>
        <w:lang w:val="hu-HU" w:eastAsia="en-US" w:bidi="ar-SA"/>
      </w:rPr>
    </w:lvl>
    <w:lvl w:ilvl="5" w:tplc="9702B108">
      <w:numFmt w:val="bullet"/>
      <w:lvlText w:val="•"/>
      <w:lvlJc w:val="left"/>
      <w:pPr>
        <w:ind w:left="5603" w:hanging="221"/>
      </w:pPr>
      <w:rPr>
        <w:rFonts w:hint="default"/>
        <w:lang w:val="hu-HU" w:eastAsia="en-US" w:bidi="ar-SA"/>
      </w:rPr>
    </w:lvl>
    <w:lvl w:ilvl="6" w:tplc="206C5B2A">
      <w:numFmt w:val="bullet"/>
      <w:lvlText w:val="•"/>
      <w:lvlJc w:val="left"/>
      <w:pPr>
        <w:ind w:left="6419" w:hanging="221"/>
      </w:pPr>
      <w:rPr>
        <w:rFonts w:hint="default"/>
        <w:lang w:val="hu-HU" w:eastAsia="en-US" w:bidi="ar-SA"/>
      </w:rPr>
    </w:lvl>
    <w:lvl w:ilvl="7" w:tplc="F2287530">
      <w:numFmt w:val="bullet"/>
      <w:lvlText w:val="•"/>
      <w:lvlJc w:val="left"/>
      <w:pPr>
        <w:ind w:left="7236" w:hanging="221"/>
      </w:pPr>
      <w:rPr>
        <w:rFonts w:hint="default"/>
        <w:lang w:val="hu-HU" w:eastAsia="en-US" w:bidi="ar-SA"/>
      </w:rPr>
    </w:lvl>
    <w:lvl w:ilvl="8" w:tplc="247CEF72">
      <w:numFmt w:val="bullet"/>
      <w:lvlText w:val="•"/>
      <w:lvlJc w:val="left"/>
      <w:pPr>
        <w:ind w:left="8053" w:hanging="221"/>
      </w:pPr>
      <w:rPr>
        <w:rFonts w:hint="default"/>
        <w:lang w:val="hu-HU" w:eastAsia="en-US" w:bidi="ar-SA"/>
      </w:rPr>
    </w:lvl>
  </w:abstractNum>
  <w:abstractNum w:abstractNumId="8" w15:restartNumberingAfterBreak="0">
    <w:nsid w:val="565F3E1D"/>
    <w:multiLevelType w:val="multilevel"/>
    <w:tmpl w:val="3C0641C6"/>
    <w:lvl w:ilvl="0">
      <w:start w:val="1"/>
      <w:numFmt w:val="decimal"/>
      <w:lvlText w:val="%1."/>
      <w:lvlJc w:val="left"/>
      <w:pPr>
        <w:ind w:left="80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05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61AC57B0"/>
    <w:multiLevelType w:val="hybridMultilevel"/>
    <w:tmpl w:val="6F5CB6FA"/>
    <w:lvl w:ilvl="0" w:tplc="3F6806B2">
      <w:numFmt w:val="bullet"/>
      <w:lvlText w:val=""/>
      <w:lvlJc w:val="left"/>
      <w:pPr>
        <w:ind w:left="805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4561B3C">
      <w:numFmt w:val="bullet"/>
      <w:lvlText w:val="•"/>
      <w:lvlJc w:val="left"/>
      <w:pPr>
        <w:ind w:left="1688" w:hanging="567"/>
      </w:pPr>
      <w:rPr>
        <w:rFonts w:hint="default"/>
        <w:lang w:val="hu-HU" w:eastAsia="en-US" w:bidi="ar-SA"/>
      </w:rPr>
    </w:lvl>
    <w:lvl w:ilvl="2" w:tplc="4B0EA674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2B3AA284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3CACEA36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BA2CC29A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2C565F70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BC0EF832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5FBE9776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6CE4430B"/>
    <w:multiLevelType w:val="hybridMultilevel"/>
    <w:tmpl w:val="9C2CE898"/>
    <w:lvl w:ilvl="0" w:tplc="C8527B4A">
      <w:start w:val="1"/>
      <w:numFmt w:val="decimal"/>
      <w:lvlText w:val="%1."/>
      <w:lvlJc w:val="left"/>
      <w:pPr>
        <w:ind w:left="80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88230E4">
      <w:numFmt w:val="bullet"/>
      <w:lvlText w:val="-"/>
      <w:lvlJc w:val="left"/>
      <w:pPr>
        <w:ind w:left="80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EF2605E6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9D6A6236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412C82E0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5282BF28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05FE40B8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277AB970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82A0C448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701B7999"/>
    <w:multiLevelType w:val="hybridMultilevel"/>
    <w:tmpl w:val="4D90DF0A"/>
    <w:lvl w:ilvl="0" w:tplc="20D619D4">
      <w:numFmt w:val="bullet"/>
      <w:lvlText w:val="-"/>
      <w:lvlJc w:val="left"/>
      <w:pPr>
        <w:ind w:left="805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7D8816A">
      <w:numFmt w:val="bullet"/>
      <w:lvlText w:val="•"/>
      <w:lvlJc w:val="left"/>
      <w:pPr>
        <w:ind w:left="1688" w:hanging="567"/>
      </w:pPr>
      <w:rPr>
        <w:rFonts w:hint="default"/>
        <w:lang w:val="hu-HU" w:eastAsia="en-US" w:bidi="ar-SA"/>
      </w:rPr>
    </w:lvl>
    <w:lvl w:ilvl="2" w:tplc="3EA2394C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92C2CA24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7A245A12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D3A62966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75162D30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FE9AE0E4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3CA02120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77E31919"/>
    <w:multiLevelType w:val="hybridMultilevel"/>
    <w:tmpl w:val="0B0E5C5A"/>
    <w:lvl w:ilvl="0" w:tplc="3E7C7AFE">
      <w:numFmt w:val="bullet"/>
      <w:lvlText w:val="-"/>
      <w:lvlJc w:val="left"/>
      <w:pPr>
        <w:ind w:left="80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7BC9BC6">
      <w:numFmt w:val="bullet"/>
      <w:lvlText w:val="•"/>
      <w:lvlJc w:val="left"/>
      <w:pPr>
        <w:ind w:left="1688" w:hanging="567"/>
      </w:pPr>
      <w:rPr>
        <w:rFonts w:hint="default"/>
        <w:lang w:val="hu-HU" w:eastAsia="en-US" w:bidi="ar-SA"/>
      </w:rPr>
    </w:lvl>
    <w:lvl w:ilvl="2" w:tplc="7916D1C2">
      <w:numFmt w:val="bullet"/>
      <w:lvlText w:val="•"/>
      <w:lvlJc w:val="left"/>
      <w:pPr>
        <w:ind w:left="2577" w:hanging="567"/>
      </w:pPr>
      <w:rPr>
        <w:rFonts w:hint="default"/>
        <w:lang w:val="hu-HU" w:eastAsia="en-US" w:bidi="ar-SA"/>
      </w:rPr>
    </w:lvl>
    <w:lvl w:ilvl="3" w:tplc="930CD96C">
      <w:numFmt w:val="bullet"/>
      <w:lvlText w:val="•"/>
      <w:lvlJc w:val="left"/>
      <w:pPr>
        <w:ind w:left="3465" w:hanging="567"/>
      </w:pPr>
      <w:rPr>
        <w:rFonts w:hint="default"/>
        <w:lang w:val="hu-HU" w:eastAsia="en-US" w:bidi="ar-SA"/>
      </w:rPr>
    </w:lvl>
    <w:lvl w:ilvl="4" w:tplc="B02E8566">
      <w:numFmt w:val="bullet"/>
      <w:lvlText w:val="•"/>
      <w:lvlJc w:val="left"/>
      <w:pPr>
        <w:ind w:left="4354" w:hanging="567"/>
      </w:pPr>
      <w:rPr>
        <w:rFonts w:hint="default"/>
        <w:lang w:val="hu-HU" w:eastAsia="en-US" w:bidi="ar-SA"/>
      </w:rPr>
    </w:lvl>
    <w:lvl w:ilvl="5" w:tplc="186EAEAE">
      <w:numFmt w:val="bullet"/>
      <w:lvlText w:val="•"/>
      <w:lvlJc w:val="left"/>
      <w:pPr>
        <w:ind w:left="5243" w:hanging="567"/>
      </w:pPr>
      <w:rPr>
        <w:rFonts w:hint="default"/>
        <w:lang w:val="hu-HU" w:eastAsia="en-US" w:bidi="ar-SA"/>
      </w:rPr>
    </w:lvl>
    <w:lvl w:ilvl="6" w:tplc="CCE898D4">
      <w:numFmt w:val="bullet"/>
      <w:lvlText w:val="•"/>
      <w:lvlJc w:val="left"/>
      <w:pPr>
        <w:ind w:left="6131" w:hanging="567"/>
      </w:pPr>
      <w:rPr>
        <w:rFonts w:hint="default"/>
        <w:lang w:val="hu-HU" w:eastAsia="en-US" w:bidi="ar-SA"/>
      </w:rPr>
    </w:lvl>
    <w:lvl w:ilvl="7" w:tplc="7D5E01DE">
      <w:numFmt w:val="bullet"/>
      <w:lvlText w:val="•"/>
      <w:lvlJc w:val="left"/>
      <w:pPr>
        <w:ind w:left="7020" w:hanging="567"/>
      </w:pPr>
      <w:rPr>
        <w:rFonts w:hint="default"/>
        <w:lang w:val="hu-HU" w:eastAsia="en-US" w:bidi="ar-SA"/>
      </w:rPr>
    </w:lvl>
    <w:lvl w:ilvl="8" w:tplc="09FC5D14">
      <w:numFmt w:val="bullet"/>
      <w:lvlText w:val="•"/>
      <w:lvlJc w:val="left"/>
      <w:pPr>
        <w:ind w:left="7909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785643C0"/>
    <w:multiLevelType w:val="multilevel"/>
    <w:tmpl w:val="D554AD84"/>
    <w:lvl w:ilvl="0">
      <w:start w:val="5"/>
      <w:numFmt w:val="decimal"/>
      <w:lvlText w:val="%1"/>
      <w:lvlJc w:val="left"/>
      <w:pPr>
        <w:ind w:left="1136" w:hanging="332"/>
      </w:pPr>
      <w:rPr>
        <w:rFonts w:hint="default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1136" w:hanging="33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849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703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558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67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122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977" w:hanging="332"/>
      </w:pPr>
      <w:rPr>
        <w:rFonts w:hint="default"/>
        <w:lang w:val="hu-HU" w:eastAsia="en-US" w:bidi="ar-SA"/>
      </w:rPr>
    </w:lvl>
  </w:abstractNum>
  <w:abstractNum w:abstractNumId="14" w15:restartNumberingAfterBreak="0">
    <w:nsid w:val="79243166"/>
    <w:multiLevelType w:val="hybridMultilevel"/>
    <w:tmpl w:val="A000BD00"/>
    <w:lvl w:ilvl="0" w:tplc="4A96CB06">
      <w:start w:val="1"/>
      <w:numFmt w:val="upperLetter"/>
      <w:lvlText w:val="%1."/>
      <w:lvlJc w:val="left"/>
      <w:pPr>
        <w:ind w:left="194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1C7ADCD2">
      <w:numFmt w:val="bullet"/>
      <w:lvlText w:val="•"/>
      <w:lvlJc w:val="left"/>
      <w:pPr>
        <w:ind w:left="2714" w:hanging="708"/>
      </w:pPr>
      <w:rPr>
        <w:rFonts w:hint="default"/>
        <w:lang w:val="hu-HU" w:eastAsia="en-US" w:bidi="ar-SA"/>
      </w:rPr>
    </w:lvl>
    <w:lvl w:ilvl="2" w:tplc="1128950E">
      <w:numFmt w:val="bullet"/>
      <w:lvlText w:val="•"/>
      <w:lvlJc w:val="left"/>
      <w:pPr>
        <w:ind w:left="3489" w:hanging="708"/>
      </w:pPr>
      <w:rPr>
        <w:rFonts w:hint="default"/>
        <w:lang w:val="hu-HU" w:eastAsia="en-US" w:bidi="ar-SA"/>
      </w:rPr>
    </w:lvl>
    <w:lvl w:ilvl="3" w:tplc="C688CC06">
      <w:numFmt w:val="bullet"/>
      <w:lvlText w:val="•"/>
      <w:lvlJc w:val="left"/>
      <w:pPr>
        <w:ind w:left="4263" w:hanging="708"/>
      </w:pPr>
      <w:rPr>
        <w:rFonts w:hint="default"/>
        <w:lang w:val="hu-HU" w:eastAsia="en-US" w:bidi="ar-SA"/>
      </w:rPr>
    </w:lvl>
    <w:lvl w:ilvl="4" w:tplc="BACA7488">
      <w:numFmt w:val="bullet"/>
      <w:lvlText w:val="•"/>
      <w:lvlJc w:val="left"/>
      <w:pPr>
        <w:ind w:left="5038" w:hanging="708"/>
      </w:pPr>
      <w:rPr>
        <w:rFonts w:hint="default"/>
        <w:lang w:val="hu-HU" w:eastAsia="en-US" w:bidi="ar-SA"/>
      </w:rPr>
    </w:lvl>
    <w:lvl w:ilvl="5" w:tplc="EEBEB1AA">
      <w:numFmt w:val="bullet"/>
      <w:lvlText w:val="•"/>
      <w:lvlJc w:val="left"/>
      <w:pPr>
        <w:ind w:left="5813" w:hanging="708"/>
      </w:pPr>
      <w:rPr>
        <w:rFonts w:hint="default"/>
        <w:lang w:val="hu-HU" w:eastAsia="en-US" w:bidi="ar-SA"/>
      </w:rPr>
    </w:lvl>
    <w:lvl w:ilvl="6" w:tplc="5CAEDDCE">
      <w:numFmt w:val="bullet"/>
      <w:lvlText w:val="•"/>
      <w:lvlJc w:val="left"/>
      <w:pPr>
        <w:ind w:left="6587" w:hanging="708"/>
      </w:pPr>
      <w:rPr>
        <w:rFonts w:hint="default"/>
        <w:lang w:val="hu-HU" w:eastAsia="en-US" w:bidi="ar-SA"/>
      </w:rPr>
    </w:lvl>
    <w:lvl w:ilvl="7" w:tplc="A0A0BBEC">
      <w:numFmt w:val="bullet"/>
      <w:lvlText w:val="•"/>
      <w:lvlJc w:val="left"/>
      <w:pPr>
        <w:ind w:left="7362" w:hanging="708"/>
      </w:pPr>
      <w:rPr>
        <w:rFonts w:hint="default"/>
        <w:lang w:val="hu-HU" w:eastAsia="en-US" w:bidi="ar-SA"/>
      </w:rPr>
    </w:lvl>
    <w:lvl w:ilvl="8" w:tplc="E9F8610C">
      <w:numFmt w:val="bullet"/>
      <w:lvlText w:val="•"/>
      <w:lvlJc w:val="left"/>
      <w:pPr>
        <w:ind w:left="8137" w:hanging="708"/>
      </w:pPr>
      <w:rPr>
        <w:rFonts w:hint="default"/>
        <w:lang w:val="hu-HU" w:eastAsia="en-US" w:bidi="ar-SA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2"/>
  </w:num>
  <w:num w:numId="5">
    <w:abstractNumId w:val="1"/>
  </w:num>
  <w:num w:numId="6">
    <w:abstractNumId w:val="9"/>
  </w:num>
  <w:num w:numId="7">
    <w:abstractNumId w:val="5"/>
  </w:num>
  <w:num w:numId="8">
    <w:abstractNumId w:val="14"/>
  </w:num>
  <w:num w:numId="9">
    <w:abstractNumId w:val="6"/>
  </w:num>
  <w:num w:numId="10">
    <w:abstractNumId w:val="4"/>
  </w:num>
  <w:num w:numId="11">
    <w:abstractNumId w:val="7"/>
  </w:num>
  <w:num w:numId="12">
    <w:abstractNumId w:val="13"/>
  </w:num>
  <w:num w:numId="13">
    <w:abstractNumId w:val="8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DFC"/>
    <w:rsid w:val="000836C6"/>
    <w:rsid w:val="00084834"/>
    <w:rsid w:val="000D1E80"/>
    <w:rsid w:val="00103182"/>
    <w:rsid w:val="00145300"/>
    <w:rsid w:val="00180EE6"/>
    <w:rsid w:val="001A6DFC"/>
    <w:rsid w:val="001D59FF"/>
    <w:rsid w:val="00256696"/>
    <w:rsid w:val="002B6660"/>
    <w:rsid w:val="00346919"/>
    <w:rsid w:val="0037435B"/>
    <w:rsid w:val="003D479A"/>
    <w:rsid w:val="00400971"/>
    <w:rsid w:val="00447A45"/>
    <w:rsid w:val="00475ACF"/>
    <w:rsid w:val="00476BB2"/>
    <w:rsid w:val="004932D7"/>
    <w:rsid w:val="00502A4B"/>
    <w:rsid w:val="005240F4"/>
    <w:rsid w:val="005C45C0"/>
    <w:rsid w:val="005F3AB8"/>
    <w:rsid w:val="005F4E7C"/>
    <w:rsid w:val="006208C9"/>
    <w:rsid w:val="00657CE4"/>
    <w:rsid w:val="00670657"/>
    <w:rsid w:val="006A522E"/>
    <w:rsid w:val="006A603E"/>
    <w:rsid w:val="006B7463"/>
    <w:rsid w:val="006E1F79"/>
    <w:rsid w:val="00724C00"/>
    <w:rsid w:val="00734D86"/>
    <w:rsid w:val="00740823"/>
    <w:rsid w:val="007A2453"/>
    <w:rsid w:val="00807339"/>
    <w:rsid w:val="00873AA2"/>
    <w:rsid w:val="00883220"/>
    <w:rsid w:val="00883C4A"/>
    <w:rsid w:val="00887C86"/>
    <w:rsid w:val="008C5062"/>
    <w:rsid w:val="00951F8C"/>
    <w:rsid w:val="00966D97"/>
    <w:rsid w:val="00974B16"/>
    <w:rsid w:val="009873AD"/>
    <w:rsid w:val="00996F71"/>
    <w:rsid w:val="009A6460"/>
    <w:rsid w:val="009C7681"/>
    <w:rsid w:val="00AA3C37"/>
    <w:rsid w:val="00B055A1"/>
    <w:rsid w:val="00B2323A"/>
    <w:rsid w:val="00B4293B"/>
    <w:rsid w:val="00B82B1F"/>
    <w:rsid w:val="00BE2BCF"/>
    <w:rsid w:val="00C15AD7"/>
    <w:rsid w:val="00C356B1"/>
    <w:rsid w:val="00C5550B"/>
    <w:rsid w:val="00D4200E"/>
    <w:rsid w:val="00D85A52"/>
    <w:rsid w:val="00DA6599"/>
    <w:rsid w:val="00DC64A8"/>
    <w:rsid w:val="00DD249D"/>
    <w:rsid w:val="00DE444A"/>
    <w:rsid w:val="00E73BDE"/>
    <w:rsid w:val="00E86B33"/>
    <w:rsid w:val="00E91145"/>
    <w:rsid w:val="00EA3B1F"/>
    <w:rsid w:val="00EB57AA"/>
    <w:rsid w:val="00F042B6"/>
    <w:rsid w:val="00FC309E"/>
    <w:rsid w:val="00FE1F2B"/>
    <w:rsid w:val="00FE4E5F"/>
    <w:rsid w:val="00FF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572F9"/>
  <w15:chartTrackingRefBased/>
  <w15:docId w15:val="{C039C6A6-5CA7-4FC8-952E-C06CCE5CD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1A6DFC"/>
    <w:pPr>
      <w:widowControl w:val="0"/>
      <w:autoSpaceDE w:val="0"/>
      <w:autoSpaceDN w:val="0"/>
      <w:spacing w:before="20" w:after="0" w:line="240" w:lineRule="auto"/>
      <w:ind w:left="108"/>
      <w:outlineLvl w:val="0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styleId="Cmsor2">
    <w:name w:val="heading 2"/>
    <w:basedOn w:val="Norml"/>
    <w:link w:val="Cmsor2Char"/>
    <w:uiPriority w:val="9"/>
    <w:unhideWhenUsed/>
    <w:qFormat/>
    <w:rsid w:val="001A6DFC"/>
    <w:pPr>
      <w:widowControl w:val="0"/>
      <w:autoSpaceDE w:val="0"/>
      <w:autoSpaceDN w:val="0"/>
      <w:spacing w:after="0" w:line="240" w:lineRule="auto"/>
      <w:ind w:left="238"/>
      <w:outlineLvl w:val="1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A6DFC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1A6DFC"/>
    <w:rPr>
      <w:rFonts w:ascii="Times New Roman" w:eastAsia="Times New Roman" w:hAnsi="Times New Roman" w:cs="Times New Roman"/>
      <w:b/>
      <w:bCs/>
      <w:kern w:val="0"/>
      <w14:ligatures w14:val="none"/>
    </w:rPr>
  </w:style>
  <w:style w:type="numbering" w:customStyle="1" w:styleId="Nemlista1">
    <w:name w:val="Nem lista1"/>
    <w:next w:val="Nemlista"/>
    <w:uiPriority w:val="99"/>
    <w:semiHidden/>
    <w:unhideWhenUsed/>
    <w:rsid w:val="001A6DFC"/>
  </w:style>
  <w:style w:type="table" w:customStyle="1" w:styleId="TableNormal">
    <w:name w:val="Table Normal"/>
    <w:uiPriority w:val="2"/>
    <w:semiHidden/>
    <w:unhideWhenUsed/>
    <w:qFormat/>
    <w:rsid w:val="001A6D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1A6D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zvegtrzsChar">
    <w:name w:val="Szövegtörzs Char"/>
    <w:basedOn w:val="Bekezdsalapbettpusa"/>
    <w:link w:val="Szvegtrzs"/>
    <w:uiPriority w:val="1"/>
    <w:rsid w:val="001A6DFC"/>
    <w:rPr>
      <w:rFonts w:ascii="Times New Roman" w:eastAsia="Times New Roman" w:hAnsi="Times New Roman" w:cs="Times New Roman"/>
      <w:kern w:val="0"/>
      <w14:ligatures w14:val="none"/>
    </w:rPr>
  </w:style>
  <w:style w:type="paragraph" w:styleId="Listaszerbekezds">
    <w:name w:val="List Paragraph"/>
    <w:basedOn w:val="Norml"/>
    <w:uiPriority w:val="1"/>
    <w:qFormat/>
    <w:rsid w:val="001A6DFC"/>
    <w:pPr>
      <w:widowControl w:val="0"/>
      <w:autoSpaceDE w:val="0"/>
      <w:autoSpaceDN w:val="0"/>
      <w:spacing w:after="0" w:line="240" w:lineRule="auto"/>
      <w:ind w:left="805" w:hanging="567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1A6D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1A6DFC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1A6DFC"/>
    <w:rPr>
      <w:rFonts w:ascii="Times New Roman" w:eastAsia="Times New Roman" w:hAnsi="Times New Roman" w:cs="Times New Roman"/>
      <w:kern w:val="0"/>
      <w14:ligatures w14:val="none"/>
    </w:rPr>
  </w:style>
  <w:style w:type="paragraph" w:styleId="llb">
    <w:name w:val="footer"/>
    <w:basedOn w:val="Norml"/>
    <w:link w:val="llbChar"/>
    <w:unhideWhenUsed/>
    <w:rsid w:val="001A6DFC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llbChar">
    <w:name w:val="Élőláb Char"/>
    <w:basedOn w:val="Bekezdsalapbettpusa"/>
    <w:link w:val="llb"/>
    <w:rsid w:val="001A6DFC"/>
    <w:rPr>
      <w:rFonts w:ascii="Times New Roman" w:eastAsia="Times New Roman" w:hAnsi="Times New Roman" w:cs="Times New Roman"/>
      <w:kern w:val="0"/>
      <w14:ligatures w14:val="none"/>
    </w:rPr>
  </w:style>
  <w:style w:type="paragraph" w:styleId="Vltozat">
    <w:name w:val="Revision"/>
    <w:hidden/>
    <w:uiPriority w:val="99"/>
    <w:semiHidden/>
    <w:rsid w:val="001A6DF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customStyle="1" w:styleId="Rcsostblzat1">
    <w:name w:val="Rácsos táblázat1"/>
    <w:basedOn w:val="Normltblzat"/>
    <w:next w:val="Rcsostblzat"/>
    <w:uiPriority w:val="39"/>
    <w:rsid w:val="001A6D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1A6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6706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70657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EA3B1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A3B1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A3B1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A3B1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A3B1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25</Pages>
  <Words>8971</Words>
  <Characters>61900</Characters>
  <Application>Microsoft Office Word</Application>
  <DocSecurity>0</DocSecurity>
  <Lines>515</Lines>
  <Paragraphs>141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HU_OGYI_45.2</cp:lastModifiedBy>
  <cp:revision>4</cp:revision>
  <dcterms:created xsi:type="dcterms:W3CDTF">2026-09-29T09:33:00Z</dcterms:created>
  <dcterms:modified xsi:type="dcterms:W3CDTF">2026-09-29T13:43:00Z</dcterms:modified>
</cp:coreProperties>
</file>