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80D4FE0" w14:textId="77777777" w:rsidR="00184569" w:rsidRPr="00184569" w:rsidRDefault="00184569" w:rsidP="008B021B">
      <w:pPr>
        <w:widowControl w:val="0"/>
        <w:numPr>
          <w:ilvl w:val="0"/>
          <w:numId w:val="7"/>
        </w:numPr>
        <w:autoSpaceDE w:val="0"/>
        <w:autoSpaceDN w:val="0"/>
        <w:spacing w:after="0" w:line="240" w:lineRule="auto"/>
        <w:ind w:left="567" w:hanging="567"/>
        <w:rPr>
          <w:rFonts w:ascii="Times New Roman" w:eastAsia="Times New Roman" w:hAnsi="Times New Roman" w:cs="Times New Roman"/>
          <w:b/>
          <w:kern w:val="0"/>
          <w14:ligatures w14:val="none"/>
        </w:rPr>
      </w:pPr>
      <w:r w:rsidRPr="00184569">
        <w:rPr>
          <w:rFonts w:ascii="Times New Roman" w:eastAsia="Times New Roman" w:hAnsi="Times New Roman" w:cs="Times New Roman"/>
          <w:b/>
          <w:kern w:val="0"/>
          <w14:ligatures w14:val="none"/>
        </w:rPr>
        <w:t>A GYÓGYSZER NEVE</w:t>
      </w:r>
    </w:p>
    <w:p w14:paraId="71BE0410"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b/>
          <w:kern w:val="0"/>
          <w14:ligatures w14:val="none"/>
        </w:rPr>
      </w:pPr>
    </w:p>
    <w:p w14:paraId="21AEC2CA"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Apixaban Grindeks 5 mg filmtabletta</w:t>
      </w:r>
    </w:p>
    <w:p w14:paraId="4873854A"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
    <w:p w14:paraId="12CD53C8"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
    <w:p w14:paraId="6A13E8B6" w14:textId="77777777" w:rsidR="00184569" w:rsidRPr="00184569" w:rsidRDefault="00184569" w:rsidP="008B021B">
      <w:pPr>
        <w:widowControl w:val="0"/>
        <w:numPr>
          <w:ilvl w:val="0"/>
          <w:numId w:val="7"/>
        </w:numPr>
        <w:autoSpaceDE w:val="0"/>
        <w:autoSpaceDN w:val="0"/>
        <w:spacing w:after="0" w:line="240" w:lineRule="auto"/>
        <w:ind w:left="567" w:hanging="567"/>
        <w:outlineLvl w:val="0"/>
        <w:rPr>
          <w:rFonts w:ascii="Times New Roman" w:eastAsia="Times New Roman" w:hAnsi="Times New Roman" w:cs="Times New Roman"/>
          <w:b/>
          <w:bCs/>
          <w:kern w:val="0"/>
          <w14:ligatures w14:val="none"/>
        </w:rPr>
      </w:pPr>
      <w:r w:rsidRPr="00184569">
        <w:rPr>
          <w:rFonts w:ascii="Times New Roman" w:eastAsia="Times New Roman" w:hAnsi="Times New Roman" w:cs="Times New Roman"/>
          <w:b/>
          <w:bCs/>
          <w:kern w:val="0"/>
          <w14:ligatures w14:val="none"/>
        </w:rPr>
        <w:t>MINŐSÉGI ÉS MENNYISÉGI ÖSSZETÉTEL</w:t>
      </w:r>
    </w:p>
    <w:p w14:paraId="18D36BC8"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b/>
          <w:kern w:val="0"/>
          <w14:ligatures w14:val="none"/>
        </w:rPr>
      </w:pPr>
    </w:p>
    <w:p w14:paraId="01DA8D16" w14:textId="77F1E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5 mg apixabánt tartalmaz filmtablettánként.</w:t>
      </w:r>
    </w:p>
    <w:p w14:paraId="386325A9"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u w:val="single"/>
          <w14:ligatures w14:val="none"/>
        </w:rPr>
      </w:pPr>
    </w:p>
    <w:p w14:paraId="4EA8A5BA"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u w:val="single"/>
          <w14:ligatures w14:val="none"/>
        </w:rPr>
      </w:pPr>
      <w:r w:rsidRPr="00184569">
        <w:rPr>
          <w:rFonts w:ascii="Times New Roman" w:eastAsia="Times New Roman" w:hAnsi="Times New Roman" w:cs="Times New Roman"/>
          <w:kern w:val="0"/>
          <w:u w:val="single"/>
          <w14:ligatures w14:val="none"/>
        </w:rPr>
        <w:t>Ismert hatású segédanyag:</w:t>
      </w:r>
    </w:p>
    <w:p w14:paraId="36EABF8A" w14:textId="1649AA42"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102,9 mg laktózt tartalmaz filmtablettánként.</w:t>
      </w:r>
    </w:p>
    <w:p w14:paraId="66C2EB58"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
    <w:p w14:paraId="5ECB837B"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A segédanyagok teljes listáját lásd a 6.1 pontban.</w:t>
      </w:r>
    </w:p>
    <w:p w14:paraId="407FF0D5"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
    <w:p w14:paraId="0746EB7B"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
    <w:p w14:paraId="46C487D4" w14:textId="77777777" w:rsidR="00184569" w:rsidRPr="00184569" w:rsidRDefault="00184569" w:rsidP="008B021B">
      <w:pPr>
        <w:widowControl w:val="0"/>
        <w:numPr>
          <w:ilvl w:val="0"/>
          <w:numId w:val="7"/>
        </w:numPr>
        <w:autoSpaceDE w:val="0"/>
        <w:autoSpaceDN w:val="0"/>
        <w:spacing w:after="0" w:line="240" w:lineRule="auto"/>
        <w:ind w:left="567" w:hanging="567"/>
        <w:outlineLvl w:val="0"/>
        <w:rPr>
          <w:rFonts w:ascii="Times New Roman" w:eastAsia="Times New Roman" w:hAnsi="Times New Roman" w:cs="Times New Roman"/>
          <w:b/>
          <w:bCs/>
          <w:kern w:val="0"/>
          <w14:ligatures w14:val="none"/>
        </w:rPr>
      </w:pPr>
      <w:r w:rsidRPr="00184569">
        <w:rPr>
          <w:rFonts w:ascii="Times New Roman" w:eastAsia="Times New Roman" w:hAnsi="Times New Roman" w:cs="Times New Roman"/>
          <w:b/>
          <w:bCs/>
          <w:kern w:val="0"/>
          <w14:ligatures w14:val="none"/>
        </w:rPr>
        <w:t>GYÓGYSZERFORMA</w:t>
      </w:r>
    </w:p>
    <w:p w14:paraId="7C9BA80E"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b/>
          <w:kern w:val="0"/>
          <w14:ligatures w14:val="none"/>
        </w:rPr>
      </w:pPr>
    </w:p>
    <w:p w14:paraId="7A8B0B55"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Filmtabletta (tabletta).</w:t>
      </w:r>
    </w:p>
    <w:p w14:paraId="433EAB99"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
    <w:p w14:paraId="5649DFD4"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Rózsaszín, hosszúkás (kb. 10 mm × 5 mm), mindkét oldalán domború filmtabletta, egyik oldalán „5”, a másik oldalán „</w:t>
      </w:r>
      <w:r w:rsidRPr="00184569">
        <w:rPr>
          <w:rFonts w:ascii="Times New Roman" w:eastAsia="Times New Roman" w:hAnsi="Times New Roman" w:cs="Times New Roman"/>
          <w:noProof/>
          <w:kern w:val="0"/>
          <w:lang w:eastAsia="hu-HU"/>
          <w14:ligatures w14:val="none"/>
        </w:rPr>
        <w:drawing>
          <wp:inline distT="0" distB="0" distL="0" distR="0" wp14:anchorId="3C6AB546" wp14:editId="64B90336">
            <wp:extent cx="127000" cy="191977"/>
            <wp:effectExtent l="0" t="0" r="635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7" r:link="rId8" cstate="print">
                      <a:extLst>
                        <a:ext uri="{28A0092B-C50C-407E-A947-70E740481C1C}">
                          <a14:useLocalDpi xmlns:a14="http://schemas.microsoft.com/office/drawing/2010/main" val="0"/>
                        </a:ext>
                      </a:extLst>
                    </a:blip>
                    <a:srcRect/>
                    <a:stretch>
                      <a:fillRect/>
                    </a:stretch>
                  </pic:blipFill>
                  <pic:spPr bwMode="auto">
                    <a:xfrm>
                      <a:off x="0" y="0"/>
                      <a:ext cx="129467" cy="195706"/>
                    </a:xfrm>
                    <a:prstGeom prst="rect">
                      <a:avLst/>
                    </a:prstGeom>
                    <a:noFill/>
                    <a:ln>
                      <a:noFill/>
                    </a:ln>
                  </pic:spPr>
                </pic:pic>
              </a:graphicData>
            </a:graphic>
          </wp:inline>
        </w:drawing>
      </w:r>
      <w:r w:rsidRPr="00184569">
        <w:rPr>
          <w:rFonts w:ascii="Times New Roman" w:eastAsia="Times New Roman" w:hAnsi="Times New Roman" w:cs="Times New Roman"/>
          <w:kern w:val="0"/>
          <w14:ligatures w14:val="none"/>
        </w:rPr>
        <w:t>” jelzéssel ellátva.</w:t>
      </w:r>
    </w:p>
    <w:p w14:paraId="6B1C9A49"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
    <w:p w14:paraId="4357CD4B"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
    <w:p w14:paraId="1A6B89F2" w14:textId="77777777" w:rsidR="00184569" w:rsidRPr="00184569" w:rsidRDefault="00184569" w:rsidP="008B021B">
      <w:pPr>
        <w:widowControl w:val="0"/>
        <w:numPr>
          <w:ilvl w:val="0"/>
          <w:numId w:val="7"/>
        </w:numPr>
        <w:autoSpaceDE w:val="0"/>
        <w:autoSpaceDN w:val="0"/>
        <w:spacing w:after="0" w:line="240" w:lineRule="auto"/>
        <w:ind w:left="567" w:hanging="567"/>
        <w:outlineLvl w:val="0"/>
        <w:rPr>
          <w:rFonts w:ascii="Times New Roman" w:eastAsia="Times New Roman" w:hAnsi="Times New Roman" w:cs="Times New Roman"/>
          <w:b/>
          <w:bCs/>
          <w:kern w:val="0"/>
          <w14:ligatures w14:val="none"/>
        </w:rPr>
      </w:pPr>
      <w:r w:rsidRPr="00184569">
        <w:rPr>
          <w:rFonts w:ascii="Times New Roman" w:eastAsia="Times New Roman" w:hAnsi="Times New Roman" w:cs="Times New Roman"/>
          <w:b/>
          <w:bCs/>
          <w:kern w:val="0"/>
          <w14:ligatures w14:val="none"/>
        </w:rPr>
        <w:t>KLINIKAI JELLEMZŐK</w:t>
      </w:r>
    </w:p>
    <w:p w14:paraId="2A97B845"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b/>
          <w:kern w:val="0"/>
          <w14:ligatures w14:val="none"/>
        </w:rPr>
      </w:pPr>
    </w:p>
    <w:p w14:paraId="1985011E" w14:textId="77777777" w:rsidR="00184569" w:rsidRPr="00184569" w:rsidRDefault="00184569" w:rsidP="008B021B">
      <w:pPr>
        <w:widowControl w:val="0"/>
        <w:numPr>
          <w:ilvl w:val="1"/>
          <w:numId w:val="7"/>
        </w:numPr>
        <w:autoSpaceDE w:val="0"/>
        <w:autoSpaceDN w:val="0"/>
        <w:spacing w:after="0" w:line="240" w:lineRule="auto"/>
        <w:ind w:left="567"/>
        <w:outlineLvl w:val="1"/>
        <w:rPr>
          <w:rFonts w:ascii="Times New Roman" w:eastAsia="Times New Roman" w:hAnsi="Times New Roman" w:cs="Times New Roman"/>
          <w:b/>
          <w:bCs/>
          <w:kern w:val="0"/>
          <w14:ligatures w14:val="none"/>
        </w:rPr>
      </w:pPr>
      <w:r w:rsidRPr="00184569">
        <w:rPr>
          <w:rFonts w:ascii="Times New Roman" w:eastAsia="Times New Roman" w:hAnsi="Times New Roman" w:cs="Times New Roman"/>
          <w:b/>
          <w:bCs/>
          <w:kern w:val="0"/>
          <w14:ligatures w14:val="none"/>
        </w:rPr>
        <w:t>Terápiás javallatok</w:t>
      </w:r>
    </w:p>
    <w:p w14:paraId="1E888B68"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b/>
          <w:kern w:val="0"/>
          <w14:ligatures w14:val="none"/>
        </w:rPr>
      </w:pPr>
    </w:p>
    <w:p w14:paraId="7758CE66" w14:textId="05AA5D4E"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Stroke és a szisztémás embolizáció megelőzése nem valvuláris pitvarfibrillációban (NVPF) szenvedő felnőtt betegeknél, akiknél egy vagy több kockázati tényező áll fenn, például korábbi stroke vagy tran</w:t>
      </w:r>
      <w:r w:rsidR="009F0E53">
        <w:rPr>
          <w:rFonts w:ascii="Times New Roman" w:eastAsia="Times New Roman" w:hAnsi="Times New Roman" w:cs="Times New Roman"/>
          <w:kern w:val="0"/>
          <w14:ligatures w14:val="none"/>
        </w:rPr>
        <w:t>z</w:t>
      </w:r>
      <w:r w:rsidRPr="00184569">
        <w:rPr>
          <w:rFonts w:ascii="Times New Roman" w:eastAsia="Times New Roman" w:hAnsi="Times New Roman" w:cs="Times New Roman"/>
          <w:kern w:val="0"/>
          <w14:ligatures w14:val="none"/>
        </w:rPr>
        <w:t xml:space="preserve">iens ischaemiás attak (TIA), 75 év vagy </w:t>
      </w:r>
      <w:r w:rsidR="009F0E53">
        <w:rPr>
          <w:rFonts w:ascii="Times New Roman" w:eastAsia="Times New Roman" w:hAnsi="Times New Roman" w:cs="Times New Roman"/>
          <w:kern w:val="0"/>
          <w14:ligatures w14:val="none"/>
        </w:rPr>
        <w:t xml:space="preserve">annál </w:t>
      </w:r>
      <w:r w:rsidR="00AF22A1">
        <w:rPr>
          <w:rFonts w:ascii="Times New Roman" w:eastAsia="Times New Roman" w:hAnsi="Times New Roman" w:cs="Times New Roman"/>
          <w:kern w:val="0"/>
          <w14:ligatures w14:val="none"/>
        </w:rPr>
        <w:t>idősebb</w:t>
      </w:r>
      <w:r w:rsidR="009F0E53">
        <w:rPr>
          <w:rFonts w:ascii="Times New Roman" w:eastAsia="Times New Roman" w:hAnsi="Times New Roman" w:cs="Times New Roman"/>
          <w:kern w:val="0"/>
          <w14:ligatures w14:val="none"/>
        </w:rPr>
        <w:t xml:space="preserve"> életkor</w:t>
      </w:r>
      <w:r w:rsidR="00AF22A1">
        <w:rPr>
          <w:rFonts w:ascii="Times New Roman" w:eastAsia="Times New Roman" w:hAnsi="Times New Roman" w:cs="Times New Roman"/>
          <w:kern w:val="0"/>
          <w14:ligatures w14:val="none"/>
        </w:rPr>
        <w:t>,</w:t>
      </w:r>
      <w:r w:rsidRPr="00184569">
        <w:rPr>
          <w:rFonts w:ascii="Times New Roman" w:eastAsia="Times New Roman" w:hAnsi="Times New Roman" w:cs="Times New Roman"/>
          <w:kern w:val="0"/>
          <w14:ligatures w14:val="none"/>
        </w:rPr>
        <w:t xml:space="preserve"> hypertonia, diabetes mellitus, valamint tünetekkel járó szívelégtelenség (NYHA stádium ≥ II).</w:t>
      </w:r>
    </w:p>
    <w:p w14:paraId="24F3130C"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
    <w:p w14:paraId="1C2E6DBB"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Mélyvénás thrombosis (MVT) és pulmonalis embolia (PE) kezelése, valamint MVT és PE kiújulásának megelőzése felnőtteknél (a hemodinamikailag instabil tüdőembóliás betegeket lásd a 4.4 pontban).</w:t>
      </w:r>
    </w:p>
    <w:p w14:paraId="3C346584"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
    <w:p w14:paraId="412756D7"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u w:val="single"/>
          <w14:ligatures w14:val="none"/>
        </w:rPr>
      </w:pPr>
      <w:r w:rsidRPr="00184569">
        <w:rPr>
          <w:rFonts w:ascii="Times New Roman" w:eastAsia="Times New Roman" w:hAnsi="Times New Roman" w:cs="Times New Roman"/>
          <w:kern w:val="0"/>
          <w:u w:val="single"/>
          <w14:ligatures w14:val="none"/>
        </w:rPr>
        <w:t xml:space="preserve">Gyermekek és serdülők </w:t>
      </w:r>
    </w:p>
    <w:p w14:paraId="1D3B4070"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u w:val="single"/>
          <w14:ligatures w14:val="none"/>
        </w:rPr>
      </w:pPr>
    </w:p>
    <w:p w14:paraId="0523C35C"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Vénás thromboembolia (VTE) kezelése és a VTE kiújulásának megelőzése gyermekeknél és serdülőknél 28 napos kortól, betöltött 18 éves korig.</w:t>
      </w:r>
    </w:p>
    <w:p w14:paraId="480A5C84"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
    <w:p w14:paraId="508C015A" w14:textId="77777777" w:rsidR="00184569" w:rsidRPr="00184569" w:rsidRDefault="00184569" w:rsidP="00184569">
      <w:pPr>
        <w:widowControl w:val="0"/>
        <w:autoSpaceDE w:val="0"/>
        <w:autoSpaceDN w:val="0"/>
        <w:spacing w:after="0" w:line="240" w:lineRule="auto"/>
        <w:ind w:left="567" w:hanging="567"/>
        <w:outlineLvl w:val="1"/>
        <w:rPr>
          <w:rFonts w:ascii="Times New Roman" w:eastAsia="Times New Roman" w:hAnsi="Times New Roman" w:cs="Times New Roman"/>
          <w:b/>
          <w:bCs/>
          <w:kern w:val="0"/>
          <w14:ligatures w14:val="none"/>
        </w:rPr>
      </w:pPr>
      <w:r w:rsidRPr="00184569">
        <w:rPr>
          <w:rFonts w:ascii="Times New Roman" w:eastAsia="Times New Roman" w:hAnsi="Times New Roman" w:cs="Times New Roman"/>
          <w:b/>
          <w:bCs/>
          <w:kern w:val="0"/>
          <w14:ligatures w14:val="none"/>
        </w:rPr>
        <w:t>4.2</w:t>
      </w:r>
      <w:r w:rsidRPr="00184569">
        <w:rPr>
          <w:rFonts w:ascii="Times New Roman" w:eastAsia="Times New Roman" w:hAnsi="Times New Roman" w:cs="Times New Roman"/>
          <w:b/>
          <w:bCs/>
          <w:kern w:val="0"/>
          <w14:ligatures w14:val="none"/>
        </w:rPr>
        <w:tab/>
        <w:t>Adagolás és alkalmazás</w:t>
      </w:r>
    </w:p>
    <w:p w14:paraId="261CCBE3"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b/>
          <w:kern w:val="0"/>
          <w14:ligatures w14:val="none"/>
        </w:rPr>
      </w:pPr>
    </w:p>
    <w:p w14:paraId="39C69669"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u w:val="single"/>
          <w14:ligatures w14:val="none"/>
        </w:rPr>
        <w:t>Adagolás</w:t>
      </w:r>
    </w:p>
    <w:p w14:paraId="128516E9"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
    <w:p w14:paraId="16CC972E"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r w:rsidRPr="00184569">
        <w:rPr>
          <w:rFonts w:ascii="Times New Roman" w:eastAsia="Times New Roman" w:hAnsi="Times New Roman" w:cs="Times New Roman"/>
          <w:i/>
          <w:kern w:val="0"/>
          <w:u w:val="single"/>
          <w14:ligatures w14:val="none"/>
        </w:rPr>
        <w:t>Stroke és szisztémás embolizáció megelőzése nem valvuláris pitvarfibrillációban (NVPF)</w:t>
      </w:r>
      <w:r w:rsidRPr="00184569">
        <w:rPr>
          <w:rFonts w:ascii="Times New Roman" w:eastAsia="Times New Roman" w:hAnsi="Times New Roman" w:cs="Times New Roman"/>
          <w:i/>
          <w:kern w:val="0"/>
          <w14:ligatures w14:val="none"/>
        </w:rPr>
        <w:t xml:space="preserve"> </w:t>
      </w:r>
      <w:r w:rsidRPr="00184569">
        <w:rPr>
          <w:rFonts w:ascii="Times New Roman" w:eastAsia="Times New Roman" w:hAnsi="Times New Roman" w:cs="Times New Roman"/>
          <w:i/>
          <w:kern w:val="0"/>
          <w:u w:val="single"/>
          <w14:ligatures w14:val="none"/>
        </w:rPr>
        <w:t>szenvedő felnőtt betegeknél</w:t>
      </w:r>
    </w:p>
    <w:p w14:paraId="41D06B78"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Az apixabán javasolt dózisa naponta kétszer 5 mg, szájon át alkalmazva.</w:t>
      </w:r>
    </w:p>
    <w:p w14:paraId="73B7B76D"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
    <w:p w14:paraId="6A04D2D2"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r w:rsidRPr="00184569">
        <w:rPr>
          <w:rFonts w:ascii="Times New Roman" w:eastAsia="Times New Roman" w:hAnsi="Times New Roman" w:cs="Times New Roman"/>
          <w:i/>
          <w:kern w:val="0"/>
          <w14:ligatures w14:val="none"/>
        </w:rPr>
        <w:t>Dóziscsökkentés</w:t>
      </w:r>
    </w:p>
    <w:p w14:paraId="5618B6CD"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Az apixabán javasolt dózisa naponta kétszer 2,5 mg, szájon át alkalmazva azoknál a nem valvuláris pitvarfibrillációban szenvedő betegeknél, akiknél az alábbi jellemzők közül legalább kettő fennáll: életkor ≥ 80 év, testtömeg ≤ 60 kg vagy a szérumkreatinin-szint ≥ 1,5 mg/dl (133 mikromol/l).</w:t>
      </w:r>
    </w:p>
    <w:p w14:paraId="0D29C1A0"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
    <w:p w14:paraId="15F5C0DD"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A kezelést hosszú távon kell folytatni.</w:t>
      </w:r>
    </w:p>
    <w:p w14:paraId="0FF4986F"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
    <w:p w14:paraId="35888C01" w14:textId="77777777" w:rsidR="00184569" w:rsidRPr="00184569" w:rsidRDefault="00184569" w:rsidP="00184569">
      <w:pPr>
        <w:keepNext/>
        <w:autoSpaceDE w:val="0"/>
        <w:autoSpaceDN w:val="0"/>
        <w:spacing w:after="0" w:line="240" w:lineRule="auto"/>
        <w:rPr>
          <w:rFonts w:ascii="Times New Roman" w:eastAsia="Times New Roman" w:hAnsi="Times New Roman" w:cs="Times New Roman"/>
          <w:kern w:val="0"/>
          <w14:ligatures w14:val="none"/>
        </w:rPr>
      </w:pPr>
      <w:r w:rsidRPr="00184569">
        <w:rPr>
          <w:rFonts w:ascii="Times New Roman" w:eastAsia="Times New Roman" w:hAnsi="Times New Roman" w:cs="Times New Roman"/>
          <w:i/>
          <w:kern w:val="0"/>
          <w:u w:val="single"/>
          <w14:ligatures w14:val="none"/>
        </w:rPr>
        <w:lastRenderedPageBreak/>
        <w:t>MVT kezelése, PE kezelése, valamint MVT és PE kiújulásának megelőzése (együtt: VTEt, VTE treatment, vénás thromboembolia kezelése) felnőtteknél</w:t>
      </w:r>
    </w:p>
    <w:p w14:paraId="526FC63F"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Az apixabán javasolt dózisa akut mélyvénás thrombosis (MVT) és pulmonalis embolia (PE) kezelésére naponta kétszer 10 mg az első 7 napon, majd azt követően naponta kétszer 5 mg szájon át alkalmazva. A rendelkezésre álló orvosi irányelvek szerint a rövid időtartamú (legalább 3 hónapos) terápiának az átmeneti kockázati tényezőkön (például nemrégiben lezajlott műtét, trauma, immobilizáció) kell alapulnia.</w:t>
      </w:r>
    </w:p>
    <w:p w14:paraId="25154E75"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
    <w:p w14:paraId="3D6FA3BD"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MVT és PE kiújulásának megelőzésére az apixabán javasolt dózisa naponta kétszer 2,5 mg, szájon át alkalmazva. MVT és PE kiújulásának megelőzésére a naponta kétszer 2,5 mg-os dózist a 6 hónapig tartó, naponta kétszer 5 mg apixabánnal vagy más antikoagulánssal végzett kezelés befejezése után kell elkezdeni, amint azt az alábbi, 1. táblázat mutatja (lásd még 5.1 pont).</w:t>
      </w:r>
    </w:p>
    <w:p w14:paraId="7EE95D34"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
    <w:p w14:paraId="59A98209" w14:textId="77777777" w:rsidR="00184569" w:rsidRPr="00184569" w:rsidRDefault="00184569" w:rsidP="00184569">
      <w:pPr>
        <w:widowControl w:val="0"/>
        <w:autoSpaceDE w:val="0"/>
        <w:autoSpaceDN w:val="0"/>
        <w:spacing w:after="0" w:line="240" w:lineRule="auto"/>
        <w:outlineLvl w:val="1"/>
        <w:rPr>
          <w:rFonts w:ascii="Times New Roman" w:eastAsia="Times New Roman" w:hAnsi="Times New Roman" w:cs="Times New Roman"/>
          <w:b/>
          <w:bCs/>
          <w:kern w:val="0"/>
          <w14:ligatures w14:val="none"/>
        </w:rPr>
      </w:pPr>
      <w:r w:rsidRPr="00184569">
        <w:rPr>
          <w:rFonts w:ascii="Times New Roman" w:eastAsia="Times New Roman" w:hAnsi="Times New Roman" w:cs="Times New Roman"/>
          <w:b/>
          <w:bCs/>
          <w:kern w:val="0"/>
          <w14:ligatures w14:val="none"/>
        </w:rPr>
        <w:t>1. táblázat:</w:t>
      </w:r>
      <w:r w:rsidRPr="00184569">
        <w:rPr>
          <w:rFonts w:ascii="Times New Roman" w:eastAsia="Times New Roman" w:hAnsi="Times New Roman" w:cs="Times New Roman"/>
          <w:kern w:val="0"/>
          <w14:ligatures w14:val="none"/>
        </w:rPr>
        <w:t xml:space="preserve"> </w:t>
      </w:r>
      <w:r w:rsidRPr="00184569">
        <w:rPr>
          <w:rFonts w:ascii="Times New Roman" w:eastAsia="Times New Roman" w:hAnsi="Times New Roman" w:cs="Times New Roman"/>
          <w:b/>
          <w:bCs/>
          <w:kern w:val="0"/>
          <w14:ligatures w14:val="none"/>
        </w:rPr>
        <w:t>Ajánlott</w:t>
      </w:r>
      <w:r w:rsidRPr="00184569">
        <w:rPr>
          <w:rFonts w:ascii="Times New Roman" w:eastAsia="Times New Roman" w:hAnsi="Times New Roman" w:cs="Times New Roman"/>
          <w:kern w:val="0"/>
          <w14:ligatures w14:val="none"/>
        </w:rPr>
        <w:t xml:space="preserve"> </w:t>
      </w:r>
      <w:r w:rsidRPr="00184569">
        <w:rPr>
          <w:rFonts w:ascii="Times New Roman" w:eastAsia="Times New Roman" w:hAnsi="Times New Roman" w:cs="Times New Roman"/>
          <w:b/>
          <w:bCs/>
          <w:kern w:val="0"/>
          <w14:ligatures w14:val="none"/>
        </w:rPr>
        <w:t>adagolás</w:t>
      </w:r>
      <w:r w:rsidRPr="00184569">
        <w:rPr>
          <w:rFonts w:ascii="Times New Roman" w:eastAsia="Times New Roman" w:hAnsi="Times New Roman" w:cs="Times New Roman"/>
          <w:kern w:val="0"/>
          <w14:ligatures w14:val="none"/>
        </w:rPr>
        <w:t xml:space="preserve"> </w:t>
      </w:r>
      <w:r w:rsidRPr="00184569">
        <w:rPr>
          <w:rFonts w:ascii="Times New Roman" w:eastAsia="Times New Roman" w:hAnsi="Times New Roman" w:cs="Times New Roman"/>
          <w:b/>
          <w:bCs/>
          <w:kern w:val="0"/>
          <w14:ligatures w14:val="none"/>
        </w:rPr>
        <w:t>(VTEt)</w:t>
      </w:r>
    </w:p>
    <w:tbl>
      <w:tblPr>
        <w:tblW w:w="942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450"/>
        <w:gridCol w:w="3600"/>
        <w:gridCol w:w="2376"/>
      </w:tblGrid>
      <w:tr w:rsidR="00184569" w:rsidRPr="00184569" w14:paraId="2689BEC5" w14:textId="77777777" w:rsidTr="00E16EC6">
        <w:trPr>
          <w:trHeight w:val="412"/>
        </w:trPr>
        <w:tc>
          <w:tcPr>
            <w:tcW w:w="3450" w:type="dxa"/>
          </w:tcPr>
          <w:p w14:paraId="56EE6DB5"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
        </w:tc>
        <w:tc>
          <w:tcPr>
            <w:tcW w:w="3600" w:type="dxa"/>
          </w:tcPr>
          <w:p w14:paraId="13F39BD0" w14:textId="77777777" w:rsidR="00184569" w:rsidRPr="00184569" w:rsidRDefault="00184569" w:rsidP="00184569">
            <w:pPr>
              <w:widowControl w:val="0"/>
              <w:autoSpaceDE w:val="0"/>
              <w:autoSpaceDN w:val="0"/>
              <w:spacing w:after="0" w:line="240" w:lineRule="auto"/>
              <w:ind w:left="107"/>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Adagolási rend</w:t>
            </w:r>
          </w:p>
        </w:tc>
        <w:tc>
          <w:tcPr>
            <w:tcW w:w="2376" w:type="dxa"/>
          </w:tcPr>
          <w:p w14:paraId="03AD32FD" w14:textId="77777777" w:rsidR="00184569" w:rsidRPr="00184569" w:rsidRDefault="00184569" w:rsidP="00184569">
            <w:pPr>
              <w:widowControl w:val="0"/>
              <w:autoSpaceDE w:val="0"/>
              <w:autoSpaceDN w:val="0"/>
              <w:spacing w:after="0" w:line="240" w:lineRule="auto"/>
              <w:ind w:left="107"/>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Maximális napi dózis</w:t>
            </w:r>
          </w:p>
        </w:tc>
      </w:tr>
      <w:tr w:rsidR="00184569" w:rsidRPr="00184569" w14:paraId="71A82C29" w14:textId="77777777" w:rsidTr="00E16EC6">
        <w:trPr>
          <w:trHeight w:val="412"/>
        </w:trPr>
        <w:tc>
          <w:tcPr>
            <w:tcW w:w="3450" w:type="dxa"/>
            <w:vMerge w:val="restart"/>
          </w:tcPr>
          <w:p w14:paraId="0D686183" w14:textId="77777777" w:rsidR="00184569" w:rsidRPr="00184569" w:rsidRDefault="00184569" w:rsidP="00184569">
            <w:pPr>
              <w:widowControl w:val="0"/>
              <w:autoSpaceDE w:val="0"/>
              <w:autoSpaceDN w:val="0"/>
              <w:spacing w:after="0" w:line="240" w:lineRule="auto"/>
              <w:ind w:left="107"/>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MVT vagy PE kezelése</w:t>
            </w:r>
          </w:p>
        </w:tc>
        <w:tc>
          <w:tcPr>
            <w:tcW w:w="3600" w:type="dxa"/>
          </w:tcPr>
          <w:p w14:paraId="78719F2D" w14:textId="77777777" w:rsidR="00184569" w:rsidRPr="00184569" w:rsidRDefault="00184569" w:rsidP="00184569">
            <w:pPr>
              <w:widowControl w:val="0"/>
              <w:autoSpaceDE w:val="0"/>
              <w:autoSpaceDN w:val="0"/>
              <w:spacing w:after="0" w:line="240" w:lineRule="auto"/>
              <w:ind w:left="107"/>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naponta 2 × 10 mg az első 7 napon</w:t>
            </w:r>
          </w:p>
        </w:tc>
        <w:tc>
          <w:tcPr>
            <w:tcW w:w="2376" w:type="dxa"/>
          </w:tcPr>
          <w:p w14:paraId="39F47137" w14:textId="77777777" w:rsidR="00184569" w:rsidRPr="00184569" w:rsidRDefault="00184569" w:rsidP="00184569">
            <w:pPr>
              <w:widowControl w:val="0"/>
              <w:autoSpaceDE w:val="0"/>
              <w:autoSpaceDN w:val="0"/>
              <w:spacing w:after="0" w:line="240" w:lineRule="auto"/>
              <w:ind w:left="107"/>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20 mg</w:t>
            </w:r>
          </w:p>
        </w:tc>
      </w:tr>
      <w:tr w:rsidR="00184569" w:rsidRPr="00184569" w14:paraId="4E3D4E74" w14:textId="77777777" w:rsidTr="00E16EC6">
        <w:trPr>
          <w:trHeight w:val="431"/>
        </w:trPr>
        <w:tc>
          <w:tcPr>
            <w:tcW w:w="3450" w:type="dxa"/>
            <w:vMerge/>
            <w:tcBorders>
              <w:top w:val="nil"/>
            </w:tcBorders>
          </w:tcPr>
          <w:p w14:paraId="5BB31149"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
        </w:tc>
        <w:tc>
          <w:tcPr>
            <w:tcW w:w="3600" w:type="dxa"/>
          </w:tcPr>
          <w:p w14:paraId="7FAB090A" w14:textId="77777777" w:rsidR="00184569" w:rsidRPr="00184569" w:rsidRDefault="00184569" w:rsidP="00184569">
            <w:pPr>
              <w:widowControl w:val="0"/>
              <w:autoSpaceDE w:val="0"/>
              <w:autoSpaceDN w:val="0"/>
              <w:spacing w:after="0" w:line="240" w:lineRule="auto"/>
              <w:ind w:left="107"/>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utána naponta 2 × 5 mg</w:t>
            </w:r>
          </w:p>
        </w:tc>
        <w:tc>
          <w:tcPr>
            <w:tcW w:w="2376" w:type="dxa"/>
          </w:tcPr>
          <w:p w14:paraId="5F86B792" w14:textId="77777777" w:rsidR="00184569" w:rsidRPr="00184569" w:rsidRDefault="00184569" w:rsidP="00184569">
            <w:pPr>
              <w:widowControl w:val="0"/>
              <w:autoSpaceDE w:val="0"/>
              <w:autoSpaceDN w:val="0"/>
              <w:spacing w:after="0" w:line="240" w:lineRule="auto"/>
              <w:ind w:left="107"/>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10 mg</w:t>
            </w:r>
          </w:p>
        </w:tc>
      </w:tr>
      <w:tr w:rsidR="00184569" w:rsidRPr="00184569" w14:paraId="63AEC36B" w14:textId="77777777" w:rsidTr="00E16EC6">
        <w:trPr>
          <w:trHeight w:val="974"/>
        </w:trPr>
        <w:tc>
          <w:tcPr>
            <w:tcW w:w="3450" w:type="dxa"/>
          </w:tcPr>
          <w:p w14:paraId="20F79FFE" w14:textId="77777777" w:rsidR="00184569" w:rsidRPr="00184569" w:rsidRDefault="00184569" w:rsidP="00184569">
            <w:pPr>
              <w:widowControl w:val="0"/>
              <w:autoSpaceDE w:val="0"/>
              <w:autoSpaceDN w:val="0"/>
              <w:spacing w:after="0" w:line="240" w:lineRule="auto"/>
              <w:ind w:left="107"/>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MVT és/vagy PE kiújulásának megelőzése, MVT vagy PE 6 hónapig tartó kezelésének befejezése után</w:t>
            </w:r>
          </w:p>
        </w:tc>
        <w:tc>
          <w:tcPr>
            <w:tcW w:w="3600" w:type="dxa"/>
          </w:tcPr>
          <w:p w14:paraId="56C1A3AC" w14:textId="77777777" w:rsidR="00184569" w:rsidRPr="00184569" w:rsidRDefault="00184569" w:rsidP="00184569">
            <w:pPr>
              <w:widowControl w:val="0"/>
              <w:autoSpaceDE w:val="0"/>
              <w:autoSpaceDN w:val="0"/>
              <w:spacing w:after="0" w:line="240" w:lineRule="auto"/>
              <w:ind w:left="107"/>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naponta 2 × 2,5 mg</w:t>
            </w:r>
          </w:p>
        </w:tc>
        <w:tc>
          <w:tcPr>
            <w:tcW w:w="2376" w:type="dxa"/>
          </w:tcPr>
          <w:p w14:paraId="5DB0D380" w14:textId="77777777" w:rsidR="00184569" w:rsidRPr="00184569" w:rsidRDefault="00184569" w:rsidP="00184569">
            <w:pPr>
              <w:widowControl w:val="0"/>
              <w:autoSpaceDE w:val="0"/>
              <w:autoSpaceDN w:val="0"/>
              <w:spacing w:after="0" w:line="240" w:lineRule="auto"/>
              <w:ind w:left="107"/>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5 mg</w:t>
            </w:r>
          </w:p>
        </w:tc>
      </w:tr>
    </w:tbl>
    <w:p w14:paraId="428BCB9E"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
    <w:p w14:paraId="080F4DE2"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A kezelés teljes időtartamát egyénileg kell meghatározni a kezelés előnyének és a vérzés kockázatának gondos mérlegelését követően (lásd 4.4 pont).</w:t>
      </w:r>
    </w:p>
    <w:p w14:paraId="4E2B96A4"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
    <w:p w14:paraId="793EEC9D"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i/>
          <w:iCs/>
          <w:kern w:val="0"/>
          <w:u w:val="single"/>
          <w14:ligatures w14:val="none"/>
        </w:rPr>
      </w:pPr>
      <w:r w:rsidRPr="00184569">
        <w:rPr>
          <w:rFonts w:ascii="Times New Roman" w:eastAsia="Times New Roman" w:hAnsi="Times New Roman" w:cs="Times New Roman"/>
          <w:i/>
          <w:iCs/>
          <w:kern w:val="0"/>
          <w:u w:val="single"/>
          <w14:ligatures w14:val="none"/>
        </w:rPr>
        <w:t>A VTE kezelése és a VTE kiújulásának megelőzése gyermekeknél és serdülőknél</w:t>
      </w:r>
    </w:p>
    <w:p w14:paraId="7E083778"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Az apixabán-kezelést gyermekeknél és serdülőknél (28 napos kortól, betöltött 18 éves korig) legalább 5 napos kezdeti parenterális véralvadásgátló-kezelés után szabad megkezdeni (lásd 5.1 pont).</w:t>
      </w:r>
    </w:p>
    <w:p w14:paraId="1C45014A"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
    <w:p w14:paraId="1E4F2FC1"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Az apixabán adagolását gyermekeknél és serdülőknél a testtömeg alapján kell meghatározni. Az apixabán javasolt dózisát a ≥ 35 kg-os gyermekekre és serdülőkre vonatkozóan a 2. táblázat mutatja be.</w:t>
      </w:r>
    </w:p>
    <w:p w14:paraId="5EE7B79C"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
    <w:p w14:paraId="7A7BB3DC" w14:textId="77777777" w:rsidR="00184569" w:rsidRPr="00184569" w:rsidRDefault="00184569" w:rsidP="00184569">
      <w:pPr>
        <w:keepNext/>
        <w:autoSpaceDE w:val="0"/>
        <w:autoSpaceDN w:val="0"/>
        <w:spacing w:after="0" w:line="240" w:lineRule="auto"/>
        <w:outlineLvl w:val="1"/>
        <w:rPr>
          <w:rFonts w:ascii="Times New Roman" w:eastAsia="Times New Roman" w:hAnsi="Times New Roman" w:cs="Times New Roman"/>
          <w:b/>
          <w:bCs/>
          <w:kern w:val="0"/>
          <w14:ligatures w14:val="none"/>
        </w:rPr>
      </w:pPr>
      <w:r w:rsidRPr="00184569">
        <w:rPr>
          <w:rFonts w:ascii="Times New Roman" w:eastAsia="Times New Roman" w:hAnsi="Times New Roman" w:cs="Times New Roman"/>
          <w:b/>
          <w:bCs/>
          <w:kern w:val="0"/>
          <w14:ligatures w14:val="none"/>
        </w:rPr>
        <w:t>2. táblázat: Ajánlott adagolás VTE kezelésére és VTE kiújulásának megelőzésére ≥ 35 kg-os gyermekeknél és serdülőknél (a kezdeti parenterális véralvadásgátló kezelés után)</w:t>
      </w:r>
    </w:p>
    <w:tbl>
      <w:tblPr>
        <w:tblStyle w:val="Rcsostblzat"/>
        <w:tblW w:w="8647" w:type="dxa"/>
        <w:tblLook w:val="04A0" w:firstRow="1" w:lastRow="0" w:firstColumn="1" w:lastColumn="0" w:noHBand="0" w:noVBand="1"/>
      </w:tblPr>
      <w:tblGrid>
        <w:gridCol w:w="1653"/>
        <w:gridCol w:w="1749"/>
        <w:gridCol w:w="1701"/>
        <w:gridCol w:w="1701"/>
        <w:gridCol w:w="1843"/>
      </w:tblGrid>
      <w:tr w:rsidR="00184569" w:rsidRPr="00184569" w14:paraId="72B5DD3A" w14:textId="77777777" w:rsidTr="00E16EC6">
        <w:tc>
          <w:tcPr>
            <w:tcW w:w="1653" w:type="dxa"/>
          </w:tcPr>
          <w:p w14:paraId="76AFF71B" w14:textId="77777777" w:rsidR="00184569" w:rsidRPr="00F738D7" w:rsidRDefault="00184569" w:rsidP="00184569">
            <w:pPr>
              <w:keepNext/>
              <w:rPr>
                <w:rFonts w:ascii="Times New Roman" w:eastAsia="Times New Roman" w:hAnsi="Times New Roman" w:cs="Times New Roman"/>
                <w:lang w:val="hu-HU"/>
              </w:rPr>
            </w:pPr>
          </w:p>
        </w:tc>
        <w:tc>
          <w:tcPr>
            <w:tcW w:w="3450" w:type="dxa"/>
            <w:gridSpan w:val="2"/>
          </w:tcPr>
          <w:p w14:paraId="57A7AE22" w14:textId="77777777" w:rsidR="00184569" w:rsidRPr="00184569" w:rsidRDefault="00184569" w:rsidP="00184569">
            <w:pPr>
              <w:keepNext/>
              <w:rPr>
                <w:rFonts w:ascii="Times New Roman" w:eastAsia="Times New Roman" w:hAnsi="Times New Roman" w:cs="Times New Roman"/>
              </w:rPr>
            </w:pPr>
            <w:r w:rsidRPr="00184569">
              <w:rPr>
                <w:rFonts w:ascii="Times New Roman" w:eastAsia="Times New Roman" w:hAnsi="Times New Roman" w:cs="Times New Roman"/>
              </w:rPr>
              <w:t>1–7. nap</w:t>
            </w:r>
          </w:p>
          <w:p w14:paraId="56D03AC6" w14:textId="77777777" w:rsidR="00184569" w:rsidRPr="00184569" w:rsidRDefault="00184569" w:rsidP="00184569">
            <w:pPr>
              <w:keepNext/>
              <w:rPr>
                <w:rFonts w:ascii="Times New Roman" w:eastAsia="Times New Roman" w:hAnsi="Times New Roman" w:cs="Times New Roman"/>
              </w:rPr>
            </w:pPr>
          </w:p>
        </w:tc>
        <w:tc>
          <w:tcPr>
            <w:tcW w:w="3544" w:type="dxa"/>
            <w:gridSpan w:val="2"/>
          </w:tcPr>
          <w:p w14:paraId="0D6B9167" w14:textId="77777777" w:rsidR="00184569" w:rsidRPr="00184569" w:rsidRDefault="00184569" w:rsidP="00184569">
            <w:pPr>
              <w:keepNext/>
              <w:rPr>
                <w:rFonts w:ascii="Times New Roman" w:eastAsia="Times New Roman" w:hAnsi="Times New Roman" w:cs="Times New Roman"/>
              </w:rPr>
            </w:pPr>
            <w:r w:rsidRPr="00184569">
              <w:rPr>
                <w:rFonts w:ascii="Times New Roman" w:eastAsia="Times New Roman" w:hAnsi="Times New Roman" w:cs="Times New Roman"/>
              </w:rPr>
              <w:t>8. napon és azután</w:t>
            </w:r>
          </w:p>
        </w:tc>
      </w:tr>
      <w:tr w:rsidR="00184569" w:rsidRPr="00184569" w14:paraId="1CB16C44" w14:textId="77777777" w:rsidTr="00E16EC6">
        <w:tc>
          <w:tcPr>
            <w:tcW w:w="1653" w:type="dxa"/>
          </w:tcPr>
          <w:p w14:paraId="45F4FED8" w14:textId="77777777" w:rsidR="00184569" w:rsidRPr="00184569" w:rsidRDefault="00184569" w:rsidP="00184569">
            <w:pPr>
              <w:keepNext/>
              <w:rPr>
                <w:rFonts w:ascii="Times New Roman" w:eastAsia="Times New Roman" w:hAnsi="Times New Roman" w:cs="Times New Roman"/>
              </w:rPr>
            </w:pPr>
            <w:r w:rsidRPr="00184569">
              <w:rPr>
                <w:rFonts w:ascii="Times New Roman" w:eastAsia="Times New Roman" w:hAnsi="Times New Roman" w:cs="Times New Roman"/>
              </w:rPr>
              <w:t xml:space="preserve">Testtömeg (kg) </w:t>
            </w:r>
          </w:p>
          <w:p w14:paraId="62E17936" w14:textId="77777777" w:rsidR="00184569" w:rsidRPr="00184569" w:rsidRDefault="00184569" w:rsidP="00184569">
            <w:pPr>
              <w:keepNext/>
              <w:rPr>
                <w:rFonts w:ascii="Times New Roman" w:eastAsia="Times New Roman" w:hAnsi="Times New Roman" w:cs="Times New Roman"/>
              </w:rPr>
            </w:pPr>
          </w:p>
        </w:tc>
        <w:tc>
          <w:tcPr>
            <w:tcW w:w="1749" w:type="dxa"/>
          </w:tcPr>
          <w:p w14:paraId="7EF3F729" w14:textId="77777777" w:rsidR="00184569" w:rsidRPr="00184569" w:rsidRDefault="00184569" w:rsidP="00184569">
            <w:pPr>
              <w:keepNext/>
              <w:rPr>
                <w:rFonts w:ascii="Times New Roman" w:eastAsia="Times New Roman" w:hAnsi="Times New Roman" w:cs="Times New Roman"/>
              </w:rPr>
            </w:pPr>
            <w:r w:rsidRPr="00184569">
              <w:rPr>
                <w:rFonts w:ascii="Times New Roman" w:eastAsia="Times New Roman" w:hAnsi="Times New Roman" w:cs="Times New Roman"/>
              </w:rPr>
              <w:t>Adagolási rend</w:t>
            </w:r>
          </w:p>
        </w:tc>
        <w:tc>
          <w:tcPr>
            <w:tcW w:w="1701" w:type="dxa"/>
          </w:tcPr>
          <w:p w14:paraId="705DEB55" w14:textId="77777777" w:rsidR="00184569" w:rsidRPr="00184569" w:rsidRDefault="00184569" w:rsidP="00184569">
            <w:pPr>
              <w:keepNext/>
              <w:rPr>
                <w:rFonts w:ascii="Times New Roman" w:eastAsia="Times New Roman" w:hAnsi="Times New Roman" w:cs="Times New Roman"/>
              </w:rPr>
            </w:pPr>
            <w:r w:rsidRPr="00184569">
              <w:rPr>
                <w:rFonts w:ascii="Times New Roman" w:eastAsia="Times New Roman" w:hAnsi="Times New Roman" w:cs="Times New Roman"/>
              </w:rPr>
              <w:t>Maximális napi dózis</w:t>
            </w:r>
          </w:p>
        </w:tc>
        <w:tc>
          <w:tcPr>
            <w:tcW w:w="1701" w:type="dxa"/>
          </w:tcPr>
          <w:p w14:paraId="5E1A1D6E" w14:textId="77777777" w:rsidR="00184569" w:rsidRPr="00184569" w:rsidRDefault="00184569" w:rsidP="00184569">
            <w:pPr>
              <w:keepNext/>
              <w:rPr>
                <w:rFonts w:ascii="Times New Roman" w:eastAsia="Times New Roman" w:hAnsi="Times New Roman" w:cs="Times New Roman"/>
              </w:rPr>
            </w:pPr>
            <w:r w:rsidRPr="00184569">
              <w:rPr>
                <w:rFonts w:ascii="Times New Roman" w:eastAsia="Times New Roman" w:hAnsi="Times New Roman" w:cs="Times New Roman"/>
              </w:rPr>
              <w:t>Adagolási rend</w:t>
            </w:r>
          </w:p>
        </w:tc>
        <w:tc>
          <w:tcPr>
            <w:tcW w:w="1843" w:type="dxa"/>
          </w:tcPr>
          <w:p w14:paraId="2AE7E10D" w14:textId="77777777" w:rsidR="00184569" w:rsidRPr="00184569" w:rsidRDefault="00184569" w:rsidP="00184569">
            <w:pPr>
              <w:keepNext/>
              <w:rPr>
                <w:rFonts w:ascii="Times New Roman" w:eastAsia="Times New Roman" w:hAnsi="Times New Roman" w:cs="Times New Roman"/>
              </w:rPr>
            </w:pPr>
            <w:r w:rsidRPr="00184569">
              <w:rPr>
                <w:rFonts w:ascii="Times New Roman" w:eastAsia="Times New Roman" w:hAnsi="Times New Roman" w:cs="Times New Roman"/>
              </w:rPr>
              <w:t>Maximális napi dózis</w:t>
            </w:r>
          </w:p>
        </w:tc>
      </w:tr>
      <w:tr w:rsidR="00184569" w:rsidRPr="00184569" w14:paraId="5991A467" w14:textId="77777777" w:rsidTr="00E16EC6">
        <w:tc>
          <w:tcPr>
            <w:tcW w:w="1653" w:type="dxa"/>
          </w:tcPr>
          <w:p w14:paraId="5D933D8D" w14:textId="77777777" w:rsidR="00184569" w:rsidRPr="00184569" w:rsidRDefault="00184569" w:rsidP="00184569">
            <w:pPr>
              <w:rPr>
                <w:rFonts w:ascii="Times New Roman" w:eastAsia="Times New Roman" w:hAnsi="Times New Roman" w:cs="Times New Roman"/>
              </w:rPr>
            </w:pPr>
            <w:r w:rsidRPr="00184569">
              <w:rPr>
                <w:rFonts w:ascii="Times New Roman" w:eastAsia="Times New Roman" w:hAnsi="Times New Roman" w:cs="Times New Roman"/>
              </w:rPr>
              <w:t>≥ 35</w:t>
            </w:r>
          </w:p>
        </w:tc>
        <w:tc>
          <w:tcPr>
            <w:tcW w:w="1749" w:type="dxa"/>
          </w:tcPr>
          <w:p w14:paraId="74AD23AF" w14:textId="77777777" w:rsidR="00184569" w:rsidRPr="00184569" w:rsidRDefault="00184569" w:rsidP="00184569">
            <w:pPr>
              <w:rPr>
                <w:rFonts w:ascii="Times New Roman" w:eastAsia="Times New Roman" w:hAnsi="Times New Roman" w:cs="Times New Roman"/>
              </w:rPr>
            </w:pPr>
            <w:r w:rsidRPr="00184569">
              <w:rPr>
                <w:rFonts w:ascii="Times New Roman" w:eastAsia="Times New Roman" w:hAnsi="Times New Roman" w:cs="Times New Roman"/>
              </w:rPr>
              <w:t>naponta 2 × 10 mg</w:t>
            </w:r>
          </w:p>
        </w:tc>
        <w:tc>
          <w:tcPr>
            <w:tcW w:w="1701" w:type="dxa"/>
          </w:tcPr>
          <w:p w14:paraId="313EEC22" w14:textId="77777777" w:rsidR="00184569" w:rsidRPr="00184569" w:rsidRDefault="00184569" w:rsidP="00184569">
            <w:pPr>
              <w:rPr>
                <w:rFonts w:ascii="Times New Roman" w:eastAsia="Times New Roman" w:hAnsi="Times New Roman" w:cs="Times New Roman"/>
              </w:rPr>
            </w:pPr>
            <w:r w:rsidRPr="00184569">
              <w:rPr>
                <w:rFonts w:ascii="Times New Roman" w:eastAsia="Times New Roman" w:hAnsi="Times New Roman" w:cs="Times New Roman"/>
              </w:rPr>
              <w:t>20 mg</w:t>
            </w:r>
          </w:p>
          <w:p w14:paraId="55F59C0F" w14:textId="77777777" w:rsidR="00184569" w:rsidRPr="00184569" w:rsidRDefault="00184569" w:rsidP="00184569">
            <w:pPr>
              <w:rPr>
                <w:rFonts w:ascii="Times New Roman" w:eastAsia="Times New Roman" w:hAnsi="Times New Roman" w:cs="Times New Roman"/>
              </w:rPr>
            </w:pPr>
          </w:p>
        </w:tc>
        <w:tc>
          <w:tcPr>
            <w:tcW w:w="1701" w:type="dxa"/>
          </w:tcPr>
          <w:p w14:paraId="4A70BEC5" w14:textId="77777777" w:rsidR="00184569" w:rsidRPr="00184569" w:rsidRDefault="00184569" w:rsidP="00184569">
            <w:pPr>
              <w:rPr>
                <w:rFonts w:ascii="Times New Roman" w:eastAsia="Times New Roman" w:hAnsi="Times New Roman" w:cs="Times New Roman"/>
              </w:rPr>
            </w:pPr>
            <w:r w:rsidRPr="00184569">
              <w:rPr>
                <w:rFonts w:ascii="Times New Roman" w:eastAsia="Times New Roman" w:hAnsi="Times New Roman" w:cs="Times New Roman"/>
              </w:rPr>
              <w:t>naponta 2 × 5 mg</w:t>
            </w:r>
          </w:p>
        </w:tc>
        <w:tc>
          <w:tcPr>
            <w:tcW w:w="1843" w:type="dxa"/>
          </w:tcPr>
          <w:p w14:paraId="625364CE" w14:textId="77777777" w:rsidR="00184569" w:rsidRPr="00184569" w:rsidRDefault="00184569" w:rsidP="00184569">
            <w:pPr>
              <w:rPr>
                <w:rFonts w:ascii="Times New Roman" w:eastAsia="Times New Roman" w:hAnsi="Times New Roman" w:cs="Times New Roman"/>
              </w:rPr>
            </w:pPr>
            <w:r w:rsidRPr="00184569">
              <w:rPr>
                <w:rFonts w:ascii="Times New Roman" w:eastAsia="Times New Roman" w:hAnsi="Times New Roman" w:cs="Times New Roman"/>
              </w:rPr>
              <w:t>10 mg</w:t>
            </w:r>
          </w:p>
          <w:p w14:paraId="344F197D" w14:textId="77777777" w:rsidR="00184569" w:rsidRPr="00184569" w:rsidRDefault="00184569" w:rsidP="00184569">
            <w:pPr>
              <w:rPr>
                <w:rFonts w:ascii="Times New Roman" w:eastAsia="Times New Roman" w:hAnsi="Times New Roman" w:cs="Times New Roman"/>
              </w:rPr>
            </w:pPr>
          </w:p>
        </w:tc>
      </w:tr>
    </w:tbl>
    <w:p w14:paraId="435CF502"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
    <w:p w14:paraId="603035A7"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sym w:font="Symbol" w:char="F03C"/>
      </w:r>
      <w:r w:rsidRPr="00184569">
        <w:rPr>
          <w:rFonts w:ascii="Times New Roman" w:eastAsia="Times New Roman" w:hAnsi="Times New Roman" w:cs="Times New Roman"/>
          <w:kern w:val="0"/>
          <w14:ligatures w14:val="none"/>
        </w:rPr>
        <w:t> 35 kg-os gyermekek és serdülők kezelése esetén olvassa el más forgalomban lévő, apixabánt tartalmazó, eltérő gyógyszerformájú (granulátum felnyitásra szánt kapszulában vagy bevont granulátum tasakban) készítmények alkalmazási előírását.</w:t>
      </w:r>
    </w:p>
    <w:p w14:paraId="34871F09"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
    <w:p w14:paraId="3EBE6E2B"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A VTE kezelésének gyermekekre és serdülőkre vonatkozó irányelvei alapján a kezelés teljes időtartamát a kezelés előnyének és a vérzés kockázatának gondos mérlegelését követően, egyénileg kell meghatározni (lásd 4.4 pont).</w:t>
      </w:r>
    </w:p>
    <w:p w14:paraId="2A952F8E"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
    <w:p w14:paraId="384E1C73"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r w:rsidRPr="00184569">
        <w:rPr>
          <w:rFonts w:ascii="Times New Roman" w:eastAsia="Times New Roman" w:hAnsi="Times New Roman" w:cs="Times New Roman"/>
          <w:i/>
          <w:kern w:val="0"/>
          <w:u w:val="single"/>
          <w14:ligatures w14:val="none"/>
        </w:rPr>
        <w:t>Kihagyott dózis</w:t>
      </w:r>
      <w:r w:rsidRPr="00184569">
        <w:rPr>
          <w:rFonts w:ascii="Times New Roman" w:eastAsia="Times New Roman" w:hAnsi="Times New Roman" w:cs="Times New Roman"/>
          <w:kern w:val="0"/>
          <w14:ligatures w14:val="none"/>
        </w:rPr>
        <w:t xml:space="preserve"> </w:t>
      </w:r>
      <w:r w:rsidRPr="00184569">
        <w:rPr>
          <w:rFonts w:ascii="Times New Roman" w:eastAsia="Times New Roman" w:hAnsi="Times New Roman" w:cs="Times New Roman"/>
          <w:i/>
          <w:kern w:val="0"/>
          <w:u w:val="single"/>
          <w14:ligatures w14:val="none"/>
        </w:rPr>
        <w:t>felnőtteknél, valamint gyermekeknél és serdülőknél</w:t>
      </w:r>
    </w:p>
    <w:p w14:paraId="27A634A8"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 xml:space="preserve">A kihagyott reggeli dózist azonnal be kell venni, amint észreveszik, és bevehető az esti dózissal együtt is. A kihagyott esti dózist csak ugyanazon az estén szabad bevenni, a beteg nem vehet be két dózist a következő reggel. A betegnek a következő napon a szokásos, napi kétszeri adagolással kell folytatnia a </w:t>
      </w:r>
      <w:r w:rsidRPr="00184569">
        <w:rPr>
          <w:rFonts w:ascii="Times New Roman" w:eastAsia="Times New Roman" w:hAnsi="Times New Roman" w:cs="Times New Roman"/>
          <w:kern w:val="0"/>
          <w14:ligatures w14:val="none"/>
        </w:rPr>
        <w:lastRenderedPageBreak/>
        <w:t>kezelést.</w:t>
      </w:r>
    </w:p>
    <w:p w14:paraId="2E3ED272"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
    <w:p w14:paraId="3B1C28D8"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i/>
          <w:kern w:val="0"/>
          <w14:ligatures w14:val="none"/>
        </w:rPr>
      </w:pPr>
      <w:r w:rsidRPr="00184569">
        <w:rPr>
          <w:rFonts w:ascii="Times New Roman" w:eastAsia="Times New Roman" w:hAnsi="Times New Roman" w:cs="Times New Roman"/>
          <w:i/>
          <w:kern w:val="0"/>
          <w:u w:val="single"/>
          <w14:ligatures w14:val="none"/>
        </w:rPr>
        <w:t>Átállítás</w:t>
      </w:r>
    </w:p>
    <w:p w14:paraId="4257C09C"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A kezelés parenterális antikoagulánsokról apixabán tablettára (és fordítva) történő átállítását a következő előírt dózis beadásának időpontjában lehet elvégezni</w:t>
      </w:r>
      <w:r w:rsidRPr="00184569" w:rsidDel="00DE711A">
        <w:rPr>
          <w:rFonts w:ascii="Times New Roman" w:eastAsia="Times New Roman" w:hAnsi="Times New Roman" w:cs="Times New Roman"/>
          <w:kern w:val="0"/>
          <w14:ligatures w14:val="none"/>
        </w:rPr>
        <w:t xml:space="preserve"> </w:t>
      </w:r>
      <w:r w:rsidRPr="00184569">
        <w:rPr>
          <w:rFonts w:ascii="Times New Roman" w:eastAsia="Times New Roman" w:hAnsi="Times New Roman" w:cs="Times New Roman"/>
          <w:kern w:val="0"/>
          <w14:ligatures w14:val="none"/>
        </w:rPr>
        <w:t>(lásd 4.5 pont). Ezeket a gyógyszereket nem szabad egyidejűleg alkalmazni.</w:t>
      </w:r>
    </w:p>
    <w:p w14:paraId="3B84E7DB"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
    <w:p w14:paraId="74BF8576"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i/>
          <w:kern w:val="0"/>
          <w14:ligatures w14:val="none"/>
        </w:rPr>
      </w:pPr>
      <w:r w:rsidRPr="00184569">
        <w:rPr>
          <w:rFonts w:ascii="Times New Roman" w:eastAsia="Times New Roman" w:hAnsi="Times New Roman" w:cs="Times New Roman"/>
          <w:i/>
          <w:kern w:val="0"/>
          <w14:ligatures w14:val="none"/>
        </w:rPr>
        <w:t xml:space="preserve">Átállítás K-vitamin-antagonista-kezelésről </w:t>
      </w:r>
      <w:r w:rsidRPr="00184569">
        <w:rPr>
          <w:rFonts w:ascii="Times New Roman" w:eastAsia="Times New Roman" w:hAnsi="Times New Roman" w:cs="Times New Roman"/>
          <w:i/>
          <w:iCs/>
          <w:kern w:val="0"/>
          <w14:ligatures w14:val="none"/>
        </w:rPr>
        <w:t>apixabánra</w:t>
      </w:r>
    </w:p>
    <w:p w14:paraId="726FF5F4"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Amikor a betegeket K-vitamin-antagonista-kezelésről apixabára</w:t>
      </w:r>
      <w:r w:rsidRPr="00184569" w:rsidDel="007F2452">
        <w:rPr>
          <w:rFonts w:ascii="Times New Roman" w:eastAsia="Times New Roman" w:hAnsi="Times New Roman" w:cs="Times New Roman"/>
          <w:kern w:val="0"/>
          <w14:ligatures w14:val="none"/>
        </w:rPr>
        <w:t xml:space="preserve"> </w:t>
      </w:r>
      <w:r w:rsidRPr="00184569">
        <w:rPr>
          <w:rFonts w:ascii="Times New Roman" w:eastAsia="Times New Roman" w:hAnsi="Times New Roman" w:cs="Times New Roman"/>
          <w:kern w:val="0"/>
          <w14:ligatures w14:val="none"/>
        </w:rPr>
        <w:t>állítják át, akkor abba kell hagyni a warfarin- vagy más K-vitamin-antagonista-kezelést, és az apixabát akkor kell elkezdeni, amikor a nemzetközi normalizált arány (INR) értéke &lt; 2.</w:t>
      </w:r>
    </w:p>
    <w:p w14:paraId="4C3B75AB"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
    <w:p w14:paraId="201E0DD8"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i/>
          <w:kern w:val="0"/>
          <w14:ligatures w14:val="none"/>
        </w:rPr>
      </w:pPr>
      <w:r w:rsidRPr="00184569">
        <w:rPr>
          <w:rFonts w:ascii="Times New Roman" w:eastAsia="Times New Roman" w:hAnsi="Times New Roman" w:cs="Times New Roman"/>
          <w:i/>
          <w:kern w:val="0"/>
          <w14:ligatures w14:val="none"/>
        </w:rPr>
        <w:t xml:space="preserve">Átállítás </w:t>
      </w:r>
      <w:r w:rsidRPr="00184569">
        <w:rPr>
          <w:rFonts w:ascii="Times New Roman" w:eastAsia="Times New Roman" w:hAnsi="Times New Roman" w:cs="Times New Roman"/>
          <w:i/>
          <w:iCs/>
          <w:kern w:val="0"/>
          <w14:ligatures w14:val="none"/>
        </w:rPr>
        <w:t>apixabá</w:t>
      </w:r>
      <w:r w:rsidRPr="00184569">
        <w:rPr>
          <w:rFonts w:ascii="Times New Roman" w:eastAsia="Times New Roman" w:hAnsi="Times New Roman" w:cs="Times New Roman"/>
          <w:i/>
          <w:kern w:val="0"/>
          <w14:ligatures w14:val="none"/>
        </w:rPr>
        <w:t>nról K-vitamin-antagonista-kezelésre</w:t>
      </w:r>
    </w:p>
    <w:p w14:paraId="3C05E073"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 xml:space="preserve">Amikor a betegeket apixabánról K-vitamin-antagonista-kezelésre állítják át, akkor a K-vitamin-antagonista-kezelés elkezdése után még legalább 2 napig folytatni kell az </w:t>
      </w:r>
      <w:r w:rsidRPr="00184569">
        <w:rPr>
          <w:rFonts w:ascii="Times New Roman" w:eastAsia="Times New Roman" w:hAnsi="Times New Roman" w:cs="Times New Roman"/>
          <w:iCs/>
          <w:kern w:val="0"/>
          <w14:ligatures w14:val="none"/>
        </w:rPr>
        <w:t xml:space="preserve">apixabán </w:t>
      </w:r>
      <w:r w:rsidRPr="00184569">
        <w:rPr>
          <w:rFonts w:ascii="Times New Roman" w:eastAsia="Times New Roman" w:hAnsi="Times New Roman" w:cs="Times New Roman"/>
          <w:kern w:val="0"/>
          <w14:ligatures w14:val="none"/>
        </w:rPr>
        <w:t xml:space="preserve">alkalmazását. Az </w:t>
      </w:r>
      <w:r w:rsidRPr="00184569">
        <w:rPr>
          <w:rFonts w:ascii="Times New Roman" w:eastAsia="Times New Roman" w:hAnsi="Times New Roman" w:cs="Times New Roman"/>
          <w:iCs/>
          <w:kern w:val="0"/>
          <w14:ligatures w14:val="none"/>
        </w:rPr>
        <w:t xml:space="preserve">apixabán </w:t>
      </w:r>
      <w:r w:rsidRPr="00184569">
        <w:rPr>
          <w:rFonts w:ascii="Times New Roman" w:eastAsia="Times New Roman" w:hAnsi="Times New Roman" w:cs="Times New Roman"/>
          <w:kern w:val="0"/>
          <w14:ligatures w14:val="none"/>
        </w:rPr>
        <w:t>és a K-vitamin-antagonista 2 napig történő, egyidejű alkalmazása után az apixabán következő, tervezett dózisa előtt meg kell mérni az INR-értéket. Az apixabán és a K-vitamin-antagonista egyidejű alkalmazását addig kell folytatni, amíg az INR értéke eléri a ≥ 2-t.</w:t>
      </w:r>
    </w:p>
    <w:p w14:paraId="48807278"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
    <w:p w14:paraId="02B44582"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Gyermekekre és serdülőkre vonatkozóan nincsenek rendelkezésre álló adatok.</w:t>
      </w:r>
    </w:p>
    <w:p w14:paraId="58DB2C85"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
    <w:p w14:paraId="6B47CF2B"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r w:rsidRPr="00184569">
        <w:rPr>
          <w:rFonts w:ascii="Times New Roman" w:eastAsia="Times New Roman" w:hAnsi="Times New Roman" w:cs="Times New Roman"/>
          <w:i/>
          <w:kern w:val="0"/>
          <w:u w:val="single"/>
          <w14:ligatures w14:val="none"/>
        </w:rPr>
        <w:t>Idősek</w:t>
      </w:r>
    </w:p>
    <w:p w14:paraId="3CE3A832"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VTEt – A dózis módosítása nem szükséges (lásd 4.4 és 5.2 pont).</w:t>
      </w:r>
    </w:p>
    <w:p w14:paraId="04B85E82"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
    <w:p w14:paraId="300E5A9F"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 xml:space="preserve">NVPF– A dózis módosítása nem szükséges, kivéve, ha a dóziscsökkentés kritériumai teljesülnek (lásd </w:t>
      </w:r>
      <w:r w:rsidRPr="00184569">
        <w:rPr>
          <w:rFonts w:ascii="Times New Roman" w:eastAsia="Times New Roman" w:hAnsi="Times New Roman" w:cs="Times New Roman"/>
          <w:i/>
          <w:kern w:val="0"/>
          <w14:ligatures w14:val="none"/>
        </w:rPr>
        <w:t xml:space="preserve">Dóziscsökkentés </w:t>
      </w:r>
      <w:r w:rsidRPr="00184569">
        <w:rPr>
          <w:rFonts w:ascii="Times New Roman" w:eastAsia="Times New Roman" w:hAnsi="Times New Roman" w:cs="Times New Roman"/>
          <w:kern w:val="0"/>
          <w14:ligatures w14:val="none"/>
        </w:rPr>
        <w:t>a 4.2 pont elején).</w:t>
      </w:r>
    </w:p>
    <w:p w14:paraId="31B764D9"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
    <w:p w14:paraId="63A49F90"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i/>
          <w:kern w:val="0"/>
          <w14:ligatures w14:val="none"/>
        </w:rPr>
      </w:pPr>
      <w:r w:rsidRPr="00184569">
        <w:rPr>
          <w:rFonts w:ascii="Times New Roman" w:eastAsia="Times New Roman" w:hAnsi="Times New Roman" w:cs="Times New Roman"/>
          <w:i/>
          <w:kern w:val="0"/>
          <w:u w:val="single"/>
          <w14:ligatures w14:val="none"/>
        </w:rPr>
        <w:t>Vesekárosodás</w:t>
      </w:r>
    </w:p>
    <w:p w14:paraId="3D8A4323"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
    <w:p w14:paraId="7C3E57CC"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i/>
          <w:iCs/>
          <w:kern w:val="0"/>
          <w14:ligatures w14:val="none"/>
        </w:rPr>
      </w:pPr>
      <w:r w:rsidRPr="00184569">
        <w:rPr>
          <w:rFonts w:ascii="Times New Roman" w:eastAsia="Times New Roman" w:hAnsi="Times New Roman" w:cs="Times New Roman"/>
          <w:i/>
          <w:iCs/>
          <w:kern w:val="0"/>
          <w14:ligatures w14:val="none"/>
        </w:rPr>
        <w:t>Felnőttek</w:t>
      </w:r>
    </w:p>
    <w:p w14:paraId="7EBB3540"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Az enyhe vagy közepes fokú vesekárosodásban szenvedő felnőtt betegekre az alábbi ajánlások vonatkoznak:</w:t>
      </w:r>
    </w:p>
    <w:p w14:paraId="6EF6DA19"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
    <w:p w14:paraId="0F19E90C" w14:textId="77777777" w:rsidR="00184569" w:rsidRPr="00184569" w:rsidRDefault="00184569" w:rsidP="008B021B">
      <w:pPr>
        <w:widowControl w:val="0"/>
        <w:numPr>
          <w:ilvl w:val="0"/>
          <w:numId w:val="6"/>
        </w:numPr>
        <w:autoSpaceDE w:val="0"/>
        <w:autoSpaceDN w:val="0"/>
        <w:spacing w:after="0" w:line="240" w:lineRule="auto"/>
        <w:ind w:left="567" w:hanging="567"/>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MVT kezeléséhez, PE kezeléséhez, valamint MVT és PE kiújulásának megelőzéséhez (VTEt) nincs szükség dózismódosításra (lásd 5.2 pont);</w:t>
      </w:r>
    </w:p>
    <w:p w14:paraId="700E1D7D" w14:textId="77777777" w:rsidR="00184569" w:rsidRPr="00184569" w:rsidRDefault="00184569" w:rsidP="00184569">
      <w:pPr>
        <w:widowControl w:val="0"/>
        <w:autoSpaceDE w:val="0"/>
        <w:autoSpaceDN w:val="0"/>
        <w:spacing w:after="0" w:line="240" w:lineRule="auto"/>
        <w:ind w:left="567"/>
        <w:jc w:val="both"/>
        <w:rPr>
          <w:rFonts w:ascii="Times New Roman" w:eastAsia="Times New Roman" w:hAnsi="Times New Roman" w:cs="Times New Roman"/>
          <w:kern w:val="0"/>
          <w14:ligatures w14:val="none"/>
        </w:rPr>
      </w:pPr>
    </w:p>
    <w:p w14:paraId="688E4416" w14:textId="77777777" w:rsidR="00184569" w:rsidRPr="00184569" w:rsidRDefault="00184569" w:rsidP="008B021B">
      <w:pPr>
        <w:widowControl w:val="0"/>
        <w:numPr>
          <w:ilvl w:val="0"/>
          <w:numId w:val="6"/>
        </w:numPr>
        <w:autoSpaceDE w:val="0"/>
        <w:autoSpaceDN w:val="0"/>
        <w:spacing w:after="0" w:line="240" w:lineRule="auto"/>
        <w:ind w:left="567" w:hanging="567"/>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 xml:space="preserve">stroke és a szisztémás embolizáció prevenciójára alkalmazva dóziscsökkentésre van szükség a nem valvuláris pitvarfibrillációban szenvedő betegeknél, akiknél a szérum-kreatininszint ≥ 1,5 mg/dl (133 mikromol/l) és életkoruk ≥ 80 év vagy testtömegük ≤ 60 kg. </w:t>
      </w:r>
      <w:bookmarkStart w:id="0" w:name="_Hlk181082772"/>
      <w:r w:rsidRPr="00184569">
        <w:rPr>
          <w:rFonts w:ascii="Times New Roman" w:eastAsia="Times New Roman" w:hAnsi="Times New Roman" w:cs="Times New Roman"/>
          <w:kern w:val="0"/>
          <w14:ligatures w14:val="none"/>
        </w:rPr>
        <w:t xml:space="preserve">(Lásd feljebb </w:t>
      </w:r>
      <w:r w:rsidRPr="00184569">
        <w:rPr>
          <w:rFonts w:ascii="Times New Roman" w:eastAsia="Times New Roman" w:hAnsi="Times New Roman" w:cs="Times New Roman"/>
          <w:i/>
          <w:iCs/>
          <w:kern w:val="0"/>
          <w14:ligatures w14:val="none"/>
        </w:rPr>
        <w:t>Dóziscsökkentés</w:t>
      </w:r>
      <w:r w:rsidRPr="00184569">
        <w:rPr>
          <w:rFonts w:ascii="Times New Roman" w:eastAsia="Times New Roman" w:hAnsi="Times New Roman" w:cs="Times New Roman"/>
          <w:kern w:val="0"/>
          <w14:ligatures w14:val="none"/>
        </w:rPr>
        <w:t xml:space="preserve">). </w:t>
      </w:r>
      <w:bookmarkEnd w:id="0"/>
      <w:r w:rsidRPr="00184569">
        <w:rPr>
          <w:rFonts w:ascii="Times New Roman" w:eastAsia="Times New Roman" w:hAnsi="Times New Roman" w:cs="Times New Roman"/>
          <w:kern w:val="0"/>
          <w14:ligatures w14:val="none"/>
        </w:rPr>
        <w:t>A dóziscsökkentés egyéb kritériumainak (életkor, testtömeg) hiányában nincs szükség dózismódosításra (lásd 5.2 pont).</w:t>
      </w:r>
    </w:p>
    <w:p w14:paraId="34D6ED9D" w14:textId="77777777" w:rsidR="00184569" w:rsidRPr="00184569" w:rsidRDefault="00184569" w:rsidP="00184569">
      <w:pPr>
        <w:widowControl w:val="0"/>
        <w:autoSpaceDE w:val="0"/>
        <w:autoSpaceDN w:val="0"/>
        <w:spacing w:after="0" w:line="240" w:lineRule="auto"/>
        <w:ind w:left="567"/>
        <w:rPr>
          <w:rFonts w:ascii="Times New Roman" w:eastAsia="Times New Roman" w:hAnsi="Times New Roman" w:cs="Times New Roman"/>
          <w:kern w:val="0"/>
          <w14:ligatures w14:val="none"/>
        </w:rPr>
      </w:pPr>
    </w:p>
    <w:p w14:paraId="34666FE9"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Súlyos fokú vesekárosodásban (kreatinin-clearance 15–29 ml/perc) szenvedő betegekre az alábbi ajánlások vonatkoznak (lásd 4.4 és 5.2 pont):</w:t>
      </w:r>
    </w:p>
    <w:p w14:paraId="58E0093F"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
    <w:p w14:paraId="25CF9A4B" w14:textId="77777777" w:rsidR="00184569" w:rsidRPr="00184569" w:rsidRDefault="00184569" w:rsidP="008B021B">
      <w:pPr>
        <w:widowControl w:val="0"/>
        <w:numPr>
          <w:ilvl w:val="0"/>
          <w:numId w:val="6"/>
        </w:numPr>
        <w:autoSpaceDE w:val="0"/>
        <w:autoSpaceDN w:val="0"/>
        <w:spacing w:after="0" w:line="240" w:lineRule="auto"/>
        <w:ind w:left="567" w:hanging="567"/>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MVT kezelésére, PE kezelésére, illetve MVT és PE kiújulásának megelőzésére (VTEt) az apixabánt kellő elővigyázatossággal kell alkalmazni;</w:t>
      </w:r>
    </w:p>
    <w:p w14:paraId="285EF202" w14:textId="77777777" w:rsidR="00184569" w:rsidRPr="00184569" w:rsidRDefault="00184569" w:rsidP="00184569">
      <w:pPr>
        <w:widowControl w:val="0"/>
        <w:autoSpaceDE w:val="0"/>
        <w:autoSpaceDN w:val="0"/>
        <w:spacing w:after="0" w:line="240" w:lineRule="auto"/>
        <w:ind w:left="567"/>
        <w:rPr>
          <w:rFonts w:ascii="Times New Roman" w:eastAsia="Times New Roman" w:hAnsi="Times New Roman" w:cs="Times New Roman"/>
          <w:kern w:val="0"/>
          <w14:ligatures w14:val="none"/>
        </w:rPr>
      </w:pPr>
    </w:p>
    <w:p w14:paraId="5D770A7F" w14:textId="77777777" w:rsidR="00184569" w:rsidRPr="00184569" w:rsidRDefault="00184569" w:rsidP="008B021B">
      <w:pPr>
        <w:widowControl w:val="0"/>
        <w:numPr>
          <w:ilvl w:val="0"/>
          <w:numId w:val="6"/>
        </w:numPr>
        <w:autoSpaceDE w:val="0"/>
        <w:autoSpaceDN w:val="0"/>
        <w:spacing w:after="0" w:line="240" w:lineRule="auto"/>
        <w:ind w:left="567" w:hanging="567"/>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stroke és a szisztémás embolizáció prevenciójára a nem valvuláris pitvarfibrillációban szenvedő betegeknek alacsonyabb, naponta kétszer 2,5 mg-os apixabán-dózist kell kapniuk.</w:t>
      </w:r>
    </w:p>
    <w:p w14:paraId="3ADA86D3"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
    <w:p w14:paraId="6C731A93"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Nincsenek klinikai tapasztalatok olyan betegekre vonatkozóan, akiknek a kreatinin-clearence-e &lt; 15 ml/perc vagy dialíziskezelés alatt állnak, ezért az apixabán alkalmazása ezeknél a betegeknél nem javasolt (lásd 4.4 és 5.2 pont).</w:t>
      </w:r>
    </w:p>
    <w:p w14:paraId="16CF7603"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
    <w:p w14:paraId="2FEF0744" w14:textId="77777777" w:rsidR="00184569" w:rsidRPr="00184569" w:rsidRDefault="00184569" w:rsidP="00184569">
      <w:pPr>
        <w:keepNext/>
        <w:autoSpaceDE w:val="0"/>
        <w:autoSpaceDN w:val="0"/>
        <w:spacing w:after="0" w:line="240" w:lineRule="auto"/>
        <w:rPr>
          <w:rFonts w:ascii="Times New Roman" w:eastAsia="Times New Roman" w:hAnsi="Times New Roman" w:cs="Times New Roman"/>
          <w:i/>
          <w:iCs/>
          <w:kern w:val="0"/>
          <w14:ligatures w14:val="none"/>
        </w:rPr>
      </w:pPr>
      <w:r w:rsidRPr="00184569">
        <w:rPr>
          <w:rFonts w:ascii="Times New Roman" w:eastAsia="Times New Roman" w:hAnsi="Times New Roman" w:cs="Times New Roman"/>
          <w:i/>
          <w:iCs/>
          <w:kern w:val="0"/>
          <w14:ligatures w14:val="none"/>
        </w:rPr>
        <w:t>Gyermekek és serdülők</w:t>
      </w:r>
    </w:p>
    <w:p w14:paraId="7FF67BB0" w14:textId="77777777" w:rsidR="00184569" w:rsidRPr="00184569" w:rsidRDefault="00184569" w:rsidP="00184569">
      <w:pPr>
        <w:keepNext/>
        <w:autoSpaceDE w:val="0"/>
        <w:autoSpaceDN w:val="0"/>
        <w:spacing w:after="0" w:line="240" w:lineRule="auto"/>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A felnőttekre vonatkozó adatok, valamint a gyermekekre és serdülőkre vonatkozó, korlátozottan rendelkezésre álló adatok (lásd 5.2 pont) alapján nincs szükség dózismódosításra enyhe vagy közepes fokú vesekárosodásban szenvedő gyermekeknél és serdülőknél. Az apixabán alkalmazása nem javasolt súlyos fokú vesekárosodásban szenvedő gyermekeknél és serdülőknél (lásd 4.4 pont).</w:t>
      </w:r>
    </w:p>
    <w:p w14:paraId="2DF413C9"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
    <w:p w14:paraId="07A7E1CF"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r w:rsidRPr="00184569">
        <w:rPr>
          <w:rFonts w:ascii="Times New Roman" w:eastAsia="Times New Roman" w:hAnsi="Times New Roman" w:cs="Times New Roman"/>
          <w:i/>
          <w:kern w:val="0"/>
          <w:u w:val="single"/>
          <w14:ligatures w14:val="none"/>
        </w:rPr>
        <w:t>Májkárosodás</w:t>
      </w:r>
    </w:p>
    <w:p w14:paraId="4E8E893B"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Az apixabán ellenjavallt véralvadási zavarral és klinikailag jelentős vérzési kockázattal járó májbetegségben szenvedő felnőtt betegeknél (lásd 4.3 pont).</w:t>
      </w:r>
    </w:p>
    <w:p w14:paraId="4D337DC4"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
    <w:p w14:paraId="4B6CA02B" w14:textId="77777777" w:rsidR="00184569" w:rsidRPr="00184569" w:rsidRDefault="00184569" w:rsidP="00184569">
      <w:pPr>
        <w:widowControl w:val="0"/>
        <w:autoSpaceDE w:val="0"/>
        <w:autoSpaceDN w:val="0"/>
        <w:spacing w:after="0" w:line="240" w:lineRule="auto"/>
        <w:jc w:val="both"/>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Súlyos májkárosodásban szenvedő betegeknek nem ajánlott (lásd 4.4 és 5.2 pont).</w:t>
      </w:r>
    </w:p>
    <w:p w14:paraId="214974E7"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
    <w:p w14:paraId="1A168F3F" w14:textId="73CA1AD3"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Enyhe vagy közepesen súlyos májkárosodásban szenvedő betegeknél (</w:t>
      </w:r>
      <w:bookmarkStart w:id="1" w:name="_Hlk210807016"/>
      <w:r w:rsidR="000C7391" w:rsidRPr="00F93196">
        <w:rPr>
          <w:rFonts w:ascii="Times New Roman" w:eastAsia="Times New Roman" w:hAnsi="Times New Roman" w:cs="Times New Roman"/>
          <w:kern w:val="0"/>
          <w14:ligatures w14:val="none"/>
        </w:rPr>
        <w:t>Child–Pugh</w:t>
      </w:r>
      <w:bookmarkEnd w:id="1"/>
      <w:r w:rsidR="000C7391" w:rsidRPr="00F93196">
        <w:rPr>
          <w:rFonts w:ascii="Times New Roman" w:eastAsia="Times New Roman" w:hAnsi="Times New Roman" w:cs="Times New Roman"/>
          <w:kern w:val="0"/>
          <w14:ligatures w14:val="none"/>
        </w:rPr>
        <w:t xml:space="preserve"> </w:t>
      </w:r>
      <w:r w:rsidRPr="00184569">
        <w:rPr>
          <w:rFonts w:ascii="Times New Roman" w:eastAsia="Times New Roman" w:hAnsi="Times New Roman" w:cs="Times New Roman"/>
          <w:kern w:val="0"/>
          <w14:ligatures w14:val="none"/>
        </w:rPr>
        <w:t>A vagy B stádium) körültekintéssel kell alkalmazni. Enyhe vagy közepesen súlyos májkárosodásban szenvedő betegeknél a dózis módosítása nem szükséges (lásd 4.4 és 5.2 pont).</w:t>
      </w:r>
    </w:p>
    <w:p w14:paraId="6E8228BE"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
    <w:p w14:paraId="1261FE75"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A klinikai vizsgálatokból kizárták azokat a betegeket, akiknél a glutamát-piruvát-transzamináz (GPT)/glutamát-oxálacetát-aminotranszferáz (GOT) májenzimek szintjének emelkedése meghaladta a normálérték felső határának 2-szeresét, vagy az összbilirubin szintje elérte vagy meghaladta a normálérték felső határának 1,5-szeresét. Ezért az apixabánt ebben a betegcsoportban elővigyázatossággal kell alkalmazni (lásd 4.4 és 5.2 pont). Az apixabán-terápia megkezdése előtt májfunkciós vizsgálatot kell végezni.</w:t>
      </w:r>
    </w:p>
    <w:p w14:paraId="546B84AD"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
    <w:p w14:paraId="3BCDC733"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Az apixabán alkalmazását nem vizsgálták májkárosodásban szenvedő gyermekeknél és serdülőknél.</w:t>
      </w:r>
    </w:p>
    <w:p w14:paraId="605FCE03"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
    <w:p w14:paraId="566F24CD"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i/>
          <w:kern w:val="0"/>
          <w14:ligatures w14:val="none"/>
        </w:rPr>
      </w:pPr>
      <w:r w:rsidRPr="00184569">
        <w:rPr>
          <w:rFonts w:ascii="Times New Roman" w:eastAsia="Times New Roman" w:hAnsi="Times New Roman" w:cs="Times New Roman"/>
          <w:i/>
          <w:kern w:val="0"/>
          <w:u w:val="single"/>
          <w14:ligatures w14:val="none"/>
        </w:rPr>
        <w:t>Testtömeg</w:t>
      </w:r>
    </w:p>
    <w:p w14:paraId="00E3B2E7"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VTEt – A dózis módosítása nem szükséges felnőtteknél (lásd 4.4 és 5.2 pont).</w:t>
      </w:r>
    </w:p>
    <w:p w14:paraId="3A530702"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
    <w:p w14:paraId="1E40AF52"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 xml:space="preserve">NVPF – A dózis módosítása nem szükséges, kivéve, ha a dóziscsökkentés kritériumai teljesülnek (lásd </w:t>
      </w:r>
      <w:r w:rsidRPr="00184569">
        <w:rPr>
          <w:rFonts w:ascii="Times New Roman" w:eastAsia="Times New Roman" w:hAnsi="Times New Roman" w:cs="Times New Roman"/>
          <w:i/>
          <w:kern w:val="0"/>
          <w14:ligatures w14:val="none"/>
        </w:rPr>
        <w:t xml:space="preserve">Dóziscsökkentés </w:t>
      </w:r>
      <w:r w:rsidRPr="00184569">
        <w:rPr>
          <w:rFonts w:ascii="Times New Roman" w:eastAsia="Times New Roman" w:hAnsi="Times New Roman" w:cs="Times New Roman"/>
          <w:kern w:val="0"/>
          <w14:ligatures w14:val="none"/>
        </w:rPr>
        <w:t>a 4.2 pont elején).</w:t>
      </w:r>
    </w:p>
    <w:p w14:paraId="3292A8B1"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
    <w:p w14:paraId="3F5E6837"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Az apixabán gyermekeknél és serdülőknél történő alkalmazása a testtömeg szerinti, fix adagolási renden alapul (lásd 4.2 pont).</w:t>
      </w:r>
    </w:p>
    <w:p w14:paraId="23D0DE9F"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
    <w:p w14:paraId="1EF94F08"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r w:rsidRPr="00184569">
        <w:rPr>
          <w:rFonts w:ascii="Times New Roman" w:eastAsia="Times New Roman" w:hAnsi="Times New Roman" w:cs="Times New Roman"/>
          <w:i/>
          <w:kern w:val="0"/>
          <w:u w:val="single"/>
          <w14:ligatures w14:val="none"/>
        </w:rPr>
        <w:t>Nemek</w:t>
      </w:r>
    </w:p>
    <w:p w14:paraId="5D59B481"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A dózis módosítása nem szükséges (lásd 5.2 pont).</w:t>
      </w:r>
    </w:p>
    <w:p w14:paraId="556EA775"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
    <w:p w14:paraId="111B113E"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r w:rsidRPr="00184569">
        <w:rPr>
          <w:rFonts w:ascii="Times New Roman" w:eastAsia="Times New Roman" w:hAnsi="Times New Roman" w:cs="Times New Roman"/>
          <w:i/>
          <w:kern w:val="0"/>
          <w:u w:val="single"/>
          <w14:ligatures w14:val="none"/>
        </w:rPr>
        <w:t>Katéteres ablációban részesülő betegek (NVPF)</w:t>
      </w:r>
    </w:p>
    <w:p w14:paraId="567133EA"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Az apixabán-kezelés folytatható a katéteres ablációban részesülő betegeknél (lásd 4.3, 4.4 és 4.5 pont).</w:t>
      </w:r>
    </w:p>
    <w:p w14:paraId="4FE18148"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
    <w:p w14:paraId="192988DE"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i/>
          <w:kern w:val="0"/>
          <w14:ligatures w14:val="none"/>
        </w:rPr>
      </w:pPr>
      <w:r w:rsidRPr="00184569">
        <w:rPr>
          <w:rFonts w:ascii="Times New Roman" w:eastAsia="Times New Roman" w:hAnsi="Times New Roman" w:cs="Times New Roman"/>
          <w:i/>
          <w:kern w:val="0"/>
          <w:u w:val="single"/>
          <w14:ligatures w14:val="none"/>
        </w:rPr>
        <w:t>Kardioverzión áteső betegek</w:t>
      </w:r>
    </w:p>
    <w:p w14:paraId="69745ABA"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Az apixabán-kezelés megkezdhető vagy folytatható azoknál a nem valvuláris pitvarfibrillációban (NVPF) szenvedő betegeknél, akiknél kardioverzióra lehet szükség.</w:t>
      </w:r>
    </w:p>
    <w:p w14:paraId="2FC9869C"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
    <w:p w14:paraId="613DDDDF"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A korábban antikoagulánsokkal nem kezelt betegeknél a bal pitvari thrombus kizárása érdekében a kardioverzió előtt meg kell fontolni egy képalkotó eljárással végzett vizsgálat (például transoesophagealis echokardiográfia [TEE] vagy komputertomográfia [CT]) elvégzését az érvényes egészségügyi irányelvekkel összhangban.</w:t>
      </w:r>
    </w:p>
    <w:p w14:paraId="1D758DA1"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 xml:space="preserve">Azoknál a betegeknél, akiknél a kezelést apixabánnal kezdik, naponta kétszer 5 mg-ot kell adni legalább két és fél napon keresztül (5 egyszeri dózis) a kardioverzió előtt, hogy biztosított legyen a megfelelő mértékű antikoagulálás (lásd 5.1 pont). Az adagolást napi kétszeri 2,5 mg apixabánra kell csökkenteni és azt legalább 2,5 napon keresztül (5 egyszeri dózis) kell alkalmazni, ha a beteg megfelel a dóziscsökkentés feltételeinek (lásd a fenti </w:t>
      </w:r>
      <w:r w:rsidRPr="00184569">
        <w:rPr>
          <w:rFonts w:ascii="Times New Roman" w:eastAsia="Times New Roman" w:hAnsi="Times New Roman" w:cs="Times New Roman"/>
          <w:i/>
          <w:kern w:val="0"/>
          <w14:ligatures w14:val="none"/>
        </w:rPr>
        <w:t>Dóziscsökkentés</w:t>
      </w:r>
      <w:r w:rsidRPr="00184569">
        <w:rPr>
          <w:rFonts w:ascii="Times New Roman" w:eastAsia="Times New Roman" w:hAnsi="Times New Roman" w:cs="Times New Roman"/>
          <w:kern w:val="0"/>
          <w14:ligatures w14:val="none"/>
        </w:rPr>
        <w:t xml:space="preserve"> és </w:t>
      </w:r>
      <w:r w:rsidRPr="00184569">
        <w:rPr>
          <w:rFonts w:ascii="Times New Roman" w:eastAsia="Times New Roman" w:hAnsi="Times New Roman" w:cs="Times New Roman"/>
          <w:i/>
          <w:kern w:val="0"/>
          <w14:ligatures w14:val="none"/>
        </w:rPr>
        <w:t>Vesekárosodás</w:t>
      </w:r>
      <w:r w:rsidRPr="00184569">
        <w:rPr>
          <w:rFonts w:ascii="Times New Roman" w:eastAsia="Times New Roman" w:hAnsi="Times New Roman" w:cs="Times New Roman"/>
          <w:kern w:val="0"/>
          <w14:ligatures w14:val="none"/>
        </w:rPr>
        <w:t xml:space="preserve"> részt).</w:t>
      </w:r>
    </w:p>
    <w:p w14:paraId="41C71641"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
    <w:p w14:paraId="0DADA15F"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 xml:space="preserve">Amennyiben azelőtt van szükség kardioverzióra, mielőtt a beteg megkaphatta volna az 5 dózis apixabánt, 10 mg telítő dózist kell kapnia, majd ezt követően naponta kétszer 5 mg-ot. Az adagolást 5 mg telítő dózisra kell csökkenteni, majd naponta kétszer 2,5 mg-ra, ha a beteg megfelel a dóziscsökkentés feltételeinek (lásd a fenti </w:t>
      </w:r>
      <w:r w:rsidRPr="00184569">
        <w:rPr>
          <w:rFonts w:ascii="Times New Roman" w:eastAsia="Times New Roman" w:hAnsi="Times New Roman" w:cs="Times New Roman"/>
          <w:i/>
          <w:kern w:val="0"/>
          <w14:ligatures w14:val="none"/>
        </w:rPr>
        <w:t>Dóziscsökkentés</w:t>
      </w:r>
      <w:r w:rsidRPr="00184569">
        <w:rPr>
          <w:rFonts w:ascii="Times New Roman" w:eastAsia="Times New Roman" w:hAnsi="Times New Roman" w:cs="Times New Roman"/>
          <w:kern w:val="0"/>
          <w14:ligatures w14:val="none"/>
        </w:rPr>
        <w:t xml:space="preserve"> és </w:t>
      </w:r>
      <w:r w:rsidRPr="00184569">
        <w:rPr>
          <w:rFonts w:ascii="Times New Roman" w:eastAsia="Times New Roman" w:hAnsi="Times New Roman" w:cs="Times New Roman"/>
          <w:i/>
          <w:kern w:val="0"/>
          <w14:ligatures w14:val="none"/>
        </w:rPr>
        <w:t>Vesekárosodás</w:t>
      </w:r>
      <w:r w:rsidRPr="00184569">
        <w:rPr>
          <w:rFonts w:ascii="Times New Roman" w:eastAsia="Times New Roman" w:hAnsi="Times New Roman" w:cs="Times New Roman"/>
          <w:kern w:val="0"/>
          <w14:ligatures w14:val="none"/>
        </w:rPr>
        <w:t xml:space="preserve"> részt). A telítő dózist legalább 2 órával a kardioverzió előtt kell beadni (lásd 5.1 pont).</w:t>
      </w:r>
    </w:p>
    <w:p w14:paraId="59146040"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
    <w:p w14:paraId="7DBD4D90"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A kardioverzióban részesülő összes betegnél a kardioverzió előtt meg kell győződni arról, hogy a beteg a felírtak szerint bevette az apixabánt. A kezelés megkezdésére és a kezelés időtartamára vonatkozó döntésnél figyelembe kell venni a kardioverzión áteső betegek antikoagulációs kezelésére vonatkozó érvényben lévő ajánlásokat.</w:t>
      </w:r>
    </w:p>
    <w:p w14:paraId="6255971B"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
    <w:p w14:paraId="0892C226" w14:textId="77777777" w:rsidR="00184569" w:rsidRPr="00184569" w:rsidRDefault="00184569" w:rsidP="00184569">
      <w:pPr>
        <w:spacing w:after="0" w:line="240" w:lineRule="auto"/>
        <w:rPr>
          <w:rFonts w:ascii="Times New Roman" w:eastAsia="Calibri" w:hAnsi="Times New Roman" w:cs="Times New Roman"/>
          <w:i/>
          <w:iCs/>
          <w:kern w:val="0"/>
          <w:u w:val="single"/>
          <w14:ligatures w14:val="none"/>
        </w:rPr>
      </w:pPr>
      <w:r w:rsidRPr="00184569">
        <w:rPr>
          <w:rFonts w:ascii="Times New Roman" w:eastAsia="Calibri" w:hAnsi="Times New Roman" w:cs="Times New Roman"/>
          <w:i/>
          <w:iCs/>
          <w:kern w:val="0"/>
          <w:u w:val="single"/>
          <w14:ligatures w14:val="none"/>
        </w:rPr>
        <w:t>Nem valvuláris pitvarfibrillációban (NVPF) és akut coronaria szindrómában (ACS) szenvedő és/vagy percutan coronaria intervencióban (PCI) részesülő betegek</w:t>
      </w:r>
    </w:p>
    <w:p w14:paraId="012EEF65"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NVPF-ben szenvedő betegeknél az apixabán ajánlott dózisával végzett kezelésre vonatkozóan korlátozott tapasztalatok állnak rendelkezésre olyan esetekben, amikor a gyógyszert thrombocytaaggregáció-gátló szerekkel együttesen alkalmazzák az ACS-ben szenvedő és/vagy PCI-n átesett betegeknél a haemostasis helyreállása után (lásd 4.4 és 5.1 pont).</w:t>
      </w:r>
    </w:p>
    <w:p w14:paraId="00A2A307"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
    <w:p w14:paraId="7A54F2E5"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i/>
          <w:kern w:val="0"/>
          <w14:ligatures w14:val="none"/>
        </w:rPr>
      </w:pPr>
      <w:r w:rsidRPr="00184569">
        <w:rPr>
          <w:rFonts w:ascii="Times New Roman" w:eastAsia="Times New Roman" w:hAnsi="Times New Roman" w:cs="Times New Roman"/>
          <w:i/>
          <w:kern w:val="0"/>
          <w:u w:val="single"/>
          <w14:ligatures w14:val="none"/>
        </w:rPr>
        <w:t>Gyermekek és serdülők</w:t>
      </w:r>
    </w:p>
    <w:p w14:paraId="27F73F1A"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Az apixabán biztonságosságát és hatásosságát gyermekek és serdülők (28 napos kortól betöltött 18 éves korig) esetében kizárólag a VTE kezelése és a VTE kiújulásának megelőzése indikációkban igazolták. Nincsenek rendelkezésre álló adatok újszülöttekre és egyéb javallatokra vonatkozóan (lásd még 5.1 pont). Ezért az Apixaban Grindeks alkalmazása nem javasolt újszülötteknél, valamint gyermekeknél és serdülőknél (28 napos kortól betöltött 18 éves korig) a VTE kezelésétől és a VTE kiújulásának megelőzésétől eltérő indikációban.</w:t>
      </w:r>
    </w:p>
    <w:p w14:paraId="533C95FF"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
    <w:p w14:paraId="56533166"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Az apixabán biztonságosságát és hatásosságát 18 évesnél fiatalabb gyermekek és serdülők esetében thromboembolia megelőzése indikációban nem igazolták. A thromboembolia megelőzésével kapcsolatos jelenleg rendelkezésre álló adatok leírása az 5.1 pontban található, de nincs az adagolásra vonatkozó javaslat.</w:t>
      </w:r>
    </w:p>
    <w:p w14:paraId="509B071F"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
    <w:p w14:paraId="666D0DC5"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u w:val="single"/>
          <w14:ligatures w14:val="none"/>
        </w:rPr>
        <w:t>Az alkalmazás módja felnőtteknél, valamint gyermekeknél és serdülőknél</w:t>
      </w:r>
    </w:p>
    <w:p w14:paraId="00B632C9"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
    <w:p w14:paraId="68C6F1EE"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Szájon át történő alkalmazásra.</w:t>
      </w:r>
    </w:p>
    <w:p w14:paraId="333C180C"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Az Apixaban Grindeks-et étkezés közben vagy étkezéstől függetlenül, vízzel kell bevenni.</w:t>
      </w:r>
    </w:p>
    <w:p w14:paraId="23734879"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
    <w:p w14:paraId="18B001B5"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Azon betegek számára, akik nem képesek lenyelni a tablettákat egészben, az Apixaban Grindeks tablettákat porrá lehet törni, és szuszpendálni lehet vízben, 50 mg/ml-es (5%-os) glükóz vizes oldatában, almalében, vagy hozzá lehet keverni almapüréhez, amit azonnal be kell adni szájon át (lásd 5.2 pont). Másik megoldásként az Apixaban Grindeks tablettákat porrá lehet törni és szuszpendálni 60 ml vízben vagy 5%-os glükózoldatban, majd nasogastricus szondán át azonnal be kell adni (lásd 5.2 pont).</w:t>
      </w:r>
    </w:p>
    <w:p w14:paraId="333E35A0"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A porrá tört Apixaban Grindeks tabletták vízben, 5%-os glükózoldatban, almalében és almapürében legfeljebb 4 órán keresztül stabilak.</w:t>
      </w:r>
    </w:p>
    <w:p w14:paraId="749C0FCB"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
    <w:p w14:paraId="2216C254" w14:textId="77777777" w:rsidR="00184569" w:rsidRPr="00184569" w:rsidRDefault="00184569" w:rsidP="008B021B">
      <w:pPr>
        <w:widowControl w:val="0"/>
        <w:numPr>
          <w:ilvl w:val="1"/>
          <w:numId w:val="5"/>
        </w:numPr>
        <w:autoSpaceDE w:val="0"/>
        <w:autoSpaceDN w:val="0"/>
        <w:spacing w:after="0" w:line="240" w:lineRule="auto"/>
        <w:ind w:left="567"/>
        <w:outlineLvl w:val="1"/>
        <w:rPr>
          <w:rFonts w:ascii="Times New Roman" w:eastAsia="Times New Roman" w:hAnsi="Times New Roman" w:cs="Times New Roman"/>
          <w:b/>
          <w:bCs/>
          <w:kern w:val="0"/>
          <w14:ligatures w14:val="none"/>
        </w:rPr>
      </w:pPr>
      <w:r w:rsidRPr="00184569">
        <w:rPr>
          <w:rFonts w:ascii="Times New Roman" w:eastAsia="Times New Roman" w:hAnsi="Times New Roman" w:cs="Times New Roman"/>
          <w:b/>
          <w:bCs/>
          <w:kern w:val="0"/>
          <w14:ligatures w14:val="none"/>
        </w:rPr>
        <w:t>Ellenjavallatok</w:t>
      </w:r>
    </w:p>
    <w:p w14:paraId="5E29D36D"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b/>
          <w:kern w:val="0"/>
          <w14:ligatures w14:val="none"/>
        </w:rPr>
      </w:pPr>
    </w:p>
    <w:p w14:paraId="05A0DE4F" w14:textId="77777777" w:rsidR="00184569" w:rsidRPr="00184569" w:rsidRDefault="00184569" w:rsidP="008B021B">
      <w:pPr>
        <w:widowControl w:val="0"/>
        <w:numPr>
          <w:ilvl w:val="0"/>
          <w:numId w:val="9"/>
        </w:numPr>
        <w:autoSpaceDE w:val="0"/>
        <w:autoSpaceDN w:val="0"/>
        <w:spacing w:after="0" w:line="240" w:lineRule="auto"/>
        <w:ind w:left="567"/>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A készítmény hatóanyagával vagy a 6.1 pontban felsorolt bármely segédanyagával szembeni túlérzékenység.</w:t>
      </w:r>
    </w:p>
    <w:p w14:paraId="077D2AC9" w14:textId="77777777" w:rsidR="00184569" w:rsidRPr="00184569" w:rsidRDefault="00184569" w:rsidP="008B021B">
      <w:pPr>
        <w:widowControl w:val="0"/>
        <w:numPr>
          <w:ilvl w:val="0"/>
          <w:numId w:val="9"/>
        </w:numPr>
        <w:autoSpaceDE w:val="0"/>
        <w:autoSpaceDN w:val="0"/>
        <w:spacing w:after="0" w:line="240" w:lineRule="auto"/>
        <w:ind w:left="567"/>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Aktív, klinikailag jelentős vérzés.</w:t>
      </w:r>
    </w:p>
    <w:p w14:paraId="67DF0954" w14:textId="77777777" w:rsidR="00184569" w:rsidRPr="00184569" w:rsidRDefault="00184569" w:rsidP="008B021B">
      <w:pPr>
        <w:widowControl w:val="0"/>
        <w:numPr>
          <w:ilvl w:val="0"/>
          <w:numId w:val="9"/>
        </w:numPr>
        <w:autoSpaceDE w:val="0"/>
        <w:autoSpaceDN w:val="0"/>
        <w:spacing w:after="0" w:line="240" w:lineRule="auto"/>
        <w:ind w:left="567"/>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Véralvadási zavarral és klinikailag jelentős vérzési kockázattal járó májbetegség (lásd 5.2 pont).</w:t>
      </w:r>
    </w:p>
    <w:p w14:paraId="7275D113" w14:textId="77777777" w:rsidR="00184569" w:rsidRPr="00184569" w:rsidRDefault="00184569" w:rsidP="008B021B">
      <w:pPr>
        <w:widowControl w:val="0"/>
        <w:numPr>
          <w:ilvl w:val="0"/>
          <w:numId w:val="9"/>
        </w:numPr>
        <w:autoSpaceDE w:val="0"/>
        <w:autoSpaceDN w:val="0"/>
        <w:spacing w:after="0" w:line="240" w:lineRule="auto"/>
        <w:ind w:left="567"/>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Léziók vagy olyan állapotok, amelyek nagyfokú vérzés jelentős rizikófaktorának tekinthetők. Ide tartozhat az aktuálisan fennálló vagy nemrégiben lezajlott gastrointestinalis fekély, a vérzés magasabb kockázatával járó malignus daganatok, friss agy- vagy gerincsérülés, nemrégiben lezajlott agy-, gerinc- vagy szemműtét, nemrégiben lezajlott intracranialis vérzés, ismert vagy feltételezett oesophagealis varix, arteriovenosus malformációk, vascularis aneurysmák vagy nagyobb intraspinalis, vagy intracerebralis vascularis rendellenességek.</w:t>
      </w:r>
    </w:p>
    <w:p w14:paraId="2CE2C5E2" w14:textId="77777777" w:rsidR="00184569" w:rsidRPr="00184569" w:rsidRDefault="00184569" w:rsidP="008B021B">
      <w:pPr>
        <w:widowControl w:val="0"/>
        <w:numPr>
          <w:ilvl w:val="0"/>
          <w:numId w:val="9"/>
        </w:numPr>
        <w:autoSpaceDE w:val="0"/>
        <w:autoSpaceDN w:val="0"/>
        <w:spacing w:after="0" w:line="240" w:lineRule="auto"/>
        <w:ind w:left="567"/>
        <w:rPr>
          <w:rFonts w:ascii="Times New Roman" w:eastAsia="Times New Roman" w:hAnsi="Times New Roman" w:cs="Times New Roman"/>
          <w:kern w:val="0"/>
          <w14:ligatures w14:val="none"/>
        </w:rPr>
      </w:pPr>
      <w:proofErr w:type="gramStart"/>
      <w:r w:rsidRPr="00184569">
        <w:rPr>
          <w:rFonts w:ascii="Times New Roman" w:eastAsia="Times New Roman" w:hAnsi="Times New Roman" w:cs="Times New Roman"/>
          <w:kern w:val="0"/>
          <w14:ligatures w14:val="none"/>
        </w:rPr>
        <w:t>Bármilyen más antikoaguláns gyógyszerrel, például nem frakcionált heparinnal (NFH), kis molekulatömegű heparinokkal (enoxaparin, dalteparin stb.), heparinszármazékokkal (fondaparinux stb.), oralis antikoagulánsokkal (warfarin, rivaroxabán, dabigatrán-etexilát stb.) történő egyidejű kezelés, kivéve azokat a specifikus körülményeket, amikor a beteget az egyik antikoaguláns kezelésről egy másikra állítják át (lásd 4.2 pont), ha a nem frakcionált heparint a centrális vénás vagy artériás kanül átjárhatóságának fenntartásához szükséges dózisokban adják, vagy amikor nem frakcionált heparint adnak pitvarfibrilláció</w:t>
      </w:r>
      <w:proofErr w:type="gramEnd"/>
      <w:r w:rsidRPr="00184569">
        <w:rPr>
          <w:rFonts w:ascii="Times New Roman" w:eastAsia="Times New Roman" w:hAnsi="Times New Roman" w:cs="Times New Roman"/>
          <w:kern w:val="0"/>
          <w14:ligatures w14:val="none"/>
        </w:rPr>
        <w:t xml:space="preserve"> miatti katéteres abláció alatt (lásd 4.4 és 4.5 pont).</w:t>
      </w:r>
    </w:p>
    <w:p w14:paraId="12CE2BDF"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
    <w:p w14:paraId="0A75C968" w14:textId="77777777" w:rsidR="00184569" w:rsidRPr="00184569" w:rsidRDefault="00184569" w:rsidP="008B021B">
      <w:pPr>
        <w:widowControl w:val="0"/>
        <w:numPr>
          <w:ilvl w:val="1"/>
          <w:numId w:val="5"/>
        </w:numPr>
        <w:autoSpaceDE w:val="0"/>
        <w:autoSpaceDN w:val="0"/>
        <w:spacing w:after="0" w:line="240" w:lineRule="auto"/>
        <w:ind w:left="567"/>
        <w:outlineLvl w:val="1"/>
        <w:rPr>
          <w:rFonts w:ascii="Times New Roman" w:eastAsia="Times New Roman" w:hAnsi="Times New Roman" w:cs="Times New Roman"/>
          <w:b/>
          <w:bCs/>
          <w:kern w:val="0"/>
          <w14:ligatures w14:val="none"/>
        </w:rPr>
      </w:pPr>
      <w:r w:rsidRPr="00184569">
        <w:rPr>
          <w:rFonts w:ascii="Times New Roman" w:eastAsia="Times New Roman" w:hAnsi="Times New Roman" w:cs="Times New Roman"/>
          <w:b/>
          <w:bCs/>
          <w:kern w:val="0"/>
          <w14:ligatures w14:val="none"/>
        </w:rPr>
        <w:t>Különleges figyelmeztetések és az alkalmazással kapcsolatos óvintézkedések</w:t>
      </w:r>
    </w:p>
    <w:p w14:paraId="63BC4184"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b/>
          <w:kern w:val="0"/>
          <w14:ligatures w14:val="none"/>
        </w:rPr>
      </w:pPr>
    </w:p>
    <w:p w14:paraId="482A61A2" w14:textId="77777777" w:rsidR="00184569" w:rsidRPr="00184569" w:rsidRDefault="00184569" w:rsidP="00184569">
      <w:pPr>
        <w:spacing w:after="0" w:line="240" w:lineRule="auto"/>
        <w:rPr>
          <w:rFonts w:ascii="Times New Roman" w:eastAsia="Calibri" w:hAnsi="Times New Roman" w:cs="Times New Roman"/>
          <w:kern w:val="0"/>
          <w:u w:val="single"/>
          <w14:ligatures w14:val="none"/>
        </w:rPr>
      </w:pPr>
      <w:r w:rsidRPr="00184569">
        <w:rPr>
          <w:rFonts w:ascii="Times New Roman" w:eastAsia="Calibri" w:hAnsi="Times New Roman" w:cs="Times New Roman"/>
          <w:kern w:val="0"/>
          <w:u w:val="single"/>
          <w14:ligatures w14:val="none"/>
        </w:rPr>
        <w:t>Haemorrhagia kockázata</w:t>
      </w:r>
    </w:p>
    <w:p w14:paraId="1CF06749"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
    <w:p w14:paraId="4DB7106B"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Más antikoagulánsokhoz hasonlóan az apixabánt szedő betegeknél is gondosan figyelni kell a vérzésre utaló jeleket. Körültekintően ajánlott alkalmazni fokozott vérzésveszéllyel járó állapotokban. Súlyos vérzés jelentkezésekor az apixabán alkalmazását abba kell hagyni (lásd 4.8 és 4.9 pont).</w:t>
      </w:r>
    </w:p>
    <w:p w14:paraId="02FDBBDB"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
    <w:p w14:paraId="5B1C7203"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Bár az apixabán-kezelés nem teszi szükségessé az expozíció rutinszerű monitorozását, azokban a kivételes helyzetekben, amikor az apixabán-expozíció ismerete segíthet információt nyújtani a klinikai döntéshez, mint például a túladagolás és a sürgős műtét, egy kalibrált, mennyiségi meghatározásra alkalmas anti-Xa-faktor assay hasznos lehet (lásd 5.1 pont).</w:t>
      </w:r>
    </w:p>
    <w:p w14:paraId="6D4EB26F"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
    <w:p w14:paraId="7F2038E4"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Felnőttek számára rendelkezésre áll egy specifikus antagonista szer (andexanet-alfa), ami antagonizálja az apixabán farmakodinámiás hatását. Azonban annak biztonságosságát és hatásosságát gyermekeknél és serdülőknél nem értékelték (lásd az andexanet-alfa alkalmazási előírását). Friss fagyasztott plazma transzfúziója, prothrombin komplex koncentrátumok (PCC) alkalmazása vagy rekombináns VIIa-faktor alkalmazása is mérlegelhető. Azonban nincs klinikai tapasztalat a 4-faktoros PCC készítmények alkalmazásával a vérzés megszüntetésére vonatkozóan apixabánt szedő gyermekeknél és serdülőknél, valamint felnőtteknél.</w:t>
      </w:r>
    </w:p>
    <w:p w14:paraId="12338AAD"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
    <w:p w14:paraId="5E5BCE76"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u w:val="single"/>
          <w14:ligatures w14:val="none"/>
        </w:rPr>
      </w:pPr>
      <w:r w:rsidRPr="00184569">
        <w:rPr>
          <w:rFonts w:ascii="Times New Roman" w:eastAsia="Times New Roman" w:hAnsi="Times New Roman" w:cs="Times New Roman"/>
          <w:kern w:val="0"/>
          <w:u w:val="single"/>
          <w14:ligatures w14:val="none"/>
        </w:rPr>
        <w:t>Kölcsönhatás haemostasist befolyásoló más gyógyszerekkel</w:t>
      </w:r>
    </w:p>
    <w:p w14:paraId="030C66E1"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
    <w:p w14:paraId="0DD36955"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A vérzés fokozott kockázata miatt bármilyen más antikoagulánssal végzett egyidejű kezelés ellenjavallt (lásd 4.3 pont).</w:t>
      </w:r>
    </w:p>
    <w:p w14:paraId="027CA013"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
    <w:p w14:paraId="0215BA3E"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Az apixabán és a thrombocytaaggregáció-gátló szerek egyidejű alkalmazása növeli a vérzés kockázatát (lásd 4.5 pont).</w:t>
      </w:r>
    </w:p>
    <w:p w14:paraId="16969EFD"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
    <w:p w14:paraId="2B5E1ECE"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Elővigyázatosság szükséges, ha a betegeket egyidejűleg szelektív szerotoninvisszavétel-gátló szerekkel (SSRI-k) vagy szerotonin-noradrenalin-visszavétel-gátló szerekkel (SNRI-k) vagy nem-szteroid gyulladáscsökkentő gyógyszerekkel kezelik, beleértve az acetilszalicilsavat is.</w:t>
      </w:r>
    </w:p>
    <w:p w14:paraId="54D0A151"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
    <w:p w14:paraId="62C977F1"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Más thrombocytaaggregáció-gátlók apixabánnal történő egyidejű alkalmazása műtét után nem javasolt (lásd 4.5 pont).</w:t>
      </w:r>
    </w:p>
    <w:p w14:paraId="660B3862"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
    <w:p w14:paraId="577EEDA7"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Pitvarfibrillációban és olyan állapotokban szenvedő betegeknél, akiknél egy vagy két gyógyszer kombinálásával thrombocytaaggregáció-gátló kezelés indokolt, ennek a kezelésnek az apixabánnal történő kombinálása előtt a kezelés potenciális előnyeit gondosan mérlegelni kell a potenciális kockázatokkal szemben.</w:t>
      </w:r>
    </w:p>
    <w:p w14:paraId="3B7008A5"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
    <w:p w14:paraId="540867C6"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Egy pitvarfibrillációban szenvedő felnőtt betegekkel végzett klinikai vizsgálatban az apixabánt acetilszalicilsavval egyidejűleg alkalmazva az apixabánt kapó betegeknél az évenkénti 1,8%-ról évenként 3,4%-ra növekedett a nagyfokú vérzés kockázata, a warfarinnal kezelt betegeknél az évenkénti 2,7%-ról évenként 4,6%-ra nőtt a vérzés kockázata. Ebben a klinikai vizsgálatban az egyidejűleg alkalmazott kettős thrombocytaaggregáció-gátló kezelés alkalmazása korlátozott (2,1%) volt (lásd 5.1 pont).</w:t>
      </w:r>
    </w:p>
    <w:p w14:paraId="6181FBDB"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
    <w:p w14:paraId="52A7F419"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Egy klinikai vizsgálatba olyan pitvarfibrillációban szenvedő betegeket vontak be, akiknek akut coronaria szindrómájuk (ACS) volt és/vagy PCI-n estek át, és tervezetten P2Y12-gátló kezelést kaptak acetilszalicilsavval együtt vagy anélkül, valamint orális antikoagulánst (apixabán vagy K-vitamin-antagonista) 6 hónapig. Az acetilszalicilsavval történő együttes alkalmazás évente 16,4%-ról 33,1%-ra növelte az ISTH (Nemzetközi Thrombosis és Haemostasis Társaság) definíciója szerinti nagyfokú vagy CRNM (klinikailag releváns, nem nagyfokú) vérzés kockázatát az apixabánnal kezelt betegeknél (lásd 5.1 pont).</w:t>
      </w:r>
    </w:p>
    <w:p w14:paraId="104C405F"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
    <w:p w14:paraId="584E3575"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Egy klinikai vizsgálatban, amelyben pitvarfibrillációban nem szenvedő, nagy kockázatú, akut coronaria szindrómán átesett, többszörös cardialis és nem cardialis kísérőbetegségekkel jellemezhető</w:t>
      </w:r>
      <w:r w:rsidRPr="00184569" w:rsidDel="00136AA1">
        <w:rPr>
          <w:rFonts w:ascii="Times New Roman" w:eastAsia="Times New Roman" w:hAnsi="Times New Roman" w:cs="Times New Roman"/>
          <w:kern w:val="0"/>
          <w14:ligatures w14:val="none"/>
        </w:rPr>
        <w:t xml:space="preserve"> </w:t>
      </w:r>
      <w:r w:rsidRPr="00184569">
        <w:rPr>
          <w:rFonts w:ascii="Times New Roman" w:eastAsia="Times New Roman" w:hAnsi="Times New Roman" w:cs="Times New Roman"/>
          <w:kern w:val="0"/>
          <w14:ligatures w14:val="none"/>
        </w:rPr>
        <w:t>betegek acetilszalicilsavat vagy acetilszalicilsav és klopidogrel kombinációt kaptak, az ISTH definíciója szerinti nagyfokú vérzés kockázatának jelentős emelkedéséről számoltak be az apixabán esetén (5,13% évente) a placebóhoz képest (2,04% évente).</w:t>
      </w:r>
    </w:p>
    <w:p w14:paraId="4B65A524"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
    <w:p w14:paraId="157D358A"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A CV185325 vizsgálatban nem jelentettek klinikailag jelentős vérzéses eseményt a 12 gyermeknél és serdülőnél, akiket egyidejűleg kezeltek apixabánnal és ≤ 165 mg/nap dózisú acetilszalicilsavval.</w:t>
      </w:r>
    </w:p>
    <w:p w14:paraId="7F7BB257"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
    <w:p w14:paraId="4775B12F"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u w:val="single"/>
          <w14:ligatures w14:val="none"/>
        </w:rPr>
        <w:t>Thrombolyticus gyógyszerek alkalmazása az akut ischaemiás stroke kezelésére</w:t>
      </w:r>
    </w:p>
    <w:p w14:paraId="091B4267"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
    <w:p w14:paraId="75CF133A"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Az apixabánt szedő betegeknél az akut ischaemiás stroke kezelésében nagyon korlátozott a thrombolyticus gyógyszerek alkalmazására vonatkozó tapasztalat (lásd 4.5 pont).</w:t>
      </w:r>
    </w:p>
    <w:p w14:paraId="24217F8C"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
    <w:p w14:paraId="3426F1DB"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u w:val="single"/>
          <w14:ligatures w14:val="none"/>
        </w:rPr>
        <w:t>Műbillentyűvel élő betegek</w:t>
      </w:r>
    </w:p>
    <w:p w14:paraId="551929C9"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
    <w:p w14:paraId="4164EBF2"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Az apixabán biztonságosságát és hatásosságát műbillentyű-beültetésen átesett, pitvarfibrilláló vagy nem pitvarfibrilláló betegeknél nem vizsgálták. Ezért az apixabán alkalmazása ezeknél a betegeknél nem javasolt.</w:t>
      </w:r>
    </w:p>
    <w:p w14:paraId="57BC7A48"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
    <w:p w14:paraId="74ABEE0D"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Az apixabán alkalmazását nem vizsgálták műbillentyűvel rendelkező gyermekeknél és serdülőknél, ezért az apixabán alkalmazása náluk nem javasolt.</w:t>
      </w:r>
    </w:p>
    <w:p w14:paraId="02D85705"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
    <w:p w14:paraId="408F1CAE"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u w:val="single"/>
          <w14:ligatures w14:val="none"/>
        </w:rPr>
        <w:t>Antifoszfolipid szindrómában szenvedő betegek</w:t>
      </w:r>
    </w:p>
    <w:p w14:paraId="4D4C0C17"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
    <w:p w14:paraId="7978A6C5"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A direkt hatású orális antikoagulánsok (Direct Acting Oral Anticoagulant, DOAC), köztük az apixabán, nem javasoltak olyan, korábban thrombosison átesett betegeknél, akiknél antifoszfolipid szindrómát diagnosztizáltak. Különösen tripla pozitív (lupusz antikoaguláns, antikardiolipin antitestek és anti-béta-2-glikoprotein-I antitestek) betegeknél a DOAC-kezelés visszatérő thromboticus események nagyobb gyakoriságával járhat a K-vitamin-antagonistákhoz képest.</w:t>
      </w:r>
    </w:p>
    <w:p w14:paraId="24A2BA4C"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
    <w:p w14:paraId="11D1AA4A" w14:textId="77777777" w:rsidR="00184569" w:rsidRPr="00184569" w:rsidRDefault="00184569" w:rsidP="00184569">
      <w:pPr>
        <w:keepNext/>
        <w:autoSpaceDE w:val="0"/>
        <w:autoSpaceDN w:val="0"/>
        <w:spacing w:after="0" w:line="240" w:lineRule="auto"/>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u w:val="single"/>
          <w14:ligatures w14:val="none"/>
        </w:rPr>
        <w:t>Műtét és invazív beavatkozások</w:t>
      </w:r>
    </w:p>
    <w:p w14:paraId="337E8099" w14:textId="77777777" w:rsidR="00184569" w:rsidRPr="00184569" w:rsidRDefault="00184569" w:rsidP="00184569">
      <w:pPr>
        <w:keepNext/>
        <w:autoSpaceDE w:val="0"/>
        <w:autoSpaceDN w:val="0"/>
        <w:spacing w:after="0" w:line="240" w:lineRule="auto"/>
        <w:rPr>
          <w:rFonts w:ascii="Times New Roman" w:eastAsia="Times New Roman" w:hAnsi="Times New Roman" w:cs="Times New Roman"/>
          <w:kern w:val="0"/>
          <w14:ligatures w14:val="none"/>
        </w:rPr>
      </w:pPr>
    </w:p>
    <w:p w14:paraId="17182B67" w14:textId="77777777" w:rsidR="00184569" w:rsidRPr="00184569" w:rsidRDefault="00184569" w:rsidP="00184569">
      <w:pPr>
        <w:keepNext/>
        <w:autoSpaceDE w:val="0"/>
        <w:autoSpaceDN w:val="0"/>
        <w:spacing w:after="0" w:line="240" w:lineRule="auto"/>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Közepes vagy jelentős vérzési kockázattal járó elektív műtét vagy invazív beavatkozások előtt az apixabán alkalmazását legalább 48 órával korábban abba kell hagyni. Ezek közé olyan beavatkozások tartoznak, amelyeknél a klinikailag jelentős vérzés kockázata nem zárható ki, vagy amelyeknél a vérzés kockázata elfogadhatatlan lehet.</w:t>
      </w:r>
    </w:p>
    <w:p w14:paraId="1545BC47"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
    <w:p w14:paraId="2F54A990"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Alacsony vérzési kockázattal járó elektív műtét vagy invazív beavatkozások előtt az apixabán alkalmazását legalább 24 órával korábban abba kell hagyni. Ezek közé olyan beavatkozások tartoznak, amelyeknél bármilyen előforduló vérzés várhatóan minimális, nem kritikus a helye, és könnyen kontrollálható.</w:t>
      </w:r>
    </w:p>
    <w:p w14:paraId="5DF9D4E0"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
    <w:p w14:paraId="54686DDD"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Ha a műtét vagy az invazív beavatkozások nem halaszthatók, megfelelő elővigyázatosság szükséges, és a vérzés fokozott kockázatát tekintetbe kell venni. A vérzés kockázatát mérlegelni kell a beavatkozás sürgősségével szemben.</w:t>
      </w:r>
    </w:p>
    <w:p w14:paraId="454BA4FB"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
    <w:p w14:paraId="02050808"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Az invazív eljárás vagy sebészi beavatkozás után az apixabánt a lehető leghamarabb újra kell kezdeni, feltételezve, hogy azt a klinikai állapot lehetővé teszi, és az adekvát haemostasist elérték (kardioverzióra vonatkozóan lásd a 4.2 pontot).</w:t>
      </w:r>
    </w:p>
    <w:p w14:paraId="1611BC07"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
    <w:p w14:paraId="416716F6"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Pitvarfibrilláció miatt katéteres ablációban részesülő betegeknél nincs szükség az apixabán-kezelés megszakítására (lásd 4.2, 4.3 és 4.5 pont).</w:t>
      </w:r>
    </w:p>
    <w:p w14:paraId="2AE8B19C"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
    <w:p w14:paraId="3BF28A22" w14:textId="77777777" w:rsidR="00184569" w:rsidRPr="00184569" w:rsidRDefault="00184569" w:rsidP="00184569">
      <w:pPr>
        <w:keepNext/>
        <w:autoSpaceDE w:val="0"/>
        <w:autoSpaceDN w:val="0"/>
        <w:spacing w:after="0" w:line="240" w:lineRule="auto"/>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u w:val="single"/>
          <w14:ligatures w14:val="none"/>
        </w:rPr>
        <w:t>A kezelés átmeneti felfüggesztése</w:t>
      </w:r>
    </w:p>
    <w:p w14:paraId="62AA19BC" w14:textId="77777777" w:rsidR="00184569" w:rsidRPr="00184569" w:rsidRDefault="00184569" w:rsidP="00184569">
      <w:pPr>
        <w:keepNext/>
        <w:spacing w:after="0" w:line="240" w:lineRule="auto"/>
        <w:rPr>
          <w:rFonts w:ascii="Times New Roman" w:eastAsia="Calibri" w:hAnsi="Times New Roman" w:cs="Times New Roman"/>
          <w:kern w:val="0"/>
          <w14:ligatures w14:val="none"/>
        </w:rPr>
      </w:pPr>
    </w:p>
    <w:p w14:paraId="32AA23E7" w14:textId="77777777" w:rsidR="00184569" w:rsidRPr="00184569" w:rsidRDefault="00184569" w:rsidP="00184569">
      <w:pPr>
        <w:spacing w:after="0" w:line="240" w:lineRule="auto"/>
        <w:rPr>
          <w:rFonts w:ascii="Times New Roman" w:eastAsia="Calibri" w:hAnsi="Times New Roman" w:cs="Times New Roman"/>
          <w:kern w:val="0"/>
          <w14:ligatures w14:val="none"/>
        </w:rPr>
      </w:pPr>
      <w:r w:rsidRPr="00184569">
        <w:rPr>
          <w:rFonts w:ascii="Times New Roman" w:eastAsia="Calibri" w:hAnsi="Times New Roman" w:cs="Times New Roman"/>
          <w:kern w:val="0"/>
          <w14:ligatures w14:val="none"/>
        </w:rPr>
        <w:t>Az aktív vérzés, elektív műtét vagy invazív beavatkozások végzésekor adott antikoagulánsok, köztük az apixabán leállítása a betegeket a thrombosis fokozott kockázatának teszi ki. El kell kerülni a terápiás hibákat, és ha az apixabánnal végzett antikoagulálást bármilyen okból átmenetileg le kell állítani, a kezelést újra el kell kezdeni, amilyen hamar csak lehet.</w:t>
      </w:r>
    </w:p>
    <w:p w14:paraId="44303041"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
    <w:p w14:paraId="07B81791"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u w:val="single"/>
          <w14:ligatures w14:val="none"/>
        </w:rPr>
        <w:t>Spinalis/epiduralis anaesthesia vagy punctio</w:t>
      </w:r>
    </w:p>
    <w:p w14:paraId="3C6CC302"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
    <w:p w14:paraId="3381F972"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Neuraxialis anaesthesia (spinalis/epiduralis anaesthesia) vagy lumbalis/epiduralis punctio esetén a thromboemboliás szövődmények megelőzése érdekében antithromboticus szerekkel kezelt betegeknél fennáll az epiduralis vagy spinalis haematoma kialakulásának kockázata, ami hosszan tartó vagy végleges paralysist eredményezhet. Ezeknek az eseményeknek a kockázata a tartós epiduralis kanül posztoperatív alkalmazásával, vagy a haemostasist befolyásoló gyógyszerek egyidejű alkalmazásával növekedhet. A tartós epiduralis vagy intrathecalis kanülöket legalább 5 órával az apixabán első dózisának beadása előtt el kell távolítani. A traumás vagy ismételt epiduralis vagy lumbalpunctio szintén növelheti a kockázatot. A betegeknél gyakran kell monitorozni a neurológiai károsodásra utaló jeleket és tüneteket (pl. az alsó végtagok zsibbadása vagy gyengesége, végbél- vagy húgyhólyag-dysfunctio). Neurológiai károsodás detektálása esetén a diagnózis sürgős felállítása és kezelés szükséges. Neuroaxialis beavatkozás előtt az antikoagulált betegeknél vagy a thromboprophylaxis céljából antikoagulálandó betegeknél az orvosnak mérlegelnie kell a potenciális előnyöket a kockázatokkal szemben.</w:t>
      </w:r>
    </w:p>
    <w:p w14:paraId="1C4B5C77"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
    <w:p w14:paraId="1226F0BD"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Nincs klinikai tapasztalat az apixabán kezelésre vonatkozóan tartósan bentmaradó intrathecalis vagy epiduralis katéter alkalmazásakor. Abban az esetben, ha erre van szükség, az apixabán általános farmakokinetikai jellemzői alapján egy 20–30 órás időtartamnak (azaz a felezési idő kétszeresének) el kell telnie az apixabán utolsó dózisának beadása és a katéter kihúzása között, és legalább egy dózist ki kell hagyni a katéter eltávolítása előtt. Az apixabán következő dózisát legkorábban 5 órával a katéter eltávolítása után lehet adni. Mint minden új antikoaguláns gyógyszer esetén, a neuroaxiális blokáddal szerzett tapasztalat korlátozott, és ezért rendkívüli elővigyázatosság javasolt, ha az apixabánt neuroaxiális blokád fennállásakor alkalmazzák.</w:t>
      </w:r>
    </w:p>
    <w:p w14:paraId="7AEE3C47"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
    <w:p w14:paraId="208B63C9"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Nincsenek rendelkezésre álló adatok a neuroaxiális katéter behelyezésének vagy eltávolításának időzítésével kapcsolatban apixabánt szedő gyermekeknél és serdülőknél. Ilyen esetben meg kell szakítani az apixabán-kezelést, és meg kell fontolni rövid hatástartamú, parenterális antikoaguláns alkalmazását.</w:t>
      </w:r>
    </w:p>
    <w:p w14:paraId="1E7FD064"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
    <w:p w14:paraId="286A52EA"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u w:val="single"/>
          <w14:ligatures w14:val="none"/>
        </w:rPr>
      </w:pPr>
      <w:r w:rsidRPr="00184569">
        <w:rPr>
          <w:rFonts w:ascii="Times New Roman" w:eastAsia="Times New Roman" w:hAnsi="Times New Roman" w:cs="Times New Roman"/>
          <w:kern w:val="0"/>
          <w:u w:val="single"/>
          <w14:ligatures w14:val="none"/>
        </w:rPr>
        <w:t>Hemodinamikailag instabil tüdőembóliás, illetve thrombolysist vagy pulmonalis embolectomiát igénylő betegek</w:t>
      </w:r>
    </w:p>
    <w:p w14:paraId="11FB9288"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
    <w:p w14:paraId="7B3135BB"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A hemodinamikailag instabil tüdőembóliás betegeknél, vagy a várhatóan thrombolysissel vagy pulmonalis embolectomiával kezelendő betegeknél az apixabán alkalmazása nem javasolt a nem frakcionált heparin alternatívájaként, mivel az apixabán biztonságosságát és hatásosságát ezekben a klinikai helyzetekben nem igazolták.</w:t>
      </w:r>
    </w:p>
    <w:p w14:paraId="29E74E55"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
    <w:p w14:paraId="29B4CF0C"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u w:val="single"/>
          <w14:ligatures w14:val="none"/>
        </w:rPr>
        <w:t>Aktív daganatos betegek</w:t>
      </w:r>
    </w:p>
    <w:p w14:paraId="1877D3BB"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
    <w:p w14:paraId="480274A4" w14:textId="2B741846"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 xml:space="preserve">Az aktív daganatos betegeknél mind a vénás tromboembolia, mind a vérzéses események kockázata </w:t>
      </w:r>
      <w:r w:rsidR="00AF22A1">
        <w:rPr>
          <w:rFonts w:ascii="Times New Roman" w:eastAsia="Times New Roman" w:hAnsi="Times New Roman" w:cs="Times New Roman"/>
          <w:kern w:val="0"/>
          <w14:ligatures w14:val="none"/>
        </w:rPr>
        <w:t xml:space="preserve">nagy </w:t>
      </w:r>
      <w:r w:rsidRPr="00184569">
        <w:rPr>
          <w:rFonts w:ascii="Times New Roman" w:eastAsia="Times New Roman" w:hAnsi="Times New Roman" w:cs="Times New Roman"/>
          <w:kern w:val="0"/>
          <w14:ligatures w14:val="none"/>
        </w:rPr>
        <w:t>lehet. Amennyiben daganatos betegeknél fontolóra veszik az apixabán alkalmazását MVT vagy PE kezelésére, gondosan mérlegelni kell a kezelés előnyeit és kockázatait (lásd még 4.3 pont).</w:t>
      </w:r>
    </w:p>
    <w:p w14:paraId="21418AE7"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
    <w:p w14:paraId="6A7A72CB" w14:textId="77777777" w:rsidR="00184569" w:rsidRPr="00184569" w:rsidRDefault="00184569" w:rsidP="00184569">
      <w:pPr>
        <w:keepNext/>
        <w:autoSpaceDE w:val="0"/>
        <w:autoSpaceDN w:val="0"/>
        <w:spacing w:after="0" w:line="240" w:lineRule="auto"/>
        <w:rPr>
          <w:rFonts w:ascii="Times New Roman" w:eastAsia="Times New Roman" w:hAnsi="Times New Roman" w:cs="Times New Roman"/>
          <w:kern w:val="0"/>
          <w:u w:val="single"/>
          <w14:ligatures w14:val="none"/>
        </w:rPr>
      </w:pPr>
      <w:r w:rsidRPr="00184569">
        <w:rPr>
          <w:rFonts w:ascii="Times New Roman" w:eastAsia="Times New Roman" w:hAnsi="Times New Roman" w:cs="Times New Roman"/>
          <w:kern w:val="0"/>
          <w:u w:val="single"/>
          <w14:ligatures w14:val="none"/>
        </w:rPr>
        <w:t>Vesekárosodásban szenvedő betegek</w:t>
      </w:r>
    </w:p>
    <w:p w14:paraId="7692BC65" w14:textId="77777777" w:rsidR="00184569" w:rsidRPr="00184569" w:rsidRDefault="00184569" w:rsidP="00184569">
      <w:pPr>
        <w:keepNext/>
        <w:autoSpaceDE w:val="0"/>
        <w:autoSpaceDN w:val="0"/>
        <w:spacing w:after="0" w:line="240" w:lineRule="auto"/>
        <w:rPr>
          <w:rFonts w:ascii="Times New Roman" w:eastAsia="Times New Roman" w:hAnsi="Times New Roman" w:cs="Times New Roman"/>
          <w:kern w:val="0"/>
          <w14:ligatures w14:val="none"/>
        </w:rPr>
      </w:pPr>
    </w:p>
    <w:p w14:paraId="7652690C" w14:textId="77777777" w:rsidR="00184569" w:rsidRPr="00184569" w:rsidRDefault="00184569" w:rsidP="00184569">
      <w:pPr>
        <w:keepNext/>
        <w:autoSpaceDE w:val="0"/>
        <w:autoSpaceDN w:val="0"/>
        <w:spacing w:after="0" w:line="240" w:lineRule="auto"/>
        <w:rPr>
          <w:rFonts w:ascii="Times New Roman" w:eastAsia="Times New Roman" w:hAnsi="Times New Roman" w:cs="Times New Roman"/>
          <w:i/>
          <w:iCs/>
          <w:kern w:val="0"/>
          <w14:ligatures w14:val="none"/>
        </w:rPr>
      </w:pPr>
      <w:r w:rsidRPr="00184569">
        <w:rPr>
          <w:rFonts w:ascii="Times New Roman" w:eastAsia="Times New Roman" w:hAnsi="Times New Roman" w:cs="Times New Roman"/>
          <w:i/>
          <w:iCs/>
          <w:kern w:val="0"/>
          <w14:ligatures w14:val="none"/>
        </w:rPr>
        <w:t>Felnőttek</w:t>
      </w:r>
    </w:p>
    <w:p w14:paraId="5294E306" w14:textId="77777777" w:rsidR="00184569" w:rsidRPr="00184569" w:rsidRDefault="00184569" w:rsidP="00184569">
      <w:pPr>
        <w:keepNext/>
        <w:autoSpaceDE w:val="0"/>
        <w:autoSpaceDN w:val="0"/>
        <w:spacing w:after="0" w:line="240" w:lineRule="auto"/>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A korlátozott mennyiségű klinikai adat azt mutatja, hogy az apixabán plazmakoncentrációja súlyos fokú vesekárosodásban szenvedő betegeknél (kreatinin-clearance 15–29 ml/perc) emelkedett, ami megnövekedett vérzési kockázathoz vezethet. Súlyos fokú vesekárosodásban szenvedő betegeknél (kreatinin-clearance 15–29 ml/perc) MVT-kezelésére, PE-kezelésére, az MVT és PE kiújulásának megelőzésére (VTEt) az apixabánt elővigyázatossággal kell alkalmazni (lásd 4.2 és 5.2 pont).</w:t>
      </w:r>
    </w:p>
    <w:p w14:paraId="34D64C26"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
    <w:p w14:paraId="1C342805"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roofErr w:type="gramStart"/>
      <w:r w:rsidRPr="00184569">
        <w:rPr>
          <w:rFonts w:ascii="Times New Roman" w:eastAsia="Times New Roman" w:hAnsi="Times New Roman" w:cs="Times New Roman"/>
          <w:kern w:val="0"/>
          <w14:ligatures w14:val="none"/>
        </w:rPr>
        <w:t>Stroke és szisztémás embolizáció prevenciója esetén a nem valvuláris pitvarfibrillációban szenvedő betegeknek, súlyos fokú vesekárosodásban szenvedő betegeknek (kreatinin-clearance 15–29 ml/perc), és azoknak a betegeknek, akiknek a szérum kreatininszintje ≥ 1,5 mg/dl (133 mikromol/l), ami ≥ 80 éves életkorral vagy ≤ 60 kg-os testtömeggel jár, kisebb dózist, naponta kétszer 2,5 mg apixabánt kell kapniuk (lásd 4.2 pont).</w:t>
      </w:r>
      <w:proofErr w:type="gramEnd"/>
    </w:p>
    <w:p w14:paraId="17F015F8"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
    <w:p w14:paraId="70878FE0"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Nincs klinikai tapasztalat olyan betegekkel, akiknek a kreatinin-clearence-e &lt; 15 ml/perc, vagy dialízis-kezelés alatt állnak, ezért számukra az apixabán nem javasolt (lásd 4.2 és 5.2 pont).</w:t>
      </w:r>
    </w:p>
    <w:p w14:paraId="1BA77AD7"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u w:val="single"/>
          <w14:ligatures w14:val="none"/>
        </w:rPr>
      </w:pPr>
    </w:p>
    <w:p w14:paraId="03204454"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i/>
          <w:iCs/>
          <w:kern w:val="0"/>
          <w14:ligatures w14:val="none"/>
        </w:rPr>
      </w:pPr>
      <w:r w:rsidRPr="00184569">
        <w:rPr>
          <w:rFonts w:ascii="Times New Roman" w:eastAsia="Times New Roman" w:hAnsi="Times New Roman" w:cs="Times New Roman"/>
          <w:i/>
          <w:iCs/>
          <w:kern w:val="0"/>
          <w14:ligatures w14:val="none"/>
        </w:rPr>
        <w:t>Gyermekek és serdülők</w:t>
      </w:r>
    </w:p>
    <w:p w14:paraId="07EA032A"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Az apixabánt nem vizsgálták súlyos fokú vesekárosodásban szenvedő gyermekeknél és serdülőknél, ezért ezek a betegek nem kaphatnak apixabánt (lásd 4.2 és 5.2 pont).</w:t>
      </w:r>
    </w:p>
    <w:p w14:paraId="37882206"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u w:val="single"/>
          <w14:ligatures w14:val="none"/>
        </w:rPr>
      </w:pPr>
    </w:p>
    <w:p w14:paraId="7C8E20C0"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u w:val="single"/>
          <w14:ligatures w14:val="none"/>
        </w:rPr>
        <w:t>Idősek</w:t>
      </w:r>
    </w:p>
    <w:p w14:paraId="738B5BD6"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
    <w:p w14:paraId="444F04C6"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Az életkor előrehaladásával a vérzési kockázat fokozódhat (lásd 5.2 pont).</w:t>
      </w:r>
    </w:p>
    <w:p w14:paraId="2676E64A"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Ezen kívül, a potenciálisan magasabb vérzési kockázat miatt idős betegeknél az apixabán és acetilszalicilsav kombinációt óvatossággal kell alkalmazni.</w:t>
      </w:r>
    </w:p>
    <w:p w14:paraId="3A6D6DDD"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
    <w:p w14:paraId="131C8DFB"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u w:val="single"/>
          <w14:ligatures w14:val="none"/>
        </w:rPr>
      </w:pPr>
      <w:r w:rsidRPr="00184569">
        <w:rPr>
          <w:rFonts w:ascii="Times New Roman" w:eastAsia="Times New Roman" w:hAnsi="Times New Roman" w:cs="Times New Roman"/>
          <w:kern w:val="0"/>
          <w:u w:val="single"/>
          <w14:ligatures w14:val="none"/>
        </w:rPr>
        <w:t>Testtömeg</w:t>
      </w:r>
    </w:p>
    <w:p w14:paraId="497F8FBA"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
    <w:p w14:paraId="3DB9BF97" w14:textId="1FD40694"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A</w:t>
      </w:r>
      <w:r w:rsidR="009F0E53">
        <w:rPr>
          <w:rFonts w:ascii="Times New Roman" w:eastAsia="Times New Roman" w:hAnsi="Times New Roman" w:cs="Times New Roman"/>
          <w:kern w:val="0"/>
          <w14:ligatures w14:val="none"/>
        </w:rPr>
        <w:t xml:space="preserve"> kis</w:t>
      </w:r>
      <w:r w:rsidRPr="00184569">
        <w:rPr>
          <w:rFonts w:ascii="Times New Roman" w:eastAsia="Times New Roman" w:hAnsi="Times New Roman" w:cs="Times New Roman"/>
          <w:kern w:val="0"/>
          <w14:ligatures w14:val="none"/>
        </w:rPr>
        <w:t xml:space="preserve"> testtömeg (&lt; 60 kg) növelheti a vérzési kockázatot (lásd 5.2 pont). </w:t>
      </w:r>
    </w:p>
    <w:p w14:paraId="19F7E8B6"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
    <w:p w14:paraId="56A75453"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u w:val="single"/>
          <w14:ligatures w14:val="none"/>
        </w:rPr>
        <w:t>Májkárosodás</w:t>
      </w:r>
    </w:p>
    <w:p w14:paraId="6C5AD58F"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
    <w:p w14:paraId="73BFADE1"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Az apixabán ellenjavallt véralvadási zavarral és klinikailag jelentős vérzési kockázattal járó májbetegségben szenvedő betegeknél (lásd 4.3 pont).</w:t>
      </w:r>
    </w:p>
    <w:p w14:paraId="1B7E9657"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
    <w:p w14:paraId="625A35FC"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Súlyos fokú májkárosodásban szenvedő betegeknél az apixabán alkalmazása nem ajánlott (lásd 5.2 pont).</w:t>
      </w:r>
    </w:p>
    <w:p w14:paraId="39D5EF18"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
    <w:p w14:paraId="5F4250CC"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Enyhe vagy közepes fokú májkárosodásban szenvedő betegeknél (Child–Pugh A vagy B stádium) az apixabánt óvatossággal kell alkalmazni (lásd 4.2 és 5.2 pont).</w:t>
      </w:r>
    </w:p>
    <w:p w14:paraId="0E227D3A"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
    <w:p w14:paraId="5C2AC8C0"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Kizárták a klinikai vizsgálatokból azokat a betegeket, akiknél a GPT/GOT májenzimek szintjének emelkedése meghaladta a normálérték felső határának kétszeresét, vagy az összbilirubin szintje a normálérték felső határának ≥ 1,5-szerese volt. Ezért az apixabánt ebben a betegcsoportban körültekintően kell alkalmazni (lásd 5.2 pont). Az apixabán alkalmazásának elkezdése előtt májfunkciós vizsgálatot kell végezni.</w:t>
      </w:r>
    </w:p>
    <w:p w14:paraId="70644DCE"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
    <w:p w14:paraId="5309D2CB"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Az apixabánt nem vizsgálták májkárosodásban szenvedő gyermekeknél és serdülőknél.</w:t>
      </w:r>
    </w:p>
    <w:p w14:paraId="3AE8926F"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
    <w:p w14:paraId="07467A41"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u w:val="single"/>
          <w14:ligatures w14:val="none"/>
        </w:rPr>
      </w:pPr>
      <w:r w:rsidRPr="00184569">
        <w:rPr>
          <w:rFonts w:ascii="Times New Roman" w:eastAsia="Times New Roman" w:hAnsi="Times New Roman" w:cs="Times New Roman"/>
          <w:kern w:val="0"/>
          <w:u w:val="single"/>
          <w14:ligatures w14:val="none"/>
        </w:rPr>
        <w:t>Kölcsönhatás a citokróm P450 3A4-et (CYP3A4) és a P-glikoproteint (P-gp) egyaránt gátló gyógyszerekkel</w:t>
      </w:r>
    </w:p>
    <w:p w14:paraId="35CCBF7E"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
    <w:p w14:paraId="0ADB213D"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Az apixabán alkalmazása nem javasolt olyan betegeknél, akik egyidejűleg CYP3A4-et és P-gp-t egyaránt erősen gátló szerekkel végzett szisztémás kezelést kapnak, mint amilyenek az azol-típusú antimikotikumok (például ketokonazol, itrakonazol, vorikonazol, valamint a pozakonazol) és a HIV-proteáz-gátlók (például ritonavir). Ezek a gyógyszerek az apixabán expozícióját kétszeresére növelhetik (lásd 4.5 pont), vagy ennél is nagyobbra, ha egyéb olyan tényezők is fennállnak, amelyek az apixabán-expozíciót növelik (például súlyos fokú vesekárosodás).</w:t>
      </w:r>
    </w:p>
    <w:p w14:paraId="1396DA2F"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
    <w:p w14:paraId="1D3CF952"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Nem állnak rendelkezésre adatok olyan gyermekekről és serdülőkről, akik egyidejűleg a CYP3A4-et és a P-gp-t egyaránt erősen gátló szerekkel végzett szisztémás kezelést kaptak (lásd 4.5 pont).</w:t>
      </w:r>
    </w:p>
    <w:p w14:paraId="473573C3"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
    <w:p w14:paraId="68A6E9C9"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u w:val="single"/>
          <w14:ligatures w14:val="none"/>
        </w:rPr>
        <w:t>Kölcsönhatás a CYP3A4-ra és a P-gp-re egyaránt ható induktorokkal</w:t>
      </w:r>
    </w:p>
    <w:p w14:paraId="6663BE13"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
    <w:p w14:paraId="1B7FDAFC"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Az apixabán egyidejű alkalmazása a CYP3A4 és P-gp erős induktoraival (pl. rifampicin, fenitoin, karbamazepin, fenobarbitál vagy közönséges orbáncfű [</w:t>
      </w:r>
      <w:r w:rsidRPr="00184569">
        <w:rPr>
          <w:rFonts w:ascii="Times New Roman" w:eastAsia="Times New Roman" w:hAnsi="Times New Roman" w:cs="Times New Roman"/>
          <w:i/>
          <w:kern w:val="0"/>
          <w14:ligatures w14:val="none"/>
        </w:rPr>
        <w:t>Hypericum perforatum</w:t>
      </w:r>
      <w:r w:rsidRPr="00184569">
        <w:rPr>
          <w:rFonts w:ascii="Times New Roman" w:eastAsia="Times New Roman" w:hAnsi="Times New Roman" w:cs="Times New Roman"/>
          <w:kern w:val="0"/>
          <w14:ligatures w14:val="none"/>
        </w:rPr>
        <w:t>]) az apixabán-expozíció közel 50%-os csökkenéséhez vezethet. Egy pitvarfibrilláló betegekkel végzett klinikai vizsgálatban az önmagában adott apixabánhoz képest csökkent hatásosságot és a vérzés magasabb kockázatát figyelték meg, ha az apixabánt a CYP3A4 és a P-gp egyaránt erős induktoraival együtt adták.</w:t>
      </w:r>
    </w:p>
    <w:p w14:paraId="1300C799"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
    <w:p w14:paraId="1FF5E817"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Azoknál a betegeknél, akik egyidejűleg CYP3A4 és P-gp erős induktoraival végzett szisztémás kezelést kapnak, az alábbi ajánlásokat kell betartani (lásd 4.5 pont):</w:t>
      </w:r>
    </w:p>
    <w:p w14:paraId="37D573FA"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
    <w:p w14:paraId="12CF0B73" w14:textId="77777777" w:rsidR="00184569" w:rsidRPr="00184569" w:rsidRDefault="00184569" w:rsidP="008B021B">
      <w:pPr>
        <w:widowControl w:val="0"/>
        <w:numPr>
          <w:ilvl w:val="0"/>
          <w:numId w:val="6"/>
        </w:numPr>
        <w:autoSpaceDE w:val="0"/>
        <w:autoSpaceDN w:val="0"/>
        <w:spacing w:after="0" w:line="240" w:lineRule="auto"/>
        <w:ind w:left="567" w:hanging="567"/>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stroke és szisztémás embolizáció prevenciójára a nem valvuláris pitvarfibrillációban szenvedő betegeknél, és az MVT és PE kiújulásának megelőzésére az apixabánt óvatossággal kell alkalmazni;</w:t>
      </w:r>
    </w:p>
    <w:p w14:paraId="2BF6F526" w14:textId="77777777" w:rsidR="00184569" w:rsidRPr="00184569" w:rsidRDefault="00184569" w:rsidP="00184569">
      <w:pPr>
        <w:widowControl w:val="0"/>
        <w:autoSpaceDE w:val="0"/>
        <w:autoSpaceDN w:val="0"/>
        <w:spacing w:after="0" w:line="240" w:lineRule="auto"/>
        <w:ind w:left="567"/>
        <w:rPr>
          <w:rFonts w:ascii="Times New Roman" w:eastAsia="Times New Roman" w:hAnsi="Times New Roman" w:cs="Times New Roman"/>
          <w:kern w:val="0"/>
          <w14:ligatures w14:val="none"/>
        </w:rPr>
      </w:pPr>
    </w:p>
    <w:p w14:paraId="3C277963" w14:textId="77777777" w:rsidR="00184569" w:rsidRPr="00184569" w:rsidRDefault="00184569" w:rsidP="008B021B">
      <w:pPr>
        <w:widowControl w:val="0"/>
        <w:numPr>
          <w:ilvl w:val="0"/>
          <w:numId w:val="6"/>
        </w:numPr>
        <w:autoSpaceDE w:val="0"/>
        <w:autoSpaceDN w:val="0"/>
        <w:spacing w:after="0" w:line="240" w:lineRule="auto"/>
        <w:ind w:left="567" w:hanging="567"/>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MVT kezelésére és pulmonalis embolia kezelésére az apixabán nem alkalmazható, mivel a hatásosság romolhat.</w:t>
      </w:r>
    </w:p>
    <w:p w14:paraId="5168A8D9" w14:textId="77777777" w:rsidR="00184569" w:rsidRPr="00184569" w:rsidRDefault="00184569" w:rsidP="00184569">
      <w:pPr>
        <w:widowControl w:val="0"/>
        <w:autoSpaceDE w:val="0"/>
        <w:autoSpaceDN w:val="0"/>
        <w:spacing w:after="0" w:line="240" w:lineRule="auto"/>
        <w:ind w:left="567"/>
        <w:rPr>
          <w:rFonts w:ascii="Times New Roman" w:eastAsia="Times New Roman" w:hAnsi="Times New Roman" w:cs="Times New Roman"/>
          <w:kern w:val="0"/>
          <w14:ligatures w14:val="none"/>
        </w:rPr>
      </w:pPr>
    </w:p>
    <w:p w14:paraId="37227D86"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Nem állnak rendelkezésre adatok olyan gyermekekről és serdülőkről, akik egyidejűleg a CYP3A4-nek és a P-gp-nek egyaránt erős induktoraival végzett szisztémás kezelést kaptak (lásd 4.5 pont)</w:t>
      </w:r>
    </w:p>
    <w:p w14:paraId="41365EB6"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
    <w:p w14:paraId="5DDC4E92" w14:textId="77777777" w:rsidR="00184569" w:rsidRPr="00184569" w:rsidRDefault="00184569" w:rsidP="00184569">
      <w:pPr>
        <w:keepNext/>
        <w:widowControl w:val="0"/>
        <w:autoSpaceDE w:val="0"/>
        <w:autoSpaceDN w:val="0"/>
        <w:spacing w:after="0" w:line="240" w:lineRule="auto"/>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u w:val="single"/>
          <w14:ligatures w14:val="none"/>
        </w:rPr>
        <w:t>Laboratóriumi paraméterek</w:t>
      </w:r>
    </w:p>
    <w:p w14:paraId="67BF2ACD" w14:textId="77777777" w:rsidR="00184569" w:rsidRPr="00184569" w:rsidRDefault="00184569" w:rsidP="00184569">
      <w:pPr>
        <w:keepNext/>
        <w:widowControl w:val="0"/>
        <w:autoSpaceDE w:val="0"/>
        <w:autoSpaceDN w:val="0"/>
        <w:spacing w:after="0" w:line="240" w:lineRule="auto"/>
        <w:rPr>
          <w:rFonts w:ascii="Times New Roman" w:eastAsia="Times New Roman" w:hAnsi="Times New Roman" w:cs="Times New Roman"/>
          <w:kern w:val="0"/>
          <w14:ligatures w14:val="none"/>
        </w:rPr>
      </w:pPr>
    </w:p>
    <w:p w14:paraId="2BD9ECAA"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A véralvadási vizsgálatokat – például prothrombinidő (PI), INR és aktivált parciális thromboplastinidő (aPTI) – az apixabán a hatásmechanizmusa alapján várható módon befolyásolja. A várható terápiás adagolás mellett végzett véralvadási vizsgálatok során tapasztalt változások csekélyek, és nagyfokú variabilitást mutatnak (lásd 5.1 pont).</w:t>
      </w:r>
    </w:p>
    <w:p w14:paraId="625908B4"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
    <w:p w14:paraId="0CAFBE28"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u w:val="single"/>
          <w14:ligatures w14:val="none"/>
        </w:rPr>
        <w:t>Segédanyagokra vonatkozó információk</w:t>
      </w:r>
    </w:p>
    <w:p w14:paraId="4D1EB310"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
    <w:p w14:paraId="2DC83EEF"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Az Apixaban Grindeks laktózt tartalmaz. Ritkán előforduló, örökletes galaktózintoleranciában, teljes laktáz-hiányban vagy glükóz-galaktóz malabszorpcióban a készítmény nem szedhető.</w:t>
      </w:r>
    </w:p>
    <w:p w14:paraId="762333A8"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 xml:space="preserve">A készítmény </w:t>
      </w:r>
      <w:proofErr w:type="gramStart"/>
      <w:r w:rsidRPr="00184569">
        <w:rPr>
          <w:rFonts w:ascii="Times New Roman" w:eastAsia="Times New Roman" w:hAnsi="Times New Roman" w:cs="Times New Roman"/>
          <w:kern w:val="0"/>
          <w14:ligatures w14:val="none"/>
        </w:rPr>
        <w:t>kevesebb</w:t>
      </w:r>
      <w:proofErr w:type="gramEnd"/>
      <w:r w:rsidRPr="00184569">
        <w:rPr>
          <w:rFonts w:ascii="Times New Roman" w:eastAsia="Times New Roman" w:hAnsi="Times New Roman" w:cs="Times New Roman"/>
          <w:kern w:val="0"/>
          <w14:ligatures w14:val="none"/>
        </w:rPr>
        <w:t xml:space="preserve"> mint 1 mmol (23 mg) nátriumot tartalmaz tablettánként, azaz gyakorlatilag „nátriummentes”.</w:t>
      </w:r>
    </w:p>
    <w:p w14:paraId="3F81B642"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
    <w:p w14:paraId="6E39D020" w14:textId="77777777" w:rsidR="00184569" w:rsidRPr="00184569" w:rsidRDefault="00184569" w:rsidP="008B021B">
      <w:pPr>
        <w:widowControl w:val="0"/>
        <w:numPr>
          <w:ilvl w:val="1"/>
          <w:numId w:val="5"/>
        </w:numPr>
        <w:autoSpaceDE w:val="0"/>
        <w:autoSpaceDN w:val="0"/>
        <w:spacing w:after="0" w:line="240" w:lineRule="auto"/>
        <w:ind w:left="567"/>
        <w:outlineLvl w:val="1"/>
        <w:rPr>
          <w:rFonts w:ascii="Times New Roman" w:eastAsia="Times New Roman" w:hAnsi="Times New Roman" w:cs="Times New Roman"/>
          <w:b/>
          <w:bCs/>
          <w:kern w:val="0"/>
          <w14:ligatures w14:val="none"/>
        </w:rPr>
      </w:pPr>
      <w:r w:rsidRPr="00184569">
        <w:rPr>
          <w:rFonts w:ascii="Times New Roman" w:eastAsia="Times New Roman" w:hAnsi="Times New Roman" w:cs="Times New Roman"/>
          <w:b/>
          <w:bCs/>
          <w:kern w:val="0"/>
          <w14:ligatures w14:val="none"/>
        </w:rPr>
        <w:t>Gyógyszerkölcsönhatások és egyéb interakciók</w:t>
      </w:r>
    </w:p>
    <w:p w14:paraId="3AF246C6"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b/>
          <w:kern w:val="0"/>
          <w14:ligatures w14:val="none"/>
        </w:rPr>
      </w:pPr>
    </w:p>
    <w:p w14:paraId="7B91EA2D"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u w:val="single"/>
          <w14:ligatures w14:val="none"/>
        </w:rPr>
        <w:t>CYP3A4- és P-gp-inhibitorok</w:t>
      </w:r>
    </w:p>
    <w:p w14:paraId="27D1AECB"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
    <w:p w14:paraId="322B71B2"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Az apixabán együttes alkalmazása ketokonazollal (naponta egyszer 400 mg), ami a CYP3A4-nek és a P-gp-nek egyaránt erős inhibitora, az apixabán átlagos AUC-értékének kétszeres, átlagos C</w:t>
      </w:r>
      <w:r w:rsidRPr="00184569">
        <w:rPr>
          <w:rFonts w:ascii="Times New Roman" w:eastAsia="Times New Roman" w:hAnsi="Times New Roman" w:cs="Times New Roman"/>
          <w:kern w:val="0"/>
          <w:vertAlign w:val="subscript"/>
          <w14:ligatures w14:val="none"/>
        </w:rPr>
        <w:t>max</w:t>
      </w:r>
      <w:r w:rsidRPr="00184569">
        <w:rPr>
          <w:rFonts w:ascii="Times New Roman" w:eastAsia="Times New Roman" w:hAnsi="Times New Roman" w:cs="Times New Roman"/>
          <w:kern w:val="0"/>
          <w:vertAlign w:val="subscript"/>
          <w14:ligatures w14:val="none"/>
        </w:rPr>
        <w:noBreakHyphen/>
      </w:r>
      <w:r w:rsidRPr="00184569">
        <w:rPr>
          <w:rFonts w:ascii="Times New Roman" w:eastAsia="Times New Roman" w:hAnsi="Times New Roman" w:cs="Times New Roman"/>
          <w:kern w:val="0"/>
          <w14:ligatures w14:val="none"/>
        </w:rPr>
        <w:t>értékének pedig 1,6-szeres növekedéséhez vezetett.</w:t>
      </w:r>
    </w:p>
    <w:p w14:paraId="47B58C3C"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
    <w:p w14:paraId="1AD1BA15"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Az apixabán alkalmazása nem javasolt olyan betegeknél, akik egyidejűleg a CYP3A4-et és a P-gp-t egyaránt erősen gátló szerekkel végzett szisztémás kezelést kapnak, mint amilyenek az azol-típusú antimikotikumok (pl. ketokonazol, itrakonazol, vorikonazol, valamint a pozakonazol) és a HIV-proteáz-gátlók (pl. ritonavir) (lásd 4.4 pont).</w:t>
      </w:r>
    </w:p>
    <w:p w14:paraId="7ADC7AC3"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
    <w:p w14:paraId="775E8173"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Azok a hatóanyagok, amelyek nem tekinthetők a CYP3A4 és a P-gp egyaránt erős inhibitorának (például amiodaron, klaritromicin, diltiazem, flukonazol, naproxén, kinidin, verapamil), várhatóan kisebb mértékben emelik az apixabán plazmakoncentrációját. Nincs szükség az apixabán dózisának módosítására egyidejű CYP3A4 és P-gp nem erős inhibitoraival végzett kezelés esetén. Így például a diltiazem (naponta egyszer 360 mg), ami a CYP3A4-nek közepesen erős és a P-gp-nek gyenge inhibitora, az apixabán átlagos AUC-értékének 1,4-szeres, C</w:t>
      </w:r>
      <w:r w:rsidRPr="00184569">
        <w:rPr>
          <w:rFonts w:ascii="Times New Roman" w:eastAsia="Times New Roman" w:hAnsi="Times New Roman" w:cs="Times New Roman"/>
          <w:kern w:val="0"/>
          <w:vertAlign w:val="subscript"/>
          <w14:ligatures w14:val="none"/>
        </w:rPr>
        <w:t>max</w:t>
      </w:r>
      <w:r w:rsidRPr="00184569">
        <w:rPr>
          <w:rFonts w:ascii="Times New Roman" w:eastAsia="Times New Roman" w:hAnsi="Times New Roman" w:cs="Times New Roman"/>
          <w:kern w:val="0"/>
          <w14:ligatures w14:val="none"/>
        </w:rPr>
        <w:t>-értékének pedig 1,3-szeres növekedését okozta. A naproxén (egyszeri 500 mg), ami csak a P-gp inhibitora, de a CYP3A4-nek nem, az apixabán átlagos AUC-értékének 1,5-szeres, C</w:t>
      </w:r>
      <w:r w:rsidRPr="00184569">
        <w:rPr>
          <w:rFonts w:ascii="Times New Roman" w:eastAsia="Times New Roman" w:hAnsi="Times New Roman" w:cs="Times New Roman"/>
          <w:kern w:val="0"/>
          <w:vertAlign w:val="subscript"/>
          <w14:ligatures w14:val="none"/>
        </w:rPr>
        <w:t>max</w:t>
      </w:r>
      <w:r w:rsidRPr="00184569">
        <w:rPr>
          <w:rFonts w:ascii="Times New Roman" w:eastAsia="Times New Roman" w:hAnsi="Times New Roman" w:cs="Times New Roman"/>
          <w:kern w:val="0"/>
          <w14:ligatures w14:val="none"/>
        </w:rPr>
        <w:t>-értékének pedig 1,6-szeres növekedését idézte elő. A klaritromicin (naponta kétszer 500 mg), ami a P-gp inhibitora és a CYP3A4 erős inhibitora, az apixabán átlagos AUC-értékének 1,6-szeres, C</w:t>
      </w:r>
      <w:r w:rsidRPr="00184569">
        <w:rPr>
          <w:rFonts w:ascii="Times New Roman" w:eastAsia="Times New Roman" w:hAnsi="Times New Roman" w:cs="Times New Roman"/>
          <w:kern w:val="0"/>
          <w:vertAlign w:val="subscript"/>
          <w14:ligatures w14:val="none"/>
        </w:rPr>
        <w:t>max</w:t>
      </w:r>
      <w:r w:rsidRPr="00184569">
        <w:rPr>
          <w:rFonts w:ascii="Times New Roman" w:eastAsia="Times New Roman" w:hAnsi="Times New Roman" w:cs="Times New Roman"/>
          <w:kern w:val="0"/>
          <w14:ligatures w14:val="none"/>
        </w:rPr>
        <w:t>-értékének pedig 1,3-szeres növekedését idézte elő.</w:t>
      </w:r>
    </w:p>
    <w:p w14:paraId="7F99074B"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
    <w:p w14:paraId="2CB9C574"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u w:val="single"/>
          <w14:ligatures w14:val="none"/>
        </w:rPr>
      </w:pPr>
      <w:r w:rsidRPr="00184569">
        <w:rPr>
          <w:rFonts w:ascii="Times New Roman" w:eastAsia="Times New Roman" w:hAnsi="Times New Roman" w:cs="Times New Roman"/>
          <w:kern w:val="0"/>
          <w:u w:val="single"/>
          <w14:ligatures w14:val="none"/>
        </w:rPr>
        <w:t>CYP3A4- és P-gp-induktorok</w:t>
      </w:r>
    </w:p>
    <w:p w14:paraId="6DD8BAB2"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
    <w:p w14:paraId="2E7F2A6A"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Az apixabán egyidejű alkalmazása rifampicinnel, ami a CYP3A4-nek és a P-gp-nek egyaránt erős induktora, az apixabán átlagos AUC-értékének 54%-os, C</w:t>
      </w:r>
      <w:r w:rsidRPr="00184569">
        <w:rPr>
          <w:rFonts w:ascii="Times New Roman" w:eastAsia="Times New Roman" w:hAnsi="Times New Roman" w:cs="Times New Roman"/>
          <w:kern w:val="0"/>
          <w:vertAlign w:val="subscript"/>
          <w14:ligatures w14:val="none"/>
        </w:rPr>
        <w:t>max</w:t>
      </w:r>
      <w:r w:rsidRPr="00184569">
        <w:rPr>
          <w:rFonts w:ascii="Times New Roman" w:eastAsia="Times New Roman" w:hAnsi="Times New Roman" w:cs="Times New Roman"/>
          <w:kern w:val="0"/>
          <w14:ligatures w14:val="none"/>
        </w:rPr>
        <w:t>-értékének</w:t>
      </w:r>
      <w:r w:rsidRPr="00184569">
        <w:rPr>
          <w:rFonts w:ascii="Times New Roman" w:eastAsia="Times New Roman" w:hAnsi="Times New Roman" w:cs="Times New Roman"/>
          <w:kern w:val="0"/>
          <w:position w:val="2"/>
          <w14:ligatures w14:val="none"/>
        </w:rPr>
        <w:t xml:space="preserve"> </w:t>
      </w:r>
      <w:r w:rsidRPr="00184569">
        <w:rPr>
          <w:rFonts w:ascii="Times New Roman" w:eastAsia="Times New Roman" w:hAnsi="Times New Roman" w:cs="Times New Roman"/>
          <w:kern w:val="0"/>
          <w14:ligatures w14:val="none"/>
        </w:rPr>
        <w:t>pedig 42%-os csökkenését okozta. Az apixabán együttes alkalmazása más erős CYP3A4 és P-gp induktorokkal (például fenitoin, karbamazepin, fenobarbitál vagy közönséges orbáncfű [</w:t>
      </w:r>
      <w:r w:rsidRPr="00184569">
        <w:rPr>
          <w:rFonts w:ascii="Times New Roman" w:eastAsia="Times New Roman" w:hAnsi="Times New Roman" w:cs="Times New Roman"/>
          <w:i/>
          <w:kern w:val="0"/>
          <w14:ligatures w14:val="none"/>
        </w:rPr>
        <w:t>Hypericum perforatum</w:t>
      </w:r>
      <w:r w:rsidRPr="00184569">
        <w:rPr>
          <w:rFonts w:ascii="Times New Roman" w:eastAsia="Times New Roman" w:hAnsi="Times New Roman" w:cs="Times New Roman"/>
          <w:kern w:val="0"/>
          <w14:ligatures w14:val="none"/>
        </w:rPr>
        <w:t>]) szintén az apixabán plazmakoncentrációjának csökkenéséhez vezethet. Az ilyen gyógyszerekkel való együttes kezelés esetén az apixabán dózismódosítása nem szükséges, ugyanakkor azoknál a betegeknél, akik egyidejűleg a CYP3A4 és a P-gp egyaránt erős induktoraival kapnak szisztémás kezelést, az apixabánt óvatossággal kell alkalmazni a stroke és a szisztémás embolizáció prevenciójára a nem valvuláris</w:t>
      </w:r>
      <w:r w:rsidRPr="00184569" w:rsidDel="00997A93">
        <w:rPr>
          <w:rFonts w:ascii="Times New Roman" w:eastAsia="Times New Roman" w:hAnsi="Times New Roman" w:cs="Times New Roman"/>
          <w:kern w:val="0"/>
          <w14:ligatures w14:val="none"/>
        </w:rPr>
        <w:t xml:space="preserve"> </w:t>
      </w:r>
      <w:r w:rsidRPr="00184569">
        <w:rPr>
          <w:rFonts w:ascii="Times New Roman" w:eastAsia="Times New Roman" w:hAnsi="Times New Roman" w:cs="Times New Roman"/>
          <w:kern w:val="0"/>
          <w14:ligatures w14:val="none"/>
        </w:rPr>
        <w:t>pitvarfibrillációban szenvedő betegeknél, valamint az MVT és a PE kiújulásának megelőzésére.</w:t>
      </w:r>
    </w:p>
    <w:p w14:paraId="5F8ADFC6"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
    <w:p w14:paraId="6DB7A2C4"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Az apixabán nem javasolt MVT és PE kezelésére azoknál a betegeknél, akik egyidejűleg a CYP3A4 és a P-gp egyaránt erős induktoraival végzett szisztémás kezelést kapnak, mivel a hatásossága csökkenhet (lásd 4.4 pont).</w:t>
      </w:r>
    </w:p>
    <w:p w14:paraId="38EC325D"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
    <w:p w14:paraId="5854E8AF" w14:textId="77777777" w:rsidR="00184569" w:rsidRPr="00184569" w:rsidRDefault="00184569" w:rsidP="00184569">
      <w:pPr>
        <w:keepNext/>
        <w:autoSpaceDE w:val="0"/>
        <w:autoSpaceDN w:val="0"/>
        <w:spacing w:after="0" w:line="240" w:lineRule="auto"/>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u w:val="single"/>
          <w14:ligatures w14:val="none"/>
        </w:rPr>
        <w:t>Antikoagulánsok, thrombocytaaggregáció-gátlók, SSRI-k/SNRI-k és nem-szteroid</w:t>
      </w:r>
      <w:r w:rsidRPr="00184569">
        <w:rPr>
          <w:rFonts w:ascii="Times New Roman" w:eastAsia="Times New Roman" w:hAnsi="Times New Roman" w:cs="Times New Roman"/>
          <w:kern w:val="0"/>
          <w14:ligatures w14:val="none"/>
        </w:rPr>
        <w:t xml:space="preserve"> </w:t>
      </w:r>
      <w:r w:rsidRPr="00184569">
        <w:rPr>
          <w:rFonts w:ascii="Times New Roman" w:eastAsia="Times New Roman" w:hAnsi="Times New Roman" w:cs="Times New Roman"/>
          <w:kern w:val="0"/>
          <w:u w:val="single"/>
          <w14:ligatures w14:val="none"/>
        </w:rPr>
        <w:t>gyulladáscsökkentők (NSAID-ok)</w:t>
      </w:r>
    </w:p>
    <w:p w14:paraId="4C6F65AE" w14:textId="77777777" w:rsidR="00184569" w:rsidRPr="00184569" w:rsidRDefault="00184569" w:rsidP="00184569">
      <w:pPr>
        <w:keepNext/>
        <w:autoSpaceDE w:val="0"/>
        <w:autoSpaceDN w:val="0"/>
        <w:spacing w:after="0" w:line="240" w:lineRule="auto"/>
        <w:rPr>
          <w:rFonts w:ascii="Times New Roman" w:eastAsia="Times New Roman" w:hAnsi="Times New Roman" w:cs="Times New Roman"/>
          <w:kern w:val="0"/>
          <w14:ligatures w14:val="none"/>
        </w:rPr>
      </w:pPr>
    </w:p>
    <w:p w14:paraId="689C9176"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 xml:space="preserve">A vérzés fokozott kockázata miatt bármilyen más antikoagulánssal végezett egyidejű kezelés ellenjavallt, kivéve azokat a specifikus körülményeket, amikor a beteget az egyik antikoaguláns kezelésről állítják át egy másikra, amikor a nem frakcionált heparint a centrális vénás vagy artériás kanül átjárhatóságának fenntartásához szükséges dózisokban </w:t>
      </w:r>
      <w:proofErr w:type="gramStart"/>
      <w:r w:rsidRPr="00184569">
        <w:rPr>
          <w:rFonts w:ascii="Times New Roman" w:eastAsia="Times New Roman" w:hAnsi="Times New Roman" w:cs="Times New Roman"/>
          <w:kern w:val="0"/>
          <w14:ligatures w14:val="none"/>
        </w:rPr>
        <w:t>adják</w:t>
      </w:r>
      <w:proofErr w:type="gramEnd"/>
      <w:r w:rsidRPr="00184569">
        <w:rPr>
          <w:rFonts w:ascii="Times New Roman" w:eastAsia="Times New Roman" w:hAnsi="Times New Roman" w:cs="Times New Roman"/>
          <w:kern w:val="0"/>
          <w14:ligatures w14:val="none"/>
        </w:rPr>
        <w:t xml:space="preserve"> vagy amikor nem frakcionált heparint adnak pitvarfibrilláció miatti katéteres abláció alatt (lásd 4.3 pont).</w:t>
      </w:r>
    </w:p>
    <w:p w14:paraId="5985401F"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
    <w:p w14:paraId="67F9C073"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Az enoxaparin (40 mg egyszeri dózis) apixabánnal (5 mg egyszeri dózis) történő kombinált alkalmazása után az anti-Xa-faktor aktivitásra gyakorolt additív hatást figyeltek meg.</w:t>
      </w:r>
    </w:p>
    <w:p w14:paraId="7358D7C9"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
    <w:p w14:paraId="325B3C52"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Az apixabán napi egyszeri 325 mg acetilszalicilsavval történő együttes alkalmazása során nem voltak nyilvánvaló farmakokinetikai vagy farmakodinámiás kölcsönhatások.</w:t>
      </w:r>
    </w:p>
    <w:p w14:paraId="7125EAD4"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
    <w:p w14:paraId="56AECD70"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Az I. fázisú vizsgálatokban az apixabánnal együtt adott klopidogrel (naponta egyszer 75 mg) vagy a naponta egyszer adott 75 mg klopidogrel és 162 mg acetilszalicilsav kombinációja, illetve a prazugrel (60 mg, majd naponta egyszer 10 mg) nem járt a referens vérzési idő vagy a thrombocytaaggregáció további gátlásának jelentős növekedésével, ha azokat a thrombocytaaggregáció-gátló szerek apixabán nélküli alkalmazásával hasonlították össze. A véralvadási vizsgálatok (PT, INR és aPTT) emelkedést mutató eredményei az önmagában adott apixabán hatásaival voltak összhangban.</w:t>
      </w:r>
    </w:p>
    <w:p w14:paraId="0B0C166F"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
    <w:p w14:paraId="69C56482"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A P-gp-t gátló naproxén (500 mg) alkalmazása az apixabán átlagos AUC-értékének 1,5-szeres, és C</w:t>
      </w:r>
      <w:r w:rsidRPr="00184569">
        <w:rPr>
          <w:rFonts w:ascii="Times New Roman" w:eastAsia="Times New Roman" w:hAnsi="Times New Roman" w:cs="Times New Roman"/>
          <w:kern w:val="0"/>
          <w:vertAlign w:val="subscript"/>
          <w14:ligatures w14:val="none"/>
        </w:rPr>
        <w:t>max</w:t>
      </w:r>
      <w:r w:rsidRPr="00184569">
        <w:rPr>
          <w:rFonts w:ascii="Times New Roman" w:eastAsia="Times New Roman" w:hAnsi="Times New Roman" w:cs="Times New Roman"/>
          <w:kern w:val="0"/>
          <w14:ligatures w14:val="none"/>
        </w:rPr>
        <w:noBreakHyphen/>
        <w:t>értékének pedig 1,6-szeres növekedéséhez vezetett. A véralvadási vizsgálatok eredményei ennek megfelelő növekedést mutattak az apixabán esetében. Az apixabán és naproxén együttes alkalmazása esetén nem figyeltek meg változást a naproxén arachidonsav indukálta thrombocytaaggregációra kifejtett hatásában, és a vérzési idő klinikailag releváns meghosszabbodása sem volt kimutatható.</w:t>
      </w:r>
    </w:p>
    <w:p w14:paraId="54ADB44E"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
    <w:p w14:paraId="26EAEF73"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A fenti eredmények ellenére lehetnek olyan egyének, akik kifejezettebb farmakodinámiás válasszal reagálnak thrombocytaaggregáció-gátló gyógyszer és apixabán együttes adása esetén. Az apixabánt elővigyázatossággal kell alkalmazni, ha SSRI-kel/SNRI-kel, nem-szteroid gyulladáscsökkentőkkel, acetilszalicilsavval és/vagy P2Y12-gátlókkal adják egyidejűleg, mert ezek a gyógyszerek jellemzően növelik a vérzés kockázatát (lásd 4.4 pont).</w:t>
      </w:r>
    </w:p>
    <w:p w14:paraId="1DF0E3D3"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
    <w:p w14:paraId="3D60CF59"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Korlátozottan állnak rendelkezésre tapasztalatok más thrombocytaaggregáció-gátlókkal (például GPIIb/IIIa-receptor-antagonisták, dipiridamol, dextrán és szulfinpirazon) vagy thrombolyticus szerekkel. Mivel az ilyen gyógyszerek megnövelik a vérzés kockázatát, ezeknek a gyógyszereknek az apixabánnal történő egyidejű alkalmazása nem javasolt (lásd 4.4 pont).</w:t>
      </w:r>
    </w:p>
    <w:p w14:paraId="45FF5DED"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
    <w:p w14:paraId="70C329B5"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A CV185325 vizsgálatban nem jelentettek klinikailag jelentős vérzéses eseményt a 12 gyermeknél és serdülőnél, akiket egyidejűleg kezeltek apixabánnal és ≤ 165 mg/nap dózisú acetilszalicilsavval.</w:t>
      </w:r>
    </w:p>
    <w:p w14:paraId="0A23F214"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
    <w:p w14:paraId="200A9D58"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u w:val="single"/>
          <w14:ligatures w14:val="none"/>
        </w:rPr>
        <w:t>Egyéb egyidejűleg alkalmazott kezelések</w:t>
      </w:r>
    </w:p>
    <w:p w14:paraId="5242F5A9"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
    <w:p w14:paraId="6DD7332D"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Az apixabán atenolollal vagy famotidinnel történő együttes alkalmazásakor nem észleltek klinikailag jelentős farmakokinetikai vagy farmakodinámiás kölcsönhatásokat. 10 mg apixabán 100 mg atenolollal való együttes adásának nem volt klinikailag jelentős hatása az apixabán farmakokinetikai jellemzőire. A két gyógyszer együttes adása után az apixabán átlagos AUC-értéke 15%-kal, C</w:t>
      </w:r>
      <w:r w:rsidRPr="00184569">
        <w:rPr>
          <w:rFonts w:ascii="Times New Roman" w:eastAsia="Times New Roman" w:hAnsi="Times New Roman" w:cs="Times New Roman"/>
          <w:kern w:val="0"/>
          <w:vertAlign w:val="subscript"/>
          <w14:ligatures w14:val="none"/>
        </w:rPr>
        <w:t>max</w:t>
      </w:r>
      <w:r w:rsidRPr="00184569">
        <w:rPr>
          <w:rFonts w:ascii="Times New Roman" w:eastAsia="Times New Roman" w:hAnsi="Times New Roman" w:cs="Times New Roman"/>
          <w:kern w:val="0"/>
          <w14:ligatures w14:val="none"/>
        </w:rPr>
        <w:noBreakHyphen/>
        <w:t>értéke pedig 18%-kal csökkent a külön-külön történő alkalmazáshoz képest. 10 mg apixabán 40 mg famotidinnel történő együttes alkalmazása nem volt hatással az apixabán AUC- és C</w:t>
      </w:r>
      <w:r w:rsidRPr="00184569">
        <w:rPr>
          <w:rFonts w:ascii="Times New Roman" w:eastAsia="Times New Roman" w:hAnsi="Times New Roman" w:cs="Times New Roman"/>
          <w:kern w:val="0"/>
          <w:vertAlign w:val="subscript"/>
          <w14:ligatures w14:val="none"/>
        </w:rPr>
        <w:t>max</w:t>
      </w:r>
      <w:r w:rsidRPr="00184569">
        <w:rPr>
          <w:rFonts w:ascii="Times New Roman" w:eastAsia="Times New Roman" w:hAnsi="Times New Roman" w:cs="Times New Roman"/>
          <w:kern w:val="0"/>
          <w14:ligatures w14:val="none"/>
        </w:rPr>
        <w:noBreakHyphen/>
        <w:t>értékeire.</w:t>
      </w:r>
    </w:p>
    <w:p w14:paraId="73D33CEE"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
    <w:p w14:paraId="09D572C5"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u w:val="single"/>
          <w14:ligatures w14:val="none"/>
        </w:rPr>
        <w:t>Az apixabán hatása más gyógyszerekre</w:t>
      </w:r>
    </w:p>
    <w:p w14:paraId="5CA0B03A"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i/>
          <w:kern w:val="0"/>
          <w14:ligatures w14:val="none"/>
        </w:rPr>
      </w:pPr>
    </w:p>
    <w:p w14:paraId="1B9597E9"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r w:rsidRPr="00184569">
        <w:rPr>
          <w:rFonts w:ascii="Times New Roman" w:eastAsia="Times New Roman" w:hAnsi="Times New Roman" w:cs="Times New Roman"/>
          <w:i/>
          <w:kern w:val="0"/>
          <w14:ligatures w14:val="none"/>
        </w:rPr>
        <w:t xml:space="preserve">In vitro </w:t>
      </w:r>
      <w:r w:rsidRPr="00184569">
        <w:rPr>
          <w:rFonts w:ascii="Times New Roman" w:eastAsia="Times New Roman" w:hAnsi="Times New Roman" w:cs="Times New Roman"/>
          <w:kern w:val="0"/>
          <w14:ligatures w14:val="none"/>
        </w:rPr>
        <w:t>vizsgálatokban az apixabán a betegeknél észlelt plazma-csúcskoncentrációnál lényegesen magasabb koncentrációkban nem mutatott gátló hatást a CYP1A2, CYP2A6, CYP2B6, CYP2C8, CYP2C9, CYP2D6 vagy a CYP3A4 (</w:t>
      </w:r>
      <w:proofErr w:type="gramStart"/>
      <w:r w:rsidRPr="00184569">
        <w:rPr>
          <w:rFonts w:ascii="Times New Roman" w:eastAsia="Times New Roman" w:hAnsi="Times New Roman" w:cs="Times New Roman"/>
          <w:kern w:val="0"/>
          <w14:ligatures w14:val="none"/>
        </w:rPr>
        <w:t>IC50 &gt;</w:t>
      </w:r>
      <w:proofErr w:type="gramEnd"/>
      <w:r w:rsidRPr="00184569">
        <w:rPr>
          <w:rFonts w:ascii="Times New Roman" w:eastAsia="Times New Roman" w:hAnsi="Times New Roman" w:cs="Times New Roman"/>
          <w:kern w:val="0"/>
          <w14:ligatures w14:val="none"/>
        </w:rPr>
        <w:t> 45 mikroM) enzimek aktivitására, és gyenge gátló hatást mutatott a CYP2C19 (IC50 &gt; 20 mikroM) enzim aktivitására. Az apixabán 20 mikroM-os koncentrációig nem indukálta a CYP1A2, CYP2B6, illetve a CYP3A4/5 enzimeket. Következésképpen nem várható, hogy az apixabán megváltoztatja azoknak az együttesen alkalmazott gyógyszereknek a metabolikus clearance-ét, amelyeket a fenti enzimek metabolizálnak. Az apixabán nem gátolja jelentős mértékben a P-gp-t.</w:t>
      </w:r>
    </w:p>
    <w:p w14:paraId="54F17C44"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
    <w:p w14:paraId="4F392680"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Az alábbiakban részletezett, egészséges egyénekkel végzett vizsgálatok szerint az apixabán nem változtatta meg számottevően a digoxin, a naproxén vagy az atenolol farmakokinetikáját.</w:t>
      </w:r>
    </w:p>
    <w:p w14:paraId="5E86E89F"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
    <w:p w14:paraId="7896F9B8"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r w:rsidRPr="00184569">
        <w:rPr>
          <w:rFonts w:ascii="Times New Roman" w:eastAsia="Times New Roman" w:hAnsi="Times New Roman" w:cs="Times New Roman"/>
          <w:i/>
          <w:kern w:val="0"/>
          <w14:ligatures w14:val="none"/>
        </w:rPr>
        <w:t>Digoxin</w:t>
      </w:r>
    </w:p>
    <w:p w14:paraId="52F6FF81"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Apixabán (naponta egyszer 20 mg) és a P-gp-szubsztrát digoxin (naponta egyszer 0,25 mg) együttes alkalmazása nem befolyásolta a digoxin AUC- vagy C</w:t>
      </w:r>
      <w:r w:rsidRPr="00184569">
        <w:rPr>
          <w:rFonts w:ascii="Times New Roman" w:eastAsia="Times New Roman" w:hAnsi="Times New Roman" w:cs="Times New Roman"/>
          <w:kern w:val="0"/>
          <w:vertAlign w:val="subscript"/>
          <w14:ligatures w14:val="none"/>
        </w:rPr>
        <w:t>max</w:t>
      </w:r>
      <w:r w:rsidRPr="00184569">
        <w:rPr>
          <w:rFonts w:ascii="Times New Roman" w:eastAsia="Times New Roman" w:hAnsi="Times New Roman" w:cs="Times New Roman"/>
          <w:kern w:val="0"/>
          <w14:ligatures w14:val="none"/>
        </w:rPr>
        <w:t>-értékét, következésképpen az apixabán nem gátolja a P-gp mediálta szubsztrát-transzportot.</w:t>
      </w:r>
    </w:p>
    <w:p w14:paraId="68B4D4D9"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
    <w:p w14:paraId="7C5672A1"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r w:rsidRPr="00184569">
        <w:rPr>
          <w:rFonts w:ascii="Times New Roman" w:eastAsia="Times New Roman" w:hAnsi="Times New Roman" w:cs="Times New Roman"/>
          <w:i/>
          <w:kern w:val="0"/>
          <w14:ligatures w14:val="none"/>
        </w:rPr>
        <w:t>Naproxén</w:t>
      </w:r>
    </w:p>
    <w:p w14:paraId="1B78769D"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Az apixabán (10 mg) és egy gyakran alkalmazott NSAID, a naproxén (500 mg) egyszeri dózisainak együttes alkalmazása nem volt semmilyen hatással a naproxén AUC- vagy C</w:t>
      </w:r>
      <w:r w:rsidRPr="00184569">
        <w:rPr>
          <w:rFonts w:ascii="Times New Roman" w:eastAsia="Times New Roman" w:hAnsi="Times New Roman" w:cs="Times New Roman"/>
          <w:kern w:val="0"/>
          <w:vertAlign w:val="subscript"/>
          <w14:ligatures w14:val="none"/>
        </w:rPr>
        <w:t>max</w:t>
      </w:r>
      <w:r w:rsidRPr="00184569">
        <w:rPr>
          <w:rFonts w:ascii="Times New Roman" w:eastAsia="Times New Roman" w:hAnsi="Times New Roman" w:cs="Times New Roman"/>
          <w:kern w:val="0"/>
          <w14:ligatures w14:val="none"/>
        </w:rPr>
        <w:t>-értékére.</w:t>
      </w:r>
    </w:p>
    <w:p w14:paraId="776B1CB4"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
    <w:p w14:paraId="63392405"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r w:rsidRPr="00184569">
        <w:rPr>
          <w:rFonts w:ascii="Times New Roman" w:eastAsia="Times New Roman" w:hAnsi="Times New Roman" w:cs="Times New Roman"/>
          <w:i/>
          <w:kern w:val="0"/>
          <w14:ligatures w14:val="none"/>
        </w:rPr>
        <w:t>Atenolol</w:t>
      </w:r>
    </w:p>
    <w:p w14:paraId="2227ACC2"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Az apixabán (10 mg) és egy gyakran alkalmazott béta-blokkoló, az atenolol (100 mg) egyszeri dózisainak együttes alkalmazása nem változtatta meg az atenolol farmakokinetikáját.</w:t>
      </w:r>
    </w:p>
    <w:p w14:paraId="671B5941"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
    <w:p w14:paraId="1F3BF718"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u w:val="single"/>
          <w14:ligatures w14:val="none"/>
        </w:rPr>
        <w:t>Orvosi szén</w:t>
      </w:r>
    </w:p>
    <w:p w14:paraId="5A831D72"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
    <w:p w14:paraId="730D946C"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Az orvosi szén adása csökkenti az apixabán-expozíciót (lásd 4.9 pont).</w:t>
      </w:r>
    </w:p>
    <w:p w14:paraId="6B03F6A8"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
    <w:p w14:paraId="121A7BF4"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u w:val="single"/>
          <w14:ligatures w14:val="none"/>
        </w:rPr>
      </w:pPr>
      <w:r w:rsidRPr="00184569">
        <w:rPr>
          <w:rFonts w:ascii="Times New Roman" w:eastAsia="Times New Roman" w:hAnsi="Times New Roman" w:cs="Times New Roman"/>
          <w:kern w:val="0"/>
          <w:u w:val="single"/>
          <w14:ligatures w14:val="none"/>
        </w:rPr>
        <w:t>Gyermekek és serdülők</w:t>
      </w:r>
    </w:p>
    <w:p w14:paraId="1D11E8EE"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u w:val="single"/>
          <w14:ligatures w14:val="none"/>
        </w:rPr>
      </w:pPr>
    </w:p>
    <w:p w14:paraId="5321A928"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Interakciós vizsgálatokat nem végeztek gyermekeknél és serdülőknél.</w:t>
      </w:r>
    </w:p>
    <w:p w14:paraId="4D63544C"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
    <w:p w14:paraId="76A5CF9B"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A fent említett interakciós adatok felnőttektől származnak, és a 4.4 pontban szereplő figyelmeztetéseket figyelembe kell venni gyermekeknél és serdülőknél is.</w:t>
      </w:r>
    </w:p>
    <w:p w14:paraId="521A7201"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
    <w:p w14:paraId="5B948493" w14:textId="77777777" w:rsidR="00184569" w:rsidRPr="00184569" w:rsidRDefault="00184569" w:rsidP="008B021B">
      <w:pPr>
        <w:keepNext/>
        <w:widowControl w:val="0"/>
        <w:numPr>
          <w:ilvl w:val="1"/>
          <w:numId w:val="5"/>
        </w:numPr>
        <w:autoSpaceDE w:val="0"/>
        <w:autoSpaceDN w:val="0"/>
        <w:spacing w:after="0" w:line="240" w:lineRule="auto"/>
        <w:ind w:left="567"/>
        <w:outlineLvl w:val="1"/>
        <w:rPr>
          <w:rFonts w:ascii="Times New Roman" w:eastAsia="Times New Roman" w:hAnsi="Times New Roman" w:cs="Times New Roman"/>
          <w:b/>
          <w:bCs/>
          <w:kern w:val="0"/>
          <w14:ligatures w14:val="none"/>
        </w:rPr>
      </w:pPr>
      <w:r w:rsidRPr="00184569">
        <w:rPr>
          <w:rFonts w:ascii="Times New Roman" w:eastAsia="Times New Roman" w:hAnsi="Times New Roman" w:cs="Times New Roman"/>
          <w:b/>
          <w:bCs/>
          <w:kern w:val="0"/>
          <w14:ligatures w14:val="none"/>
        </w:rPr>
        <w:t>Termékenység, terhesség és szoptatás</w:t>
      </w:r>
    </w:p>
    <w:p w14:paraId="6BAEF10A" w14:textId="77777777" w:rsidR="00184569" w:rsidRPr="00184569" w:rsidRDefault="00184569" w:rsidP="00184569">
      <w:pPr>
        <w:keepNext/>
        <w:autoSpaceDE w:val="0"/>
        <w:autoSpaceDN w:val="0"/>
        <w:spacing w:after="0" w:line="240" w:lineRule="auto"/>
        <w:rPr>
          <w:rFonts w:ascii="Times New Roman" w:eastAsia="Times New Roman" w:hAnsi="Times New Roman" w:cs="Times New Roman"/>
          <w:b/>
          <w:kern w:val="0"/>
          <w14:ligatures w14:val="none"/>
        </w:rPr>
      </w:pPr>
    </w:p>
    <w:p w14:paraId="3161ED37" w14:textId="77777777" w:rsidR="00184569" w:rsidRPr="00184569" w:rsidRDefault="00184569" w:rsidP="00184569">
      <w:pPr>
        <w:keepNext/>
        <w:autoSpaceDE w:val="0"/>
        <w:autoSpaceDN w:val="0"/>
        <w:spacing w:after="0" w:line="240" w:lineRule="auto"/>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u w:val="single"/>
          <w14:ligatures w14:val="none"/>
        </w:rPr>
        <w:t>Terhesség</w:t>
      </w:r>
    </w:p>
    <w:p w14:paraId="14D63611" w14:textId="77777777" w:rsidR="00184569" w:rsidRPr="00184569" w:rsidRDefault="00184569" w:rsidP="00184569">
      <w:pPr>
        <w:keepNext/>
        <w:autoSpaceDE w:val="0"/>
        <w:autoSpaceDN w:val="0"/>
        <w:spacing w:after="0" w:line="240" w:lineRule="auto"/>
        <w:rPr>
          <w:rFonts w:ascii="Times New Roman" w:eastAsia="Times New Roman" w:hAnsi="Times New Roman" w:cs="Times New Roman"/>
          <w:kern w:val="0"/>
          <w14:ligatures w14:val="none"/>
        </w:rPr>
      </w:pPr>
    </w:p>
    <w:p w14:paraId="78E4F0E8"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Az apixabán terhes nőknél történő alkalmazásáról nincsenek adatok. Állatokkal végzett vizsgálatok nem igazoltak közvetlen vagy közvetett káros hatásokat a reproduktív toxicitás tekintetében (lásd 5.3 pont). Az apixabán alkalmazása elővigyázatosságból kerülendő terhesség alatt.</w:t>
      </w:r>
    </w:p>
    <w:p w14:paraId="01FAE01B"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
    <w:p w14:paraId="10742DF9"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u w:val="single"/>
          <w14:ligatures w14:val="none"/>
        </w:rPr>
        <w:t>Szoptatás</w:t>
      </w:r>
    </w:p>
    <w:p w14:paraId="54146BD8"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
    <w:p w14:paraId="2E7A2BC4"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Nem ismert, hogy az apixabán vagy annak metabolitjai kiválasztódnak-e a humán anyatejbe. A rendelkezésre álló, állatokkal végzett vizsgálatokból származó adatok az apixabán anyatejbe való kiválasztódását igazolták (lásd 5.3 pont).</w:t>
      </w:r>
      <w:r w:rsidRPr="00184569">
        <w:rPr>
          <w:rFonts w:ascii="Times New Roman" w:eastAsia="Times New Roman" w:hAnsi="Times New Roman" w:cs="Times New Roman"/>
          <w:kern w:val="0"/>
          <w:position w:val="2"/>
          <w14:ligatures w14:val="none"/>
        </w:rPr>
        <w:t xml:space="preserve"> </w:t>
      </w:r>
      <w:r w:rsidRPr="00184569">
        <w:rPr>
          <w:rFonts w:ascii="Times New Roman" w:eastAsia="Times New Roman" w:hAnsi="Times New Roman" w:cs="Times New Roman"/>
          <w:kern w:val="0"/>
          <w14:ligatures w14:val="none"/>
        </w:rPr>
        <w:t>Az anyatejjel táplált csecsemőre nézve a kockázatot nem lehet kizárni.</w:t>
      </w:r>
    </w:p>
    <w:p w14:paraId="1FEDC011"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
    <w:p w14:paraId="7EEE190C"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Az apixabán alkalmazása előtt el kell dönteni, hogy a szoptatást függesztik fel, vagy a kezelést szakítják meg/halasztják el – figyelembe véve a szoptatás előnyét a gyermek, illetve a kezelés előnyét az anya szempontjából.</w:t>
      </w:r>
    </w:p>
    <w:p w14:paraId="0F43EF80"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
    <w:p w14:paraId="3C47CB01"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u w:val="single"/>
          <w14:ligatures w14:val="none"/>
        </w:rPr>
        <w:t>Termékenység</w:t>
      </w:r>
    </w:p>
    <w:p w14:paraId="2943C679"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
    <w:p w14:paraId="2821D305"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Apixabánnal kezelt állatokkal végzett kísérletek során termékenységre gyakorolt hatást nem igazoltak (lásd 5.3 pont).</w:t>
      </w:r>
    </w:p>
    <w:p w14:paraId="34A93019"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
    <w:p w14:paraId="59A6FB48" w14:textId="77777777" w:rsidR="00184569" w:rsidRPr="00184569" w:rsidRDefault="00184569" w:rsidP="008B021B">
      <w:pPr>
        <w:widowControl w:val="0"/>
        <w:numPr>
          <w:ilvl w:val="1"/>
          <w:numId w:val="5"/>
        </w:numPr>
        <w:autoSpaceDE w:val="0"/>
        <w:autoSpaceDN w:val="0"/>
        <w:spacing w:after="0" w:line="240" w:lineRule="auto"/>
        <w:ind w:left="567"/>
        <w:outlineLvl w:val="1"/>
        <w:rPr>
          <w:rFonts w:ascii="Times New Roman" w:eastAsia="Times New Roman" w:hAnsi="Times New Roman" w:cs="Times New Roman"/>
          <w:b/>
          <w:bCs/>
          <w:kern w:val="0"/>
          <w14:ligatures w14:val="none"/>
        </w:rPr>
      </w:pPr>
      <w:r w:rsidRPr="00184569">
        <w:rPr>
          <w:rFonts w:ascii="Times New Roman" w:eastAsia="Times New Roman" w:hAnsi="Times New Roman" w:cs="Times New Roman"/>
          <w:b/>
          <w:bCs/>
          <w:kern w:val="0"/>
          <w14:ligatures w14:val="none"/>
        </w:rPr>
        <w:t>A készítmény hatásai a gépjárművezetéshez és a gépek kezeléséhez szükséges képességekre</w:t>
      </w:r>
    </w:p>
    <w:p w14:paraId="7602EEF1"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b/>
          <w:kern w:val="0"/>
          <w14:ligatures w14:val="none"/>
        </w:rPr>
      </w:pPr>
    </w:p>
    <w:p w14:paraId="69958211"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Az apixabán nem, vagy csak elhanyagolható mértékben befolyásolja a gépjárművezetéshez és a gépek kezeléséhez szükséges képességeket.</w:t>
      </w:r>
    </w:p>
    <w:p w14:paraId="27ABC362" w14:textId="77777777" w:rsidR="00184569" w:rsidRPr="00184569" w:rsidRDefault="00184569" w:rsidP="00184569">
      <w:pPr>
        <w:widowControl w:val="0"/>
        <w:tabs>
          <w:tab w:val="left" w:pos="7221"/>
        </w:tabs>
        <w:autoSpaceDE w:val="0"/>
        <w:autoSpaceDN w:val="0"/>
        <w:spacing w:after="0" w:line="240" w:lineRule="auto"/>
        <w:rPr>
          <w:rFonts w:ascii="Times New Roman" w:eastAsia="Times New Roman" w:hAnsi="Times New Roman" w:cs="Times New Roman"/>
          <w:kern w:val="0"/>
          <w14:ligatures w14:val="none"/>
        </w:rPr>
      </w:pPr>
    </w:p>
    <w:p w14:paraId="03734E16" w14:textId="77777777" w:rsidR="00184569" w:rsidRPr="00184569" w:rsidRDefault="00184569" w:rsidP="00184569">
      <w:pPr>
        <w:widowControl w:val="0"/>
        <w:autoSpaceDE w:val="0"/>
        <w:autoSpaceDN w:val="0"/>
        <w:spacing w:after="0" w:line="240" w:lineRule="auto"/>
        <w:ind w:left="567" w:hanging="567"/>
        <w:rPr>
          <w:rFonts w:ascii="Times New Roman" w:eastAsia="Times New Roman" w:hAnsi="Times New Roman" w:cs="Times New Roman"/>
          <w:b/>
          <w:bCs/>
          <w:kern w:val="0"/>
          <w14:ligatures w14:val="none"/>
        </w:rPr>
      </w:pPr>
      <w:r w:rsidRPr="00184569">
        <w:rPr>
          <w:rFonts w:ascii="Times New Roman" w:eastAsia="Times New Roman" w:hAnsi="Times New Roman" w:cs="Times New Roman"/>
          <w:b/>
          <w:bCs/>
          <w:kern w:val="0"/>
          <w14:ligatures w14:val="none"/>
        </w:rPr>
        <w:t>4.8</w:t>
      </w:r>
      <w:r w:rsidRPr="00184569">
        <w:rPr>
          <w:rFonts w:ascii="Times New Roman" w:eastAsia="Times New Roman" w:hAnsi="Times New Roman" w:cs="Times New Roman"/>
          <w:b/>
          <w:bCs/>
          <w:kern w:val="0"/>
          <w14:ligatures w14:val="none"/>
        </w:rPr>
        <w:tab/>
        <w:t>Nemkívánatos hatások, mellékhatások</w:t>
      </w:r>
    </w:p>
    <w:p w14:paraId="79876067"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b/>
          <w:kern w:val="0"/>
          <w14:ligatures w14:val="none"/>
        </w:rPr>
      </w:pPr>
    </w:p>
    <w:p w14:paraId="598A5B62"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u w:val="single"/>
          <w14:ligatures w14:val="none"/>
        </w:rPr>
      </w:pPr>
      <w:r w:rsidRPr="00184569">
        <w:rPr>
          <w:rFonts w:ascii="Times New Roman" w:eastAsia="Times New Roman" w:hAnsi="Times New Roman" w:cs="Times New Roman"/>
          <w:kern w:val="0"/>
          <w:u w:val="single"/>
          <w14:ligatures w14:val="none"/>
        </w:rPr>
        <w:t>A biztonságossági profil összefoglalása</w:t>
      </w:r>
    </w:p>
    <w:p w14:paraId="2BE0A422"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
    <w:p w14:paraId="6405648C"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roofErr w:type="gramStart"/>
      <w:r w:rsidRPr="00184569">
        <w:rPr>
          <w:rFonts w:ascii="Times New Roman" w:eastAsia="Times New Roman" w:hAnsi="Times New Roman" w:cs="Times New Roman"/>
          <w:kern w:val="0"/>
          <w14:ligatures w14:val="none"/>
        </w:rPr>
        <w:t>Az apixabán biztonságosságát 7, III. fázisú klinikai vizsgálatban értékelték, amelyekben több mint 21 000 beteg vett részt: több mint 5000 beteg a VTEp vizsgálatokban átlagosan 20 napos, több mint 11 000 beteg a NVPF vizsgálatokban átlagosan 1,7 éves, és több mint 4000 beteg a VTE-terápiás (VTEt) vizsgálatokban 221 napos összexpozícióval (lásd 5.1 pont).</w:t>
      </w:r>
      <w:proofErr w:type="gramEnd"/>
    </w:p>
    <w:p w14:paraId="3DEF318A"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
    <w:p w14:paraId="1C4C5D71"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Gyakori mellékhatás volt a vérzés, a contusio, az epistaxis és a haematoma (a mellékhatásprofilt és az indikációk szerinti gyakoriságokat lásd a 3. táblázatban).</w:t>
      </w:r>
    </w:p>
    <w:p w14:paraId="38A97784"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
    <w:p w14:paraId="585AD706"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Az NVPF vizsgálatokban az apixabán mellett a vérzéssel összefüggő mellékhatások teljes előfordulási gyakorisága 24,3% volt az apixabánt warfarinnal összehasonlító vizsgálatban, és 9,6% volt az apixabánt acetilszalicilsavval összehasonlító vizsgálatban. Az apixabán vs. warfarin vizsgálatban az ISTH-szerinti jelentős gastrointestinalis vérzések (beleértve a tápcsatorna felső, a tápcsatorna alsó részéről kiinduló, valamint a rectalis vérzést is) előfordulási gyakorisága az apixabán alkalmazása mellett évente 0,76% volt. Az ISTH-szerinti jelentős intraocularis vérzés előfordulási gyakorisága az apixabán alkalmazása mellett évente 0,18%volt.</w:t>
      </w:r>
    </w:p>
    <w:p w14:paraId="2FF7D361"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
    <w:p w14:paraId="5174EDAE"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A VTEt vizsgálatokban az apixabánnal összefüggő, vérzéssel járó mellékhatások teljes előfordulási gyakorisága 15,6% volt az apixabánt enoxaparinnal/warfarinnal összehasonlító vizsgálatban, és 13,3% volt az apixabánt placebóval összehasonlító vizsgálatban (lásd 5.1 pont).</w:t>
      </w:r>
    </w:p>
    <w:p w14:paraId="0DCF03F5"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
    <w:p w14:paraId="59D77604" w14:textId="77777777" w:rsidR="00184569" w:rsidRPr="00184569" w:rsidRDefault="00184569" w:rsidP="00184569">
      <w:pPr>
        <w:keepNext/>
        <w:autoSpaceDE w:val="0"/>
        <w:autoSpaceDN w:val="0"/>
        <w:spacing w:after="0" w:line="240" w:lineRule="auto"/>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u w:val="single"/>
          <w14:ligatures w14:val="none"/>
        </w:rPr>
        <w:t>A mellékhatások táblázatos felsorolása</w:t>
      </w:r>
    </w:p>
    <w:p w14:paraId="39D75125" w14:textId="77777777" w:rsidR="00184569" w:rsidRPr="00184569" w:rsidRDefault="00184569" w:rsidP="00184569">
      <w:pPr>
        <w:keepNext/>
        <w:autoSpaceDE w:val="0"/>
        <w:autoSpaceDN w:val="0"/>
        <w:spacing w:after="0" w:line="240" w:lineRule="auto"/>
        <w:rPr>
          <w:rFonts w:ascii="Times New Roman" w:eastAsia="Times New Roman" w:hAnsi="Times New Roman" w:cs="Times New Roman"/>
          <w:kern w:val="0"/>
          <w14:ligatures w14:val="none"/>
        </w:rPr>
      </w:pPr>
    </w:p>
    <w:p w14:paraId="1450BC2E"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roofErr w:type="gramStart"/>
      <w:r w:rsidRPr="00184569">
        <w:rPr>
          <w:rFonts w:ascii="Times New Roman" w:eastAsia="Times New Roman" w:hAnsi="Times New Roman" w:cs="Times New Roman"/>
          <w:kern w:val="0"/>
          <w14:ligatures w14:val="none"/>
        </w:rPr>
        <w:t>A 3. táblázat szervrendszeri kategóriánként és gyakoriság szerint osztályozva, az alábbi megegyezés szerint mutatja a mellékhatásokat: nagyon gyakori (≥ 1/10), gyakori (≥ 1/100 – &lt; 1/10), nem gyakori (≥ 1/1000 – &lt; 1/100), ritka (≥ 1/10 000 – &lt; 1/1000) és nagyon ritka (&lt; 1/10 000), nem ismert (a gyakorisága a rendelkezésre álló adatokból nem állapítható meg), az NVPF és a VTEp vagy VTEt esetén felnőtteknél, illetve VTEt és VTE kiújulásának megelőzése esetén gyermekeknél és serdülőknél (28 napos kortól, betöltött 18 éves korig).</w:t>
      </w:r>
      <w:proofErr w:type="gramEnd"/>
    </w:p>
    <w:p w14:paraId="784FEBFA"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
    <w:p w14:paraId="2D1CC9A9"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A 3. táblázatban a gyermekekre és serdülőkre vonatkozóan a mellékhatások gyakorisága a CV185325 vizsgálatból származik, amelyben az apixabánt a VTE kezelésére és a VTE kiújulásának megelőzésére alkalmazták.</w:t>
      </w:r>
    </w:p>
    <w:p w14:paraId="44712B57"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
    <w:p w14:paraId="4498855E" w14:textId="77777777" w:rsidR="00184569" w:rsidRPr="00184569" w:rsidRDefault="00184569" w:rsidP="00184569">
      <w:pPr>
        <w:keepNext/>
        <w:autoSpaceDE w:val="0"/>
        <w:autoSpaceDN w:val="0"/>
        <w:spacing w:after="0" w:line="240" w:lineRule="auto"/>
        <w:outlineLvl w:val="1"/>
        <w:rPr>
          <w:rFonts w:ascii="Times New Roman" w:eastAsia="Times New Roman" w:hAnsi="Times New Roman" w:cs="Times New Roman"/>
          <w:b/>
          <w:bCs/>
          <w:kern w:val="0"/>
          <w14:ligatures w14:val="none"/>
        </w:rPr>
      </w:pPr>
      <w:r w:rsidRPr="00184569">
        <w:rPr>
          <w:rFonts w:ascii="Times New Roman" w:eastAsia="Times New Roman" w:hAnsi="Times New Roman" w:cs="Times New Roman"/>
          <w:b/>
          <w:bCs/>
          <w:kern w:val="0"/>
          <w14:ligatures w14:val="none"/>
        </w:rPr>
        <w:t>3. táblázat:</w:t>
      </w:r>
      <w:r w:rsidRPr="00184569">
        <w:rPr>
          <w:rFonts w:ascii="Times New Roman" w:eastAsia="Times New Roman" w:hAnsi="Times New Roman" w:cs="Times New Roman"/>
          <w:kern w:val="0"/>
          <w14:ligatures w14:val="none"/>
        </w:rPr>
        <w:t xml:space="preserve"> </w:t>
      </w:r>
      <w:r w:rsidRPr="00184569">
        <w:rPr>
          <w:rFonts w:ascii="Times New Roman" w:eastAsia="Times New Roman" w:hAnsi="Times New Roman" w:cs="Times New Roman"/>
          <w:b/>
          <w:bCs/>
          <w:kern w:val="0"/>
          <w14:ligatures w14:val="none"/>
        </w:rPr>
        <w:t>A</w:t>
      </w:r>
      <w:r w:rsidRPr="00184569">
        <w:rPr>
          <w:rFonts w:ascii="Times New Roman" w:eastAsia="Times New Roman" w:hAnsi="Times New Roman" w:cs="Times New Roman"/>
          <w:kern w:val="0"/>
          <w14:ligatures w14:val="none"/>
        </w:rPr>
        <w:t xml:space="preserve"> </w:t>
      </w:r>
      <w:r w:rsidRPr="00184569">
        <w:rPr>
          <w:rFonts w:ascii="Times New Roman" w:eastAsia="Times New Roman" w:hAnsi="Times New Roman" w:cs="Times New Roman"/>
          <w:b/>
          <w:bCs/>
          <w:kern w:val="0"/>
          <w14:ligatures w14:val="none"/>
        </w:rPr>
        <w:t>mellékhatások</w:t>
      </w:r>
      <w:r w:rsidRPr="00184569">
        <w:rPr>
          <w:rFonts w:ascii="Times New Roman" w:eastAsia="Times New Roman" w:hAnsi="Times New Roman" w:cs="Times New Roman"/>
          <w:kern w:val="0"/>
          <w14:ligatures w14:val="none"/>
        </w:rPr>
        <w:t xml:space="preserve"> </w:t>
      </w:r>
      <w:r w:rsidRPr="00184569">
        <w:rPr>
          <w:rFonts w:ascii="Times New Roman" w:eastAsia="Times New Roman" w:hAnsi="Times New Roman" w:cs="Times New Roman"/>
          <w:b/>
          <w:bCs/>
          <w:kern w:val="0"/>
          <w14:ligatures w14:val="none"/>
        </w:rPr>
        <w:t>táblázatos</w:t>
      </w:r>
      <w:r w:rsidRPr="00184569">
        <w:rPr>
          <w:rFonts w:ascii="Times New Roman" w:eastAsia="Times New Roman" w:hAnsi="Times New Roman" w:cs="Times New Roman"/>
          <w:kern w:val="0"/>
          <w14:ligatures w14:val="none"/>
        </w:rPr>
        <w:t xml:space="preserve"> </w:t>
      </w:r>
      <w:r w:rsidRPr="00184569">
        <w:rPr>
          <w:rFonts w:ascii="Times New Roman" w:eastAsia="Times New Roman" w:hAnsi="Times New Roman" w:cs="Times New Roman"/>
          <w:b/>
          <w:bCs/>
          <w:kern w:val="0"/>
          <w14:ligatures w14:val="none"/>
        </w:rPr>
        <w:t>felsorolása</w:t>
      </w:r>
    </w:p>
    <w:tbl>
      <w:tblPr>
        <w:tblW w:w="5001"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397"/>
        <w:gridCol w:w="1985"/>
        <w:gridCol w:w="1843"/>
        <w:gridCol w:w="1838"/>
      </w:tblGrid>
      <w:tr w:rsidR="00184569" w:rsidRPr="00184569" w14:paraId="0168A1E6" w14:textId="77777777" w:rsidTr="00E16EC6">
        <w:trPr>
          <w:trHeight w:val="2601"/>
          <w:tblHeader/>
        </w:trPr>
        <w:tc>
          <w:tcPr>
            <w:tcW w:w="1874" w:type="pct"/>
          </w:tcPr>
          <w:p w14:paraId="2A413C0B" w14:textId="77777777" w:rsidR="00184569" w:rsidRPr="00184569" w:rsidRDefault="00184569" w:rsidP="00184569">
            <w:pPr>
              <w:widowControl w:val="0"/>
              <w:autoSpaceDE w:val="0"/>
              <w:autoSpaceDN w:val="0"/>
              <w:spacing w:after="0" w:line="240" w:lineRule="auto"/>
              <w:ind w:left="107"/>
              <w:rPr>
                <w:rFonts w:ascii="Times New Roman" w:eastAsia="Times New Roman" w:hAnsi="Times New Roman" w:cs="Times New Roman"/>
                <w:b/>
                <w:kern w:val="0"/>
                <w14:ligatures w14:val="none"/>
              </w:rPr>
            </w:pPr>
            <w:r w:rsidRPr="00184569">
              <w:rPr>
                <w:rFonts w:ascii="Times New Roman" w:eastAsia="Times New Roman" w:hAnsi="Times New Roman" w:cs="Times New Roman"/>
                <w:b/>
                <w:kern w:val="0"/>
                <w14:ligatures w14:val="none"/>
              </w:rPr>
              <w:t>Szervrendszeri</w:t>
            </w:r>
            <w:r w:rsidRPr="00184569">
              <w:rPr>
                <w:rFonts w:ascii="Times New Roman" w:eastAsia="Times New Roman" w:hAnsi="Times New Roman" w:cs="Times New Roman"/>
                <w:b/>
                <w:spacing w:val="-8"/>
                <w:kern w:val="0"/>
                <w14:ligatures w14:val="none"/>
              </w:rPr>
              <w:t xml:space="preserve"> </w:t>
            </w:r>
            <w:r w:rsidRPr="00184569">
              <w:rPr>
                <w:rFonts w:ascii="Times New Roman" w:eastAsia="Times New Roman" w:hAnsi="Times New Roman" w:cs="Times New Roman"/>
                <w:b/>
                <w:kern w:val="0"/>
                <w14:ligatures w14:val="none"/>
              </w:rPr>
              <w:t>kategóriák</w:t>
            </w:r>
          </w:p>
        </w:tc>
        <w:tc>
          <w:tcPr>
            <w:tcW w:w="1095" w:type="pct"/>
          </w:tcPr>
          <w:p w14:paraId="23A9441F" w14:textId="77777777" w:rsidR="00184569" w:rsidRPr="00184569" w:rsidRDefault="00184569" w:rsidP="00184569">
            <w:pPr>
              <w:widowControl w:val="0"/>
              <w:autoSpaceDE w:val="0"/>
              <w:autoSpaceDN w:val="0"/>
              <w:spacing w:after="0" w:line="240" w:lineRule="auto"/>
              <w:ind w:left="110" w:right="96" w:hanging="3"/>
              <w:jc w:val="center"/>
              <w:rPr>
                <w:rFonts w:ascii="Times New Roman" w:eastAsia="Times New Roman" w:hAnsi="Times New Roman" w:cs="Times New Roman"/>
                <w:b/>
                <w:bCs/>
                <w:kern w:val="0"/>
                <w14:ligatures w14:val="none"/>
              </w:rPr>
            </w:pPr>
            <w:r w:rsidRPr="00184569">
              <w:rPr>
                <w:rFonts w:ascii="Times New Roman" w:eastAsia="Times New Roman" w:hAnsi="Times New Roman" w:cs="Times New Roman"/>
                <w:b/>
                <w:bCs/>
                <w:kern w:val="0"/>
                <w14:ligatures w14:val="none"/>
              </w:rPr>
              <w:t>Stroke és a szisztémás embolizáció megelőzése NVPF-ben szenvedő, egy vagy több kockázati tényezővel rendelkező felnőtt betegeknél (NVPF)</w:t>
            </w:r>
          </w:p>
        </w:tc>
        <w:tc>
          <w:tcPr>
            <w:tcW w:w="1017" w:type="pct"/>
          </w:tcPr>
          <w:p w14:paraId="2FA70FBC" w14:textId="77777777" w:rsidR="00184569" w:rsidRPr="00184569" w:rsidRDefault="00184569" w:rsidP="00184569">
            <w:pPr>
              <w:widowControl w:val="0"/>
              <w:autoSpaceDE w:val="0"/>
              <w:autoSpaceDN w:val="0"/>
              <w:spacing w:after="0" w:line="240" w:lineRule="auto"/>
              <w:ind w:left="110" w:right="96" w:hanging="3"/>
              <w:jc w:val="center"/>
              <w:rPr>
                <w:rFonts w:ascii="Times New Roman" w:eastAsia="Times New Roman" w:hAnsi="Times New Roman" w:cs="Times New Roman"/>
                <w:b/>
                <w:bCs/>
                <w:kern w:val="0"/>
                <w14:ligatures w14:val="none"/>
              </w:rPr>
            </w:pPr>
            <w:r w:rsidRPr="00184569">
              <w:rPr>
                <w:rFonts w:ascii="Times New Roman" w:eastAsia="Times New Roman" w:hAnsi="Times New Roman" w:cs="Times New Roman"/>
                <w:b/>
                <w:bCs/>
                <w:kern w:val="0"/>
                <w14:ligatures w14:val="none"/>
              </w:rPr>
              <w:t>MVT és PE kezelése, valamint az MVT és PE kiújulásának megelőzése (VTEt) felnőtt betegeknél</w:t>
            </w:r>
          </w:p>
        </w:tc>
        <w:tc>
          <w:tcPr>
            <w:tcW w:w="1014" w:type="pct"/>
          </w:tcPr>
          <w:p w14:paraId="37137B29" w14:textId="77777777" w:rsidR="00184569" w:rsidRPr="00184569" w:rsidRDefault="00184569" w:rsidP="00184569">
            <w:pPr>
              <w:widowControl w:val="0"/>
              <w:autoSpaceDE w:val="0"/>
              <w:autoSpaceDN w:val="0"/>
              <w:spacing w:after="0" w:line="240" w:lineRule="auto"/>
              <w:ind w:left="110" w:right="96" w:hanging="3"/>
              <w:jc w:val="center"/>
              <w:rPr>
                <w:rFonts w:ascii="Times New Roman" w:eastAsia="Times New Roman" w:hAnsi="Times New Roman" w:cs="Times New Roman"/>
                <w:b/>
                <w:bCs/>
                <w:kern w:val="0"/>
                <w14:ligatures w14:val="none"/>
              </w:rPr>
            </w:pPr>
            <w:r w:rsidRPr="00184569">
              <w:rPr>
                <w:rFonts w:ascii="Times New Roman" w:eastAsia="Times New Roman" w:hAnsi="Times New Roman" w:cs="Times New Roman"/>
                <w:b/>
                <w:bCs/>
                <w:kern w:val="0"/>
                <w14:ligatures w14:val="none"/>
              </w:rPr>
              <w:t>VTE kezelése és a VTE kiújulásának megelőzése gyermekeknél és serdülőknél (28 napos kortól, betöltött 18 éves korig)</w:t>
            </w:r>
          </w:p>
        </w:tc>
      </w:tr>
      <w:tr w:rsidR="00184569" w:rsidRPr="00184569" w14:paraId="751766C2" w14:textId="77777777" w:rsidTr="00E16EC6">
        <w:trPr>
          <w:trHeight w:val="357"/>
        </w:trPr>
        <w:tc>
          <w:tcPr>
            <w:tcW w:w="5000" w:type="pct"/>
            <w:gridSpan w:val="4"/>
            <w:vAlign w:val="center"/>
          </w:tcPr>
          <w:p w14:paraId="2617AB67"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i/>
                <w:kern w:val="0"/>
                <w14:ligatures w14:val="none"/>
              </w:rPr>
            </w:pPr>
            <w:r w:rsidRPr="00184569">
              <w:rPr>
                <w:rFonts w:ascii="Times New Roman" w:eastAsia="Times New Roman" w:hAnsi="Times New Roman" w:cs="Times New Roman"/>
                <w:i/>
                <w:kern w:val="0"/>
                <w14:ligatures w14:val="none"/>
              </w:rPr>
              <w:t>Vérképzőszervi</w:t>
            </w:r>
            <w:r w:rsidRPr="00184569">
              <w:rPr>
                <w:rFonts w:ascii="Times New Roman" w:eastAsia="Times New Roman" w:hAnsi="Times New Roman" w:cs="Times New Roman"/>
                <w:i/>
                <w:spacing w:val="-6"/>
                <w:kern w:val="0"/>
                <w14:ligatures w14:val="none"/>
              </w:rPr>
              <w:t xml:space="preserve"> </w:t>
            </w:r>
            <w:r w:rsidRPr="00184569">
              <w:rPr>
                <w:rFonts w:ascii="Times New Roman" w:eastAsia="Times New Roman" w:hAnsi="Times New Roman" w:cs="Times New Roman"/>
                <w:i/>
                <w:kern w:val="0"/>
                <w14:ligatures w14:val="none"/>
              </w:rPr>
              <w:t>és</w:t>
            </w:r>
            <w:r w:rsidRPr="00184569">
              <w:rPr>
                <w:rFonts w:ascii="Times New Roman" w:eastAsia="Times New Roman" w:hAnsi="Times New Roman" w:cs="Times New Roman"/>
                <w:i/>
                <w:spacing w:val="-5"/>
                <w:kern w:val="0"/>
                <w14:ligatures w14:val="none"/>
              </w:rPr>
              <w:t xml:space="preserve"> </w:t>
            </w:r>
            <w:r w:rsidRPr="00184569">
              <w:rPr>
                <w:rFonts w:ascii="Times New Roman" w:eastAsia="Times New Roman" w:hAnsi="Times New Roman" w:cs="Times New Roman"/>
                <w:i/>
                <w:kern w:val="0"/>
                <w14:ligatures w14:val="none"/>
              </w:rPr>
              <w:t>nyirokrendszeri</w:t>
            </w:r>
            <w:r w:rsidRPr="00184569">
              <w:rPr>
                <w:rFonts w:ascii="Times New Roman" w:eastAsia="Times New Roman" w:hAnsi="Times New Roman" w:cs="Times New Roman"/>
                <w:i/>
                <w:spacing w:val="-6"/>
                <w:kern w:val="0"/>
                <w14:ligatures w14:val="none"/>
              </w:rPr>
              <w:t xml:space="preserve"> </w:t>
            </w:r>
            <w:r w:rsidRPr="00184569">
              <w:rPr>
                <w:rFonts w:ascii="Times New Roman" w:eastAsia="Times New Roman" w:hAnsi="Times New Roman" w:cs="Times New Roman"/>
                <w:i/>
                <w:kern w:val="0"/>
                <w14:ligatures w14:val="none"/>
              </w:rPr>
              <w:t>betegségek</w:t>
            </w:r>
            <w:r w:rsidRPr="00184569">
              <w:rPr>
                <w:rFonts w:ascii="Times New Roman" w:eastAsia="Times New Roman" w:hAnsi="Times New Roman" w:cs="Times New Roman"/>
                <w:i/>
                <w:spacing w:val="-5"/>
                <w:kern w:val="0"/>
                <w14:ligatures w14:val="none"/>
              </w:rPr>
              <w:t xml:space="preserve"> </w:t>
            </w:r>
            <w:r w:rsidRPr="00184569">
              <w:rPr>
                <w:rFonts w:ascii="Times New Roman" w:eastAsia="Times New Roman" w:hAnsi="Times New Roman" w:cs="Times New Roman"/>
                <w:i/>
                <w:kern w:val="0"/>
                <w14:ligatures w14:val="none"/>
              </w:rPr>
              <w:t>és</w:t>
            </w:r>
            <w:r w:rsidRPr="00184569">
              <w:rPr>
                <w:rFonts w:ascii="Times New Roman" w:eastAsia="Times New Roman" w:hAnsi="Times New Roman" w:cs="Times New Roman"/>
                <w:i/>
                <w:spacing w:val="-5"/>
                <w:kern w:val="0"/>
                <w14:ligatures w14:val="none"/>
              </w:rPr>
              <w:t xml:space="preserve"> </w:t>
            </w:r>
            <w:r w:rsidRPr="00184569">
              <w:rPr>
                <w:rFonts w:ascii="Times New Roman" w:eastAsia="Times New Roman" w:hAnsi="Times New Roman" w:cs="Times New Roman"/>
                <w:i/>
                <w:kern w:val="0"/>
                <w14:ligatures w14:val="none"/>
              </w:rPr>
              <w:t>tünetek</w:t>
            </w:r>
          </w:p>
        </w:tc>
      </w:tr>
      <w:tr w:rsidR="00184569" w:rsidRPr="00184569" w14:paraId="268E0339" w14:textId="77777777" w:rsidTr="00E16EC6">
        <w:trPr>
          <w:trHeight w:val="261"/>
        </w:trPr>
        <w:tc>
          <w:tcPr>
            <w:tcW w:w="1874" w:type="pct"/>
          </w:tcPr>
          <w:p w14:paraId="1DCE0BBD" w14:textId="77777777" w:rsidR="00184569" w:rsidRPr="00184569" w:rsidRDefault="00184569" w:rsidP="00184569">
            <w:pPr>
              <w:widowControl w:val="0"/>
              <w:autoSpaceDE w:val="0"/>
              <w:autoSpaceDN w:val="0"/>
              <w:spacing w:after="0" w:line="240" w:lineRule="auto"/>
              <w:ind w:left="107"/>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Anaemia</w:t>
            </w:r>
          </w:p>
        </w:tc>
        <w:tc>
          <w:tcPr>
            <w:tcW w:w="1095" w:type="pct"/>
          </w:tcPr>
          <w:p w14:paraId="04A51912" w14:textId="77777777" w:rsidR="00184569" w:rsidRPr="00184569" w:rsidRDefault="00184569" w:rsidP="00184569">
            <w:pPr>
              <w:widowControl w:val="0"/>
              <w:autoSpaceDE w:val="0"/>
              <w:autoSpaceDN w:val="0"/>
              <w:spacing w:after="0" w:line="240" w:lineRule="auto"/>
              <w:ind w:left="362" w:right="350"/>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gyakori</w:t>
            </w:r>
          </w:p>
        </w:tc>
        <w:tc>
          <w:tcPr>
            <w:tcW w:w="1017" w:type="pct"/>
          </w:tcPr>
          <w:p w14:paraId="4CBF7EFC" w14:textId="77777777" w:rsidR="00184569" w:rsidRPr="00184569" w:rsidRDefault="00184569" w:rsidP="00184569">
            <w:pPr>
              <w:widowControl w:val="0"/>
              <w:autoSpaceDE w:val="0"/>
              <w:autoSpaceDN w:val="0"/>
              <w:spacing w:after="0" w:line="240" w:lineRule="auto"/>
              <w:ind w:left="165" w:right="157"/>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gyakori</w:t>
            </w:r>
          </w:p>
        </w:tc>
        <w:tc>
          <w:tcPr>
            <w:tcW w:w="1014" w:type="pct"/>
          </w:tcPr>
          <w:p w14:paraId="69777345" w14:textId="77777777" w:rsidR="00184569" w:rsidRPr="00184569" w:rsidRDefault="00184569" w:rsidP="00184569">
            <w:pPr>
              <w:widowControl w:val="0"/>
              <w:autoSpaceDE w:val="0"/>
              <w:autoSpaceDN w:val="0"/>
              <w:spacing w:after="0" w:line="240" w:lineRule="auto"/>
              <w:ind w:left="165" w:right="157"/>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gyakori</w:t>
            </w:r>
          </w:p>
        </w:tc>
      </w:tr>
      <w:tr w:rsidR="00184569" w:rsidRPr="00184569" w14:paraId="6CDD2D87" w14:textId="77777777" w:rsidTr="00E16EC6">
        <w:trPr>
          <w:trHeight w:val="258"/>
        </w:trPr>
        <w:tc>
          <w:tcPr>
            <w:tcW w:w="1874" w:type="pct"/>
          </w:tcPr>
          <w:p w14:paraId="311E5D6D" w14:textId="77777777" w:rsidR="00184569" w:rsidRPr="00184569" w:rsidRDefault="00184569" w:rsidP="00184569">
            <w:pPr>
              <w:widowControl w:val="0"/>
              <w:autoSpaceDE w:val="0"/>
              <w:autoSpaceDN w:val="0"/>
              <w:spacing w:after="0" w:line="240" w:lineRule="auto"/>
              <w:ind w:left="107"/>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Thrombocytopenia</w:t>
            </w:r>
          </w:p>
        </w:tc>
        <w:tc>
          <w:tcPr>
            <w:tcW w:w="1095" w:type="pct"/>
          </w:tcPr>
          <w:p w14:paraId="74F2EF84" w14:textId="77777777" w:rsidR="00184569" w:rsidRPr="00184569" w:rsidRDefault="00184569" w:rsidP="00184569">
            <w:pPr>
              <w:widowControl w:val="0"/>
              <w:autoSpaceDE w:val="0"/>
              <w:autoSpaceDN w:val="0"/>
              <w:spacing w:after="0" w:line="240" w:lineRule="auto"/>
              <w:ind w:left="357" w:right="350"/>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nem</w:t>
            </w:r>
            <w:r w:rsidRPr="00184569">
              <w:rPr>
                <w:rFonts w:ascii="Times New Roman" w:eastAsia="Times New Roman" w:hAnsi="Times New Roman" w:cs="Times New Roman"/>
                <w:spacing w:val="-4"/>
                <w:kern w:val="0"/>
                <w14:ligatures w14:val="none"/>
              </w:rPr>
              <w:t xml:space="preserve"> </w:t>
            </w:r>
            <w:r w:rsidRPr="00184569">
              <w:rPr>
                <w:rFonts w:ascii="Times New Roman" w:eastAsia="Times New Roman" w:hAnsi="Times New Roman" w:cs="Times New Roman"/>
                <w:kern w:val="0"/>
                <w14:ligatures w14:val="none"/>
              </w:rPr>
              <w:t>gyakori</w:t>
            </w:r>
          </w:p>
        </w:tc>
        <w:tc>
          <w:tcPr>
            <w:tcW w:w="1017" w:type="pct"/>
          </w:tcPr>
          <w:p w14:paraId="26DBA1C0" w14:textId="77777777" w:rsidR="00184569" w:rsidRPr="00184569" w:rsidRDefault="00184569" w:rsidP="00184569">
            <w:pPr>
              <w:widowControl w:val="0"/>
              <w:autoSpaceDE w:val="0"/>
              <w:autoSpaceDN w:val="0"/>
              <w:spacing w:after="0" w:line="240" w:lineRule="auto"/>
              <w:ind w:left="165" w:right="157"/>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gyakori</w:t>
            </w:r>
          </w:p>
        </w:tc>
        <w:tc>
          <w:tcPr>
            <w:tcW w:w="1014" w:type="pct"/>
          </w:tcPr>
          <w:p w14:paraId="52D913E6" w14:textId="77777777" w:rsidR="00184569" w:rsidRPr="00184569" w:rsidRDefault="00184569" w:rsidP="00184569">
            <w:pPr>
              <w:widowControl w:val="0"/>
              <w:autoSpaceDE w:val="0"/>
              <w:autoSpaceDN w:val="0"/>
              <w:spacing w:after="0" w:line="240" w:lineRule="auto"/>
              <w:ind w:left="165" w:right="157"/>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gyakori</w:t>
            </w:r>
          </w:p>
        </w:tc>
      </w:tr>
      <w:tr w:rsidR="00184569" w:rsidRPr="00184569" w14:paraId="38A16B1B" w14:textId="77777777" w:rsidTr="00E16EC6">
        <w:trPr>
          <w:trHeight w:val="362"/>
        </w:trPr>
        <w:tc>
          <w:tcPr>
            <w:tcW w:w="5000" w:type="pct"/>
            <w:gridSpan w:val="4"/>
            <w:vAlign w:val="center"/>
          </w:tcPr>
          <w:p w14:paraId="7C287F1D"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i/>
                <w:kern w:val="0"/>
                <w14:ligatures w14:val="none"/>
              </w:rPr>
            </w:pPr>
            <w:r w:rsidRPr="00184569">
              <w:rPr>
                <w:rFonts w:ascii="Times New Roman" w:eastAsia="Times New Roman" w:hAnsi="Times New Roman" w:cs="Times New Roman"/>
                <w:i/>
                <w:kern w:val="0"/>
                <w14:ligatures w14:val="none"/>
              </w:rPr>
              <w:t>Immunrendszeri</w:t>
            </w:r>
            <w:r w:rsidRPr="00184569">
              <w:rPr>
                <w:rFonts w:ascii="Times New Roman" w:eastAsia="Times New Roman" w:hAnsi="Times New Roman" w:cs="Times New Roman"/>
                <w:i/>
                <w:spacing w:val="-6"/>
                <w:kern w:val="0"/>
                <w14:ligatures w14:val="none"/>
              </w:rPr>
              <w:t xml:space="preserve"> </w:t>
            </w:r>
            <w:r w:rsidRPr="00184569">
              <w:rPr>
                <w:rFonts w:ascii="Times New Roman" w:eastAsia="Times New Roman" w:hAnsi="Times New Roman" w:cs="Times New Roman"/>
                <w:i/>
                <w:kern w:val="0"/>
                <w14:ligatures w14:val="none"/>
              </w:rPr>
              <w:t>betegségek</w:t>
            </w:r>
            <w:r w:rsidRPr="00184569">
              <w:rPr>
                <w:rFonts w:ascii="Times New Roman" w:eastAsia="Times New Roman" w:hAnsi="Times New Roman" w:cs="Times New Roman"/>
                <w:i/>
                <w:spacing w:val="-5"/>
                <w:kern w:val="0"/>
                <w14:ligatures w14:val="none"/>
              </w:rPr>
              <w:t xml:space="preserve"> </w:t>
            </w:r>
            <w:r w:rsidRPr="00184569">
              <w:rPr>
                <w:rFonts w:ascii="Times New Roman" w:eastAsia="Times New Roman" w:hAnsi="Times New Roman" w:cs="Times New Roman"/>
                <w:i/>
                <w:kern w:val="0"/>
                <w14:ligatures w14:val="none"/>
              </w:rPr>
              <w:t>és</w:t>
            </w:r>
            <w:r w:rsidRPr="00184569">
              <w:rPr>
                <w:rFonts w:ascii="Times New Roman" w:eastAsia="Times New Roman" w:hAnsi="Times New Roman" w:cs="Times New Roman"/>
                <w:i/>
                <w:spacing w:val="-5"/>
                <w:kern w:val="0"/>
                <w14:ligatures w14:val="none"/>
              </w:rPr>
              <w:t xml:space="preserve"> </w:t>
            </w:r>
            <w:r w:rsidRPr="00184569">
              <w:rPr>
                <w:rFonts w:ascii="Times New Roman" w:eastAsia="Times New Roman" w:hAnsi="Times New Roman" w:cs="Times New Roman"/>
                <w:i/>
                <w:kern w:val="0"/>
                <w14:ligatures w14:val="none"/>
              </w:rPr>
              <w:t>tünetek</w:t>
            </w:r>
          </w:p>
        </w:tc>
      </w:tr>
      <w:tr w:rsidR="00184569" w:rsidRPr="00184569" w14:paraId="3723211E" w14:textId="77777777" w:rsidTr="00E16EC6">
        <w:trPr>
          <w:trHeight w:val="518"/>
        </w:trPr>
        <w:tc>
          <w:tcPr>
            <w:tcW w:w="1874" w:type="pct"/>
          </w:tcPr>
          <w:p w14:paraId="2396B01F" w14:textId="77777777" w:rsidR="00184569" w:rsidRPr="00184569" w:rsidRDefault="00184569" w:rsidP="00184569">
            <w:pPr>
              <w:widowControl w:val="0"/>
              <w:autoSpaceDE w:val="0"/>
              <w:autoSpaceDN w:val="0"/>
              <w:spacing w:after="0" w:line="240" w:lineRule="auto"/>
              <w:ind w:left="107" w:right="345"/>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Túlérzékenység, allergiás oedema és anaphylaxia</w:t>
            </w:r>
          </w:p>
        </w:tc>
        <w:tc>
          <w:tcPr>
            <w:tcW w:w="1095" w:type="pct"/>
          </w:tcPr>
          <w:p w14:paraId="66EF4969" w14:textId="77777777" w:rsidR="00184569" w:rsidRPr="00184569" w:rsidRDefault="00184569" w:rsidP="00184569">
            <w:pPr>
              <w:widowControl w:val="0"/>
              <w:autoSpaceDE w:val="0"/>
              <w:autoSpaceDN w:val="0"/>
              <w:spacing w:after="0" w:line="240" w:lineRule="auto"/>
              <w:ind w:left="358" w:right="350"/>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nem</w:t>
            </w:r>
            <w:r w:rsidRPr="00184569">
              <w:rPr>
                <w:rFonts w:ascii="Times New Roman" w:eastAsia="Times New Roman" w:hAnsi="Times New Roman" w:cs="Times New Roman"/>
                <w:spacing w:val="-4"/>
                <w:kern w:val="0"/>
                <w14:ligatures w14:val="none"/>
              </w:rPr>
              <w:t xml:space="preserve"> </w:t>
            </w:r>
            <w:r w:rsidRPr="00184569">
              <w:rPr>
                <w:rFonts w:ascii="Times New Roman" w:eastAsia="Times New Roman" w:hAnsi="Times New Roman" w:cs="Times New Roman"/>
                <w:kern w:val="0"/>
                <w14:ligatures w14:val="none"/>
              </w:rPr>
              <w:t>gyakori</w:t>
            </w:r>
          </w:p>
        </w:tc>
        <w:tc>
          <w:tcPr>
            <w:tcW w:w="1017" w:type="pct"/>
          </w:tcPr>
          <w:p w14:paraId="04E02B2C" w14:textId="77777777" w:rsidR="00184569" w:rsidRPr="00184569" w:rsidRDefault="00184569" w:rsidP="00184569">
            <w:pPr>
              <w:widowControl w:val="0"/>
              <w:autoSpaceDE w:val="0"/>
              <w:autoSpaceDN w:val="0"/>
              <w:spacing w:after="0" w:line="240" w:lineRule="auto"/>
              <w:ind w:left="163" w:right="160"/>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nem</w:t>
            </w:r>
            <w:r w:rsidRPr="00184569">
              <w:rPr>
                <w:rFonts w:ascii="Times New Roman" w:eastAsia="Times New Roman" w:hAnsi="Times New Roman" w:cs="Times New Roman"/>
                <w:spacing w:val="-4"/>
                <w:kern w:val="0"/>
                <w14:ligatures w14:val="none"/>
              </w:rPr>
              <w:t xml:space="preserve"> </w:t>
            </w:r>
            <w:r w:rsidRPr="00184569">
              <w:rPr>
                <w:rFonts w:ascii="Times New Roman" w:eastAsia="Times New Roman" w:hAnsi="Times New Roman" w:cs="Times New Roman"/>
                <w:kern w:val="0"/>
                <w14:ligatures w14:val="none"/>
              </w:rPr>
              <w:t>gyakori</w:t>
            </w:r>
          </w:p>
        </w:tc>
        <w:tc>
          <w:tcPr>
            <w:tcW w:w="1014" w:type="pct"/>
          </w:tcPr>
          <w:p w14:paraId="26E4EB49" w14:textId="77777777" w:rsidR="00184569" w:rsidRPr="00184569" w:rsidRDefault="00184569" w:rsidP="00184569">
            <w:pPr>
              <w:widowControl w:val="0"/>
              <w:autoSpaceDE w:val="0"/>
              <w:autoSpaceDN w:val="0"/>
              <w:spacing w:after="0" w:line="240" w:lineRule="auto"/>
              <w:ind w:left="163" w:right="160"/>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 xml:space="preserve">gyakori </w:t>
            </w:r>
            <w:proofErr w:type="gramStart"/>
            <w:r w:rsidRPr="00184569">
              <w:rPr>
                <w:rFonts w:ascii="Times New Roman" w:eastAsia="Times New Roman" w:hAnsi="Times New Roman" w:cs="Times New Roman"/>
                <w:kern w:val="0"/>
                <w14:ligatures w14:val="none"/>
              </w:rPr>
              <w:t>‡</w:t>
            </w:r>
            <w:proofErr w:type="gramEnd"/>
          </w:p>
        </w:tc>
      </w:tr>
      <w:tr w:rsidR="00184569" w:rsidRPr="00184569" w14:paraId="17E00F79" w14:textId="77777777" w:rsidTr="00E16EC6">
        <w:trPr>
          <w:trHeight w:val="259"/>
        </w:trPr>
        <w:tc>
          <w:tcPr>
            <w:tcW w:w="1874" w:type="pct"/>
          </w:tcPr>
          <w:p w14:paraId="59BA4E51" w14:textId="77777777" w:rsidR="00184569" w:rsidRPr="00184569" w:rsidRDefault="00184569" w:rsidP="00184569">
            <w:pPr>
              <w:widowControl w:val="0"/>
              <w:autoSpaceDE w:val="0"/>
              <w:autoSpaceDN w:val="0"/>
              <w:spacing w:after="0" w:line="240" w:lineRule="auto"/>
              <w:ind w:left="107"/>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Pruritus</w:t>
            </w:r>
          </w:p>
        </w:tc>
        <w:tc>
          <w:tcPr>
            <w:tcW w:w="1095" w:type="pct"/>
          </w:tcPr>
          <w:p w14:paraId="5B5B7222" w14:textId="77777777" w:rsidR="00184569" w:rsidRPr="00184569" w:rsidRDefault="00184569" w:rsidP="00184569">
            <w:pPr>
              <w:widowControl w:val="0"/>
              <w:autoSpaceDE w:val="0"/>
              <w:autoSpaceDN w:val="0"/>
              <w:spacing w:after="0" w:line="240" w:lineRule="auto"/>
              <w:ind w:left="357" w:right="350"/>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nem</w:t>
            </w:r>
            <w:r w:rsidRPr="00184569">
              <w:rPr>
                <w:rFonts w:ascii="Times New Roman" w:eastAsia="Times New Roman" w:hAnsi="Times New Roman" w:cs="Times New Roman"/>
                <w:spacing w:val="-4"/>
                <w:kern w:val="0"/>
                <w14:ligatures w14:val="none"/>
              </w:rPr>
              <w:t xml:space="preserve"> </w:t>
            </w:r>
            <w:r w:rsidRPr="00184569">
              <w:rPr>
                <w:rFonts w:ascii="Times New Roman" w:eastAsia="Times New Roman" w:hAnsi="Times New Roman" w:cs="Times New Roman"/>
                <w:kern w:val="0"/>
                <w14:ligatures w14:val="none"/>
              </w:rPr>
              <w:t>gyakori</w:t>
            </w:r>
          </w:p>
        </w:tc>
        <w:tc>
          <w:tcPr>
            <w:tcW w:w="1017" w:type="pct"/>
          </w:tcPr>
          <w:p w14:paraId="5E367417" w14:textId="77777777" w:rsidR="00184569" w:rsidRPr="00184569" w:rsidRDefault="00184569" w:rsidP="00184569">
            <w:pPr>
              <w:widowControl w:val="0"/>
              <w:autoSpaceDE w:val="0"/>
              <w:autoSpaceDN w:val="0"/>
              <w:spacing w:after="0" w:line="240" w:lineRule="auto"/>
              <w:ind w:left="165" w:right="160"/>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nem</w:t>
            </w:r>
            <w:r w:rsidRPr="00184569">
              <w:rPr>
                <w:rFonts w:ascii="Times New Roman" w:eastAsia="Times New Roman" w:hAnsi="Times New Roman" w:cs="Times New Roman"/>
                <w:spacing w:val="-4"/>
                <w:kern w:val="0"/>
                <w14:ligatures w14:val="none"/>
              </w:rPr>
              <w:t xml:space="preserve"> </w:t>
            </w:r>
            <w:r w:rsidRPr="00184569">
              <w:rPr>
                <w:rFonts w:ascii="Times New Roman" w:eastAsia="Times New Roman" w:hAnsi="Times New Roman" w:cs="Times New Roman"/>
                <w:kern w:val="0"/>
                <w14:ligatures w14:val="none"/>
              </w:rPr>
              <w:t>gyakori*</w:t>
            </w:r>
          </w:p>
        </w:tc>
        <w:tc>
          <w:tcPr>
            <w:tcW w:w="1014" w:type="pct"/>
          </w:tcPr>
          <w:p w14:paraId="6A108C37" w14:textId="77777777" w:rsidR="00184569" w:rsidRPr="00184569" w:rsidRDefault="00184569" w:rsidP="00184569">
            <w:pPr>
              <w:widowControl w:val="0"/>
              <w:autoSpaceDE w:val="0"/>
              <w:autoSpaceDN w:val="0"/>
              <w:spacing w:after="0" w:line="240" w:lineRule="auto"/>
              <w:ind w:left="165" w:right="160"/>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gyakori</w:t>
            </w:r>
          </w:p>
        </w:tc>
      </w:tr>
      <w:tr w:rsidR="00184569" w:rsidRPr="00184569" w14:paraId="54E156E5" w14:textId="77777777" w:rsidTr="00E16EC6">
        <w:trPr>
          <w:trHeight w:val="261"/>
        </w:trPr>
        <w:tc>
          <w:tcPr>
            <w:tcW w:w="1874" w:type="pct"/>
          </w:tcPr>
          <w:p w14:paraId="09BE413E" w14:textId="77777777" w:rsidR="00184569" w:rsidRPr="00184569" w:rsidRDefault="00184569" w:rsidP="00184569">
            <w:pPr>
              <w:widowControl w:val="0"/>
              <w:autoSpaceDE w:val="0"/>
              <w:autoSpaceDN w:val="0"/>
              <w:spacing w:after="0" w:line="240" w:lineRule="auto"/>
              <w:ind w:left="107"/>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Angiooedema</w:t>
            </w:r>
          </w:p>
        </w:tc>
        <w:tc>
          <w:tcPr>
            <w:tcW w:w="1095" w:type="pct"/>
          </w:tcPr>
          <w:p w14:paraId="62D9A869" w14:textId="77777777" w:rsidR="00184569" w:rsidRPr="00184569" w:rsidRDefault="00184569" w:rsidP="00184569">
            <w:pPr>
              <w:widowControl w:val="0"/>
              <w:autoSpaceDE w:val="0"/>
              <w:autoSpaceDN w:val="0"/>
              <w:spacing w:after="0" w:line="240" w:lineRule="auto"/>
              <w:ind w:left="362" w:right="350"/>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nem</w:t>
            </w:r>
            <w:r w:rsidRPr="00184569">
              <w:rPr>
                <w:rFonts w:ascii="Times New Roman" w:eastAsia="Times New Roman" w:hAnsi="Times New Roman" w:cs="Times New Roman"/>
                <w:spacing w:val="-4"/>
                <w:kern w:val="0"/>
                <w14:ligatures w14:val="none"/>
              </w:rPr>
              <w:t xml:space="preserve"> </w:t>
            </w:r>
            <w:r w:rsidRPr="00184569">
              <w:rPr>
                <w:rFonts w:ascii="Times New Roman" w:eastAsia="Times New Roman" w:hAnsi="Times New Roman" w:cs="Times New Roman"/>
                <w:kern w:val="0"/>
                <w14:ligatures w14:val="none"/>
              </w:rPr>
              <w:t>ismert</w:t>
            </w:r>
          </w:p>
        </w:tc>
        <w:tc>
          <w:tcPr>
            <w:tcW w:w="1017" w:type="pct"/>
          </w:tcPr>
          <w:p w14:paraId="531EA986" w14:textId="77777777" w:rsidR="00184569" w:rsidRPr="00184569" w:rsidRDefault="00184569" w:rsidP="00184569">
            <w:pPr>
              <w:widowControl w:val="0"/>
              <w:autoSpaceDE w:val="0"/>
              <w:autoSpaceDN w:val="0"/>
              <w:spacing w:after="0" w:line="240" w:lineRule="auto"/>
              <w:ind w:left="165" w:right="157"/>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nem</w:t>
            </w:r>
            <w:r w:rsidRPr="00184569">
              <w:rPr>
                <w:rFonts w:ascii="Times New Roman" w:eastAsia="Times New Roman" w:hAnsi="Times New Roman" w:cs="Times New Roman"/>
                <w:spacing w:val="-4"/>
                <w:kern w:val="0"/>
                <w14:ligatures w14:val="none"/>
              </w:rPr>
              <w:t xml:space="preserve"> </w:t>
            </w:r>
            <w:r w:rsidRPr="00184569">
              <w:rPr>
                <w:rFonts w:ascii="Times New Roman" w:eastAsia="Times New Roman" w:hAnsi="Times New Roman" w:cs="Times New Roman"/>
                <w:kern w:val="0"/>
                <w14:ligatures w14:val="none"/>
              </w:rPr>
              <w:t>ismert</w:t>
            </w:r>
          </w:p>
        </w:tc>
        <w:tc>
          <w:tcPr>
            <w:tcW w:w="1014" w:type="pct"/>
          </w:tcPr>
          <w:p w14:paraId="5A5A4A4D" w14:textId="77777777" w:rsidR="00184569" w:rsidRPr="00184569" w:rsidRDefault="00184569" w:rsidP="00184569">
            <w:pPr>
              <w:widowControl w:val="0"/>
              <w:autoSpaceDE w:val="0"/>
              <w:autoSpaceDN w:val="0"/>
              <w:spacing w:after="0" w:line="240" w:lineRule="auto"/>
              <w:ind w:left="165" w:right="157"/>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nem</w:t>
            </w:r>
            <w:r w:rsidRPr="00184569">
              <w:rPr>
                <w:rFonts w:ascii="Times New Roman" w:eastAsia="Times New Roman" w:hAnsi="Times New Roman" w:cs="Times New Roman"/>
                <w:spacing w:val="-4"/>
                <w:kern w:val="0"/>
                <w14:ligatures w14:val="none"/>
              </w:rPr>
              <w:t xml:space="preserve"> </w:t>
            </w:r>
            <w:r w:rsidRPr="00184569">
              <w:rPr>
                <w:rFonts w:ascii="Times New Roman" w:eastAsia="Times New Roman" w:hAnsi="Times New Roman" w:cs="Times New Roman"/>
                <w:kern w:val="0"/>
                <w14:ligatures w14:val="none"/>
              </w:rPr>
              <w:t>ismert</w:t>
            </w:r>
          </w:p>
        </w:tc>
      </w:tr>
      <w:tr w:rsidR="00184569" w:rsidRPr="00184569" w14:paraId="28253C42" w14:textId="77777777" w:rsidTr="00E16EC6">
        <w:trPr>
          <w:trHeight w:val="359"/>
        </w:trPr>
        <w:tc>
          <w:tcPr>
            <w:tcW w:w="5000" w:type="pct"/>
            <w:gridSpan w:val="4"/>
            <w:vAlign w:val="center"/>
          </w:tcPr>
          <w:p w14:paraId="63CF70BF" w14:textId="77777777" w:rsidR="00184569" w:rsidRPr="00184569" w:rsidRDefault="00184569" w:rsidP="00184569">
            <w:pPr>
              <w:widowControl w:val="0"/>
              <w:autoSpaceDE w:val="0"/>
              <w:autoSpaceDN w:val="0"/>
              <w:spacing w:after="0" w:line="240" w:lineRule="auto"/>
              <w:ind w:left="-10"/>
              <w:rPr>
                <w:rFonts w:ascii="Times New Roman" w:eastAsia="Times New Roman" w:hAnsi="Times New Roman" w:cs="Times New Roman"/>
                <w:i/>
                <w:kern w:val="0"/>
                <w14:ligatures w14:val="none"/>
              </w:rPr>
            </w:pPr>
            <w:r w:rsidRPr="00184569">
              <w:rPr>
                <w:rFonts w:ascii="Times New Roman" w:eastAsia="Times New Roman" w:hAnsi="Times New Roman" w:cs="Times New Roman"/>
                <w:i/>
                <w:kern w:val="0"/>
                <w14:ligatures w14:val="none"/>
              </w:rPr>
              <w:t>Idegrendszeri</w:t>
            </w:r>
            <w:r w:rsidRPr="00184569">
              <w:rPr>
                <w:rFonts w:ascii="Times New Roman" w:eastAsia="Times New Roman" w:hAnsi="Times New Roman" w:cs="Times New Roman"/>
                <w:i/>
                <w:spacing w:val="-6"/>
                <w:kern w:val="0"/>
                <w14:ligatures w14:val="none"/>
              </w:rPr>
              <w:t xml:space="preserve"> </w:t>
            </w:r>
            <w:r w:rsidRPr="00184569">
              <w:rPr>
                <w:rFonts w:ascii="Times New Roman" w:eastAsia="Times New Roman" w:hAnsi="Times New Roman" w:cs="Times New Roman"/>
                <w:i/>
                <w:kern w:val="0"/>
                <w14:ligatures w14:val="none"/>
              </w:rPr>
              <w:t>betegségek</w:t>
            </w:r>
            <w:r w:rsidRPr="00184569">
              <w:rPr>
                <w:rFonts w:ascii="Times New Roman" w:eastAsia="Times New Roman" w:hAnsi="Times New Roman" w:cs="Times New Roman"/>
                <w:i/>
                <w:spacing w:val="-5"/>
                <w:kern w:val="0"/>
                <w14:ligatures w14:val="none"/>
              </w:rPr>
              <w:t xml:space="preserve"> </w:t>
            </w:r>
            <w:r w:rsidRPr="00184569">
              <w:rPr>
                <w:rFonts w:ascii="Times New Roman" w:eastAsia="Times New Roman" w:hAnsi="Times New Roman" w:cs="Times New Roman"/>
                <w:i/>
                <w:kern w:val="0"/>
                <w14:ligatures w14:val="none"/>
              </w:rPr>
              <w:t>és</w:t>
            </w:r>
            <w:r w:rsidRPr="00184569">
              <w:rPr>
                <w:rFonts w:ascii="Times New Roman" w:eastAsia="Times New Roman" w:hAnsi="Times New Roman" w:cs="Times New Roman"/>
                <w:i/>
                <w:spacing w:val="-5"/>
                <w:kern w:val="0"/>
                <w14:ligatures w14:val="none"/>
              </w:rPr>
              <w:t xml:space="preserve"> </w:t>
            </w:r>
            <w:r w:rsidRPr="00184569">
              <w:rPr>
                <w:rFonts w:ascii="Times New Roman" w:eastAsia="Times New Roman" w:hAnsi="Times New Roman" w:cs="Times New Roman"/>
                <w:i/>
                <w:kern w:val="0"/>
                <w14:ligatures w14:val="none"/>
              </w:rPr>
              <w:t>tünetek</w:t>
            </w:r>
          </w:p>
        </w:tc>
      </w:tr>
      <w:tr w:rsidR="00184569" w:rsidRPr="00184569" w14:paraId="66EC19EF" w14:textId="77777777" w:rsidTr="00E16EC6">
        <w:trPr>
          <w:trHeight w:val="311"/>
        </w:trPr>
        <w:tc>
          <w:tcPr>
            <w:tcW w:w="1874" w:type="pct"/>
          </w:tcPr>
          <w:p w14:paraId="378586E5" w14:textId="77777777" w:rsidR="00184569" w:rsidRPr="00184569" w:rsidRDefault="00184569" w:rsidP="00184569">
            <w:pPr>
              <w:widowControl w:val="0"/>
              <w:autoSpaceDE w:val="0"/>
              <w:autoSpaceDN w:val="0"/>
              <w:spacing w:after="0" w:line="240" w:lineRule="auto"/>
              <w:ind w:left="107"/>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Agyvérzés</w:t>
            </w:r>
            <w:proofErr w:type="gramStart"/>
            <w:r w:rsidRPr="00184569">
              <w:rPr>
                <w:rFonts w:ascii="Times New Roman" w:eastAsia="Times New Roman" w:hAnsi="Times New Roman" w:cs="Times New Roman"/>
                <w:kern w:val="0"/>
                <w:vertAlign w:val="superscript"/>
                <w:lang w:eastAsia="en-GB"/>
                <w14:ligatures w14:val="none"/>
              </w:rPr>
              <w:t>†</w:t>
            </w:r>
            <w:proofErr w:type="gramEnd"/>
          </w:p>
        </w:tc>
        <w:tc>
          <w:tcPr>
            <w:tcW w:w="1095" w:type="pct"/>
          </w:tcPr>
          <w:p w14:paraId="1894CDA5" w14:textId="77777777" w:rsidR="00184569" w:rsidRPr="00184569" w:rsidRDefault="00184569" w:rsidP="00184569">
            <w:pPr>
              <w:widowControl w:val="0"/>
              <w:autoSpaceDE w:val="0"/>
              <w:autoSpaceDN w:val="0"/>
              <w:spacing w:after="0" w:line="240" w:lineRule="auto"/>
              <w:ind w:left="362" w:right="350"/>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nem</w:t>
            </w:r>
            <w:r w:rsidRPr="00184569">
              <w:rPr>
                <w:rFonts w:ascii="Times New Roman" w:eastAsia="Times New Roman" w:hAnsi="Times New Roman" w:cs="Times New Roman"/>
                <w:spacing w:val="-4"/>
                <w:kern w:val="0"/>
                <w14:ligatures w14:val="none"/>
              </w:rPr>
              <w:t xml:space="preserve"> </w:t>
            </w:r>
            <w:r w:rsidRPr="00184569">
              <w:rPr>
                <w:rFonts w:ascii="Times New Roman" w:eastAsia="Times New Roman" w:hAnsi="Times New Roman" w:cs="Times New Roman"/>
                <w:kern w:val="0"/>
                <w14:ligatures w14:val="none"/>
              </w:rPr>
              <w:t>gyakori</w:t>
            </w:r>
          </w:p>
        </w:tc>
        <w:tc>
          <w:tcPr>
            <w:tcW w:w="1017" w:type="pct"/>
          </w:tcPr>
          <w:p w14:paraId="1FA1ED3D" w14:textId="77777777" w:rsidR="00184569" w:rsidRPr="00184569" w:rsidRDefault="00184569" w:rsidP="00184569">
            <w:pPr>
              <w:widowControl w:val="0"/>
              <w:autoSpaceDE w:val="0"/>
              <w:autoSpaceDN w:val="0"/>
              <w:spacing w:after="0" w:line="240" w:lineRule="auto"/>
              <w:ind w:left="164" w:right="160"/>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ritka</w:t>
            </w:r>
          </w:p>
        </w:tc>
        <w:tc>
          <w:tcPr>
            <w:tcW w:w="1014" w:type="pct"/>
          </w:tcPr>
          <w:p w14:paraId="2216FCC7" w14:textId="77777777" w:rsidR="00184569" w:rsidRPr="00184569" w:rsidRDefault="00184569" w:rsidP="00184569">
            <w:pPr>
              <w:widowControl w:val="0"/>
              <w:autoSpaceDE w:val="0"/>
              <w:autoSpaceDN w:val="0"/>
              <w:spacing w:after="0" w:line="240" w:lineRule="auto"/>
              <w:ind w:left="164" w:right="160"/>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nem</w:t>
            </w:r>
            <w:r w:rsidRPr="00184569">
              <w:rPr>
                <w:rFonts w:ascii="Times New Roman" w:eastAsia="Times New Roman" w:hAnsi="Times New Roman" w:cs="Times New Roman"/>
                <w:spacing w:val="-4"/>
                <w:kern w:val="0"/>
                <w14:ligatures w14:val="none"/>
              </w:rPr>
              <w:t xml:space="preserve"> </w:t>
            </w:r>
            <w:r w:rsidRPr="00184569">
              <w:rPr>
                <w:rFonts w:ascii="Times New Roman" w:eastAsia="Times New Roman" w:hAnsi="Times New Roman" w:cs="Times New Roman"/>
                <w:kern w:val="0"/>
                <w14:ligatures w14:val="none"/>
              </w:rPr>
              <w:t>ismert</w:t>
            </w:r>
          </w:p>
        </w:tc>
      </w:tr>
      <w:tr w:rsidR="00184569" w:rsidRPr="00184569" w14:paraId="7D4307A1" w14:textId="77777777" w:rsidTr="00E16EC6">
        <w:trPr>
          <w:trHeight w:val="359"/>
        </w:trPr>
        <w:tc>
          <w:tcPr>
            <w:tcW w:w="5000" w:type="pct"/>
            <w:gridSpan w:val="4"/>
            <w:vAlign w:val="center"/>
          </w:tcPr>
          <w:p w14:paraId="0AABD625"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i/>
                <w:kern w:val="0"/>
                <w14:ligatures w14:val="none"/>
              </w:rPr>
            </w:pPr>
            <w:r w:rsidRPr="00184569">
              <w:rPr>
                <w:rFonts w:ascii="Times New Roman" w:eastAsia="Times New Roman" w:hAnsi="Times New Roman" w:cs="Times New Roman"/>
                <w:i/>
                <w:kern w:val="0"/>
                <w14:ligatures w14:val="none"/>
              </w:rPr>
              <w:t>Szembetegségek</w:t>
            </w:r>
            <w:r w:rsidRPr="00184569">
              <w:rPr>
                <w:rFonts w:ascii="Times New Roman" w:eastAsia="Times New Roman" w:hAnsi="Times New Roman" w:cs="Times New Roman"/>
                <w:i/>
                <w:spacing w:val="-6"/>
                <w:kern w:val="0"/>
                <w14:ligatures w14:val="none"/>
              </w:rPr>
              <w:t xml:space="preserve"> </w:t>
            </w:r>
            <w:r w:rsidRPr="00184569">
              <w:rPr>
                <w:rFonts w:ascii="Times New Roman" w:eastAsia="Times New Roman" w:hAnsi="Times New Roman" w:cs="Times New Roman"/>
                <w:i/>
                <w:kern w:val="0"/>
                <w14:ligatures w14:val="none"/>
              </w:rPr>
              <w:t>és</w:t>
            </w:r>
            <w:r w:rsidRPr="00184569">
              <w:rPr>
                <w:rFonts w:ascii="Times New Roman" w:eastAsia="Times New Roman" w:hAnsi="Times New Roman" w:cs="Times New Roman"/>
                <w:i/>
                <w:spacing w:val="-5"/>
                <w:kern w:val="0"/>
                <w14:ligatures w14:val="none"/>
              </w:rPr>
              <w:t xml:space="preserve"> </w:t>
            </w:r>
            <w:r w:rsidRPr="00184569">
              <w:rPr>
                <w:rFonts w:ascii="Times New Roman" w:eastAsia="Times New Roman" w:hAnsi="Times New Roman" w:cs="Times New Roman"/>
                <w:i/>
                <w:kern w:val="0"/>
                <w14:ligatures w14:val="none"/>
              </w:rPr>
              <w:t>szemészeti</w:t>
            </w:r>
            <w:r w:rsidRPr="00184569">
              <w:rPr>
                <w:rFonts w:ascii="Times New Roman" w:eastAsia="Times New Roman" w:hAnsi="Times New Roman" w:cs="Times New Roman"/>
                <w:i/>
                <w:spacing w:val="-5"/>
                <w:kern w:val="0"/>
                <w14:ligatures w14:val="none"/>
              </w:rPr>
              <w:t xml:space="preserve"> </w:t>
            </w:r>
            <w:r w:rsidRPr="00184569">
              <w:rPr>
                <w:rFonts w:ascii="Times New Roman" w:eastAsia="Times New Roman" w:hAnsi="Times New Roman" w:cs="Times New Roman"/>
                <w:i/>
                <w:kern w:val="0"/>
                <w14:ligatures w14:val="none"/>
              </w:rPr>
              <w:t>tünetek</w:t>
            </w:r>
          </w:p>
        </w:tc>
      </w:tr>
      <w:tr w:rsidR="00184569" w:rsidRPr="00184569" w14:paraId="0D425E77" w14:textId="77777777" w:rsidTr="00E16EC6">
        <w:trPr>
          <w:trHeight w:val="520"/>
        </w:trPr>
        <w:tc>
          <w:tcPr>
            <w:tcW w:w="1874" w:type="pct"/>
          </w:tcPr>
          <w:p w14:paraId="0F88A28D" w14:textId="77777777" w:rsidR="00184569" w:rsidRPr="00184569" w:rsidRDefault="00184569" w:rsidP="00184569">
            <w:pPr>
              <w:widowControl w:val="0"/>
              <w:autoSpaceDE w:val="0"/>
              <w:autoSpaceDN w:val="0"/>
              <w:spacing w:after="0" w:line="240" w:lineRule="auto"/>
              <w:ind w:left="107"/>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Szemvérzés</w:t>
            </w:r>
            <w:r w:rsidRPr="00184569">
              <w:rPr>
                <w:rFonts w:ascii="Times New Roman" w:eastAsia="Times New Roman" w:hAnsi="Times New Roman" w:cs="Times New Roman"/>
                <w:spacing w:val="-6"/>
                <w:kern w:val="0"/>
                <w14:ligatures w14:val="none"/>
              </w:rPr>
              <w:t xml:space="preserve"> </w:t>
            </w:r>
            <w:r w:rsidRPr="00184569">
              <w:rPr>
                <w:rFonts w:ascii="Times New Roman" w:eastAsia="Times New Roman" w:hAnsi="Times New Roman" w:cs="Times New Roman"/>
                <w:kern w:val="0"/>
                <w14:ligatures w14:val="none"/>
              </w:rPr>
              <w:t>(beleértve</w:t>
            </w:r>
            <w:r w:rsidRPr="00184569">
              <w:rPr>
                <w:rFonts w:ascii="Times New Roman" w:eastAsia="Times New Roman" w:hAnsi="Times New Roman" w:cs="Times New Roman"/>
                <w:spacing w:val="-6"/>
                <w:kern w:val="0"/>
                <w14:ligatures w14:val="none"/>
              </w:rPr>
              <w:t xml:space="preserve"> </w:t>
            </w:r>
            <w:r w:rsidRPr="00184569">
              <w:rPr>
                <w:rFonts w:ascii="Times New Roman" w:eastAsia="Times New Roman" w:hAnsi="Times New Roman" w:cs="Times New Roman"/>
                <w:kern w:val="0"/>
                <w14:ligatures w14:val="none"/>
              </w:rPr>
              <w:t>a</w:t>
            </w:r>
            <w:r w:rsidRPr="00184569">
              <w:rPr>
                <w:rFonts w:ascii="Times New Roman" w:eastAsia="Times New Roman" w:hAnsi="Times New Roman" w:cs="Times New Roman"/>
                <w:spacing w:val="-6"/>
                <w:kern w:val="0"/>
                <w14:ligatures w14:val="none"/>
              </w:rPr>
              <w:t xml:space="preserve"> </w:t>
            </w:r>
            <w:r w:rsidRPr="00184569">
              <w:rPr>
                <w:rFonts w:ascii="Times New Roman" w:eastAsia="Times New Roman" w:hAnsi="Times New Roman" w:cs="Times New Roman"/>
                <w:kern w:val="0"/>
                <w14:ligatures w14:val="none"/>
              </w:rPr>
              <w:t>conjunctivális vérzést</w:t>
            </w:r>
            <w:r w:rsidRPr="00184569">
              <w:rPr>
                <w:rFonts w:ascii="Times New Roman" w:eastAsia="Times New Roman" w:hAnsi="Times New Roman" w:cs="Times New Roman"/>
                <w:spacing w:val="-4"/>
                <w:kern w:val="0"/>
                <w14:ligatures w14:val="none"/>
              </w:rPr>
              <w:t xml:space="preserve"> </w:t>
            </w:r>
            <w:r w:rsidRPr="00184569">
              <w:rPr>
                <w:rFonts w:ascii="Times New Roman" w:eastAsia="Times New Roman" w:hAnsi="Times New Roman" w:cs="Times New Roman"/>
                <w:kern w:val="0"/>
                <w14:ligatures w14:val="none"/>
              </w:rPr>
              <w:t>is)</w:t>
            </w:r>
          </w:p>
        </w:tc>
        <w:tc>
          <w:tcPr>
            <w:tcW w:w="1095" w:type="pct"/>
          </w:tcPr>
          <w:p w14:paraId="07D0C6D4" w14:textId="77777777" w:rsidR="00184569" w:rsidRPr="00184569" w:rsidRDefault="00184569" w:rsidP="00184569">
            <w:pPr>
              <w:widowControl w:val="0"/>
              <w:autoSpaceDE w:val="0"/>
              <w:autoSpaceDN w:val="0"/>
              <w:spacing w:after="0" w:line="240" w:lineRule="auto"/>
              <w:ind w:left="358" w:right="350"/>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gyakori</w:t>
            </w:r>
          </w:p>
        </w:tc>
        <w:tc>
          <w:tcPr>
            <w:tcW w:w="1017" w:type="pct"/>
          </w:tcPr>
          <w:p w14:paraId="6F68710E" w14:textId="77777777" w:rsidR="00184569" w:rsidRPr="00184569" w:rsidRDefault="00184569" w:rsidP="00184569">
            <w:pPr>
              <w:widowControl w:val="0"/>
              <w:autoSpaceDE w:val="0"/>
              <w:autoSpaceDN w:val="0"/>
              <w:spacing w:after="0" w:line="240" w:lineRule="auto"/>
              <w:ind w:left="163" w:right="160"/>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nem</w:t>
            </w:r>
            <w:r w:rsidRPr="00184569">
              <w:rPr>
                <w:rFonts w:ascii="Times New Roman" w:eastAsia="Times New Roman" w:hAnsi="Times New Roman" w:cs="Times New Roman"/>
                <w:spacing w:val="-4"/>
                <w:kern w:val="0"/>
                <w14:ligatures w14:val="none"/>
              </w:rPr>
              <w:t xml:space="preserve"> </w:t>
            </w:r>
            <w:r w:rsidRPr="00184569">
              <w:rPr>
                <w:rFonts w:ascii="Times New Roman" w:eastAsia="Times New Roman" w:hAnsi="Times New Roman" w:cs="Times New Roman"/>
                <w:kern w:val="0"/>
                <w14:ligatures w14:val="none"/>
              </w:rPr>
              <w:t>gyakori</w:t>
            </w:r>
          </w:p>
        </w:tc>
        <w:tc>
          <w:tcPr>
            <w:tcW w:w="1014" w:type="pct"/>
          </w:tcPr>
          <w:p w14:paraId="14C60F37" w14:textId="77777777" w:rsidR="00184569" w:rsidRPr="00184569" w:rsidRDefault="00184569" w:rsidP="00184569">
            <w:pPr>
              <w:widowControl w:val="0"/>
              <w:autoSpaceDE w:val="0"/>
              <w:autoSpaceDN w:val="0"/>
              <w:spacing w:after="0" w:line="240" w:lineRule="auto"/>
              <w:ind w:left="163" w:right="160"/>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nem</w:t>
            </w:r>
            <w:r w:rsidRPr="00184569">
              <w:rPr>
                <w:rFonts w:ascii="Times New Roman" w:eastAsia="Times New Roman" w:hAnsi="Times New Roman" w:cs="Times New Roman"/>
                <w:spacing w:val="-4"/>
                <w:kern w:val="0"/>
                <w14:ligatures w14:val="none"/>
              </w:rPr>
              <w:t xml:space="preserve"> </w:t>
            </w:r>
            <w:r w:rsidRPr="00184569">
              <w:rPr>
                <w:rFonts w:ascii="Times New Roman" w:eastAsia="Times New Roman" w:hAnsi="Times New Roman" w:cs="Times New Roman"/>
                <w:kern w:val="0"/>
                <w14:ligatures w14:val="none"/>
              </w:rPr>
              <w:t>ismert</w:t>
            </w:r>
          </w:p>
        </w:tc>
      </w:tr>
      <w:tr w:rsidR="00184569" w:rsidRPr="00184569" w14:paraId="0969B67D" w14:textId="77777777" w:rsidTr="00E16EC6">
        <w:trPr>
          <w:trHeight w:val="359"/>
        </w:trPr>
        <w:tc>
          <w:tcPr>
            <w:tcW w:w="5000" w:type="pct"/>
            <w:gridSpan w:val="4"/>
            <w:vAlign w:val="center"/>
          </w:tcPr>
          <w:p w14:paraId="462EB886" w14:textId="77777777" w:rsidR="00184569" w:rsidRPr="00184569" w:rsidRDefault="00184569" w:rsidP="00184569">
            <w:pPr>
              <w:widowControl w:val="0"/>
              <w:autoSpaceDE w:val="0"/>
              <w:autoSpaceDN w:val="0"/>
              <w:spacing w:after="0" w:line="240" w:lineRule="auto"/>
              <w:ind w:left="-10"/>
              <w:rPr>
                <w:rFonts w:ascii="Times New Roman" w:eastAsia="Times New Roman" w:hAnsi="Times New Roman" w:cs="Times New Roman"/>
                <w:i/>
                <w:kern w:val="0"/>
                <w14:ligatures w14:val="none"/>
              </w:rPr>
            </w:pPr>
            <w:r w:rsidRPr="00184569">
              <w:rPr>
                <w:rFonts w:ascii="Times New Roman" w:eastAsia="Times New Roman" w:hAnsi="Times New Roman" w:cs="Times New Roman"/>
                <w:i/>
                <w:kern w:val="0"/>
                <w14:ligatures w14:val="none"/>
              </w:rPr>
              <w:t>Érbetegségek</w:t>
            </w:r>
            <w:r w:rsidRPr="00184569">
              <w:rPr>
                <w:rFonts w:ascii="Times New Roman" w:eastAsia="Times New Roman" w:hAnsi="Times New Roman" w:cs="Times New Roman"/>
                <w:i/>
                <w:spacing w:val="-5"/>
                <w:kern w:val="0"/>
                <w14:ligatures w14:val="none"/>
              </w:rPr>
              <w:t xml:space="preserve"> </w:t>
            </w:r>
            <w:r w:rsidRPr="00184569">
              <w:rPr>
                <w:rFonts w:ascii="Times New Roman" w:eastAsia="Times New Roman" w:hAnsi="Times New Roman" w:cs="Times New Roman"/>
                <w:i/>
                <w:kern w:val="0"/>
                <w14:ligatures w14:val="none"/>
              </w:rPr>
              <w:t>és</w:t>
            </w:r>
            <w:r w:rsidRPr="00184569">
              <w:rPr>
                <w:rFonts w:ascii="Times New Roman" w:eastAsia="Times New Roman" w:hAnsi="Times New Roman" w:cs="Times New Roman"/>
                <w:i/>
                <w:spacing w:val="-4"/>
                <w:kern w:val="0"/>
                <w14:ligatures w14:val="none"/>
              </w:rPr>
              <w:t xml:space="preserve"> </w:t>
            </w:r>
            <w:r w:rsidRPr="00184569">
              <w:rPr>
                <w:rFonts w:ascii="Times New Roman" w:eastAsia="Times New Roman" w:hAnsi="Times New Roman" w:cs="Times New Roman"/>
                <w:i/>
                <w:kern w:val="0"/>
                <w14:ligatures w14:val="none"/>
              </w:rPr>
              <w:t>tünetek</w:t>
            </w:r>
          </w:p>
        </w:tc>
      </w:tr>
      <w:tr w:rsidR="00184569" w:rsidRPr="00184569" w14:paraId="6FFC7C27" w14:textId="77777777" w:rsidTr="00E16EC6">
        <w:trPr>
          <w:trHeight w:val="258"/>
        </w:trPr>
        <w:tc>
          <w:tcPr>
            <w:tcW w:w="1874" w:type="pct"/>
          </w:tcPr>
          <w:p w14:paraId="378A89AA" w14:textId="77777777" w:rsidR="00184569" w:rsidRPr="00184569" w:rsidRDefault="00184569" w:rsidP="00184569">
            <w:pPr>
              <w:widowControl w:val="0"/>
              <w:autoSpaceDE w:val="0"/>
              <w:autoSpaceDN w:val="0"/>
              <w:spacing w:after="0" w:line="240" w:lineRule="auto"/>
              <w:ind w:left="107"/>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Vérzés,</w:t>
            </w:r>
            <w:r w:rsidRPr="00184569">
              <w:rPr>
                <w:rFonts w:ascii="Times New Roman" w:eastAsia="Times New Roman" w:hAnsi="Times New Roman" w:cs="Times New Roman"/>
                <w:spacing w:val="-5"/>
                <w:kern w:val="0"/>
                <w14:ligatures w14:val="none"/>
              </w:rPr>
              <w:t xml:space="preserve"> </w:t>
            </w:r>
            <w:r w:rsidRPr="00184569">
              <w:rPr>
                <w:rFonts w:ascii="Times New Roman" w:eastAsia="Times New Roman" w:hAnsi="Times New Roman" w:cs="Times New Roman"/>
                <w:kern w:val="0"/>
                <w14:ligatures w14:val="none"/>
              </w:rPr>
              <w:t>haematoma</w:t>
            </w:r>
          </w:p>
        </w:tc>
        <w:tc>
          <w:tcPr>
            <w:tcW w:w="1095" w:type="pct"/>
          </w:tcPr>
          <w:p w14:paraId="58D017B2" w14:textId="77777777" w:rsidR="00184569" w:rsidRPr="00184569" w:rsidRDefault="00184569" w:rsidP="00184569">
            <w:pPr>
              <w:widowControl w:val="0"/>
              <w:autoSpaceDE w:val="0"/>
              <w:autoSpaceDN w:val="0"/>
              <w:spacing w:after="0" w:line="240" w:lineRule="auto"/>
              <w:ind w:left="362" w:right="350"/>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gyakori</w:t>
            </w:r>
          </w:p>
        </w:tc>
        <w:tc>
          <w:tcPr>
            <w:tcW w:w="1017" w:type="pct"/>
          </w:tcPr>
          <w:p w14:paraId="4229F8CE" w14:textId="77777777" w:rsidR="00184569" w:rsidRPr="00184569" w:rsidRDefault="00184569" w:rsidP="00184569">
            <w:pPr>
              <w:widowControl w:val="0"/>
              <w:autoSpaceDE w:val="0"/>
              <w:autoSpaceDN w:val="0"/>
              <w:spacing w:after="0" w:line="240" w:lineRule="auto"/>
              <w:ind w:left="165" w:right="157"/>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gyakori</w:t>
            </w:r>
          </w:p>
        </w:tc>
        <w:tc>
          <w:tcPr>
            <w:tcW w:w="1014" w:type="pct"/>
          </w:tcPr>
          <w:p w14:paraId="5F3ADB50" w14:textId="77777777" w:rsidR="00184569" w:rsidRPr="00184569" w:rsidRDefault="00184569" w:rsidP="00184569">
            <w:pPr>
              <w:widowControl w:val="0"/>
              <w:autoSpaceDE w:val="0"/>
              <w:autoSpaceDN w:val="0"/>
              <w:spacing w:after="0" w:line="240" w:lineRule="auto"/>
              <w:ind w:left="165" w:right="157"/>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gyakori</w:t>
            </w:r>
          </w:p>
        </w:tc>
      </w:tr>
      <w:tr w:rsidR="00184569" w:rsidRPr="00184569" w14:paraId="50CDDF46" w14:textId="77777777" w:rsidTr="00E16EC6">
        <w:trPr>
          <w:trHeight w:val="520"/>
        </w:trPr>
        <w:tc>
          <w:tcPr>
            <w:tcW w:w="1874" w:type="pct"/>
          </w:tcPr>
          <w:p w14:paraId="4433DA2E" w14:textId="77777777" w:rsidR="00184569" w:rsidRPr="00184569" w:rsidRDefault="00184569" w:rsidP="00184569">
            <w:pPr>
              <w:widowControl w:val="0"/>
              <w:autoSpaceDE w:val="0"/>
              <w:autoSpaceDN w:val="0"/>
              <w:spacing w:after="0" w:line="240" w:lineRule="auto"/>
              <w:ind w:left="107"/>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Hypotensio</w:t>
            </w:r>
            <w:r w:rsidRPr="00184569">
              <w:rPr>
                <w:rFonts w:ascii="Times New Roman" w:eastAsia="Times New Roman" w:hAnsi="Times New Roman" w:cs="Times New Roman"/>
                <w:spacing w:val="-5"/>
                <w:kern w:val="0"/>
                <w14:ligatures w14:val="none"/>
              </w:rPr>
              <w:t xml:space="preserve"> </w:t>
            </w:r>
            <w:r w:rsidRPr="00184569">
              <w:rPr>
                <w:rFonts w:ascii="Times New Roman" w:eastAsia="Times New Roman" w:hAnsi="Times New Roman" w:cs="Times New Roman"/>
                <w:kern w:val="0"/>
                <w14:ligatures w14:val="none"/>
              </w:rPr>
              <w:t>(beleértve</w:t>
            </w:r>
            <w:r w:rsidRPr="00184569">
              <w:rPr>
                <w:rFonts w:ascii="Times New Roman" w:eastAsia="Times New Roman" w:hAnsi="Times New Roman" w:cs="Times New Roman"/>
                <w:spacing w:val="-5"/>
                <w:kern w:val="0"/>
                <w14:ligatures w14:val="none"/>
              </w:rPr>
              <w:t xml:space="preserve"> </w:t>
            </w:r>
            <w:r w:rsidRPr="00184569">
              <w:rPr>
                <w:rFonts w:ascii="Times New Roman" w:eastAsia="Times New Roman" w:hAnsi="Times New Roman" w:cs="Times New Roman"/>
                <w:kern w:val="0"/>
                <w14:ligatures w14:val="none"/>
              </w:rPr>
              <w:t>a</w:t>
            </w:r>
            <w:r w:rsidRPr="00184569">
              <w:rPr>
                <w:rFonts w:ascii="Times New Roman" w:eastAsia="Times New Roman" w:hAnsi="Times New Roman" w:cs="Times New Roman"/>
                <w:spacing w:val="-5"/>
                <w:kern w:val="0"/>
                <w14:ligatures w14:val="none"/>
              </w:rPr>
              <w:t xml:space="preserve"> </w:t>
            </w:r>
            <w:r w:rsidRPr="00184569">
              <w:rPr>
                <w:rFonts w:ascii="Times New Roman" w:eastAsia="Times New Roman" w:hAnsi="Times New Roman" w:cs="Times New Roman"/>
                <w:kern w:val="0"/>
                <w14:ligatures w14:val="none"/>
              </w:rPr>
              <w:t>beavatkozás okozta</w:t>
            </w:r>
            <w:r w:rsidRPr="00184569">
              <w:rPr>
                <w:rFonts w:ascii="Times New Roman" w:eastAsia="Times New Roman" w:hAnsi="Times New Roman" w:cs="Times New Roman"/>
                <w:spacing w:val="-5"/>
                <w:kern w:val="0"/>
                <w14:ligatures w14:val="none"/>
              </w:rPr>
              <w:t xml:space="preserve"> </w:t>
            </w:r>
            <w:r w:rsidRPr="00184569">
              <w:rPr>
                <w:rFonts w:ascii="Times New Roman" w:eastAsia="Times New Roman" w:hAnsi="Times New Roman" w:cs="Times New Roman"/>
                <w:kern w:val="0"/>
                <w14:ligatures w14:val="none"/>
              </w:rPr>
              <w:t>hypotensiót</w:t>
            </w:r>
            <w:r w:rsidRPr="00184569">
              <w:rPr>
                <w:rFonts w:ascii="Times New Roman" w:eastAsia="Times New Roman" w:hAnsi="Times New Roman" w:cs="Times New Roman"/>
                <w:spacing w:val="-4"/>
                <w:kern w:val="0"/>
                <w14:ligatures w14:val="none"/>
              </w:rPr>
              <w:t xml:space="preserve"> </w:t>
            </w:r>
            <w:r w:rsidRPr="00184569">
              <w:rPr>
                <w:rFonts w:ascii="Times New Roman" w:eastAsia="Times New Roman" w:hAnsi="Times New Roman" w:cs="Times New Roman"/>
                <w:kern w:val="0"/>
                <w14:ligatures w14:val="none"/>
              </w:rPr>
              <w:t>is)</w:t>
            </w:r>
          </w:p>
        </w:tc>
        <w:tc>
          <w:tcPr>
            <w:tcW w:w="1095" w:type="pct"/>
          </w:tcPr>
          <w:p w14:paraId="1445F3DA" w14:textId="77777777" w:rsidR="00184569" w:rsidRPr="00184569" w:rsidRDefault="00184569" w:rsidP="00184569">
            <w:pPr>
              <w:widowControl w:val="0"/>
              <w:autoSpaceDE w:val="0"/>
              <w:autoSpaceDN w:val="0"/>
              <w:spacing w:after="0" w:line="240" w:lineRule="auto"/>
              <w:ind w:left="357" w:right="350"/>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gyakori</w:t>
            </w:r>
          </w:p>
        </w:tc>
        <w:tc>
          <w:tcPr>
            <w:tcW w:w="1017" w:type="pct"/>
          </w:tcPr>
          <w:p w14:paraId="5AA89D34" w14:textId="77777777" w:rsidR="00184569" w:rsidRPr="00184569" w:rsidRDefault="00184569" w:rsidP="00184569">
            <w:pPr>
              <w:widowControl w:val="0"/>
              <w:autoSpaceDE w:val="0"/>
              <w:autoSpaceDN w:val="0"/>
              <w:spacing w:after="0" w:line="240" w:lineRule="auto"/>
              <w:ind w:left="163" w:right="160"/>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nem</w:t>
            </w:r>
            <w:r w:rsidRPr="00184569">
              <w:rPr>
                <w:rFonts w:ascii="Times New Roman" w:eastAsia="Times New Roman" w:hAnsi="Times New Roman" w:cs="Times New Roman"/>
                <w:spacing w:val="-4"/>
                <w:kern w:val="0"/>
                <w14:ligatures w14:val="none"/>
              </w:rPr>
              <w:t xml:space="preserve"> </w:t>
            </w:r>
            <w:r w:rsidRPr="00184569">
              <w:rPr>
                <w:rFonts w:ascii="Times New Roman" w:eastAsia="Times New Roman" w:hAnsi="Times New Roman" w:cs="Times New Roman"/>
                <w:kern w:val="0"/>
                <w14:ligatures w14:val="none"/>
              </w:rPr>
              <w:t>gyakori</w:t>
            </w:r>
          </w:p>
        </w:tc>
        <w:tc>
          <w:tcPr>
            <w:tcW w:w="1014" w:type="pct"/>
          </w:tcPr>
          <w:p w14:paraId="11A3B7C6" w14:textId="77777777" w:rsidR="00184569" w:rsidRPr="00184569" w:rsidRDefault="00184569" w:rsidP="00184569">
            <w:pPr>
              <w:widowControl w:val="0"/>
              <w:autoSpaceDE w:val="0"/>
              <w:autoSpaceDN w:val="0"/>
              <w:spacing w:after="0" w:line="240" w:lineRule="auto"/>
              <w:ind w:left="163" w:right="160"/>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gyakori</w:t>
            </w:r>
          </w:p>
        </w:tc>
      </w:tr>
      <w:tr w:rsidR="00184569" w:rsidRPr="00184569" w14:paraId="14FA8435" w14:textId="77777777" w:rsidTr="00E16EC6">
        <w:trPr>
          <w:trHeight w:val="261"/>
        </w:trPr>
        <w:tc>
          <w:tcPr>
            <w:tcW w:w="1874" w:type="pct"/>
          </w:tcPr>
          <w:p w14:paraId="04FB710D" w14:textId="77777777" w:rsidR="00184569" w:rsidRPr="00184569" w:rsidRDefault="00184569" w:rsidP="00184569">
            <w:pPr>
              <w:widowControl w:val="0"/>
              <w:autoSpaceDE w:val="0"/>
              <w:autoSpaceDN w:val="0"/>
              <w:spacing w:after="0" w:line="240" w:lineRule="auto"/>
              <w:ind w:left="107"/>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Intraabdominalis</w:t>
            </w:r>
            <w:r w:rsidRPr="00184569">
              <w:rPr>
                <w:rFonts w:ascii="Times New Roman" w:eastAsia="Times New Roman" w:hAnsi="Times New Roman" w:cs="Times New Roman"/>
                <w:spacing w:val="-7"/>
                <w:kern w:val="0"/>
                <w14:ligatures w14:val="none"/>
              </w:rPr>
              <w:t xml:space="preserve"> </w:t>
            </w:r>
            <w:r w:rsidRPr="00184569">
              <w:rPr>
                <w:rFonts w:ascii="Times New Roman" w:eastAsia="Times New Roman" w:hAnsi="Times New Roman" w:cs="Times New Roman"/>
                <w:kern w:val="0"/>
                <w14:ligatures w14:val="none"/>
              </w:rPr>
              <w:t>vérzés</w:t>
            </w:r>
          </w:p>
        </w:tc>
        <w:tc>
          <w:tcPr>
            <w:tcW w:w="1095" w:type="pct"/>
          </w:tcPr>
          <w:p w14:paraId="3D2CB36C" w14:textId="77777777" w:rsidR="00184569" w:rsidRPr="00184569" w:rsidRDefault="00184569" w:rsidP="00184569">
            <w:pPr>
              <w:widowControl w:val="0"/>
              <w:autoSpaceDE w:val="0"/>
              <w:autoSpaceDN w:val="0"/>
              <w:spacing w:after="0" w:line="240" w:lineRule="auto"/>
              <w:ind w:left="362" w:right="350"/>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nem</w:t>
            </w:r>
            <w:r w:rsidRPr="00184569">
              <w:rPr>
                <w:rFonts w:ascii="Times New Roman" w:eastAsia="Times New Roman" w:hAnsi="Times New Roman" w:cs="Times New Roman"/>
                <w:spacing w:val="-4"/>
                <w:kern w:val="0"/>
                <w14:ligatures w14:val="none"/>
              </w:rPr>
              <w:t xml:space="preserve"> </w:t>
            </w:r>
            <w:r w:rsidRPr="00184569">
              <w:rPr>
                <w:rFonts w:ascii="Times New Roman" w:eastAsia="Times New Roman" w:hAnsi="Times New Roman" w:cs="Times New Roman"/>
                <w:kern w:val="0"/>
                <w14:ligatures w14:val="none"/>
              </w:rPr>
              <w:t>gyakori</w:t>
            </w:r>
          </w:p>
        </w:tc>
        <w:tc>
          <w:tcPr>
            <w:tcW w:w="1017" w:type="pct"/>
          </w:tcPr>
          <w:p w14:paraId="76EC1CCF" w14:textId="77777777" w:rsidR="00184569" w:rsidRPr="00184569" w:rsidRDefault="00184569" w:rsidP="00184569">
            <w:pPr>
              <w:widowControl w:val="0"/>
              <w:autoSpaceDE w:val="0"/>
              <w:autoSpaceDN w:val="0"/>
              <w:spacing w:after="0" w:line="240" w:lineRule="auto"/>
              <w:ind w:left="165" w:right="157"/>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nem</w:t>
            </w:r>
            <w:r w:rsidRPr="00184569">
              <w:rPr>
                <w:rFonts w:ascii="Times New Roman" w:eastAsia="Times New Roman" w:hAnsi="Times New Roman" w:cs="Times New Roman"/>
                <w:spacing w:val="-4"/>
                <w:kern w:val="0"/>
                <w14:ligatures w14:val="none"/>
              </w:rPr>
              <w:t xml:space="preserve"> </w:t>
            </w:r>
            <w:r w:rsidRPr="00184569">
              <w:rPr>
                <w:rFonts w:ascii="Times New Roman" w:eastAsia="Times New Roman" w:hAnsi="Times New Roman" w:cs="Times New Roman"/>
                <w:kern w:val="0"/>
                <w14:ligatures w14:val="none"/>
              </w:rPr>
              <w:t>ismert</w:t>
            </w:r>
          </w:p>
        </w:tc>
        <w:tc>
          <w:tcPr>
            <w:tcW w:w="1014" w:type="pct"/>
          </w:tcPr>
          <w:p w14:paraId="5B1A2496" w14:textId="77777777" w:rsidR="00184569" w:rsidRPr="00184569" w:rsidRDefault="00184569" w:rsidP="00184569">
            <w:pPr>
              <w:widowControl w:val="0"/>
              <w:autoSpaceDE w:val="0"/>
              <w:autoSpaceDN w:val="0"/>
              <w:spacing w:after="0" w:line="240" w:lineRule="auto"/>
              <w:ind w:left="165" w:right="157"/>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nem</w:t>
            </w:r>
            <w:r w:rsidRPr="00184569">
              <w:rPr>
                <w:rFonts w:ascii="Times New Roman" w:eastAsia="Times New Roman" w:hAnsi="Times New Roman" w:cs="Times New Roman"/>
                <w:spacing w:val="-4"/>
                <w:kern w:val="0"/>
                <w14:ligatures w14:val="none"/>
              </w:rPr>
              <w:t xml:space="preserve"> </w:t>
            </w:r>
            <w:r w:rsidRPr="00184569">
              <w:rPr>
                <w:rFonts w:ascii="Times New Roman" w:eastAsia="Times New Roman" w:hAnsi="Times New Roman" w:cs="Times New Roman"/>
                <w:kern w:val="0"/>
                <w14:ligatures w14:val="none"/>
              </w:rPr>
              <w:t>ismert</w:t>
            </w:r>
          </w:p>
        </w:tc>
      </w:tr>
      <w:tr w:rsidR="00184569" w:rsidRPr="00184569" w14:paraId="6C3417F0" w14:textId="77777777" w:rsidTr="00E16EC6">
        <w:trPr>
          <w:trHeight w:val="359"/>
        </w:trPr>
        <w:tc>
          <w:tcPr>
            <w:tcW w:w="5000" w:type="pct"/>
            <w:gridSpan w:val="4"/>
            <w:vAlign w:val="center"/>
          </w:tcPr>
          <w:p w14:paraId="69AEA670"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i/>
                <w:kern w:val="0"/>
                <w14:ligatures w14:val="none"/>
              </w:rPr>
            </w:pPr>
            <w:r w:rsidRPr="00184569">
              <w:rPr>
                <w:rFonts w:ascii="Times New Roman" w:eastAsia="Times New Roman" w:hAnsi="Times New Roman" w:cs="Times New Roman"/>
                <w:i/>
                <w:kern w:val="0"/>
                <w14:ligatures w14:val="none"/>
              </w:rPr>
              <w:t>Légzőrendszeri,</w:t>
            </w:r>
            <w:r w:rsidRPr="00184569">
              <w:rPr>
                <w:rFonts w:ascii="Times New Roman" w:eastAsia="Times New Roman" w:hAnsi="Times New Roman" w:cs="Times New Roman"/>
                <w:i/>
                <w:spacing w:val="-6"/>
                <w:kern w:val="0"/>
                <w14:ligatures w14:val="none"/>
              </w:rPr>
              <w:t xml:space="preserve"> </w:t>
            </w:r>
            <w:r w:rsidRPr="00184569">
              <w:rPr>
                <w:rFonts w:ascii="Times New Roman" w:eastAsia="Times New Roman" w:hAnsi="Times New Roman" w:cs="Times New Roman"/>
                <w:i/>
                <w:kern w:val="0"/>
                <w14:ligatures w14:val="none"/>
              </w:rPr>
              <w:t>mellkasi</w:t>
            </w:r>
            <w:r w:rsidRPr="00184569">
              <w:rPr>
                <w:rFonts w:ascii="Times New Roman" w:eastAsia="Times New Roman" w:hAnsi="Times New Roman" w:cs="Times New Roman"/>
                <w:i/>
                <w:spacing w:val="-5"/>
                <w:kern w:val="0"/>
                <w14:ligatures w14:val="none"/>
              </w:rPr>
              <w:t xml:space="preserve"> </w:t>
            </w:r>
            <w:r w:rsidRPr="00184569">
              <w:rPr>
                <w:rFonts w:ascii="Times New Roman" w:eastAsia="Times New Roman" w:hAnsi="Times New Roman" w:cs="Times New Roman"/>
                <w:i/>
                <w:kern w:val="0"/>
                <w14:ligatures w14:val="none"/>
              </w:rPr>
              <w:t>és</w:t>
            </w:r>
            <w:r w:rsidRPr="00184569">
              <w:rPr>
                <w:rFonts w:ascii="Times New Roman" w:eastAsia="Times New Roman" w:hAnsi="Times New Roman" w:cs="Times New Roman"/>
                <w:i/>
                <w:spacing w:val="-5"/>
                <w:kern w:val="0"/>
                <w14:ligatures w14:val="none"/>
              </w:rPr>
              <w:t xml:space="preserve"> </w:t>
            </w:r>
            <w:r w:rsidRPr="00184569">
              <w:rPr>
                <w:rFonts w:ascii="Times New Roman" w:eastAsia="Times New Roman" w:hAnsi="Times New Roman" w:cs="Times New Roman"/>
                <w:i/>
                <w:kern w:val="0"/>
                <w14:ligatures w14:val="none"/>
              </w:rPr>
              <w:t>mediastinalis</w:t>
            </w:r>
            <w:r w:rsidRPr="00184569">
              <w:rPr>
                <w:rFonts w:ascii="Times New Roman" w:eastAsia="Times New Roman" w:hAnsi="Times New Roman" w:cs="Times New Roman"/>
                <w:i/>
                <w:spacing w:val="-6"/>
                <w:kern w:val="0"/>
                <w14:ligatures w14:val="none"/>
              </w:rPr>
              <w:t xml:space="preserve"> </w:t>
            </w:r>
            <w:r w:rsidRPr="00184569">
              <w:rPr>
                <w:rFonts w:ascii="Times New Roman" w:eastAsia="Times New Roman" w:hAnsi="Times New Roman" w:cs="Times New Roman"/>
                <w:i/>
                <w:kern w:val="0"/>
                <w14:ligatures w14:val="none"/>
              </w:rPr>
              <w:t>betegségek</w:t>
            </w:r>
            <w:r w:rsidRPr="00184569">
              <w:rPr>
                <w:rFonts w:ascii="Times New Roman" w:eastAsia="Times New Roman" w:hAnsi="Times New Roman" w:cs="Times New Roman"/>
                <w:i/>
                <w:spacing w:val="-5"/>
                <w:kern w:val="0"/>
                <w14:ligatures w14:val="none"/>
              </w:rPr>
              <w:t xml:space="preserve"> </w:t>
            </w:r>
            <w:r w:rsidRPr="00184569">
              <w:rPr>
                <w:rFonts w:ascii="Times New Roman" w:eastAsia="Times New Roman" w:hAnsi="Times New Roman" w:cs="Times New Roman"/>
                <w:i/>
                <w:kern w:val="0"/>
                <w14:ligatures w14:val="none"/>
              </w:rPr>
              <w:t>és</w:t>
            </w:r>
            <w:r w:rsidRPr="00184569">
              <w:rPr>
                <w:rFonts w:ascii="Times New Roman" w:eastAsia="Times New Roman" w:hAnsi="Times New Roman" w:cs="Times New Roman"/>
                <w:i/>
                <w:spacing w:val="-5"/>
                <w:kern w:val="0"/>
                <w14:ligatures w14:val="none"/>
              </w:rPr>
              <w:t xml:space="preserve"> </w:t>
            </w:r>
            <w:r w:rsidRPr="00184569">
              <w:rPr>
                <w:rFonts w:ascii="Times New Roman" w:eastAsia="Times New Roman" w:hAnsi="Times New Roman" w:cs="Times New Roman"/>
                <w:i/>
                <w:kern w:val="0"/>
                <w14:ligatures w14:val="none"/>
              </w:rPr>
              <w:t>tünetek</w:t>
            </w:r>
          </w:p>
        </w:tc>
      </w:tr>
      <w:tr w:rsidR="00184569" w:rsidRPr="00184569" w14:paraId="32F43EC6" w14:textId="77777777" w:rsidTr="00E16EC6">
        <w:trPr>
          <w:trHeight w:val="258"/>
        </w:trPr>
        <w:tc>
          <w:tcPr>
            <w:tcW w:w="1874" w:type="pct"/>
          </w:tcPr>
          <w:p w14:paraId="258738B1" w14:textId="77777777" w:rsidR="00184569" w:rsidRPr="00184569" w:rsidRDefault="00184569" w:rsidP="00184569">
            <w:pPr>
              <w:widowControl w:val="0"/>
              <w:autoSpaceDE w:val="0"/>
              <w:autoSpaceDN w:val="0"/>
              <w:spacing w:after="0" w:line="240" w:lineRule="auto"/>
              <w:ind w:left="107"/>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Epistaxis</w:t>
            </w:r>
          </w:p>
        </w:tc>
        <w:tc>
          <w:tcPr>
            <w:tcW w:w="1095" w:type="pct"/>
          </w:tcPr>
          <w:p w14:paraId="4F96A45C" w14:textId="77777777" w:rsidR="00184569" w:rsidRPr="00184569" w:rsidRDefault="00184569" w:rsidP="00184569">
            <w:pPr>
              <w:widowControl w:val="0"/>
              <w:autoSpaceDE w:val="0"/>
              <w:autoSpaceDN w:val="0"/>
              <w:spacing w:after="0" w:line="240" w:lineRule="auto"/>
              <w:ind w:left="357" w:right="350"/>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gyakori</w:t>
            </w:r>
          </w:p>
        </w:tc>
        <w:tc>
          <w:tcPr>
            <w:tcW w:w="1017" w:type="pct"/>
          </w:tcPr>
          <w:p w14:paraId="612C30E4" w14:textId="77777777" w:rsidR="00184569" w:rsidRPr="00184569" w:rsidRDefault="00184569" w:rsidP="00184569">
            <w:pPr>
              <w:widowControl w:val="0"/>
              <w:autoSpaceDE w:val="0"/>
              <w:autoSpaceDN w:val="0"/>
              <w:spacing w:after="0" w:line="240" w:lineRule="auto"/>
              <w:ind w:left="165" w:right="123"/>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gyakori</w:t>
            </w:r>
          </w:p>
        </w:tc>
        <w:tc>
          <w:tcPr>
            <w:tcW w:w="1014" w:type="pct"/>
          </w:tcPr>
          <w:p w14:paraId="775C8200" w14:textId="77777777" w:rsidR="00184569" w:rsidRPr="00184569" w:rsidRDefault="00184569" w:rsidP="00184569">
            <w:pPr>
              <w:widowControl w:val="0"/>
              <w:autoSpaceDE w:val="0"/>
              <w:autoSpaceDN w:val="0"/>
              <w:spacing w:after="0" w:line="240" w:lineRule="auto"/>
              <w:ind w:left="165" w:right="123"/>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nagyon gyakori</w:t>
            </w:r>
          </w:p>
        </w:tc>
      </w:tr>
      <w:tr w:rsidR="00184569" w:rsidRPr="00184569" w14:paraId="67E9F870" w14:textId="77777777" w:rsidTr="00E16EC6">
        <w:trPr>
          <w:trHeight w:val="261"/>
        </w:trPr>
        <w:tc>
          <w:tcPr>
            <w:tcW w:w="1874" w:type="pct"/>
          </w:tcPr>
          <w:p w14:paraId="5F1906AC" w14:textId="77777777" w:rsidR="00184569" w:rsidRPr="00184569" w:rsidRDefault="00184569" w:rsidP="00184569">
            <w:pPr>
              <w:widowControl w:val="0"/>
              <w:autoSpaceDE w:val="0"/>
              <w:autoSpaceDN w:val="0"/>
              <w:spacing w:after="0" w:line="240" w:lineRule="auto"/>
              <w:ind w:left="107"/>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Haemoptoe</w:t>
            </w:r>
          </w:p>
        </w:tc>
        <w:tc>
          <w:tcPr>
            <w:tcW w:w="1095" w:type="pct"/>
          </w:tcPr>
          <w:p w14:paraId="5E21DF08" w14:textId="77777777" w:rsidR="00184569" w:rsidRPr="00184569" w:rsidRDefault="00184569" w:rsidP="00184569">
            <w:pPr>
              <w:widowControl w:val="0"/>
              <w:autoSpaceDE w:val="0"/>
              <w:autoSpaceDN w:val="0"/>
              <w:spacing w:after="0" w:line="240" w:lineRule="auto"/>
              <w:ind w:left="358" w:right="350"/>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nem</w:t>
            </w:r>
            <w:r w:rsidRPr="00184569">
              <w:rPr>
                <w:rFonts w:ascii="Times New Roman" w:eastAsia="Times New Roman" w:hAnsi="Times New Roman" w:cs="Times New Roman"/>
                <w:spacing w:val="-4"/>
                <w:kern w:val="0"/>
                <w14:ligatures w14:val="none"/>
              </w:rPr>
              <w:t xml:space="preserve"> </w:t>
            </w:r>
            <w:r w:rsidRPr="00184569">
              <w:rPr>
                <w:rFonts w:ascii="Times New Roman" w:eastAsia="Times New Roman" w:hAnsi="Times New Roman" w:cs="Times New Roman"/>
                <w:kern w:val="0"/>
                <w14:ligatures w14:val="none"/>
              </w:rPr>
              <w:t>gyakori</w:t>
            </w:r>
          </w:p>
        </w:tc>
        <w:tc>
          <w:tcPr>
            <w:tcW w:w="1017" w:type="pct"/>
          </w:tcPr>
          <w:p w14:paraId="54761AFC" w14:textId="77777777" w:rsidR="00184569" w:rsidRPr="00184569" w:rsidRDefault="00184569" w:rsidP="00184569">
            <w:pPr>
              <w:widowControl w:val="0"/>
              <w:autoSpaceDE w:val="0"/>
              <w:autoSpaceDN w:val="0"/>
              <w:spacing w:after="0" w:line="240" w:lineRule="auto"/>
              <w:ind w:left="163" w:right="160"/>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nem</w:t>
            </w:r>
            <w:r w:rsidRPr="00184569">
              <w:rPr>
                <w:rFonts w:ascii="Times New Roman" w:eastAsia="Times New Roman" w:hAnsi="Times New Roman" w:cs="Times New Roman"/>
                <w:spacing w:val="-4"/>
                <w:kern w:val="0"/>
                <w14:ligatures w14:val="none"/>
              </w:rPr>
              <w:t xml:space="preserve"> </w:t>
            </w:r>
            <w:r w:rsidRPr="00184569">
              <w:rPr>
                <w:rFonts w:ascii="Times New Roman" w:eastAsia="Times New Roman" w:hAnsi="Times New Roman" w:cs="Times New Roman"/>
                <w:kern w:val="0"/>
                <w14:ligatures w14:val="none"/>
              </w:rPr>
              <w:t>gyakori</w:t>
            </w:r>
          </w:p>
        </w:tc>
        <w:tc>
          <w:tcPr>
            <w:tcW w:w="1014" w:type="pct"/>
          </w:tcPr>
          <w:p w14:paraId="51F610A9" w14:textId="77777777" w:rsidR="00184569" w:rsidRPr="00184569" w:rsidRDefault="00184569" w:rsidP="00184569">
            <w:pPr>
              <w:widowControl w:val="0"/>
              <w:autoSpaceDE w:val="0"/>
              <w:autoSpaceDN w:val="0"/>
              <w:spacing w:after="0" w:line="240" w:lineRule="auto"/>
              <w:ind w:left="163" w:right="160"/>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nem</w:t>
            </w:r>
            <w:r w:rsidRPr="00184569">
              <w:rPr>
                <w:rFonts w:ascii="Times New Roman" w:eastAsia="Times New Roman" w:hAnsi="Times New Roman" w:cs="Times New Roman"/>
                <w:spacing w:val="-4"/>
                <w:kern w:val="0"/>
                <w14:ligatures w14:val="none"/>
              </w:rPr>
              <w:t xml:space="preserve"> </w:t>
            </w:r>
            <w:r w:rsidRPr="00184569">
              <w:rPr>
                <w:rFonts w:ascii="Times New Roman" w:eastAsia="Times New Roman" w:hAnsi="Times New Roman" w:cs="Times New Roman"/>
                <w:kern w:val="0"/>
                <w14:ligatures w14:val="none"/>
              </w:rPr>
              <w:t>ismert</w:t>
            </w:r>
          </w:p>
        </w:tc>
      </w:tr>
      <w:tr w:rsidR="00184569" w:rsidRPr="00184569" w14:paraId="282ABB8B" w14:textId="77777777" w:rsidTr="00E16EC6">
        <w:trPr>
          <w:trHeight w:val="258"/>
        </w:trPr>
        <w:tc>
          <w:tcPr>
            <w:tcW w:w="1874" w:type="pct"/>
          </w:tcPr>
          <w:p w14:paraId="15ECC0C0" w14:textId="77777777" w:rsidR="00184569" w:rsidRPr="00184569" w:rsidRDefault="00184569" w:rsidP="00184569">
            <w:pPr>
              <w:widowControl w:val="0"/>
              <w:autoSpaceDE w:val="0"/>
              <w:autoSpaceDN w:val="0"/>
              <w:spacing w:after="0" w:line="240" w:lineRule="auto"/>
              <w:ind w:left="107"/>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Légúti</w:t>
            </w:r>
            <w:r w:rsidRPr="00184569">
              <w:rPr>
                <w:rFonts w:ascii="Times New Roman" w:eastAsia="Times New Roman" w:hAnsi="Times New Roman" w:cs="Times New Roman"/>
                <w:spacing w:val="-4"/>
                <w:kern w:val="0"/>
                <w14:ligatures w14:val="none"/>
              </w:rPr>
              <w:t xml:space="preserve"> </w:t>
            </w:r>
            <w:r w:rsidRPr="00184569">
              <w:rPr>
                <w:rFonts w:ascii="Times New Roman" w:eastAsia="Times New Roman" w:hAnsi="Times New Roman" w:cs="Times New Roman"/>
                <w:kern w:val="0"/>
                <w14:ligatures w14:val="none"/>
              </w:rPr>
              <w:t>vérzés</w:t>
            </w:r>
          </w:p>
        </w:tc>
        <w:tc>
          <w:tcPr>
            <w:tcW w:w="1095" w:type="pct"/>
          </w:tcPr>
          <w:p w14:paraId="36AB33FB" w14:textId="77777777" w:rsidR="00184569" w:rsidRPr="00184569" w:rsidRDefault="00184569" w:rsidP="00184569">
            <w:pPr>
              <w:widowControl w:val="0"/>
              <w:autoSpaceDE w:val="0"/>
              <w:autoSpaceDN w:val="0"/>
              <w:spacing w:after="0" w:line="240" w:lineRule="auto"/>
              <w:ind w:left="362" w:right="350"/>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ritka</w:t>
            </w:r>
          </w:p>
        </w:tc>
        <w:tc>
          <w:tcPr>
            <w:tcW w:w="1017" w:type="pct"/>
          </w:tcPr>
          <w:p w14:paraId="60F600CB" w14:textId="77777777" w:rsidR="00184569" w:rsidRPr="00184569" w:rsidRDefault="00184569" w:rsidP="00184569">
            <w:pPr>
              <w:widowControl w:val="0"/>
              <w:autoSpaceDE w:val="0"/>
              <w:autoSpaceDN w:val="0"/>
              <w:spacing w:after="0" w:line="240" w:lineRule="auto"/>
              <w:ind w:left="164" w:right="160"/>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ritka</w:t>
            </w:r>
          </w:p>
        </w:tc>
        <w:tc>
          <w:tcPr>
            <w:tcW w:w="1014" w:type="pct"/>
          </w:tcPr>
          <w:p w14:paraId="58895911" w14:textId="77777777" w:rsidR="00184569" w:rsidRPr="00184569" w:rsidRDefault="00184569" w:rsidP="00184569">
            <w:pPr>
              <w:widowControl w:val="0"/>
              <w:autoSpaceDE w:val="0"/>
              <w:autoSpaceDN w:val="0"/>
              <w:spacing w:after="0" w:line="240" w:lineRule="auto"/>
              <w:ind w:left="164" w:right="160"/>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nem</w:t>
            </w:r>
            <w:r w:rsidRPr="00184569">
              <w:rPr>
                <w:rFonts w:ascii="Times New Roman" w:eastAsia="Times New Roman" w:hAnsi="Times New Roman" w:cs="Times New Roman"/>
                <w:spacing w:val="-4"/>
                <w:kern w:val="0"/>
                <w14:ligatures w14:val="none"/>
              </w:rPr>
              <w:t xml:space="preserve"> </w:t>
            </w:r>
            <w:r w:rsidRPr="00184569">
              <w:rPr>
                <w:rFonts w:ascii="Times New Roman" w:eastAsia="Times New Roman" w:hAnsi="Times New Roman" w:cs="Times New Roman"/>
                <w:kern w:val="0"/>
                <w14:ligatures w14:val="none"/>
              </w:rPr>
              <w:t>ismert</w:t>
            </w:r>
          </w:p>
        </w:tc>
      </w:tr>
      <w:tr w:rsidR="00184569" w:rsidRPr="00184569" w14:paraId="0B5C3C41" w14:textId="77777777" w:rsidTr="00E16EC6">
        <w:trPr>
          <w:trHeight w:val="359"/>
        </w:trPr>
        <w:tc>
          <w:tcPr>
            <w:tcW w:w="5000" w:type="pct"/>
            <w:gridSpan w:val="4"/>
            <w:vAlign w:val="center"/>
          </w:tcPr>
          <w:p w14:paraId="0A697939"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i/>
                <w:kern w:val="0"/>
                <w14:ligatures w14:val="none"/>
              </w:rPr>
            </w:pPr>
            <w:r w:rsidRPr="00184569">
              <w:rPr>
                <w:rFonts w:ascii="Times New Roman" w:eastAsia="Times New Roman" w:hAnsi="Times New Roman" w:cs="Times New Roman"/>
                <w:i/>
                <w:kern w:val="0"/>
                <w14:ligatures w14:val="none"/>
              </w:rPr>
              <w:t>Emésztőrendszeri</w:t>
            </w:r>
            <w:r w:rsidRPr="00184569">
              <w:rPr>
                <w:rFonts w:ascii="Times New Roman" w:eastAsia="Times New Roman" w:hAnsi="Times New Roman" w:cs="Times New Roman"/>
                <w:i/>
                <w:spacing w:val="-6"/>
                <w:kern w:val="0"/>
                <w14:ligatures w14:val="none"/>
              </w:rPr>
              <w:t xml:space="preserve"> </w:t>
            </w:r>
            <w:r w:rsidRPr="00184569">
              <w:rPr>
                <w:rFonts w:ascii="Times New Roman" w:eastAsia="Times New Roman" w:hAnsi="Times New Roman" w:cs="Times New Roman"/>
                <w:i/>
                <w:kern w:val="0"/>
                <w14:ligatures w14:val="none"/>
              </w:rPr>
              <w:t>betegségek</w:t>
            </w:r>
            <w:r w:rsidRPr="00184569">
              <w:rPr>
                <w:rFonts w:ascii="Times New Roman" w:eastAsia="Times New Roman" w:hAnsi="Times New Roman" w:cs="Times New Roman"/>
                <w:i/>
                <w:spacing w:val="-6"/>
                <w:kern w:val="0"/>
                <w14:ligatures w14:val="none"/>
              </w:rPr>
              <w:t xml:space="preserve"> </w:t>
            </w:r>
            <w:r w:rsidRPr="00184569">
              <w:rPr>
                <w:rFonts w:ascii="Times New Roman" w:eastAsia="Times New Roman" w:hAnsi="Times New Roman" w:cs="Times New Roman"/>
                <w:i/>
                <w:kern w:val="0"/>
                <w14:ligatures w14:val="none"/>
              </w:rPr>
              <w:t>és</w:t>
            </w:r>
            <w:r w:rsidRPr="00184569">
              <w:rPr>
                <w:rFonts w:ascii="Times New Roman" w:eastAsia="Times New Roman" w:hAnsi="Times New Roman" w:cs="Times New Roman"/>
                <w:i/>
                <w:spacing w:val="-5"/>
                <w:kern w:val="0"/>
                <w14:ligatures w14:val="none"/>
              </w:rPr>
              <w:t xml:space="preserve"> </w:t>
            </w:r>
            <w:r w:rsidRPr="00184569">
              <w:rPr>
                <w:rFonts w:ascii="Times New Roman" w:eastAsia="Times New Roman" w:hAnsi="Times New Roman" w:cs="Times New Roman"/>
                <w:i/>
                <w:kern w:val="0"/>
                <w14:ligatures w14:val="none"/>
              </w:rPr>
              <w:t>tünetek</w:t>
            </w:r>
          </w:p>
        </w:tc>
      </w:tr>
      <w:tr w:rsidR="00184569" w:rsidRPr="00184569" w14:paraId="65224EFA" w14:textId="77777777" w:rsidTr="00E16EC6">
        <w:trPr>
          <w:trHeight w:val="261"/>
        </w:trPr>
        <w:tc>
          <w:tcPr>
            <w:tcW w:w="1874" w:type="pct"/>
          </w:tcPr>
          <w:p w14:paraId="6C803418" w14:textId="77777777" w:rsidR="00184569" w:rsidRPr="00184569" w:rsidRDefault="00184569" w:rsidP="00184569">
            <w:pPr>
              <w:widowControl w:val="0"/>
              <w:autoSpaceDE w:val="0"/>
              <w:autoSpaceDN w:val="0"/>
              <w:spacing w:after="0" w:line="240" w:lineRule="auto"/>
              <w:ind w:left="107"/>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Hányinger</w:t>
            </w:r>
          </w:p>
        </w:tc>
        <w:tc>
          <w:tcPr>
            <w:tcW w:w="1095" w:type="pct"/>
          </w:tcPr>
          <w:p w14:paraId="0D5B7C8D" w14:textId="77777777" w:rsidR="00184569" w:rsidRPr="00184569" w:rsidRDefault="00184569" w:rsidP="00184569">
            <w:pPr>
              <w:widowControl w:val="0"/>
              <w:autoSpaceDE w:val="0"/>
              <w:autoSpaceDN w:val="0"/>
              <w:spacing w:after="0" w:line="240" w:lineRule="auto"/>
              <w:ind w:left="362" w:right="350"/>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gyakori</w:t>
            </w:r>
          </w:p>
        </w:tc>
        <w:tc>
          <w:tcPr>
            <w:tcW w:w="1017" w:type="pct"/>
          </w:tcPr>
          <w:p w14:paraId="09C5DC35" w14:textId="77777777" w:rsidR="00184569" w:rsidRPr="00184569" w:rsidRDefault="00184569" w:rsidP="00184569">
            <w:pPr>
              <w:widowControl w:val="0"/>
              <w:autoSpaceDE w:val="0"/>
              <w:autoSpaceDN w:val="0"/>
              <w:spacing w:after="0" w:line="240" w:lineRule="auto"/>
              <w:ind w:left="165" w:right="157"/>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gyakori</w:t>
            </w:r>
          </w:p>
        </w:tc>
        <w:tc>
          <w:tcPr>
            <w:tcW w:w="1014" w:type="pct"/>
          </w:tcPr>
          <w:p w14:paraId="069D8C76" w14:textId="77777777" w:rsidR="00184569" w:rsidRPr="00184569" w:rsidRDefault="00184569" w:rsidP="00184569">
            <w:pPr>
              <w:widowControl w:val="0"/>
              <w:autoSpaceDE w:val="0"/>
              <w:autoSpaceDN w:val="0"/>
              <w:spacing w:after="0" w:line="240" w:lineRule="auto"/>
              <w:ind w:left="165" w:right="157"/>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gyakori</w:t>
            </w:r>
          </w:p>
        </w:tc>
      </w:tr>
      <w:tr w:rsidR="00184569" w:rsidRPr="00184569" w14:paraId="129CBBBF" w14:textId="77777777" w:rsidTr="00E16EC6">
        <w:trPr>
          <w:trHeight w:val="258"/>
        </w:trPr>
        <w:tc>
          <w:tcPr>
            <w:tcW w:w="1874" w:type="pct"/>
          </w:tcPr>
          <w:p w14:paraId="703CAAED" w14:textId="77777777" w:rsidR="00184569" w:rsidRPr="00184569" w:rsidRDefault="00184569" w:rsidP="00184569">
            <w:pPr>
              <w:widowControl w:val="0"/>
              <w:autoSpaceDE w:val="0"/>
              <w:autoSpaceDN w:val="0"/>
              <w:spacing w:after="0" w:line="240" w:lineRule="auto"/>
              <w:ind w:left="107"/>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Gastrointestinalis</w:t>
            </w:r>
            <w:r w:rsidRPr="00184569">
              <w:rPr>
                <w:rFonts w:ascii="Times New Roman" w:eastAsia="Times New Roman" w:hAnsi="Times New Roman" w:cs="Times New Roman"/>
                <w:spacing w:val="-8"/>
                <w:kern w:val="0"/>
                <w14:ligatures w14:val="none"/>
              </w:rPr>
              <w:t xml:space="preserve"> </w:t>
            </w:r>
            <w:r w:rsidRPr="00184569">
              <w:rPr>
                <w:rFonts w:ascii="Times New Roman" w:eastAsia="Times New Roman" w:hAnsi="Times New Roman" w:cs="Times New Roman"/>
                <w:kern w:val="0"/>
                <w14:ligatures w14:val="none"/>
              </w:rPr>
              <w:t>vérzés</w:t>
            </w:r>
          </w:p>
        </w:tc>
        <w:tc>
          <w:tcPr>
            <w:tcW w:w="1095" w:type="pct"/>
          </w:tcPr>
          <w:p w14:paraId="62764BB1" w14:textId="77777777" w:rsidR="00184569" w:rsidRPr="00184569" w:rsidRDefault="00184569" w:rsidP="00184569">
            <w:pPr>
              <w:widowControl w:val="0"/>
              <w:autoSpaceDE w:val="0"/>
              <w:autoSpaceDN w:val="0"/>
              <w:spacing w:after="0" w:line="240" w:lineRule="auto"/>
              <w:ind w:left="357" w:right="350"/>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gyakori</w:t>
            </w:r>
          </w:p>
        </w:tc>
        <w:tc>
          <w:tcPr>
            <w:tcW w:w="1017" w:type="pct"/>
          </w:tcPr>
          <w:p w14:paraId="6F42C068" w14:textId="77777777" w:rsidR="00184569" w:rsidRPr="00184569" w:rsidRDefault="00184569" w:rsidP="00184569">
            <w:pPr>
              <w:widowControl w:val="0"/>
              <w:autoSpaceDE w:val="0"/>
              <w:autoSpaceDN w:val="0"/>
              <w:spacing w:after="0" w:line="240" w:lineRule="auto"/>
              <w:ind w:left="165" w:right="157"/>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gyakori</w:t>
            </w:r>
          </w:p>
        </w:tc>
        <w:tc>
          <w:tcPr>
            <w:tcW w:w="1014" w:type="pct"/>
          </w:tcPr>
          <w:p w14:paraId="6EDC4054" w14:textId="77777777" w:rsidR="00184569" w:rsidRPr="00184569" w:rsidRDefault="00184569" w:rsidP="00184569">
            <w:pPr>
              <w:widowControl w:val="0"/>
              <w:autoSpaceDE w:val="0"/>
              <w:autoSpaceDN w:val="0"/>
              <w:spacing w:after="0" w:line="240" w:lineRule="auto"/>
              <w:ind w:left="165" w:right="157"/>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nem</w:t>
            </w:r>
            <w:r w:rsidRPr="00184569">
              <w:rPr>
                <w:rFonts w:ascii="Times New Roman" w:eastAsia="Times New Roman" w:hAnsi="Times New Roman" w:cs="Times New Roman"/>
                <w:spacing w:val="-4"/>
                <w:kern w:val="0"/>
                <w14:ligatures w14:val="none"/>
              </w:rPr>
              <w:t xml:space="preserve"> </w:t>
            </w:r>
            <w:r w:rsidRPr="00184569">
              <w:rPr>
                <w:rFonts w:ascii="Times New Roman" w:eastAsia="Times New Roman" w:hAnsi="Times New Roman" w:cs="Times New Roman"/>
                <w:kern w:val="0"/>
                <w14:ligatures w14:val="none"/>
              </w:rPr>
              <w:t>ismert</w:t>
            </w:r>
          </w:p>
        </w:tc>
      </w:tr>
      <w:tr w:rsidR="00184569" w:rsidRPr="00184569" w14:paraId="26237E45" w14:textId="77777777" w:rsidTr="00E16EC6">
        <w:trPr>
          <w:trHeight w:val="261"/>
        </w:trPr>
        <w:tc>
          <w:tcPr>
            <w:tcW w:w="1874" w:type="pct"/>
          </w:tcPr>
          <w:p w14:paraId="21DB5126" w14:textId="77777777" w:rsidR="00184569" w:rsidRPr="00184569" w:rsidRDefault="00184569" w:rsidP="00184569">
            <w:pPr>
              <w:widowControl w:val="0"/>
              <w:autoSpaceDE w:val="0"/>
              <w:autoSpaceDN w:val="0"/>
              <w:spacing w:after="0" w:line="240" w:lineRule="auto"/>
              <w:ind w:left="107"/>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Aranyeres</w:t>
            </w:r>
            <w:r w:rsidRPr="00184569">
              <w:rPr>
                <w:rFonts w:ascii="Times New Roman" w:eastAsia="Times New Roman" w:hAnsi="Times New Roman" w:cs="Times New Roman"/>
                <w:spacing w:val="-5"/>
                <w:kern w:val="0"/>
                <w14:ligatures w14:val="none"/>
              </w:rPr>
              <w:t xml:space="preserve"> </w:t>
            </w:r>
            <w:r w:rsidRPr="00184569">
              <w:rPr>
                <w:rFonts w:ascii="Times New Roman" w:eastAsia="Times New Roman" w:hAnsi="Times New Roman" w:cs="Times New Roman"/>
                <w:kern w:val="0"/>
                <w14:ligatures w14:val="none"/>
              </w:rPr>
              <w:t>vérzés</w:t>
            </w:r>
          </w:p>
        </w:tc>
        <w:tc>
          <w:tcPr>
            <w:tcW w:w="1095" w:type="pct"/>
          </w:tcPr>
          <w:p w14:paraId="75C4F292" w14:textId="77777777" w:rsidR="00184569" w:rsidRPr="00184569" w:rsidRDefault="00184569" w:rsidP="00184569">
            <w:pPr>
              <w:widowControl w:val="0"/>
              <w:autoSpaceDE w:val="0"/>
              <w:autoSpaceDN w:val="0"/>
              <w:spacing w:after="0" w:line="240" w:lineRule="auto"/>
              <w:ind w:left="362" w:right="350"/>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nem</w:t>
            </w:r>
            <w:r w:rsidRPr="00184569">
              <w:rPr>
                <w:rFonts w:ascii="Times New Roman" w:eastAsia="Times New Roman" w:hAnsi="Times New Roman" w:cs="Times New Roman"/>
                <w:spacing w:val="-4"/>
                <w:kern w:val="0"/>
                <w14:ligatures w14:val="none"/>
              </w:rPr>
              <w:t xml:space="preserve"> </w:t>
            </w:r>
            <w:r w:rsidRPr="00184569">
              <w:rPr>
                <w:rFonts w:ascii="Times New Roman" w:eastAsia="Times New Roman" w:hAnsi="Times New Roman" w:cs="Times New Roman"/>
                <w:kern w:val="0"/>
                <w14:ligatures w14:val="none"/>
              </w:rPr>
              <w:t>gyakori</w:t>
            </w:r>
          </w:p>
        </w:tc>
        <w:tc>
          <w:tcPr>
            <w:tcW w:w="1017" w:type="pct"/>
          </w:tcPr>
          <w:p w14:paraId="1F9ACE17" w14:textId="77777777" w:rsidR="00184569" w:rsidRPr="00184569" w:rsidRDefault="00184569" w:rsidP="00184569">
            <w:pPr>
              <w:widowControl w:val="0"/>
              <w:autoSpaceDE w:val="0"/>
              <w:autoSpaceDN w:val="0"/>
              <w:spacing w:after="0" w:line="240" w:lineRule="auto"/>
              <w:ind w:left="163" w:right="160"/>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nem</w:t>
            </w:r>
            <w:r w:rsidRPr="00184569">
              <w:rPr>
                <w:rFonts w:ascii="Times New Roman" w:eastAsia="Times New Roman" w:hAnsi="Times New Roman" w:cs="Times New Roman"/>
                <w:spacing w:val="-4"/>
                <w:kern w:val="0"/>
                <w14:ligatures w14:val="none"/>
              </w:rPr>
              <w:t xml:space="preserve"> </w:t>
            </w:r>
            <w:r w:rsidRPr="00184569">
              <w:rPr>
                <w:rFonts w:ascii="Times New Roman" w:eastAsia="Times New Roman" w:hAnsi="Times New Roman" w:cs="Times New Roman"/>
                <w:kern w:val="0"/>
                <w14:ligatures w14:val="none"/>
              </w:rPr>
              <w:t>gyakori</w:t>
            </w:r>
          </w:p>
        </w:tc>
        <w:tc>
          <w:tcPr>
            <w:tcW w:w="1014" w:type="pct"/>
          </w:tcPr>
          <w:p w14:paraId="10E1165C" w14:textId="77777777" w:rsidR="00184569" w:rsidRPr="00184569" w:rsidRDefault="00184569" w:rsidP="00184569">
            <w:pPr>
              <w:widowControl w:val="0"/>
              <w:autoSpaceDE w:val="0"/>
              <w:autoSpaceDN w:val="0"/>
              <w:spacing w:after="0" w:line="240" w:lineRule="auto"/>
              <w:ind w:left="163" w:right="160"/>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nem</w:t>
            </w:r>
            <w:r w:rsidRPr="00184569">
              <w:rPr>
                <w:rFonts w:ascii="Times New Roman" w:eastAsia="Times New Roman" w:hAnsi="Times New Roman" w:cs="Times New Roman"/>
                <w:spacing w:val="-4"/>
                <w:kern w:val="0"/>
                <w14:ligatures w14:val="none"/>
              </w:rPr>
              <w:t xml:space="preserve"> </w:t>
            </w:r>
            <w:r w:rsidRPr="00184569">
              <w:rPr>
                <w:rFonts w:ascii="Times New Roman" w:eastAsia="Times New Roman" w:hAnsi="Times New Roman" w:cs="Times New Roman"/>
                <w:kern w:val="0"/>
                <w14:ligatures w14:val="none"/>
              </w:rPr>
              <w:t>ismert</w:t>
            </w:r>
          </w:p>
        </w:tc>
      </w:tr>
      <w:tr w:rsidR="00184569" w:rsidRPr="00184569" w14:paraId="62C366B9" w14:textId="77777777" w:rsidTr="00E16EC6">
        <w:trPr>
          <w:trHeight w:val="258"/>
        </w:trPr>
        <w:tc>
          <w:tcPr>
            <w:tcW w:w="1874" w:type="pct"/>
          </w:tcPr>
          <w:p w14:paraId="3AAFF568" w14:textId="77777777" w:rsidR="00184569" w:rsidRPr="00184569" w:rsidRDefault="00184569" w:rsidP="00184569">
            <w:pPr>
              <w:widowControl w:val="0"/>
              <w:autoSpaceDE w:val="0"/>
              <w:autoSpaceDN w:val="0"/>
              <w:spacing w:after="0" w:line="240" w:lineRule="auto"/>
              <w:ind w:left="107"/>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Szájüregi</w:t>
            </w:r>
            <w:r w:rsidRPr="00184569">
              <w:rPr>
                <w:rFonts w:ascii="Times New Roman" w:eastAsia="Times New Roman" w:hAnsi="Times New Roman" w:cs="Times New Roman"/>
                <w:spacing w:val="-5"/>
                <w:kern w:val="0"/>
                <w14:ligatures w14:val="none"/>
              </w:rPr>
              <w:t xml:space="preserve"> </w:t>
            </w:r>
            <w:r w:rsidRPr="00184569">
              <w:rPr>
                <w:rFonts w:ascii="Times New Roman" w:eastAsia="Times New Roman" w:hAnsi="Times New Roman" w:cs="Times New Roman"/>
                <w:kern w:val="0"/>
                <w14:ligatures w14:val="none"/>
              </w:rPr>
              <w:t>vérzés</w:t>
            </w:r>
          </w:p>
        </w:tc>
        <w:tc>
          <w:tcPr>
            <w:tcW w:w="1095" w:type="pct"/>
          </w:tcPr>
          <w:p w14:paraId="0B66768B" w14:textId="77777777" w:rsidR="00184569" w:rsidRPr="00184569" w:rsidRDefault="00184569" w:rsidP="00184569">
            <w:pPr>
              <w:widowControl w:val="0"/>
              <w:autoSpaceDE w:val="0"/>
              <w:autoSpaceDN w:val="0"/>
              <w:spacing w:after="0" w:line="240" w:lineRule="auto"/>
              <w:ind w:left="362" w:right="350"/>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nem</w:t>
            </w:r>
            <w:r w:rsidRPr="00184569">
              <w:rPr>
                <w:rFonts w:ascii="Times New Roman" w:eastAsia="Times New Roman" w:hAnsi="Times New Roman" w:cs="Times New Roman"/>
                <w:spacing w:val="-4"/>
                <w:kern w:val="0"/>
                <w14:ligatures w14:val="none"/>
              </w:rPr>
              <w:t xml:space="preserve"> </w:t>
            </w:r>
            <w:r w:rsidRPr="00184569">
              <w:rPr>
                <w:rFonts w:ascii="Times New Roman" w:eastAsia="Times New Roman" w:hAnsi="Times New Roman" w:cs="Times New Roman"/>
                <w:kern w:val="0"/>
                <w14:ligatures w14:val="none"/>
              </w:rPr>
              <w:t>gyakori</w:t>
            </w:r>
          </w:p>
        </w:tc>
        <w:tc>
          <w:tcPr>
            <w:tcW w:w="1017" w:type="pct"/>
          </w:tcPr>
          <w:p w14:paraId="74DE6B37" w14:textId="77777777" w:rsidR="00184569" w:rsidRPr="00184569" w:rsidRDefault="00184569" w:rsidP="00184569">
            <w:pPr>
              <w:widowControl w:val="0"/>
              <w:autoSpaceDE w:val="0"/>
              <w:autoSpaceDN w:val="0"/>
              <w:spacing w:after="0" w:line="240" w:lineRule="auto"/>
              <w:ind w:left="165" w:right="157"/>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gyakori</w:t>
            </w:r>
          </w:p>
        </w:tc>
        <w:tc>
          <w:tcPr>
            <w:tcW w:w="1014" w:type="pct"/>
          </w:tcPr>
          <w:p w14:paraId="13C40A14" w14:textId="77777777" w:rsidR="00184569" w:rsidRPr="00184569" w:rsidRDefault="00184569" w:rsidP="00184569">
            <w:pPr>
              <w:widowControl w:val="0"/>
              <w:autoSpaceDE w:val="0"/>
              <w:autoSpaceDN w:val="0"/>
              <w:spacing w:after="0" w:line="240" w:lineRule="auto"/>
              <w:ind w:left="165" w:right="157"/>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nem</w:t>
            </w:r>
            <w:r w:rsidRPr="00184569">
              <w:rPr>
                <w:rFonts w:ascii="Times New Roman" w:eastAsia="Times New Roman" w:hAnsi="Times New Roman" w:cs="Times New Roman"/>
                <w:spacing w:val="-4"/>
                <w:kern w:val="0"/>
                <w14:ligatures w14:val="none"/>
              </w:rPr>
              <w:t xml:space="preserve"> </w:t>
            </w:r>
            <w:r w:rsidRPr="00184569">
              <w:rPr>
                <w:rFonts w:ascii="Times New Roman" w:eastAsia="Times New Roman" w:hAnsi="Times New Roman" w:cs="Times New Roman"/>
                <w:kern w:val="0"/>
                <w14:ligatures w14:val="none"/>
              </w:rPr>
              <w:t>ismert</w:t>
            </w:r>
          </w:p>
        </w:tc>
      </w:tr>
      <w:tr w:rsidR="00184569" w:rsidRPr="00184569" w14:paraId="63B61456" w14:textId="77777777" w:rsidTr="00E16EC6">
        <w:trPr>
          <w:trHeight w:val="261"/>
        </w:trPr>
        <w:tc>
          <w:tcPr>
            <w:tcW w:w="1874" w:type="pct"/>
          </w:tcPr>
          <w:p w14:paraId="7D48AFA7" w14:textId="77777777" w:rsidR="00184569" w:rsidRPr="00184569" w:rsidRDefault="00184569" w:rsidP="00184569">
            <w:pPr>
              <w:widowControl w:val="0"/>
              <w:autoSpaceDE w:val="0"/>
              <w:autoSpaceDN w:val="0"/>
              <w:spacing w:after="0" w:line="240" w:lineRule="auto"/>
              <w:ind w:left="107"/>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Haematochezia</w:t>
            </w:r>
          </w:p>
        </w:tc>
        <w:tc>
          <w:tcPr>
            <w:tcW w:w="1095" w:type="pct"/>
          </w:tcPr>
          <w:p w14:paraId="6887A1CF" w14:textId="77777777" w:rsidR="00184569" w:rsidRPr="00184569" w:rsidRDefault="00184569" w:rsidP="00184569">
            <w:pPr>
              <w:widowControl w:val="0"/>
              <w:autoSpaceDE w:val="0"/>
              <w:autoSpaceDN w:val="0"/>
              <w:spacing w:after="0" w:line="240" w:lineRule="auto"/>
              <w:ind w:left="357" w:right="350"/>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nem</w:t>
            </w:r>
            <w:r w:rsidRPr="00184569">
              <w:rPr>
                <w:rFonts w:ascii="Times New Roman" w:eastAsia="Times New Roman" w:hAnsi="Times New Roman" w:cs="Times New Roman"/>
                <w:spacing w:val="-4"/>
                <w:kern w:val="0"/>
                <w14:ligatures w14:val="none"/>
              </w:rPr>
              <w:t xml:space="preserve"> </w:t>
            </w:r>
            <w:r w:rsidRPr="00184569">
              <w:rPr>
                <w:rFonts w:ascii="Times New Roman" w:eastAsia="Times New Roman" w:hAnsi="Times New Roman" w:cs="Times New Roman"/>
                <w:kern w:val="0"/>
                <w14:ligatures w14:val="none"/>
              </w:rPr>
              <w:t>gyakori</w:t>
            </w:r>
          </w:p>
        </w:tc>
        <w:tc>
          <w:tcPr>
            <w:tcW w:w="1017" w:type="pct"/>
          </w:tcPr>
          <w:p w14:paraId="3657840D" w14:textId="77777777" w:rsidR="00184569" w:rsidRPr="00184569" w:rsidRDefault="00184569" w:rsidP="00184569">
            <w:pPr>
              <w:widowControl w:val="0"/>
              <w:autoSpaceDE w:val="0"/>
              <w:autoSpaceDN w:val="0"/>
              <w:spacing w:after="0" w:line="240" w:lineRule="auto"/>
              <w:ind w:left="163" w:right="160"/>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nem</w:t>
            </w:r>
            <w:r w:rsidRPr="00184569">
              <w:rPr>
                <w:rFonts w:ascii="Times New Roman" w:eastAsia="Times New Roman" w:hAnsi="Times New Roman" w:cs="Times New Roman"/>
                <w:spacing w:val="-4"/>
                <w:kern w:val="0"/>
                <w14:ligatures w14:val="none"/>
              </w:rPr>
              <w:t xml:space="preserve"> </w:t>
            </w:r>
            <w:r w:rsidRPr="00184569">
              <w:rPr>
                <w:rFonts w:ascii="Times New Roman" w:eastAsia="Times New Roman" w:hAnsi="Times New Roman" w:cs="Times New Roman"/>
                <w:kern w:val="0"/>
                <w14:ligatures w14:val="none"/>
              </w:rPr>
              <w:t>gyakori</w:t>
            </w:r>
          </w:p>
        </w:tc>
        <w:tc>
          <w:tcPr>
            <w:tcW w:w="1014" w:type="pct"/>
          </w:tcPr>
          <w:p w14:paraId="5671B83E" w14:textId="77777777" w:rsidR="00184569" w:rsidRPr="00184569" w:rsidRDefault="00184569" w:rsidP="00184569">
            <w:pPr>
              <w:widowControl w:val="0"/>
              <w:autoSpaceDE w:val="0"/>
              <w:autoSpaceDN w:val="0"/>
              <w:spacing w:after="0" w:line="240" w:lineRule="auto"/>
              <w:ind w:left="163" w:right="160"/>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gyakori</w:t>
            </w:r>
          </w:p>
        </w:tc>
      </w:tr>
      <w:tr w:rsidR="00184569" w:rsidRPr="00184569" w14:paraId="7634853C" w14:textId="77777777" w:rsidTr="00E16EC6">
        <w:trPr>
          <w:trHeight w:val="258"/>
        </w:trPr>
        <w:tc>
          <w:tcPr>
            <w:tcW w:w="1874" w:type="pct"/>
          </w:tcPr>
          <w:p w14:paraId="5B372412" w14:textId="77777777" w:rsidR="00184569" w:rsidRPr="00184569" w:rsidRDefault="00184569" w:rsidP="00184569">
            <w:pPr>
              <w:widowControl w:val="0"/>
              <w:autoSpaceDE w:val="0"/>
              <w:autoSpaceDN w:val="0"/>
              <w:spacing w:after="0" w:line="240" w:lineRule="auto"/>
              <w:ind w:left="107"/>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Rectalis</w:t>
            </w:r>
            <w:r w:rsidRPr="00184569">
              <w:rPr>
                <w:rFonts w:ascii="Times New Roman" w:eastAsia="Times New Roman" w:hAnsi="Times New Roman" w:cs="Times New Roman"/>
                <w:spacing w:val="-6"/>
                <w:kern w:val="0"/>
                <w14:ligatures w14:val="none"/>
              </w:rPr>
              <w:t xml:space="preserve"> </w:t>
            </w:r>
            <w:r w:rsidRPr="00184569">
              <w:rPr>
                <w:rFonts w:ascii="Times New Roman" w:eastAsia="Times New Roman" w:hAnsi="Times New Roman" w:cs="Times New Roman"/>
                <w:kern w:val="0"/>
                <w14:ligatures w14:val="none"/>
              </w:rPr>
              <w:t>vérzés,</w:t>
            </w:r>
            <w:r w:rsidRPr="00184569">
              <w:rPr>
                <w:rFonts w:ascii="Times New Roman" w:eastAsia="Times New Roman" w:hAnsi="Times New Roman" w:cs="Times New Roman"/>
                <w:spacing w:val="-6"/>
                <w:kern w:val="0"/>
                <w14:ligatures w14:val="none"/>
              </w:rPr>
              <w:t xml:space="preserve"> fog</w:t>
            </w:r>
            <w:r w:rsidRPr="00184569">
              <w:rPr>
                <w:rFonts w:ascii="Times New Roman" w:eastAsia="Times New Roman" w:hAnsi="Times New Roman" w:cs="Times New Roman"/>
                <w:kern w:val="0"/>
                <w14:ligatures w14:val="none"/>
              </w:rPr>
              <w:t>ínyvérzés</w:t>
            </w:r>
          </w:p>
        </w:tc>
        <w:tc>
          <w:tcPr>
            <w:tcW w:w="1095" w:type="pct"/>
          </w:tcPr>
          <w:p w14:paraId="6D6FB7E7" w14:textId="77777777" w:rsidR="00184569" w:rsidRPr="00184569" w:rsidRDefault="00184569" w:rsidP="00184569">
            <w:pPr>
              <w:widowControl w:val="0"/>
              <w:autoSpaceDE w:val="0"/>
              <w:autoSpaceDN w:val="0"/>
              <w:spacing w:after="0" w:line="240" w:lineRule="auto"/>
              <w:ind w:left="358" w:right="350"/>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gyakori</w:t>
            </w:r>
          </w:p>
        </w:tc>
        <w:tc>
          <w:tcPr>
            <w:tcW w:w="1017" w:type="pct"/>
          </w:tcPr>
          <w:p w14:paraId="71EF124D" w14:textId="77777777" w:rsidR="00184569" w:rsidRPr="00184569" w:rsidRDefault="00184569" w:rsidP="00184569">
            <w:pPr>
              <w:widowControl w:val="0"/>
              <w:autoSpaceDE w:val="0"/>
              <w:autoSpaceDN w:val="0"/>
              <w:spacing w:after="0" w:line="240" w:lineRule="auto"/>
              <w:ind w:left="165" w:right="157"/>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gyakori</w:t>
            </w:r>
          </w:p>
        </w:tc>
        <w:tc>
          <w:tcPr>
            <w:tcW w:w="1014" w:type="pct"/>
          </w:tcPr>
          <w:p w14:paraId="7B9DF7B3" w14:textId="77777777" w:rsidR="00184569" w:rsidRPr="00184569" w:rsidRDefault="00184569" w:rsidP="00184569">
            <w:pPr>
              <w:widowControl w:val="0"/>
              <w:autoSpaceDE w:val="0"/>
              <w:autoSpaceDN w:val="0"/>
              <w:spacing w:after="0" w:line="240" w:lineRule="auto"/>
              <w:ind w:left="165" w:right="157"/>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gyakori</w:t>
            </w:r>
          </w:p>
        </w:tc>
      </w:tr>
      <w:tr w:rsidR="00184569" w:rsidRPr="00184569" w14:paraId="258EC06D" w14:textId="77777777" w:rsidTr="00E16EC6">
        <w:trPr>
          <w:trHeight w:val="261"/>
        </w:trPr>
        <w:tc>
          <w:tcPr>
            <w:tcW w:w="1874" w:type="pct"/>
          </w:tcPr>
          <w:p w14:paraId="57E84EB3" w14:textId="77777777" w:rsidR="00184569" w:rsidRPr="00184569" w:rsidRDefault="00184569" w:rsidP="00184569">
            <w:pPr>
              <w:widowControl w:val="0"/>
              <w:autoSpaceDE w:val="0"/>
              <w:autoSpaceDN w:val="0"/>
              <w:spacing w:after="0" w:line="240" w:lineRule="auto"/>
              <w:ind w:left="107"/>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Retroperitonealis</w:t>
            </w:r>
            <w:r w:rsidRPr="00184569">
              <w:rPr>
                <w:rFonts w:ascii="Times New Roman" w:eastAsia="Times New Roman" w:hAnsi="Times New Roman" w:cs="Times New Roman"/>
                <w:spacing w:val="-8"/>
                <w:kern w:val="0"/>
                <w14:ligatures w14:val="none"/>
              </w:rPr>
              <w:t xml:space="preserve"> </w:t>
            </w:r>
            <w:r w:rsidRPr="00184569">
              <w:rPr>
                <w:rFonts w:ascii="Times New Roman" w:eastAsia="Times New Roman" w:hAnsi="Times New Roman" w:cs="Times New Roman"/>
                <w:kern w:val="0"/>
                <w14:ligatures w14:val="none"/>
              </w:rPr>
              <w:t>vérzés</w:t>
            </w:r>
          </w:p>
        </w:tc>
        <w:tc>
          <w:tcPr>
            <w:tcW w:w="1095" w:type="pct"/>
          </w:tcPr>
          <w:p w14:paraId="06200545" w14:textId="77777777" w:rsidR="00184569" w:rsidRPr="00184569" w:rsidRDefault="00184569" w:rsidP="00184569">
            <w:pPr>
              <w:widowControl w:val="0"/>
              <w:autoSpaceDE w:val="0"/>
              <w:autoSpaceDN w:val="0"/>
              <w:spacing w:after="0" w:line="240" w:lineRule="auto"/>
              <w:ind w:left="362" w:right="350"/>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ritka</w:t>
            </w:r>
          </w:p>
        </w:tc>
        <w:tc>
          <w:tcPr>
            <w:tcW w:w="1017" w:type="pct"/>
          </w:tcPr>
          <w:p w14:paraId="1576CC2F" w14:textId="77777777" w:rsidR="00184569" w:rsidRPr="00184569" w:rsidRDefault="00184569" w:rsidP="00184569">
            <w:pPr>
              <w:widowControl w:val="0"/>
              <w:autoSpaceDE w:val="0"/>
              <w:autoSpaceDN w:val="0"/>
              <w:spacing w:after="0" w:line="240" w:lineRule="auto"/>
              <w:ind w:left="165" w:right="157"/>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nem</w:t>
            </w:r>
            <w:r w:rsidRPr="00184569">
              <w:rPr>
                <w:rFonts w:ascii="Times New Roman" w:eastAsia="Times New Roman" w:hAnsi="Times New Roman" w:cs="Times New Roman"/>
                <w:spacing w:val="-4"/>
                <w:kern w:val="0"/>
                <w14:ligatures w14:val="none"/>
              </w:rPr>
              <w:t xml:space="preserve"> </w:t>
            </w:r>
            <w:r w:rsidRPr="00184569">
              <w:rPr>
                <w:rFonts w:ascii="Times New Roman" w:eastAsia="Times New Roman" w:hAnsi="Times New Roman" w:cs="Times New Roman"/>
                <w:kern w:val="0"/>
                <w14:ligatures w14:val="none"/>
              </w:rPr>
              <w:t>ismert</w:t>
            </w:r>
          </w:p>
        </w:tc>
        <w:tc>
          <w:tcPr>
            <w:tcW w:w="1014" w:type="pct"/>
          </w:tcPr>
          <w:p w14:paraId="0983EFAF" w14:textId="77777777" w:rsidR="00184569" w:rsidRPr="00184569" w:rsidRDefault="00184569" w:rsidP="00184569">
            <w:pPr>
              <w:widowControl w:val="0"/>
              <w:autoSpaceDE w:val="0"/>
              <w:autoSpaceDN w:val="0"/>
              <w:spacing w:after="0" w:line="240" w:lineRule="auto"/>
              <w:ind w:left="165" w:right="157"/>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nem</w:t>
            </w:r>
            <w:r w:rsidRPr="00184569">
              <w:rPr>
                <w:rFonts w:ascii="Times New Roman" w:eastAsia="Times New Roman" w:hAnsi="Times New Roman" w:cs="Times New Roman"/>
                <w:spacing w:val="-4"/>
                <w:kern w:val="0"/>
                <w14:ligatures w14:val="none"/>
              </w:rPr>
              <w:t xml:space="preserve"> </w:t>
            </w:r>
            <w:r w:rsidRPr="00184569">
              <w:rPr>
                <w:rFonts w:ascii="Times New Roman" w:eastAsia="Times New Roman" w:hAnsi="Times New Roman" w:cs="Times New Roman"/>
                <w:kern w:val="0"/>
                <w14:ligatures w14:val="none"/>
              </w:rPr>
              <w:t>ismert</w:t>
            </w:r>
          </w:p>
        </w:tc>
      </w:tr>
      <w:tr w:rsidR="00184569" w:rsidRPr="00184569" w14:paraId="68C60188" w14:textId="77777777" w:rsidTr="00E16EC6">
        <w:trPr>
          <w:trHeight w:val="359"/>
        </w:trPr>
        <w:tc>
          <w:tcPr>
            <w:tcW w:w="5000" w:type="pct"/>
            <w:gridSpan w:val="4"/>
            <w:vAlign w:val="center"/>
          </w:tcPr>
          <w:p w14:paraId="7078E3BF" w14:textId="77777777" w:rsidR="00184569" w:rsidRPr="00184569" w:rsidRDefault="00184569" w:rsidP="00184569">
            <w:pPr>
              <w:keepNext/>
              <w:autoSpaceDE w:val="0"/>
              <w:autoSpaceDN w:val="0"/>
              <w:spacing w:after="0" w:line="240" w:lineRule="auto"/>
              <w:rPr>
                <w:rFonts w:ascii="Times New Roman" w:eastAsia="Times New Roman" w:hAnsi="Times New Roman" w:cs="Times New Roman"/>
                <w:i/>
                <w:kern w:val="0"/>
                <w14:ligatures w14:val="none"/>
              </w:rPr>
            </w:pPr>
            <w:r w:rsidRPr="00184569">
              <w:rPr>
                <w:rFonts w:ascii="Times New Roman" w:eastAsia="Times New Roman" w:hAnsi="Times New Roman" w:cs="Times New Roman"/>
                <w:i/>
                <w:kern w:val="0"/>
                <w14:ligatures w14:val="none"/>
              </w:rPr>
              <w:t>Máj-</w:t>
            </w:r>
            <w:r w:rsidRPr="00184569">
              <w:rPr>
                <w:rFonts w:ascii="Times New Roman" w:eastAsia="Times New Roman" w:hAnsi="Times New Roman" w:cs="Times New Roman"/>
                <w:i/>
                <w:spacing w:val="-3"/>
                <w:kern w:val="0"/>
                <w14:ligatures w14:val="none"/>
              </w:rPr>
              <w:t xml:space="preserve"> </w:t>
            </w:r>
            <w:r w:rsidRPr="00184569">
              <w:rPr>
                <w:rFonts w:ascii="Times New Roman" w:eastAsia="Times New Roman" w:hAnsi="Times New Roman" w:cs="Times New Roman"/>
                <w:i/>
                <w:kern w:val="0"/>
                <w14:ligatures w14:val="none"/>
              </w:rPr>
              <w:t>és</w:t>
            </w:r>
            <w:r w:rsidRPr="00184569">
              <w:rPr>
                <w:rFonts w:ascii="Times New Roman" w:eastAsia="Times New Roman" w:hAnsi="Times New Roman" w:cs="Times New Roman"/>
                <w:i/>
                <w:spacing w:val="-4"/>
                <w:kern w:val="0"/>
                <w14:ligatures w14:val="none"/>
              </w:rPr>
              <w:t xml:space="preserve"> </w:t>
            </w:r>
            <w:r w:rsidRPr="00184569">
              <w:rPr>
                <w:rFonts w:ascii="Times New Roman" w:eastAsia="Times New Roman" w:hAnsi="Times New Roman" w:cs="Times New Roman"/>
                <w:i/>
                <w:kern w:val="0"/>
                <w14:ligatures w14:val="none"/>
              </w:rPr>
              <w:t>epebetegségek,</w:t>
            </w:r>
            <w:r w:rsidRPr="00184569">
              <w:rPr>
                <w:rFonts w:ascii="Times New Roman" w:eastAsia="Times New Roman" w:hAnsi="Times New Roman" w:cs="Times New Roman"/>
                <w:i/>
                <w:spacing w:val="-4"/>
                <w:kern w:val="0"/>
                <w14:ligatures w14:val="none"/>
              </w:rPr>
              <w:t xml:space="preserve"> </w:t>
            </w:r>
            <w:r w:rsidRPr="00184569">
              <w:rPr>
                <w:rFonts w:ascii="Times New Roman" w:eastAsia="Times New Roman" w:hAnsi="Times New Roman" w:cs="Times New Roman"/>
                <w:i/>
                <w:kern w:val="0"/>
                <w14:ligatures w14:val="none"/>
              </w:rPr>
              <w:t>illetve</w:t>
            </w:r>
            <w:r w:rsidRPr="00184569">
              <w:rPr>
                <w:rFonts w:ascii="Times New Roman" w:eastAsia="Times New Roman" w:hAnsi="Times New Roman" w:cs="Times New Roman"/>
                <w:i/>
                <w:spacing w:val="-4"/>
                <w:kern w:val="0"/>
                <w14:ligatures w14:val="none"/>
              </w:rPr>
              <w:t xml:space="preserve"> </w:t>
            </w:r>
            <w:r w:rsidRPr="00184569">
              <w:rPr>
                <w:rFonts w:ascii="Times New Roman" w:eastAsia="Times New Roman" w:hAnsi="Times New Roman" w:cs="Times New Roman"/>
                <w:i/>
                <w:kern w:val="0"/>
                <w14:ligatures w14:val="none"/>
              </w:rPr>
              <w:t>tünetek</w:t>
            </w:r>
          </w:p>
        </w:tc>
      </w:tr>
      <w:tr w:rsidR="00184569" w:rsidRPr="00184569" w14:paraId="1BFA00D4" w14:textId="77777777" w:rsidTr="00E16EC6">
        <w:trPr>
          <w:trHeight w:val="1559"/>
        </w:trPr>
        <w:tc>
          <w:tcPr>
            <w:tcW w:w="1874" w:type="pct"/>
          </w:tcPr>
          <w:p w14:paraId="0F35B505" w14:textId="77777777" w:rsidR="00184569" w:rsidRPr="00184569" w:rsidRDefault="00184569" w:rsidP="00184569">
            <w:pPr>
              <w:widowControl w:val="0"/>
              <w:autoSpaceDE w:val="0"/>
              <w:autoSpaceDN w:val="0"/>
              <w:spacing w:after="0" w:line="240" w:lineRule="auto"/>
              <w:ind w:left="108" w:right="744"/>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Kóros májfunkciós vizsgálati</w:t>
            </w:r>
            <w:r w:rsidRPr="00184569">
              <w:rPr>
                <w:rFonts w:ascii="Times New Roman" w:eastAsia="Times New Roman" w:hAnsi="Times New Roman" w:cs="Times New Roman"/>
                <w:spacing w:val="1"/>
                <w:kern w:val="0"/>
                <w14:ligatures w14:val="none"/>
              </w:rPr>
              <w:t xml:space="preserve"> </w:t>
            </w:r>
            <w:r w:rsidRPr="00184569">
              <w:rPr>
                <w:rFonts w:ascii="Times New Roman" w:eastAsia="Times New Roman" w:hAnsi="Times New Roman" w:cs="Times New Roman"/>
                <w:kern w:val="0"/>
                <w14:ligatures w14:val="none"/>
              </w:rPr>
              <w:t>eredmények, emelkedett</w:t>
            </w:r>
            <w:r w:rsidRPr="00184569">
              <w:rPr>
                <w:rFonts w:ascii="Times New Roman" w:eastAsia="Times New Roman" w:hAnsi="Times New Roman" w:cs="Times New Roman"/>
                <w:spacing w:val="1"/>
                <w:kern w:val="0"/>
                <w14:ligatures w14:val="none"/>
              </w:rPr>
              <w:t xml:space="preserve"> </w:t>
            </w:r>
            <w:r w:rsidRPr="00184569">
              <w:rPr>
                <w:rFonts w:ascii="Times New Roman" w:eastAsia="Times New Roman" w:hAnsi="Times New Roman" w:cs="Times New Roman"/>
                <w:spacing w:val="-1"/>
                <w:kern w:val="0"/>
                <w14:ligatures w14:val="none"/>
              </w:rPr>
              <w:t>glutamát-oxálacetát-transzaminázszint, em</w:t>
            </w:r>
            <w:r w:rsidRPr="00184569">
              <w:rPr>
                <w:rFonts w:ascii="Times New Roman" w:eastAsia="Times New Roman" w:hAnsi="Times New Roman" w:cs="Times New Roman"/>
                <w:kern w:val="0"/>
                <w14:ligatures w14:val="none"/>
              </w:rPr>
              <w:t>elkedett</w:t>
            </w:r>
            <w:r w:rsidRPr="00184569">
              <w:rPr>
                <w:rFonts w:ascii="Times New Roman" w:eastAsia="Times New Roman" w:hAnsi="Times New Roman" w:cs="Times New Roman"/>
                <w:spacing w:val="-2"/>
                <w:kern w:val="0"/>
                <w14:ligatures w14:val="none"/>
              </w:rPr>
              <w:t xml:space="preserve"> </w:t>
            </w:r>
            <w:r w:rsidRPr="00184569">
              <w:rPr>
                <w:rFonts w:ascii="Times New Roman" w:eastAsia="Times New Roman" w:hAnsi="Times New Roman" w:cs="Times New Roman"/>
                <w:kern w:val="0"/>
                <w14:ligatures w14:val="none"/>
              </w:rPr>
              <w:t>szérum-alkalikusfoszfatáz-szint, emelkedett szérum-bilirubinszint</w:t>
            </w:r>
          </w:p>
        </w:tc>
        <w:tc>
          <w:tcPr>
            <w:tcW w:w="1095" w:type="pct"/>
          </w:tcPr>
          <w:p w14:paraId="1A6E48E6" w14:textId="77777777" w:rsidR="00184569" w:rsidRPr="00184569" w:rsidRDefault="00184569" w:rsidP="00184569">
            <w:pPr>
              <w:widowControl w:val="0"/>
              <w:autoSpaceDE w:val="0"/>
              <w:autoSpaceDN w:val="0"/>
              <w:spacing w:after="0" w:line="240" w:lineRule="auto"/>
              <w:ind w:left="374" w:right="333"/>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nem</w:t>
            </w:r>
            <w:r w:rsidRPr="00184569">
              <w:rPr>
                <w:rFonts w:ascii="Times New Roman" w:eastAsia="Times New Roman" w:hAnsi="Times New Roman" w:cs="Times New Roman"/>
                <w:spacing w:val="-4"/>
                <w:kern w:val="0"/>
                <w14:ligatures w14:val="none"/>
              </w:rPr>
              <w:t xml:space="preserve"> </w:t>
            </w:r>
            <w:r w:rsidRPr="00184569">
              <w:rPr>
                <w:rFonts w:ascii="Times New Roman" w:eastAsia="Times New Roman" w:hAnsi="Times New Roman" w:cs="Times New Roman"/>
                <w:kern w:val="0"/>
                <w14:ligatures w14:val="none"/>
              </w:rPr>
              <w:t>gyakori</w:t>
            </w:r>
          </w:p>
        </w:tc>
        <w:tc>
          <w:tcPr>
            <w:tcW w:w="1017" w:type="pct"/>
          </w:tcPr>
          <w:p w14:paraId="13EF6F5B" w14:textId="77777777" w:rsidR="00184569" w:rsidRPr="00184569" w:rsidRDefault="00184569" w:rsidP="00184569">
            <w:pPr>
              <w:widowControl w:val="0"/>
              <w:autoSpaceDE w:val="0"/>
              <w:autoSpaceDN w:val="0"/>
              <w:spacing w:after="0" w:line="240" w:lineRule="auto"/>
              <w:ind w:left="163" w:right="160"/>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nem</w:t>
            </w:r>
            <w:r w:rsidRPr="00184569">
              <w:rPr>
                <w:rFonts w:ascii="Times New Roman" w:eastAsia="Times New Roman" w:hAnsi="Times New Roman" w:cs="Times New Roman"/>
                <w:spacing w:val="-4"/>
                <w:kern w:val="0"/>
                <w14:ligatures w14:val="none"/>
              </w:rPr>
              <w:t xml:space="preserve"> </w:t>
            </w:r>
            <w:r w:rsidRPr="00184569">
              <w:rPr>
                <w:rFonts w:ascii="Times New Roman" w:eastAsia="Times New Roman" w:hAnsi="Times New Roman" w:cs="Times New Roman"/>
                <w:kern w:val="0"/>
                <w14:ligatures w14:val="none"/>
              </w:rPr>
              <w:t>gyakori</w:t>
            </w:r>
          </w:p>
        </w:tc>
        <w:tc>
          <w:tcPr>
            <w:tcW w:w="1014" w:type="pct"/>
          </w:tcPr>
          <w:p w14:paraId="638FBAB1" w14:textId="77777777" w:rsidR="00184569" w:rsidRPr="00184569" w:rsidRDefault="00184569" w:rsidP="00184569">
            <w:pPr>
              <w:widowControl w:val="0"/>
              <w:autoSpaceDE w:val="0"/>
              <w:autoSpaceDN w:val="0"/>
              <w:spacing w:after="0" w:line="240" w:lineRule="auto"/>
              <w:ind w:left="163" w:right="160"/>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gyakori</w:t>
            </w:r>
          </w:p>
        </w:tc>
      </w:tr>
      <w:tr w:rsidR="00184569" w:rsidRPr="00184569" w14:paraId="7856CA11" w14:textId="77777777" w:rsidTr="00E16EC6">
        <w:trPr>
          <w:trHeight w:val="520"/>
        </w:trPr>
        <w:tc>
          <w:tcPr>
            <w:tcW w:w="1874" w:type="pct"/>
          </w:tcPr>
          <w:p w14:paraId="60FE8767" w14:textId="77777777" w:rsidR="00184569" w:rsidRPr="00184569" w:rsidRDefault="00184569" w:rsidP="00184569">
            <w:pPr>
              <w:widowControl w:val="0"/>
              <w:autoSpaceDE w:val="0"/>
              <w:autoSpaceDN w:val="0"/>
              <w:spacing w:after="0" w:line="240" w:lineRule="auto"/>
              <w:ind w:left="108"/>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Emelkedett gamma-glutamil-transzferáz-szint</w:t>
            </w:r>
          </w:p>
        </w:tc>
        <w:tc>
          <w:tcPr>
            <w:tcW w:w="1095" w:type="pct"/>
          </w:tcPr>
          <w:p w14:paraId="1F9D51B6" w14:textId="77777777" w:rsidR="00184569" w:rsidRPr="00184569" w:rsidRDefault="00184569" w:rsidP="00184569">
            <w:pPr>
              <w:widowControl w:val="0"/>
              <w:autoSpaceDE w:val="0"/>
              <w:autoSpaceDN w:val="0"/>
              <w:spacing w:after="0" w:line="240" w:lineRule="auto"/>
              <w:ind w:left="374" w:right="333"/>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gyakori</w:t>
            </w:r>
          </w:p>
        </w:tc>
        <w:tc>
          <w:tcPr>
            <w:tcW w:w="1017" w:type="pct"/>
          </w:tcPr>
          <w:p w14:paraId="71547E0B" w14:textId="77777777" w:rsidR="00184569" w:rsidRPr="00184569" w:rsidRDefault="00184569" w:rsidP="00184569">
            <w:pPr>
              <w:widowControl w:val="0"/>
              <w:autoSpaceDE w:val="0"/>
              <w:autoSpaceDN w:val="0"/>
              <w:spacing w:after="0" w:line="240" w:lineRule="auto"/>
              <w:ind w:left="165" w:right="157"/>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gyakori</w:t>
            </w:r>
          </w:p>
        </w:tc>
        <w:tc>
          <w:tcPr>
            <w:tcW w:w="1014" w:type="pct"/>
          </w:tcPr>
          <w:p w14:paraId="51745E69" w14:textId="77777777" w:rsidR="00184569" w:rsidRPr="00184569" w:rsidRDefault="00184569" w:rsidP="00184569">
            <w:pPr>
              <w:widowControl w:val="0"/>
              <w:autoSpaceDE w:val="0"/>
              <w:autoSpaceDN w:val="0"/>
              <w:spacing w:after="0" w:line="240" w:lineRule="auto"/>
              <w:ind w:left="165" w:right="157"/>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Nem ismert</w:t>
            </w:r>
          </w:p>
        </w:tc>
      </w:tr>
      <w:tr w:rsidR="00184569" w:rsidRPr="00184569" w14:paraId="6AAED01E" w14:textId="77777777" w:rsidTr="00E16EC6">
        <w:trPr>
          <w:trHeight w:val="520"/>
        </w:trPr>
        <w:tc>
          <w:tcPr>
            <w:tcW w:w="1874" w:type="pct"/>
          </w:tcPr>
          <w:p w14:paraId="3492EBE8" w14:textId="77777777" w:rsidR="00184569" w:rsidRPr="00184569" w:rsidRDefault="00184569" w:rsidP="00184569">
            <w:pPr>
              <w:widowControl w:val="0"/>
              <w:autoSpaceDE w:val="0"/>
              <w:autoSpaceDN w:val="0"/>
              <w:spacing w:after="0" w:line="240" w:lineRule="auto"/>
              <w:ind w:left="107"/>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Emelkedett</w:t>
            </w:r>
            <w:r w:rsidRPr="00184569">
              <w:rPr>
                <w:rFonts w:ascii="Times New Roman" w:eastAsia="Times New Roman" w:hAnsi="Times New Roman" w:cs="Times New Roman"/>
                <w:spacing w:val="-5"/>
                <w:kern w:val="0"/>
                <w14:ligatures w14:val="none"/>
              </w:rPr>
              <w:t xml:space="preserve"> </w:t>
            </w:r>
            <w:r w:rsidRPr="00184569">
              <w:rPr>
                <w:rFonts w:ascii="Times New Roman" w:eastAsia="Times New Roman" w:hAnsi="Times New Roman" w:cs="Times New Roman"/>
                <w:kern w:val="0"/>
                <w14:ligatures w14:val="none"/>
              </w:rPr>
              <w:t>glutamát-piruvát-transzamináz-szint</w:t>
            </w:r>
          </w:p>
        </w:tc>
        <w:tc>
          <w:tcPr>
            <w:tcW w:w="1095" w:type="pct"/>
          </w:tcPr>
          <w:p w14:paraId="0370F555" w14:textId="77777777" w:rsidR="00184569" w:rsidRPr="00184569" w:rsidRDefault="00184569" w:rsidP="00184569">
            <w:pPr>
              <w:widowControl w:val="0"/>
              <w:autoSpaceDE w:val="0"/>
              <w:autoSpaceDN w:val="0"/>
              <w:spacing w:after="0" w:line="240" w:lineRule="auto"/>
              <w:ind w:left="374" w:right="333"/>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nem</w:t>
            </w:r>
            <w:r w:rsidRPr="00184569">
              <w:rPr>
                <w:rFonts w:ascii="Times New Roman" w:eastAsia="Times New Roman" w:hAnsi="Times New Roman" w:cs="Times New Roman"/>
                <w:spacing w:val="-4"/>
                <w:kern w:val="0"/>
                <w14:ligatures w14:val="none"/>
              </w:rPr>
              <w:t xml:space="preserve"> </w:t>
            </w:r>
            <w:r w:rsidRPr="00184569">
              <w:rPr>
                <w:rFonts w:ascii="Times New Roman" w:eastAsia="Times New Roman" w:hAnsi="Times New Roman" w:cs="Times New Roman"/>
                <w:kern w:val="0"/>
                <w14:ligatures w14:val="none"/>
              </w:rPr>
              <w:t>gyakori</w:t>
            </w:r>
          </w:p>
        </w:tc>
        <w:tc>
          <w:tcPr>
            <w:tcW w:w="1017" w:type="pct"/>
          </w:tcPr>
          <w:p w14:paraId="1F806D63" w14:textId="77777777" w:rsidR="00184569" w:rsidRPr="00184569" w:rsidRDefault="00184569" w:rsidP="00184569">
            <w:pPr>
              <w:widowControl w:val="0"/>
              <w:autoSpaceDE w:val="0"/>
              <w:autoSpaceDN w:val="0"/>
              <w:spacing w:after="0" w:line="240" w:lineRule="auto"/>
              <w:ind w:left="165" w:right="157"/>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gyakori</w:t>
            </w:r>
          </w:p>
        </w:tc>
        <w:tc>
          <w:tcPr>
            <w:tcW w:w="1014" w:type="pct"/>
          </w:tcPr>
          <w:p w14:paraId="1CF12896" w14:textId="77777777" w:rsidR="00184569" w:rsidRPr="00184569" w:rsidRDefault="00184569" w:rsidP="00184569">
            <w:pPr>
              <w:widowControl w:val="0"/>
              <w:autoSpaceDE w:val="0"/>
              <w:autoSpaceDN w:val="0"/>
              <w:spacing w:after="0" w:line="240" w:lineRule="auto"/>
              <w:ind w:left="165" w:right="157"/>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gyakori</w:t>
            </w:r>
          </w:p>
        </w:tc>
      </w:tr>
      <w:tr w:rsidR="00184569" w:rsidRPr="00184569" w14:paraId="075FE070" w14:textId="77777777" w:rsidTr="00E16EC6">
        <w:trPr>
          <w:trHeight w:val="359"/>
        </w:trPr>
        <w:tc>
          <w:tcPr>
            <w:tcW w:w="5000" w:type="pct"/>
            <w:gridSpan w:val="4"/>
            <w:vAlign w:val="center"/>
          </w:tcPr>
          <w:p w14:paraId="4F72EFA1"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i/>
                <w:kern w:val="0"/>
                <w14:ligatures w14:val="none"/>
              </w:rPr>
            </w:pPr>
            <w:r w:rsidRPr="00184569">
              <w:rPr>
                <w:rFonts w:ascii="Times New Roman" w:eastAsia="Times New Roman" w:hAnsi="Times New Roman" w:cs="Times New Roman"/>
                <w:i/>
                <w:kern w:val="0"/>
                <w14:ligatures w14:val="none"/>
              </w:rPr>
              <w:t>A</w:t>
            </w:r>
            <w:r w:rsidRPr="00184569">
              <w:rPr>
                <w:rFonts w:ascii="Times New Roman" w:eastAsia="Times New Roman" w:hAnsi="Times New Roman" w:cs="Times New Roman"/>
                <w:i/>
                <w:spacing w:val="-3"/>
                <w:kern w:val="0"/>
                <w14:ligatures w14:val="none"/>
              </w:rPr>
              <w:t xml:space="preserve"> </w:t>
            </w:r>
            <w:r w:rsidRPr="00184569">
              <w:rPr>
                <w:rFonts w:ascii="Times New Roman" w:eastAsia="Times New Roman" w:hAnsi="Times New Roman" w:cs="Times New Roman"/>
                <w:i/>
                <w:kern w:val="0"/>
                <w14:ligatures w14:val="none"/>
              </w:rPr>
              <w:t>bőr</w:t>
            </w:r>
            <w:r w:rsidRPr="00184569">
              <w:rPr>
                <w:rFonts w:ascii="Times New Roman" w:eastAsia="Times New Roman" w:hAnsi="Times New Roman" w:cs="Times New Roman"/>
                <w:i/>
                <w:spacing w:val="-3"/>
                <w:kern w:val="0"/>
                <w14:ligatures w14:val="none"/>
              </w:rPr>
              <w:t xml:space="preserve"> </w:t>
            </w:r>
            <w:r w:rsidRPr="00184569">
              <w:rPr>
                <w:rFonts w:ascii="Times New Roman" w:eastAsia="Times New Roman" w:hAnsi="Times New Roman" w:cs="Times New Roman"/>
                <w:i/>
                <w:kern w:val="0"/>
                <w14:ligatures w14:val="none"/>
              </w:rPr>
              <w:t>és</w:t>
            </w:r>
            <w:r w:rsidRPr="00184569">
              <w:rPr>
                <w:rFonts w:ascii="Times New Roman" w:eastAsia="Times New Roman" w:hAnsi="Times New Roman" w:cs="Times New Roman"/>
                <w:i/>
                <w:spacing w:val="-3"/>
                <w:kern w:val="0"/>
                <w14:ligatures w14:val="none"/>
              </w:rPr>
              <w:t xml:space="preserve"> </w:t>
            </w:r>
            <w:r w:rsidRPr="00184569">
              <w:rPr>
                <w:rFonts w:ascii="Times New Roman" w:eastAsia="Times New Roman" w:hAnsi="Times New Roman" w:cs="Times New Roman"/>
                <w:i/>
                <w:kern w:val="0"/>
                <w14:ligatures w14:val="none"/>
              </w:rPr>
              <w:t>a</w:t>
            </w:r>
            <w:r w:rsidRPr="00184569">
              <w:rPr>
                <w:rFonts w:ascii="Times New Roman" w:eastAsia="Times New Roman" w:hAnsi="Times New Roman" w:cs="Times New Roman"/>
                <w:i/>
                <w:spacing w:val="-3"/>
                <w:kern w:val="0"/>
                <w14:ligatures w14:val="none"/>
              </w:rPr>
              <w:t xml:space="preserve"> </w:t>
            </w:r>
            <w:r w:rsidRPr="00184569">
              <w:rPr>
                <w:rFonts w:ascii="Times New Roman" w:eastAsia="Times New Roman" w:hAnsi="Times New Roman" w:cs="Times New Roman"/>
                <w:i/>
                <w:kern w:val="0"/>
                <w14:ligatures w14:val="none"/>
              </w:rPr>
              <w:t>bőr</w:t>
            </w:r>
            <w:r w:rsidRPr="00184569">
              <w:rPr>
                <w:rFonts w:ascii="Times New Roman" w:eastAsia="Times New Roman" w:hAnsi="Times New Roman" w:cs="Times New Roman"/>
                <w:i/>
                <w:spacing w:val="-2"/>
                <w:kern w:val="0"/>
                <w14:ligatures w14:val="none"/>
              </w:rPr>
              <w:t xml:space="preserve"> </w:t>
            </w:r>
            <w:r w:rsidRPr="00184569">
              <w:rPr>
                <w:rFonts w:ascii="Times New Roman" w:eastAsia="Times New Roman" w:hAnsi="Times New Roman" w:cs="Times New Roman"/>
                <w:i/>
                <w:kern w:val="0"/>
                <w14:ligatures w14:val="none"/>
              </w:rPr>
              <w:t>alatti</w:t>
            </w:r>
            <w:r w:rsidRPr="00184569">
              <w:rPr>
                <w:rFonts w:ascii="Times New Roman" w:eastAsia="Times New Roman" w:hAnsi="Times New Roman" w:cs="Times New Roman"/>
                <w:i/>
                <w:spacing w:val="-3"/>
                <w:kern w:val="0"/>
                <w14:ligatures w14:val="none"/>
              </w:rPr>
              <w:t xml:space="preserve"> </w:t>
            </w:r>
            <w:r w:rsidRPr="00184569">
              <w:rPr>
                <w:rFonts w:ascii="Times New Roman" w:eastAsia="Times New Roman" w:hAnsi="Times New Roman" w:cs="Times New Roman"/>
                <w:i/>
                <w:kern w:val="0"/>
                <w14:ligatures w14:val="none"/>
              </w:rPr>
              <w:t>szövet</w:t>
            </w:r>
            <w:r w:rsidRPr="00184569">
              <w:rPr>
                <w:rFonts w:ascii="Times New Roman" w:eastAsia="Times New Roman" w:hAnsi="Times New Roman" w:cs="Times New Roman"/>
                <w:i/>
                <w:spacing w:val="-3"/>
                <w:kern w:val="0"/>
                <w14:ligatures w14:val="none"/>
              </w:rPr>
              <w:t xml:space="preserve"> </w:t>
            </w:r>
            <w:r w:rsidRPr="00184569">
              <w:rPr>
                <w:rFonts w:ascii="Times New Roman" w:eastAsia="Times New Roman" w:hAnsi="Times New Roman" w:cs="Times New Roman"/>
                <w:i/>
                <w:kern w:val="0"/>
                <w14:ligatures w14:val="none"/>
              </w:rPr>
              <w:t>betegségei</w:t>
            </w:r>
            <w:r w:rsidRPr="00184569">
              <w:rPr>
                <w:rFonts w:ascii="Times New Roman" w:eastAsia="Times New Roman" w:hAnsi="Times New Roman" w:cs="Times New Roman"/>
                <w:i/>
                <w:spacing w:val="-3"/>
                <w:kern w:val="0"/>
                <w14:ligatures w14:val="none"/>
              </w:rPr>
              <w:t xml:space="preserve"> </w:t>
            </w:r>
            <w:r w:rsidRPr="00184569">
              <w:rPr>
                <w:rFonts w:ascii="Times New Roman" w:eastAsia="Times New Roman" w:hAnsi="Times New Roman" w:cs="Times New Roman"/>
                <w:i/>
                <w:kern w:val="0"/>
                <w14:ligatures w14:val="none"/>
              </w:rPr>
              <w:t>és</w:t>
            </w:r>
            <w:r w:rsidRPr="00184569">
              <w:rPr>
                <w:rFonts w:ascii="Times New Roman" w:eastAsia="Times New Roman" w:hAnsi="Times New Roman" w:cs="Times New Roman"/>
                <w:i/>
                <w:spacing w:val="-2"/>
                <w:kern w:val="0"/>
                <w14:ligatures w14:val="none"/>
              </w:rPr>
              <w:t xml:space="preserve"> </w:t>
            </w:r>
            <w:r w:rsidRPr="00184569">
              <w:rPr>
                <w:rFonts w:ascii="Times New Roman" w:eastAsia="Times New Roman" w:hAnsi="Times New Roman" w:cs="Times New Roman"/>
                <w:i/>
                <w:kern w:val="0"/>
                <w14:ligatures w14:val="none"/>
              </w:rPr>
              <w:t>tünetei</w:t>
            </w:r>
          </w:p>
        </w:tc>
      </w:tr>
      <w:tr w:rsidR="00184569" w:rsidRPr="00184569" w14:paraId="0CCB60EB" w14:textId="77777777" w:rsidTr="00E16EC6">
        <w:trPr>
          <w:trHeight w:val="261"/>
        </w:trPr>
        <w:tc>
          <w:tcPr>
            <w:tcW w:w="1874" w:type="pct"/>
          </w:tcPr>
          <w:p w14:paraId="0431E037" w14:textId="77777777" w:rsidR="00184569" w:rsidRPr="00184569" w:rsidRDefault="00184569" w:rsidP="00184569">
            <w:pPr>
              <w:widowControl w:val="0"/>
              <w:autoSpaceDE w:val="0"/>
              <w:autoSpaceDN w:val="0"/>
              <w:spacing w:after="0" w:line="240" w:lineRule="auto"/>
              <w:ind w:left="107"/>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Bőrkiütés</w:t>
            </w:r>
          </w:p>
        </w:tc>
        <w:tc>
          <w:tcPr>
            <w:tcW w:w="1095" w:type="pct"/>
          </w:tcPr>
          <w:p w14:paraId="087341F3" w14:textId="77777777" w:rsidR="00184569" w:rsidRPr="00184569" w:rsidRDefault="00184569" w:rsidP="00184569">
            <w:pPr>
              <w:widowControl w:val="0"/>
              <w:autoSpaceDE w:val="0"/>
              <w:autoSpaceDN w:val="0"/>
              <w:spacing w:after="0" w:line="240" w:lineRule="auto"/>
              <w:ind w:left="374" w:right="328"/>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nem</w:t>
            </w:r>
            <w:r w:rsidRPr="00184569">
              <w:rPr>
                <w:rFonts w:ascii="Times New Roman" w:eastAsia="Times New Roman" w:hAnsi="Times New Roman" w:cs="Times New Roman"/>
                <w:spacing w:val="-4"/>
                <w:kern w:val="0"/>
                <w14:ligatures w14:val="none"/>
              </w:rPr>
              <w:t xml:space="preserve"> </w:t>
            </w:r>
            <w:r w:rsidRPr="00184569">
              <w:rPr>
                <w:rFonts w:ascii="Times New Roman" w:eastAsia="Times New Roman" w:hAnsi="Times New Roman" w:cs="Times New Roman"/>
                <w:kern w:val="0"/>
                <w14:ligatures w14:val="none"/>
              </w:rPr>
              <w:t>gyakori</w:t>
            </w:r>
          </w:p>
        </w:tc>
        <w:tc>
          <w:tcPr>
            <w:tcW w:w="1017" w:type="pct"/>
          </w:tcPr>
          <w:p w14:paraId="48B5C1F2" w14:textId="77777777" w:rsidR="00184569" w:rsidRPr="00184569" w:rsidRDefault="00184569" w:rsidP="00184569">
            <w:pPr>
              <w:widowControl w:val="0"/>
              <w:autoSpaceDE w:val="0"/>
              <w:autoSpaceDN w:val="0"/>
              <w:spacing w:after="0" w:line="240" w:lineRule="auto"/>
              <w:ind w:left="165" w:right="157"/>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gyakori</w:t>
            </w:r>
          </w:p>
        </w:tc>
        <w:tc>
          <w:tcPr>
            <w:tcW w:w="1014" w:type="pct"/>
          </w:tcPr>
          <w:p w14:paraId="7FDE435E" w14:textId="77777777" w:rsidR="00184569" w:rsidRPr="00184569" w:rsidRDefault="00184569" w:rsidP="00184569">
            <w:pPr>
              <w:widowControl w:val="0"/>
              <w:autoSpaceDE w:val="0"/>
              <w:autoSpaceDN w:val="0"/>
              <w:spacing w:after="0" w:line="240" w:lineRule="auto"/>
              <w:ind w:left="165" w:right="157"/>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gyakori</w:t>
            </w:r>
          </w:p>
        </w:tc>
      </w:tr>
      <w:tr w:rsidR="00184569" w:rsidRPr="00184569" w14:paraId="5B7BBE39" w14:textId="77777777" w:rsidTr="00E16EC6">
        <w:trPr>
          <w:trHeight w:val="258"/>
        </w:trPr>
        <w:tc>
          <w:tcPr>
            <w:tcW w:w="1874" w:type="pct"/>
          </w:tcPr>
          <w:p w14:paraId="7151BCE8" w14:textId="77777777" w:rsidR="00184569" w:rsidRPr="00184569" w:rsidRDefault="00184569" w:rsidP="00184569">
            <w:pPr>
              <w:widowControl w:val="0"/>
              <w:autoSpaceDE w:val="0"/>
              <w:autoSpaceDN w:val="0"/>
              <w:spacing w:after="0" w:line="240" w:lineRule="auto"/>
              <w:ind w:left="107"/>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Alopecia</w:t>
            </w:r>
          </w:p>
        </w:tc>
        <w:tc>
          <w:tcPr>
            <w:tcW w:w="1095" w:type="pct"/>
          </w:tcPr>
          <w:p w14:paraId="67C9108E" w14:textId="77777777" w:rsidR="00184569" w:rsidRPr="00184569" w:rsidRDefault="00184569" w:rsidP="00184569">
            <w:pPr>
              <w:widowControl w:val="0"/>
              <w:autoSpaceDE w:val="0"/>
              <w:autoSpaceDN w:val="0"/>
              <w:spacing w:after="0" w:line="240" w:lineRule="auto"/>
              <w:ind w:left="374" w:right="332"/>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nem</w:t>
            </w:r>
            <w:r w:rsidRPr="00184569">
              <w:rPr>
                <w:rFonts w:ascii="Times New Roman" w:eastAsia="Times New Roman" w:hAnsi="Times New Roman" w:cs="Times New Roman"/>
                <w:spacing w:val="-4"/>
                <w:kern w:val="0"/>
                <w14:ligatures w14:val="none"/>
              </w:rPr>
              <w:t xml:space="preserve"> </w:t>
            </w:r>
            <w:r w:rsidRPr="00184569">
              <w:rPr>
                <w:rFonts w:ascii="Times New Roman" w:eastAsia="Times New Roman" w:hAnsi="Times New Roman" w:cs="Times New Roman"/>
                <w:kern w:val="0"/>
                <w14:ligatures w14:val="none"/>
              </w:rPr>
              <w:t>gyakori</w:t>
            </w:r>
          </w:p>
        </w:tc>
        <w:tc>
          <w:tcPr>
            <w:tcW w:w="1017" w:type="pct"/>
          </w:tcPr>
          <w:p w14:paraId="278D1697" w14:textId="77777777" w:rsidR="00184569" w:rsidRPr="00184569" w:rsidRDefault="00184569" w:rsidP="00184569">
            <w:pPr>
              <w:widowControl w:val="0"/>
              <w:autoSpaceDE w:val="0"/>
              <w:autoSpaceDN w:val="0"/>
              <w:spacing w:after="0" w:line="240" w:lineRule="auto"/>
              <w:ind w:left="163" w:right="160"/>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nem</w:t>
            </w:r>
            <w:r w:rsidRPr="00184569">
              <w:rPr>
                <w:rFonts w:ascii="Times New Roman" w:eastAsia="Times New Roman" w:hAnsi="Times New Roman" w:cs="Times New Roman"/>
                <w:spacing w:val="-4"/>
                <w:kern w:val="0"/>
                <w14:ligatures w14:val="none"/>
              </w:rPr>
              <w:t xml:space="preserve"> </w:t>
            </w:r>
            <w:r w:rsidRPr="00184569">
              <w:rPr>
                <w:rFonts w:ascii="Times New Roman" w:eastAsia="Times New Roman" w:hAnsi="Times New Roman" w:cs="Times New Roman"/>
                <w:kern w:val="0"/>
                <w14:ligatures w14:val="none"/>
              </w:rPr>
              <w:t>gyakori</w:t>
            </w:r>
          </w:p>
        </w:tc>
        <w:tc>
          <w:tcPr>
            <w:tcW w:w="1014" w:type="pct"/>
          </w:tcPr>
          <w:p w14:paraId="6AA8741F" w14:textId="77777777" w:rsidR="00184569" w:rsidRPr="00184569" w:rsidRDefault="00184569" w:rsidP="00184569">
            <w:pPr>
              <w:widowControl w:val="0"/>
              <w:autoSpaceDE w:val="0"/>
              <w:autoSpaceDN w:val="0"/>
              <w:spacing w:after="0" w:line="240" w:lineRule="auto"/>
              <w:ind w:left="163" w:right="160"/>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gyakori</w:t>
            </w:r>
          </w:p>
        </w:tc>
      </w:tr>
      <w:tr w:rsidR="00184569" w:rsidRPr="00184569" w14:paraId="30DFA835" w14:textId="77777777" w:rsidTr="00E16EC6">
        <w:trPr>
          <w:trHeight w:val="261"/>
        </w:trPr>
        <w:tc>
          <w:tcPr>
            <w:tcW w:w="1874" w:type="pct"/>
          </w:tcPr>
          <w:p w14:paraId="353D7F4D" w14:textId="77777777" w:rsidR="00184569" w:rsidRPr="00184569" w:rsidRDefault="00184569" w:rsidP="00184569">
            <w:pPr>
              <w:widowControl w:val="0"/>
              <w:autoSpaceDE w:val="0"/>
              <w:autoSpaceDN w:val="0"/>
              <w:spacing w:after="0" w:line="240" w:lineRule="auto"/>
              <w:ind w:left="107"/>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Erythema</w:t>
            </w:r>
            <w:r w:rsidRPr="00184569">
              <w:rPr>
                <w:rFonts w:ascii="Times New Roman" w:eastAsia="Times New Roman" w:hAnsi="Times New Roman" w:cs="Times New Roman"/>
                <w:spacing w:val="-6"/>
                <w:kern w:val="0"/>
                <w14:ligatures w14:val="none"/>
              </w:rPr>
              <w:t xml:space="preserve"> </w:t>
            </w:r>
            <w:r w:rsidRPr="00184569">
              <w:rPr>
                <w:rFonts w:ascii="Times New Roman" w:eastAsia="Times New Roman" w:hAnsi="Times New Roman" w:cs="Times New Roman"/>
                <w:kern w:val="0"/>
                <w14:ligatures w14:val="none"/>
              </w:rPr>
              <w:t>multiforme</w:t>
            </w:r>
          </w:p>
        </w:tc>
        <w:tc>
          <w:tcPr>
            <w:tcW w:w="1095" w:type="pct"/>
          </w:tcPr>
          <w:p w14:paraId="13498AB6" w14:textId="77777777" w:rsidR="00184569" w:rsidRPr="00184569" w:rsidRDefault="00184569" w:rsidP="00184569">
            <w:pPr>
              <w:widowControl w:val="0"/>
              <w:autoSpaceDE w:val="0"/>
              <w:autoSpaceDN w:val="0"/>
              <w:spacing w:after="0" w:line="240" w:lineRule="auto"/>
              <w:ind w:left="374" w:right="328"/>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nem</w:t>
            </w:r>
            <w:r w:rsidRPr="00184569">
              <w:rPr>
                <w:rFonts w:ascii="Times New Roman" w:eastAsia="Times New Roman" w:hAnsi="Times New Roman" w:cs="Times New Roman"/>
                <w:spacing w:val="-4"/>
                <w:kern w:val="0"/>
                <w14:ligatures w14:val="none"/>
              </w:rPr>
              <w:t xml:space="preserve"> </w:t>
            </w:r>
            <w:r w:rsidRPr="00184569">
              <w:rPr>
                <w:rFonts w:ascii="Times New Roman" w:eastAsia="Times New Roman" w:hAnsi="Times New Roman" w:cs="Times New Roman"/>
                <w:kern w:val="0"/>
                <w14:ligatures w14:val="none"/>
              </w:rPr>
              <w:t>ritka</w:t>
            </w:r>
          </w:p>
        </w:tc>
        <w:tc>
          <w:tcPr>
            <w:tcW w:w="1017" w:type="pct"/>
          </w:tcPr>
          <w:p w14:paraId="075B2483" w14:textId="77777777" w:rsidR="00184569" w:rsidRPr="00184569" w:rsidRDefault="00184569" w:rsidP="00184569">
            <w:pPr>
              <w:widowControl w:val="0"/>
              <w:autoSpaceDE w:val="0"/>
              <w:autoSpaceDN w:val="0"/>
              <w:spacing w:after="0" w:line="240" w:lineRule="auto"/>
              <w:ind w:left="165" w:right="157"/>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nem</w:t>
            </w:r>
            <w:r w:rsidRPr="00184569">
              <w:rPr>
                <w:rFonts w:ascii="Times New Roman" w:eastAsia="Times New Roman" w:hAnsi="Times New Roman" w:cs="Times New Roman"/>
                <w:spacing w:val="-4"/>
                <w:kern w:val="0"/>
                <w14:ligatures w14:val="none"/>
              </w:rPr>
              <w:t xml:space="preserve"> </w:t>
            </w:r>
            <w:r w:rsidRPr="00184569">
              <w:rPr>
                <w:rFonts w:ascii="Times New Roman" w:eastAsia="Times New Roman" w:hAnsi="Times New Roman" w:cs="Times New Roman"/>
                <w:kern w:val="0"/>
                <w14:ligatures w14:val="none"/>
              </w:rPr>
              <w:t>ismert</w:t>
            </w:r>
          </w:p>
        </w:tc>
        <w:tc>
          <w:tcPr>
            <w:tcW w:w="1014" w:type="pct"/>
          </w:tcPr>
          <w:p w14:paraId="4E947880" w14:textId="77777777" w:rsidR="00184569" w:rsidRPr="00184569" w:rsidRDefault="00184569" w:rsidP="00184569">
            <w:pPr>
              <w:widowControl w:val="0"/>
              <w:autoSpaceDE w:val="0"/>
              <w:autoSpaceDN w:val="0"/>
              <w:spacing w:after="0" w:line="240" w:lineRule="auto"/>
              <w:ind w:left="165" w:right="157"/>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nem</w:t>
            </w:r>
            <w:r w:rsidRPr="00184569">
              <w:rPr>
                <w:rFonts w:ascii="Times New Roman" w:eastAsia="Times New Roman" w:hAnsi="Times New Roman" w:cs="Times New Roman"/>
                <w:spacing w:val="-4"/>
                <w:kern w:val="0"/>
                <w14:ligatures w14:val="none"/>
              </w:rPr>
              <w:t xml:space="preserve"> </w:t>
            </w:r>
            <w:r w:rsidRPr="00184569">
              <w:rPr>
                <w:rFonts w:ascii="Times New Roman" w:eastAsia="Times New Roman" w:hAnsi="Times New Roman" w:cs="Times New Roman"/>
                <w:kern w:val="0"/>
                <w14:ligatures w14:val="none"/>
              </w:rPr>
              <w:t>ismert</w:t>
            </w:r>
          </w:p>
        </w:tc>
      </w:tr>
      <w:tr w:rsidR="00184569" w:rsidRPr="00184569" w14:paraId="1A36BABA" w14:textId="77777777" w:rsidTr="00E16EC6">
        <w:trPr>
          <w:trHeight w:val="261"/>
        </w:trPr>
        <w:tc>
          <w:tcPr>
            <w:tcW w:w="1874" w:type="pct"/>
          </w:tcPr>
          <w:p w14:paraId="0F44CDB4" w14:textId="77777777" w:rsidR="00184569" w:rsidRPr="00184569" w:rsidRDefault="00184569" w:rsidP="00184569">
            <w:pPr>
              <w:widowControl w:val="0"/>
              <w:autoSpaceDE w:val="0"/>
              <w:autoSpaceDN w:val="0"/>
              <w:spacing w:after="0" w:line="240" w:lineRule="auto"/>
              <w:ind w:left="107"/>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Cutan vasculitis</w:t>
            </w:r>
          </w:p>
        </w:tc>
        <w:tc>
          <w:tcPr>
            <w:tcW w:w="1095" w:type="pct"/>
          </w:tcPr>
          <w:p w14:paraId="5D941AB3" w14:textId="77777777" w:rsidR="00184569" w:rsidRPr="00184569" w:rsidRDefault="00184569" w:rsidP="00184569">
            <w:pPr>
              <w:widowControl w:val="0"/>
              <w:autoSpaceDE w:val="0"/>
              <w:autoSpaceDN w:val="0"/>
              <w:spacing w:after="0" w:line="240" w:lineRule="auto"/>
              <w:ind w:left="374" w:right="328"/>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nem</w:t>
            </w:r>
            <w:r w:rsidRPr="00184569">
              <w:rPr>
                <w:rFonts w:ascii="Times New Roman" w:eastAsia="Times New Roman" w:hAnsi="Times New Roman" w:cs="Times New Roman"/>
                <w:spacing w:val="-4"/>
                <w:kern w:val="0"/>
                <w14:ligatures w14:val="none"/>
              </w:rPr>
              <w:t xml:space="preserve"> </w:t>
            </w:r>
            <w:r w:rsidRPr="00184569">
              <w:rPr>
                <w:rFonts w:ascii="Times New Roman" w:eastAsia="Times New Roman" w:hAnsi="Times New Roman" w:cs="Times New Roman"/>
                <w:kern w:val="0"/>
                <w14:ligatures w14:val="none"/>
              </w:rPr>
              <w:t>ismert</w:t>
            </w:r>
          </w:p>
        </w:tc>
        <w:tc>
          <w:tcPr>
            <w:tcW w:w="1017" w:type="pct"/>
          </w:tcPr>
          <w:p w14:paraId="15D13A98" w14:textId="77777777" w:rsidR="00184569" w:rsidRPr="00184569" w:rsidRDefault="00184569" w:rsidP="00184569">
            <w:pPr>
              <w:widowControl w:val="0"/>
              <w:autoSpaceDE w:val="0"/>
              <w:autoSpaceDN w:val="0"/>
              <w:spacing w:after="0" w:line="240" w:lineRule="auto"/>
              <w:ind w:left="165" w:right="157"/>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nem</w:t>
            </w:r>
            <w:r w:rsidRPr="00184569">
              <w:rPr>
                <w:rFonts w:ascii="Times New Roman" w:eastAsia="Times New Roman" w:hAnsi="Times New Roman" w:cs="Times New Roman"/>
                <w:spacing w:val="-4"/>
                <w:kern w:val="0"/>
                <w14:ligatures w14:val="none"/>
              </w:rPr>
              <w:t xml:space="preserve"> </w:t>
            </w:r>
            <w:r w:rsidRPr="00184569">
              <w:rPr>
                <w:rFonts w:ascii="Times New Roman" w:eastAsia="Times New Roman" w:hAnsi="Times New Roman" w:cs="Times New Roman"/>
                <w:kern w:val="0"/>
                <w14:ligatures w14:val="none"/>
              </w:rPr>
              <w:t>ismert</w:t>
            </w:r>
          </w:p>
        </w:tc>
        <w:tc>
          <w:tcPr>
            <w:tcW w:w="1014" w:type="pct"/>
          </w:tcPr>
          <w:p w14:paraId="16C18C79" w14:textId="77777777" w:rsidR="00184569" w:rsidRPr="00184569" w:rsidRDefault="00184569" w:rsidP="00184569">
            <w:pPr>
              <w:widowControl w:val="0"/>
              <w:autoSpaceDE w:val="0"/>
              <w:autoSpaceDN w:val="0"/>
              <w:spacing w:after="0" w:line="240" w:lineRule="auto"/>
              <w:ind w:left="165" w:right="157"/>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nem</w:t>
            </w:r>
            <w:r w:rsidRPr="00184569">
              <w:rPr>
                <w:rFonts w:ascii="Times New Roman" w:eastAsia="Times New Roman" w:hAnsi="Times New Roman" w:cs="Times New Roman"/>
                <w:spacing w:val="-4"/>
                <w:kern w:val="0"/>
                <w14:ligatures w14:val="none"/>
              </w:rPr>
              <w:t xml:space="preserve"> </w:t>
            </w:r>
            <w:r w:rsidRPr="00184569">
              <w:rPr>
                <w:rFonts w:ascii="Times New Roman" w:eastAsia="Times New Roman" w:hAnsi="Times New Roman" w:cs="Times New Roman"/>
                <w:kern w:val="0"/>
                <w14:ligatures w14:val="none"/>
              </w:rPr>
              <w:t>ismert</w:t>
            </w:r>
          </w:p>
        </w:tc>
      </w:tr>
      <w:tr w:rsidR="00184569" w:rsidRPr="00184569" w14:paraId="42B11A78" w14:textId="77777777" w:rsidTr="00E16EC6">
        <w:trPr>
          <w:trHeight w:val="359"/>
        </w:trPr>
        <w:tc>
          <w:tcPr>
            <w:tcW w:w="5000" w:type="pct"/>
            <w:gridSpan w:val="4"/>
            <w:vAlign w:val="center"/>
          </w:tcPr>
          <w:p w14:paraId="40A630F6" w14:textId="77777777" w:rsidR="00184569" w:rsidRPr="00184569" w:rsidRDefault="00184569" w:rsidP="00184569">
            <w:pPr>
              <w:widowControl w:val="0"/>
              <w:autoSpaceDE w:val="0"/>
              <w:autoSpaceDN w:val="0"/>
              <w:spacing w:after="0" w:line="240" w:lineRule="auto"/>
              <w:ind w:left="113"/>
              <w:rPr>
                <w:rFonts w:ascii="Times New Roman" w:eastAsia="Times New Roman" w:hAnsi="Times New Roman" w:cs="Times New Roman"/>
                <w:i/>
                <w:kern w:val="0"/>
                <w14:ligatures w14:val="none"/>
              </w:rPr>
            </w:pPr>
            <w:r w:rsidRPr="00184569">
              <w:rPr>
                <w:rFonts w:ascii="Times New Roman" w:eastAsia="Times New Roman" w:hAnsi="Times New Roman" w:cs="Times New Roman"/>
                <w:i/>
                <w:kern w:val="0"/>
                <w14:ligatures w14:val="none"/>
              </w:rPr>
              <w:t>A</w:t>
            </w:r>
            <w:r w:rsidRPr="00184569">
              <w:rPr>
                <w:rFonts w:ascii="Times New Roman" w:eastAsia="Times New Roman" w:hAnsi="Times New Roman" w:cs="Times New Roman"/>
                <w:i/>
                <w:spacing w:val="-4"/>
                <w:kern w:val="0"/>
                <w14:ligatures w14:val="none"/>
              </w:rPr>
              <w:t xml:space="preserve"> </w:t>
            </w:r>
            <w:r w:rsidRPr="00184569">
              <w:rPr>
                <w:rFonts w:ascii="Times New Roman" w:eastAsia="Times New Roman" w:hAnsi="Times New Roman" w:cs="Times New Roman"/>
                <w:i/>
                <w:kern w:val="0"/>
                <w14:ligatures w14:val="none"/>
              </w:rPr>
              <w:t>csont-</w:t>
            </w:r>
            <w:r w:rsidRPr="00184569">
              <w:rPr>
                <w:rFonts w:ascii="Times New Roman" w:eastAsia="Times New Roman" w:hAnsi="Times New Roman" w:cs="Times New Roman"/>
                <w:i/>
                <w:spacing w:val="-2"/>
                <w:kern w:val="0"/>
                <w14:ligatures w14:val="none"/>
              </w:rPr>
              <w:t xml:space="preserve"> </w:t>
            </w:r>
            <w:r w:rsidRPr="00184569">
              <w:rPr>
                <w:rFonts w:ascii="Times New Roman" w:eastAsia="Times New Roman" w:hAnsi="Times New Roman" w:cs="Times New Roman"/>
                <w:i/>
                <w:kern w:val="0"/>
                <w14:ligatures w14:val="none"/>
              </w:rPr>
              <w:t>és</w:t>
            </w:r>
            <w:r w:rsidRPr="00184569">
              <w:rPr>
                <w:rFonts w:ascii="Times New Roman" w:eastAsia="Times New Roman" w:hAnsi="Times New Roman" w:cs="Times New Roman"/>
                <w:i/>
                <w:spacing w:val="-4"/>
                <w:kern w:val="0"/>
                <w14:ligatures w14:val="none"/>
              </w:rPr>
              <w:t xml:space="preserve"> </w:t>
            </w:r>
            <w:r w:rsidRPr="00184569">
              <w:rPr>
                <w:rFonts w:ascii="Times New Roman" w:eastAsia="Times New Roman" w:hAnsi="Times New Roman" w:cs="Times New Roman"/>
                <w:i/>
                <w:kern w:val="0"/>
                <w14:ligatures w14:val="none"/>
              </w:rPr>
              <w:t>izomrendszer,</w:t>
            </w:r>
            <w:r w:rsidRPr="00184569">
              <w:rPr>
                <w:rFonts w:ascii="Times New Roman" w:eastAsia="Times New Roman" w:hAnsi="Times New Roman" w:cs="Times New Roman"/>
                <w:i/>
                <w:spacing w:val="-4"/>
                <w:kern w:val="0"/>
                <w14:ligatures w14:val="none"/>
              </w:rPr>
              <w:t xml:space="preserve"> </w:t>
            </w:r>
            <w:r w:rsidRPr="00184569">
              <w:rPr>
                <w:rFonts w:ascii="Times New Roman" w:eastAsia="Times New Roman" w:hAnsi="Times New Roman" w:cs="Times New Roman"/>
                <w:i/>
                <w:kern w:val="0"/>
                <w14:ligatures w14:val="none"/>
              </w:rPr>
              <w:t>valamint</w:t>
            </w:r>
            <w:r w:rsidRPr="00184569">
              <w:rPr>
                <w:rFonts w:ascii="Times New Roman" w:eastAsia="Times New Roman" w:hAnsi="Times New Roman" w:cs="Times New Roman"/>
                <w:i/>
                <w:spacing w:val="-4"/>
                <w:kern w:val="0"/>
                <w14:ligatures w14:val="none"/>
              </w:rPr>
              <w:t xml:space="preserve"> </w:t>
            </w:r>
            <w:r w:rsidRPr="00184569">
              <w:rPr>
                <w:rFonts w:ascii="Times New Roman" w:eastAsia="Times New Roman" w:hAnsi="Times New Roman" w:cs="Times New Roman"/>
                <w:i/>
                <w:kern w:val="0"/>
                <w14:ligatures w14:val="none"/>
              </w:rPr>
              <w:t>a</w:t>
            </w:r>
            <w:r w:rsidRPr="00184569">
              <w:rPr>
                <w:rFonts w:ascii="Times New Roman" w:eastAsia="Times New Roman" w:hAnsi="Times New Roman" w:cs="Times New Roman"/>
                <w:i/>
                <w:spacing w:val="-4"/>
                <w:kern w:val="0"/>
                <w14:ligatures w14:val="none"/>
              </w:rPr>
              <w:t xml:space="preserve"> </w:t>
            </w:r>
            <w:r w:rsidRPr="00184569">
              <w:rPr>
                <w:rFonts w:ascii="Times New Roman" w:eastAsia="Times New Roman" w:hAnsi="Times New Roman" w:cs="Times New Roman"/>
                <w:i/>
                <w:kern w:val="0"/>
                <w14:ligatures w14:val="none"/>
              </w:rPr>
              <w:t>kötőszövet</w:t>
            </w:r>
            <w:r w:rsidRPr="00184569">
              <w:rPr>
                <w:rFonts w:ascii="Times New Roman" w:eastAsia="Times New Roman" w:hAnsi="Times New Roman" w:cs="Times New Roman"/>
                <w:i/>
                <w:spacing w:val="-4"/>
                <w:kern w:val="0"/>
                <w14:ligatures w14:val="none"/>
              </w:rPr>
              <w:t xml:space="preserve"> </w:t>
            </w:r>
            <w:r w:rsidRPr="00184569">
              <w:rPr>
                <w:rFonts w:ascii="Times New Roman" w:eastAsia="Times New Roman" w:hAnsi="Times New Roman" w:cs="Times New Roman"/>
                <w:i/>
                <w:kern w:val="0"/>
                <w14:ligatures w14:val="none"/>
              </w:rPr>
              <w:t>betegségei</w:t>
            </w:r>
            <w:r w:rsidRPr="00184569">
              <w:rPr>
                <w:rFonts w:ascii="Times New Roman" w:eastAsia="Times New Roman" w:hAnsi="Times New Roman" w:cs="Times New Roman"/>
                <w:i/>
                <w:spacing w:val="-3"/>
                <w:kern w:val="0"/>
                <w14:ligatures w14:val="none"/>
              </w:rPr>
              <w:t xml:space="preserve"> </w:t>
            </w:r>
            <w:r w:rsidRPr="00184569">
              <w:rPr>
                <w:rFonts w:ascii="Times New Roman" w:eastAsia="Times New Roman" w:hAnsi="Times New Roman" w:cs="Times New Roman"/>
                <w:i/>
                <w:kern w:val="0"/>
                <w14:ligatures w14:val="none"/>
              </w:rPr>
              <w:t>és</w:t>
            </w:r>
            <w:r w:rsidRPr="00184569">
              <w:rPr>
                <w:rFonts w:ascii="Times New Roman" w:eastAsia="Times New Roman" w:hAnsi="Times New Roman" w:cs="Times New Roman"/>
                <w:i/>
                <w:spacing w:val="-4"/>
                <w:kern w:val="0"/>
                <w14:ligatures w14:val="none"/>
              </w:rPr>
              <w:t xml:space="preserve"> </w:t>
            </w:r>
            <w:r w:rsidRPr="00184569">
              <w:rPr>
                <w:rFonts w:ascii="Times New Roman" w:eastAsia="Times New Roman" w:hAnsi="Times New Roman" w:cs="Times New Roman"/>
                <w:i/>
                <w:kern w:val="0"/>
                <w14:ligatures w14:val="none"/>
              </w:rPr>
              <w:t>tünetei</w:t>
            </w:r>
          </w:p>
        </w:tc>
      </w:tr>
      <w:tr w:rsidR="00184569" w:rsidRPr="00184569" w14:paraId="3B45BEFA" w14:textId="77777777" w:rsidTr="00E16EC6">
        <w:trPr>
          <w:trHeight w:val="258"/>
        </w:trPr>
        <w:tc>
          <w:tcPr>
            <w:tcW w:w="1874" w:type="pct"/>
          </w:tcPr>
          <w:p w14:paraId="1F5143EA" w14:textId="77777777" w:rsidR="00184569" w:rsidRPr="00184569" w:rsidRDefault="00184569" w:rsidP="00184569">
            <w:pPr>
              <w:widowControl w:val="0"/>
              <w:autoSpaceDE w:val="0"/>
              <w:autoSpaceDN w:val="0"/>
              <w:spacing w:after="0" w:line="240" w:lineRule="auto"/>
              <w:ind w:left="107"/>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Izomvérzés</w:t>
            </w:r>
          </w:p>
        </w:tc>
        <w:tc>
          <w:tcPr>
            <w:tcW w:w="1095" w:type="pct"/>
          </w:tcPr>
          <w:p w14:paraId="0BA72514" w14:textId="77777777" w:rsidR="00184569" w:rsidRPr="00184569" w:rsidRDefault="00184569" w:rsidP="00184569">
            <w:pPr>
              <w:widowControl w:val="0"/>
              <w:autoSpaceDE w:val="0"/>
              <w:autoSpaceDN w:val="0"/>
              <w:spacing w:after="0" w:line="240" w:lineRule="auto"/>
              <w:ind w:left="374" w:right="332"/>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ritka</w:t>
            </w:r>
          </w:p>
        </w:tc>
        <w:tc>
          <w:tcPr>
            <w:tcW w:w="1017" w:type="pct"/>
          </w:tcPr>
          <w:p w14:paraId="2646252B" w14:textId="77777777" w:rsidR="00184569" w:rsidRPr="00184569" w:rsidRDefault="00184569" w:rsidP="00184569">
            <w:pPr>
              <w:widowControl w:val="0"/>
              <w:autoSpaceDE w:val="0"/>
              <w:autoSpaceDN w:val="0"/>
              <w:spacing w:after="0" w:line="240" w:lineRule="auto"/>
              <w:ind w:left="163" w:right="160"/>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nem</w:t>
            </w:r>
            <w:r w:rsidRPr="00184569">
              <w:rPr>
                <w:rFonts w:ascii="Times New Roman" w:eastAsia="Times New Roman" w:hAnsi="Times New Roman" w:cs="Times New Roman"/>
                <w:spacing w:val="-4"/>
                <w:kern w:val="0"/>
                <w14:ligatures w14:val="none"/>
              </w:rPr>
              <w:t xml:space="preserve"> </w:t>
            </w:r>
            <w:r w:rsidRPr="00184569">
              <w:rPr>
                <w:rFonts w:ascii="Times New Roman" w:eastAsia="Times New Roman" w:hAnsi="Times New Roman" w:cs="Times New Roman"/>
                <w:kern w:val="0"/>
                <w14:ligatures w14:val="none"/>
              </w:rPr>
              <w:t>gyakori</w:t>
            </w:r>
          </w:p>
        </w:tc>
        <w:tc>
          <w:tcPr>
            <w:tcW w:w="1014" w:type="pct"/>
          </w:tcPr>
          <w:p w14:paraId="6C0C9F3C" w14:textId="77777777" w:rsidR="00184569" w:rsidRPr="00184569" w:rsidRDefault="00184569" w:rsidP="00184569">
            <w:pPr>
              <w:widowControl w:val="0"/>
              <w:autoSpaceDE w:val="0"/>
              <w:autoSpaceDN w:val="0"/>
              <w:spacing w:after="0" w:line="240" w:lineRule="auto"/>
              <w:ind w:left="163" w:right="160"/>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nem</w:t>
            </w:r>
            <w:r w:rsidRPr="00184569">
              <w:rPr>
                <w:rFonts w:ascii="Times New Roman" w:eastAsia="Times New Roman" w:hAnsi="Times New Roman" w:cs="Times New Roman"/>
                <w:spacing w:val="-4"/>
                <w:kern w:val="0"/>
                <w14:ligatures w14:val="none"/>
              </w:rPr>
              <w:t xml:space="preserve"> </w:t>
            </w:r>
            <w:r w:rsidRPr="00184569">
              <w:rPr>
                <w:rFonts w:ascii="Times New Roman" w:eastAsia="Times New Roman" w:hAnsi="Times New Roman" w:cs="Times New Roman"/>
                <w:kern w:val="0"/>
                <w14:ligatures w14:val="none"/>
              </w:rPr>
              <w:t>ismert</w:t>
            </w:r>
          </w:p>
        </w:tc>
      </w:tr>
      <w:tr w:rsidR="00184569" w:rsidRPr="00184569" w14:paraId="3CA8EAD4" w14:textId="77777777" w:rsidTr="00E16EC6">
        <w:trPr>
          <w:trHeight w:val="359"/>
        </w:trPr>
        <w:tc>
          <w:tcPr>
            <w:tcW w:w="5000" w:type="pct"/>
            <w:gridSpan w:val="4"/>
            <w:vAlign w:val="center"/>
          </w:tcPr>
          <w:p w14:paraId="7DBC5229"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r w:rsidRPr="00184569">
              <w:rPr>
                <w:rFonts w:ascii="Times New Roman" w:eastAsia="Times New Roman" w:hAnsi="Times New Roman" w:cs="Times New Roman"/>
                <w:i/>
                <w:kern w:val="0"/>
                <w14:ligatures w14:val="none"/>
              </w:rPr>
              <w:t>Vese-</w:t>
            </w:r>
            <w:r w:rsidRPr="00184569">
              <w:rPr>
                <w:rFonts w:ascii="Times New Roman" w:eastAsia="Times New Roman" w:hAnsi="Times New Roman" w:cs="Times New Roman"/>
                <w:i/>
                <w:spacing w:val="-5"/>
                <w:kern w:val="0"/>
                <w14:ligatures w14:val="none"/>
              </w:rPr>
              <w:t xml:space="preserve"> </w:t>
            </w:r>
            <w:r w:rsidRPr="00184569">
              <w:rPr>
                <w:rFonts w:ascii="Times New Roman" w:eastAsia="Times New Roman" w:hAnsi="Times New Roman" w:cs="Times New Roman"/>
                <w:i/>
                <w:kern w:val="0"/>
                <w14:ligatures w14:val="none"/>
              </w:rPr>
              <w:t>és</w:t>
            </w:r>
            <w:r w:rsidRPr="00184569">
              <w:rPr>
                <w:rFonts w:ascii="Times New Roman" w:eastAsia="Times New Roman" w:hAnsi="Times New Roman" w:cs="Times New Roman"/>
                <w:i/>
                <w:spacing w:val="-3"/>
                <w:kern w:val="0"/>
                <w14:ligatures w14:val="none"/>
              </w:rPr>
              <w:t xml:space="preserve"> </w:t>
            </w:r>
            <w:r w:rsidRPr="00184569">
              <w:rPr>
                <w:rFonts w:ascii="Times New Roman" w:eastAsia="Times New Roman" w:hAnsi="Times New Roman" w:cs="Times New Roman"/>
                <w:i/>
                <w:kern w:val="0"/>
                <w14:ligatures w14:val="none"/>
              </w:rPr>
              <w:t>húgyúti</w:t>
            </w:r>
            <w:r w:rsidRPr="00184569">
              <w:rPr>
                <w:rFonts w:ascii="Times New Roman" w:eastAsia="Times New Roman" w:hAnsi="Times New Roman" w:cs="Times New Roman"/>
                <w:i/>
                <w:spacing w:val="-3"/>
                <w:kern w:val="0"/>
                <w14:ligatures w14:val="none"/>
              </w:rPr>
              <w:t xml:space="preserve"> </w:t>
            </w:r>
            <w:r w:rsidRPr="00184569">
              <w:rPr>
                <w:rFonts w:ascii="Times New Roman" w:eastAsia="Times New Roman" w:hAnsi="Times New Roman" w:cs="Times New Roman"/>
                <w:i/>
                <w:kern w:val="0"/>
                <w14:ligatures w14:val="none"/>
              </w:rPr>
              <w:t>betegségek</w:t>
            </w:r>
            <w:r w:rsidRPr="00184569">
              <w:rPr>
                <w:rFonts w:ascii="Times New Roman" w:eastAsia="Times New Roman" w:hAnsi="Times New Roman" w:cs="Times New Roman"/>
                <w:i/>
                <w:spacing w:val="-3"/>
                <w:kern w:val="0"/>
                <w14:ligatures w14:val="none"/>
              </w:rPr>
              <w:t xml:space="preserve"> </w:t>
            </w:r>
            <w:r w:rsidRPr="00184569">
              <w:rPr>
                <w:rFonts w:ascii="Times New Roman" w:eastAsia="Times New Roman" w:hAnsi="Times New Roman" w:cs="Times New Roman"/>
                <w:i/>
                <w:kern w:val="0"/>
                <w14:ligatures w14:val="none"/>
              </w:rPr>
              <w:t>és</w:t>
            </w:r>
            <w:r w:rsidRPr="00184569">
              <w:rPr>
                <w:rFonts w:ascii="Times New Roman" w:eastAsia="Times New Roman" w:hAnsi="Times New Roman" w:cs="Times New Roman"/>
                <w:i/>
                <w:spacing w:val="-3"/>
                <w:kern w:val="0"/>
                <w14:ligatures w14:val="none"/>
              </w:rPr>
              <w:t xml:space="preserve"> </w:t>
            </w:r>
            <w:r w:rsidRPr="00184569">
              <w:rPr>
                <w:rFonts w:ascii="Times New Roman" w:eastAsia="Times New Roman" w:hAnsi="Times New Roman" w:cs="Times New Roman"/>
                <w:i/>
                <w:kern w:val="0"/>
                <w14:ligatures w14:val="none"/>
              </w:rPr>
              <w:t>tünetek</w:t>
            </w:r>
          </w:p>
        </w:tc>
      </w:tr>
      <w:tr w:rsidR="00184569" w:rsidRPr="00184569" w14:paraId="5FD28B39" w14:textId="77777777" w:rsidTr="00E16EC6">
        <w:trPr>
          <w:trHeight w:val="261"/>
        </w:trPr>
        <w:tc>
          <w:tcPr>
            <w:tcW w:w="1874" w:type="pct"/>
          </w:tcPr>
          <w:p w14:paraId="37458B47" w14:textId="77777777" w:rsidR="00184569" w:rsidRPr="00184569" w:rsidRDefault="00184569" w:rsidP="00184569">
            <w:pPr>
              <w:widowControl w:val="0"/>
              <w:autoSpaceDE w:val="0"/>
              <w:autoSpaceDN w:val="0"/>
              <w:spacing w:after="0" w:line="240" w:lineRule="auto"/>
              <w:ind w:left="107"/>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Haematuria</w:t>
            </w:r>
          </w:p>
        </w:tc>
        <w:tc>
          <w:tcPr>
            <w:tcW w:w="1095" w:type="pct"/>
          </w:tcPr>
          <w:p w14:paraId="01FCE87B" w14:textId="77777777" w:rsidR="00184569" w:rsidRPr="00184569" w:rsidRDefault="00184569" w:rsidP="00184569">
            <w:pPr>
              <w:widowControl w:val="0"/>
              <w:autoSpaceDE w:val="0"/>
              <w:autoSpaceDN w:val="0"/>
              <w:spacing w:after="0" w:line="240" w:lineRule="auto"/>
              <w:ind w:left="374" w:right="333"/>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gyakori</w:t>
            </w:r>
          </w:p>
        </w:tc>
        <w:tc>
          <w:tcPr>
            <w:tcW w:w="1017" w:type="pct"/>
          </w:tcPr>
          <w:p w14:paraId="5E6F674F" w14:textId="77777777" w:rsidR="00184569" w:rsidRPr="00184569" w:rsidRDefault="00184569" w:rsidP="00184569">
            <w:pPr>
              <w:widowControl w:val="0"/>
              <w:autoSpaceDE w:val="0"/>
              <w:autoSpaceDN w:val="0"/>
              <w:spacing w:after="0" w:line="240" w:lineRule="auto"/>
              <w:ind w:left="165" w:right="157"/>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gyakori</w:t>
            </w:r>
          </w:p>
        </w:tc>
        <w:tc>
          <w:tcPr>
            <w:tcW w:w="1014" w:type="pct"/>
          </w:tcPr>
          <w:p w14:paraId="72DB3D7B" w14:textId="77777777" w:rsidR="00184569" w:rsidRPr="00184569" w:rsidRDefault="00184569" w:rsidP="00184569">
            <w:pPr>
              <w:widowControl w:val="0"/>
              <w:autoSpaceDE w:val="0"/>
              <w:autoSpaceDN w:val="0"/>
              <w:spacing w:after="0" w:line="240" w:lineRule="auto"/>
              <w:ind w:left="165" w:right="157"/>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gyakori</w:t>
            </w:r>
          </w:p>
        </w:tc>
      </w:tr>
      <w:tr w:rsidR="007E1284" w:rsidRPr="00184569" w14:paraId="5277FA88" w14:textId="77777777" w:rsidTr="00E16EC6">
        <w:trPr>
          <w:trHeight w:val="261"/>
        </w:trPr>
        <w:tc>
          <w:tcPr>
            <w:tcW w:w="1874" w:type="pct"/>
          </w:tcPr>
          <w:p w14:paraId="37F72DA7" w14:textId="3855DEDB" w:rsidR="007E1284" w:rsidRPr="00184569" w:rsidRDefault="007E1284" w:rsidP="007E1284">
            <w:pPr>
              <w:widowControl w:val="0"/>
              <w:autoSpaceDE w:val="0"/>
              <w:autoSpaceDN w:val="0"/>
              <w:spacing w:after="0" w:line="240" w:lineRule="auto"/>
              <w:ind w:left="107"/>
              <w:rPr>
                <w:rFonts w:ascii="Times New Roman" w:eastAsia="Times New Roman" w:hAnsi="Times New Roman" w:cs="Times New Roman"/>
                <w:kern w:val="0"/>
                <w14:ligatures w14:val="none"/>
              </w:rPr>
            </w:pPr>
            <w:r w:rsidRPr="007E1284">
              <w:rPr>
                <w:rFonts w:ascii="Times New Roman" w:eastAsia="Times New Roman" w:hAnsi="Times New Roman" w:cs="Times New Roman"/>
                <w:kern w:val="0"/>
                <w14:ligatures w14:val="none"/>
              </w:rPr>
              <w:t>Antikoagulánssal kapcsolatos nephropathia</w:t>
            </w:r>
          </w:p>
        </w:tc>
        <w:tc>
          <w:tcPr>
            <w:tcW w:w="1095" w:type="pct"/>
          </w:tcPr>
          <w:p w14:paraId="209F3949" w14:textId="74692391" w:rsidR="007E1284" w:rsidRPr="00184569" w:rsidRDefault="007E1284" w:rsidP="007E1284">
            <w:pPr>
              <w:widowControl w:val="0"/>
              <w:autoSpaceDE w:val="0"/>
              <w:autoSpaceDN w:val="0"/>
              <w:spacing w:after="0" w:line="240" w:lineRule="auto"/>
              <w:ind w:left="374" w:right="333"/>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nem</w:t>
            </w:r>
            <w:r w:rsidRPr="00184569">
              <w:rPr>
                <w:rFonts w:ascii="Times New Roman" w:eastAsia="Times New Roman" w:hAnsi="Times New Roman" w:cs="Times New Roman"/>
                <w:spacing w:val="-4"/>
                <w:kern w:val="0"/>
                <w14:ligatures w14:val="none"/>
              </w:rPr>
              <w:t xml:space="preserve"> </w:t>
            </w:r>
            <w:r w:rsidRPr="00184569">
              <w:rPr>
                <w:rFonts w:ascii="Times New Roman" w:eastAsia="Times New Roman" w:hAnsi="Times New Roman" w:cs="Times New Roman"/>
                <w:kern w:val="0"/>
                <w14:ligatures w14:val="none"/>
              </w:rPr>
              <w:t>ismert</w:t>
            </w:r>
          </w:p>
        </w:tc>
        <w:tc>
          <w:tcPr>
            <w:tcW w:w="1017" w:type="pct"/>
          </w:tcPr>
          <w:p w14:paraId="1765624A" w14:textId="00866299" w:rsidR="007E1284" w:rsidRPr="00184569" w:rsidRDefault="007E1284" w:rsidP="007E1284">
            <w:pPr>
              <w:widowControl w:val="0"/>
              <w:autoSpaceDE w:val="0"/>
              <w:autoSpaceDN w:val="0"/>
              <w:spacing w:after="0" w:line="240" w:lineRule="auto"/>
              <w:ind w:left="165" w:right="157"/>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nem</w:t>
            </w:r>
            <w:r w:rsidRPr="00184569">
              <w:rPr>
                <w:rFonts w:ascii="Times New Roman" w:eastAsia="Times New Roman" w:hAnsi="Times New Roman" w:cs="Times New Roman"/>
                <w:spacing w:val="-4"/>
                <w:kern w:val="0"/>
                <w14:ligatures w14:val="none"/>
              </w:rPr>
              <w:t xml:space="preserve"> </w:t>
            </w:r>
            <w:r w:rsidRPr="00184569">
              <w:rPr>
                <w:rFonts w:ascii="Times New Roman" w:eastAsia="Times New Roman" w:hAnsi="Times New Roman" w:cs="Times New Roman"/>
                <w:kern w:val="0"/>
                <w14:ligatures w14:val="none"/>
              </w:rPr>
              <w:t>ismert</w:t>
            </w:r>
          </w:p>
        </w:tc>
        <w:tc>
          <w:tcPr>
            <w:tcW w:w="1014" w:type="pct"/>
          </w:tcPr>
          <w:p w14:paraId="27787046" w14:textId="3E8130DE" w:rsidR="007E1284" w:rsidRPr="00184569" w:rsidRDefault="007E1284" w:rsidP="007E1284">
            <w:pPr>
              <w:widowControl w:val="0"/>
              <w:autoSpaceDE w:val="0"/>
              <w:autoSpaceDN w:val="0"/>
              <w:spacing w:after="0" w:line="240" w:lineRule="auto"/>
              <w:ind w:left="165" w:right="157"/>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nem</w:t>
            </w:r>
            <w:r w:rsidRPr="00184569">
              <w:rPr>
                <w:rFonts w:ascii="Times New Roman" w:eastAsia="Times New Roman" w:hAnsi="Times New Roman" w:cs="Times New Roman"/>
                <w:spacing w:val="-4"/>
                <w:kern w:val="0"/>
                <w14:ligatures w14:val="none"/>
              </w:rPr>
              <w:t xml:space="preserve"> </w:t>
            </w:r>
            <w:r w:rsidRPr="00184569">
              <w:rPr>
                <w:rFonts w:ascii="Times New Roman" w:eastAsia="Times New Roman" w:hAnsi="Times New Roman" w:cs="Times New Roman"/>
                <w:kern w:val="0"/>
                <w14:ligatures w14:val="none"/>
              </w:rPr>
              <w:t>ismert</w:t>
            </w:r>
          </w:p>
        </w:tc>
      </w:tr>
      <w:tr w:rsidR="007E1284" w:rsidRPr="00184569" w14:paraId="01373D54" w14:textId="77777777" w:rsidTr="00E16EC6">
        <w:trPr>
          <w:trHeight w:val="359"/>
        </w:trPr>
        <w:tc>
          <w:tcPr>
            <w:tcW w:w="5000" w:type="pct"/>
            <w:gridSpan w:val="4"/>
            <w:vAlign w:val="center"/>
          </w:tcPr>
          <w:p w14:paraId="2B33E725" w14:textId="77777777" w:rsidR="007E1284" w:rsidRPr="00184569" w:rsidRDefault="007E1284" w:rsidP="007E1284">
            <w:pPr>
              <w:widowControl w:val="0"/>
              <w:autoSpaceDE w:val="0"/>
              <w:autoSpaceDN w:val="0"/>
              <w:spacing w:after="0" w:line="240" w:lineRule="auto"/>
              <w:ind w:left="113"/>
              <w:rPr>
                <w:rFonts w:ascii="Times New Roman" w:eastAsia="Times New Roman" w:hAnsi="Times New Roman" w:cs="Times New Roman"/>
                <w:i/>
                <w:kern w:val="0"/>
                <w14:ligatures w14:val="none"/>
              </w:rPr>
            </w:pPr>
            <w:r w:rsidRPr="00184569">
              <w:rPr>
                <w:rFonts w:ascii="Times New Roman" w:eastAsia="Times New Roman" w:hAnsi="Times New Roman" w:cs="Times New Roman"/>
                <w:i/>
                <w:kern w:val="0"/>
                <w14:ligatures w14:val="none"/>
              </w:rPr>
              <w:t>A</w:t>
            </w:r>
            <w:r w:rsidRPr="00184569">
              <w:rPr>
                <w:rFonts w:ascii="Times New Roman" w:eastAsia="Times New Roman" w:hAnsi="Times New Roman" w:cs="Times New Roman"/>
                <w:i/>
                <w:spacing w:val="-4"/>
                <w:kern w:val="0"/>
                <w14:ligatures w14:val="none"/>
              </w:rPr>
              <w:t xml:space="preserve"> </w:t>
            </w:r>
            <w:r w:rsidRPr="00184569">
              <w:rPr>
                <w:rFonts w:ascii="Times New Roman" w:eastAsia="Times New Roman" w:hAnsi="Times New Roman" w:cs="Times New Roman"/>
                <w:i/>
                <w:kern w:val="0"/>
                <w14:ligatures w14:val="none"/>
              </w:rPr>
              <w:t>nemi</w:t>
            </w:r>
            <w:r w:rsidRPr="00184569">
              <w:rPr>
                <w:rFonts w:ascii="Times New Roman" w:eastAsia="Times New Roman" w:hAnsi="Times New Roman" w:cs="Times New Roman"/>
                <w:i/>
                <w:spacing w:val="-4"/>
                <w:kern w:val="0"/>
                <w14:ligatures w14:val="none"/>
              </w:rPr>
              <w:t xml:space="preserve"> </w:t>
            </w:r>
            <w:r w:rsidRPr="00184569">
              <w:rPr>
                <w:rFonts w:ascii="Times New Roman" w:eastAsia="Times New Roman" w:hAnsi="Times New Roman" w:cs="Times New Roman"/>
                <w:i/>
                <w:kern w:val="0"/>
                <w14:ligatures w14:val="none"/>
              </w:rPr>
              <w:t>szervekkel</w:t>
            </w:r>
            <w:r w:rsidRPr="00184569">
              <w:rPr>
                <w:rFonts w:ascii="Times New Roman" w:eastAsia="Times New Roman" w:hAnsi="Times New Roman" w:cs="Times New Roman"/>
                <w:i/>
                <w:spacing w:val="-4"/>
                <w:kern w:val="0"/>
                <w14:ligatures w14:val="none"/>
              </w:rPr>
              <w:t xml:space="preserve"> </w:t>
            </w:r>
            <w:r w:rsidRPr="00184569">
              <w:rPr>
                <w:rFonts w:ascii="Times New Roman" w:eastAsia="Times New Roman" w:hAnsi="Times New Roman" w:cs="Times New Roman"/>
                <w:i/>
                <w:kern w:val="0"/>
                <w14:ligatures w14:val="none"/>
              </w:rPr>
              <w:t>és</w:t>
            </w:r>
            <w:r w:rsidRPr="00184569">
              <w:rPr>
                <w:rFonts w:ascii="Times New Roman" w:eastAsia="Times New Roman" w:hAnsi="Times New Roman" w:cs="Times New Roman"/>
                <w:i/>
                <w:spacing w:val="-3"/>
                <w:kern w:val="0"/>
                <w14:ligatures w14:val="none"/>
              </w:rPr>
              <w:t xml:space="preserve"> </w:t>
            </w:r>
            <w:r w:rsidRPr="00184569">
              <w:rPr>
                <w:rFonts w:ascii="Times New Roman" w:eastAsia="Times New Roman" w:hAnsi="Times New Roman" w:cs="Times New Roman"/>
                <w:i/>
                <w:kern w:val="0"/>
                <w14:ligatures w14:val="none"/>
              </w:rPr>
              <w:t>az</w:t>
            </w:r>
            <w:r w:rsidRPr="00184569">
              <w:rPr>
                <w:rFonts w:ascii="Times New Roman" w:eastAsia="Times New Roman" w:hAnsi="Times New Roman" w:cs="Times New Roman"/>
                <w:i/>
                <w:spacing w:val="-4"/>
                <w:kern w:val="0"/>
                <w14:ligatures w14:val="none"/>
              </w:rPr>
              <w:t xml:space="preserve"> </w:t>
            </w:r>
            <w:r w:rsidRPr="00184569">
              <w:rPr>
                <w:rFonts w:ascii="Times New Roman" w:eastAsia="Times New Roman" w:hAnsi="Times New Roman" w:cs="Times New Roman"/>
                <w:i/>
                <w:kern w:val="0"/>
                <w14:ligatures w14:val="none"/>
              </w:rPr>
              <w:t>emlőkkel</w:t>
            </w:r>
            <w:r w:rsidRPr="00184569">
              <w:rPr>
                <w:rFonts w:ascii="Times New Roman" w:eastAsia="Times New Roman" w:hAnsi="Times New Roman" w:cs="Times New Roman"/>
                <w:i/>
                <w:spacing w:val="-4"/>
                <w:kern w:val="0"/>
                <w14:ligatures w14:val="none"/>
              </w:rPr>
              <w:t xml:space="preserve"> </w:t>
            </w:r>
            <w:r w:rsidRPr="00184569">
              <w:rPr>
                <w:rFonts w:ascii="Times New Roman" w:eastAsia="Times New Roman" w:hAnsi="Times New Roman" w:cs="Times New Roman"/>
                <w:i/>
                <w:kern w:val="0"/>
                <w14:ligatures w14:val="none"/>
              </w:rPr>
              <w:t>kapcsolatos</w:t>
            </w:r>
            <w:r w:rsidRPr="00184569">
              <w:rPr>
                <w:rFonts w:ascii="Times New Roman" w:eastAsia="Times New Roman" w:hAnsi="Times New Roman" w:cs="Times New Roman"/>
                <w:i/>
                <w:spacing w:val="-4"/>
                <w:kern w:val="0"/>
                <w14:ligatures w14:val="none"/>
              </w:rPr>
              <w:t xml:space="preserve"> </w:t>
            </w:r>
            <w:r w:rsidRPr="00184569">
              <w:rPr>
                <w:rFonts w:ascii="Times New Roman" w:eastAsia="Times New Roman" w:hAnsi="Times New Roman" w:cs="Times New Roman"/>
                <w:i/>
                <w:kern w:val="0"/>
                <w14:ligatures w14:val="none"/>
              </w:rPr>
              <w:t>betegségek</w:t>
            </w:r>
            <w:r w:rsidRPr="00184569">
              <w:rPr>
                <w:rFonts w:ascii="Times New Roman" w:eastAsia="Times New Roman" w:hAnsi="Times New Roman" w:cs="Times New Roman"/>
                <w:i/>
                <w:spacing w:val="-3"/>
                <w:kern w:val="0"/>
                <w14:ligatures w14:val="none"/>
              </w:rPr>
              <w:t xml:space="preserve"> </w:t>
            </w:r>
            <w:r w:rsidRPr="00184569">
              <w:rPr>
                <w:rFonts w:ascii="Times New Roman" w:eastAsia="Times New Roman" w:hAnsi="Times New Roman" w:cs="Times New Roman"/>
                <w:i/>
                <w:kern w:val="0"/>
                <w14:ligatures w14:val="none"/>
              </w:rPr>
              <w:t>és</w:t>
            </w:r>
            <w:r w:rsidRPr="00184569">
              <w:rPr>
                <w:rFonts w:ascii="Times New Roman" w:eastAsia="Times New Roman" w:hAnsi="Times New Roman" w:cs="Times New Roman"/>
                <w:i/>
                <w:spacing w:val="-4"/>
                <w:kern w:val="0"/>
                <w14:ligatures w14:val="none"/>
              </w:rPr>
              <w:t xml:space="preserve"> </w:t>
            </w:r>
            <w:r w:rsidRPr="00184569">
              <w:rPr>
                <w:rFonts w:ascii="Times New Roman" w:eastAsia="Times New Roman" w:hAnsi="Times New Roman" w:cs="Times New Roman"/>
                <w:i/>
                <w:kern w:val="0"/>
                <w14:ligatures w14:val="none"/>
              </w:rPr>
              <w:t>tünetek</w:t>
            </w:r>
          </w:p>
        </w:tc>
      </w:tr>
      <w:tr w:rsidR="007E1284" w:rsidRPr="00184569" w14:paraId="507B519A" w14:textId="77777777" w:rsidTr="00E16EC6">
        <w:trPr>
          <w:trHeight w:val="486"/>
        </w:trPr>
        <w:tc>
          <w:tcPr>
            <w:tcW w:w="1874" w:type="pct"/>
          </w:tcPr>
          <w:p w14:paraId="3F386C8C" w14:textId="77777777" w:rsidR="007E1284" w:rsidRPr="00184569" w:rsidRDefault="007E1284" w:rsidP="007E1284">
            <w:pPr>
              <w:widowControl w:val="0"/>
              <w:autoSpaceDE w:val="0"/>
              <w:autoSpaceDN w:val="0"/>
              <w:spacing w:after="0" w:line="240" w:lineRule="auto"/>
              <w:ind w:left="107"/>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Kóros</w:t>
            </w:r>
            <w:r w:rsidRPr="00184569">
              <w:rPr>
                <w:rFonts w:ascii="Times New Roman" w:eastAsia="Times New Roman" w:hAnsi="Times New Roman" w:cs="Times New Roman"/>
                <w:spacing w:val="-6"/>
                <w:kern w:val="0"/>
                <w14:ligatures w14:val="none"/>
              </w:rPr>
              <w:t xml:space="preserve"> </w:t>
            </w:r>
            <w:r w:rsidRPr="00184569">
              <w:rPr>
                <w:rFonts w:ascii="Times New Roman" w:eastAsia="Times New Roman" w:hAnsi="Times New Roman" w:cs="Times New Roman"/>
                <w:kern w:val="0"/>
                <w14:ligatures w14:val="none"/>
              </w:rPr>
              <w:t>hüvelyi</w:t>
            </w:r>
            <w:r w:rsidRPr="00184569">
              <w:rPr>
                <w:rFonts w:ascii="Times New Roman" w:eastAsia="Times New Roman" w:hAnsi="Times New Roman" w:cs="Times New Roman"/>
                <w:spacing w:val="-5"/>
                <w:kern w:val="0"/>
                <w14:ligatures w14:val="none"/>
              </w:rPr>
              <w:t xml:space="preserve"> </w:t>
            </w:r>
            <w:r w:rsidRPr="00184569">
              <w:rPr>
                <w:rFonts w:ascii="Times New Roman" w:eastAsia="Times New Roman" w:hAnsi="Times New Roman" w:cs="Times New Roman"/>
                <w:kern w:val="0"/>
                <w14:ligatures w14:val="none"/>
              </w:rPr>
              <w:t>vérzés,</w:t>
            </w:r>
            <w:r w:rsidRPr="00184569">
              <w:rPr>
                <w:rFonts w:ascii="Times New Roman" w:eastAsia="Times New Roman" w:hAnsi="Times New Roman" w:cs="Times New Roman"/>
                <w:spacing w:val="-5"/>
                <w:kern w:val="0"/>
                <w14:ligatures w14:val="none"/>
              </w:rPr>
              <w:t xml:space="preserve"> </w:t>
            </w:r>
            <w:r w:rsidRPr="00184569">
              <w:rPr>
                <w:rFonts w:ascii="Times New Roman" w:eastAsia="Times New Roman" w:hAnsi="Times New Roman" w:cs="Times New Roman"/>
                <w:kern w:val="0"/>
                <w14:ligatures w14:val="none"/>
              </w:rPr>
              <w:t>urogenitalis vérzés</w:t>
            </w:r>
          </w:p>
        </w:tc>
        <w:tc>
          <w:tcPr>
            <w:tcW w:w="1095" w:type="pct"/>
          </w:tcPr>
          <w:p w14:paraId="72A91711" w14:textId="77777777" w:rsidR="007E1284" w:rsidRPr="00184569" w:rsidRDefault="007E1284" w:rsidP="007E1284">
            <w:pPr>
              <w:widowControl w:val="0"/>
              <w:autoSpaceDE w:val="0"/>
              <w:autoSpaceDN w:val="0"/>
              <w:spacing w:after="0" w:line="240" w:lineRule="auto"/>
              <w:ind w:left="374" w:right="333"/>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nem</w:t>
            </w:r>
            <w:r w:rsidRPr="00184569">
              <w:rPr>
                <w:rFonts w:ascii="Times New Roman" w:eastAsia="Times New Roman" w:hAnsi="Times New Roman" w:cs="Times New Roman"/>
                <w:spacing w:val="-4"/>
                <w:kern w:val="0"/>
                <w14:ligatures w14:val="none"/>
              </w:rPr>
              <w:t xml:space="preserve"> </w:t>
            </w:r>
            <w:r w:rsidRPr="00184569">
              <w:rPr>
                <w:rFonts w:ascii="Times New Roman" w:eastAsia="Times New Roman" w:hAnsi="Times New Roman" w:cs="Times New Roman"/>
                <w:kern w:val="0"/>
                <w14:ligatures w14:val="none"/>
              </w:rPr>
              <w:t>gyakori</w:t>
            </w:r>
          </w:p>
        </w:tc>
        <w:tc>
          <w:tcPr>
            <w:tcW w:w="1017" w:type="pct"/>
          </w:tcPr>
          <w:p w14:paraId="5BE6D52B" w14:textId="77777777" w:rsidR="007E1284" w:rsidRPr="00184569" w:rsidRDefault="007E1284" w:rsidP="007E1284">
            <w:pPr>
              <w:widowControl w:val="0"/>
              <w:autoSpaceDE w:val="0"/>
              <w:autoSpaceDN w:val="0"/>
              <w:spacing w:after="0" w:line="240" w:lineRule="auto"/>
              <w:ind w:left="165" w:right="157"/>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gyakori</w:t>
            </w:r>
          </w:p>
        </w:tc>
        <w:tc>
          <w:tcPr>
            <w:tcW w:w="1014" w:type="pct"/>
          </w:tcPr>
          <w:p w14:paraId="418CC556" w14:textId="77777777" w:rsidR="007E1284" w:rsidRPr="00184569" w:rsidRDefault="007E1284" w:rsidP="007E1284">
            <w:pPr>
              <w:widowControl w:val="0"/>
              <w:autoSpaceDE w:val="0"/>
              <w:autoSpaceDN w:val="0"/>
              <w:spacing w:after="0" w:line="240" w:lineRule="auto"/>
              <w:ind w:left="165" w:right="157"/>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nagyon gyakori</w:t>
            </w:r>
            <w:r w:rsidRPr="00184569">
              <w:rPr>
                <w:rFonts w:ascii="Times New Roman" w:eastAsia="Times New Roman" w:hAnsi="Times New Roman" w:cs="Times New Roman"/>
                <w:kern w:val="0"/>
                <w:vertAlign w:val="superscript"/>
                <w:lang w:eastAsia="en-GB"/>
                <w14:ligatures w14:val="none"/>
              </w:rPr>
              <w:t>§</w:t>
            </w:r>
          </w:p>
        </w:tc>
      </w:tr>
      <w:tr w:rsidR="007E1284" w:rsidRPr="00184569" w14:paraId="78E2CD38" w14:textId="77777777" w:rsidTr="00E16EC6">
        <w:trPr>
          <w:trHeight w:val="362"/>
        </w:trPr>
        <w:tc>
          <w:tcPr>
            <w:tcW w:w="5000" w:type="pct"/>
            <w:gridSpan w:val="4"/>
            <w:vAlign w:val="center"/>
          </w:tcPr>
          <w:p w14:paraId="25F66739" w14:textId="77777777" w:rsidR="007E1284" w:rsidRPr="00184569" w:rsidRDefault="007E1284" w:rsidP="007E1284">
            <w:pPr>
              <w:widowControl w:val="0"/>
              <w:autoSpaceDE w:val="0"/>
              <w:autoSpaceDN w:val="0"/>
              <w:spacing w:after="0" w:line="240" w:lineRule="auto"/>
              <w:rPr>
                <w:rFonts w:ascii="Times New Roman" w:eastAsia="Times New Roman" w:hAnsi="Times New Roman" w:cs="Times New Roman"/>
                <w:kern w:val="0"/>
                <w14:ligatures w14:val="none"/>
              </w:rPr>
            </w:pPr>
            <w:r w:rsidRPr="00184569">
              <w:rPr>
                <w:rFonts w:ascii="Times New Roman" w:eastAsia="Times New Roman" w:hAnsi="Times New Roman" w:cs="Times New Roman"/>
                <w:i/>
                <w:kern w:val="0"/>
                <w14:ligatures w14:val="none"/>
              </w:rPr>
              <w:t>Általános</w:t>
            </w:r>
            <w:r w:rsidRPr="00184569">
              <w:rPr>
                <w:rFonts w:ascii="Times New Roman" w:eastAsia="Times New Roman" w:hAnsi="Times New Roman" w:cs="Times New Roman"/>
                <w:i/>
                <w:spacing w:val="-5"/>
                <w:kern w:val="0"/>
                <w14:ligatures w14:val="none"/>
              </w:rPr>
              <w:t xml:space="preserve"> </w:t>
            </w:r>
            <w:r w:rsidRPr="00184569">
              <w:rPr>
                <w:rFonts w:ascii="Times New Roman" w:eastAsia="Times New Roman" w:hAnsi="Times New Roman" w:cs="Times New Roman"/>
                <w:i/>
                <w:kern w:val="0"/>
                <w14:ligatures w14:val="none"/>
              </w:rPr>
              <w:t>tünetek,</w:t>
            </w:r>
            <w:r w:rsidRPr="00184569">
              <w:rPr>
                <w:rFonts w:ascii="Times New Roman" w:eastAsia="Times New Roman" w:hAnsi="Times New Roman" w:cs="Times New Roman"/>
                <w:i/>
                <w:spacing w:val="-5"/>
                <w:kern w:val="0"/>
                <w14:ligatures w14:val="none"/>
              </w:rPr>
              <w:t xml:space="preserve"> </w:t>
            </w:r>
            <w:r w:rsidRPr="00184569">
              <w:rPr>
                <w:rFonts w:ascii="Times New Roman" w:eastAsia="Times New Roman" w:hAnsi="Times New Roman" w:cs="Times New Roman"/>
                <w:i/>
                <w:kern w:val="0"/>
                <w14:ligatures w14:val="none"/>
              </w:rPr>
              <w:t>az</w:t>
            </w:r>
            <w:r w:rsidRPr="00184569">
              <w:rPr>
                <w:rFonts w:ascii="Times New Roman" w:eastAsia="Times New Roman" w:hAnsi="Times New Roman" w:cs="Times New Roman"/>
                <w:i/>
                <w:spacing w:val="-5"/>
                <w:kern w:val="0"/>
                <w14:ligatures w14:val="none"/>
              </w:rPr>
              <w:t xml:space="preserve"> </w:t>
            </w:r>
            <w:r w:rsidRPr="00184569">
              <w:rPr>
                <w:rFonts w:ascii="Times New Roman" w:eastAsia="Times New Roman" w:hAnsi="Times New Roman" w:cs="Times New Roman"/>
                <w:i/>
                <w:kern w:val="0"/>
                <w14:ligatures w14:val="none"/>
              </w:rPr>
              <w:t>alkalmazás</w:t>
            </w:r>
            <w:r w:rsidRPr="00184569">
              <w:rPr>
                <w:rFonts w:ascii="Times New Roman" w:eastAsia="Times New Roman" w:hAnsi="Times New Roman" w:cs="Times New Roman"/>
                <w:i/>
                <w:spacing w:val="-5"/>
                <w:kern w:val="0"/>
                <w14:ligatures w14:val="none"/>
              </w:rPr>
              <w:t xml:space="preserve"> </w:t>
            </w:r>
            <w:r w:rsidRPr="00184569">
              <w:rPr>
                <w:rFonts w:ascii="Times New Roman" w:eastAsia="Times New Roman" w:hAnsi="Times New Roman" w:cs="Times New Roman"/>
                <w:i/>
                <w:kern w:val="0"/>
                <w14:ligatures w14:val="none"/>
              </w:rPr>
              <w:t>helyén</w:t>
            </w:r>
            <w:r w:rsidRPr="00184569">
              <w:rPr>
                <w:rFonts w:ascii="Times New Roman" w:eastAsia="Times New Roman" w:hAnsi="Times New Roman" w:cs="Times New Roman"/>
                <w:i/>
                <w:spacing w:val="-5"/>
                <w:kern w:val="0"/>
                <w14:ligatures w14:val="none"/>
              </w:rPr>
              <w:t xml:space="preserve"> </w:t>
            </w:r>
            <w:r w:rsidRPr="00184569">
              <w:rPr>
                <w:rFonts w:ascii="Times New Roman" w:eastAsia="Times New Roman" w:hAnsi="Times New Roman" w:cs="Times New Roman"/>
                <w:i/>
                <w:kern w:val="0"/>
                <w14:ligatures w14:val="none"/>
              </w:rPr>
              <w:t>fellépő</w:t>
            </w:r>
            <w:r w:rsidRPr="00184569">
              <w:rPr>
                <w:rFonts w:ascii="Times New Roman" w:eastAsia="Times New Roman" w:hAnsi="Times New Roman" w:cs="Times New Roman"/>
                <w:i/>
                <w:spacing w:val="-5"/>
                <w:kern w:val="0"/>
                <w14:ligatures w14:val="none"/>
              </w:rPr>
              <w:t xml:space="preserve"> </w:t>
            </w:r>
            <w:r w:rsidRPr="00184569">
              <w:rPr>
                <w:rFonts w:ascii="Times New Roman" w:eastAsia="Times New Roman" w:hAnsi="Times New Roman" w:cs="Times New Roman"/>
                <w:i/>
                <w:kern w:val="0"/>
                <w14:ligatures w14:val="none"/>
              </w:rPr>
              <w:t>reakciók</w:t>
            </w:r>
          </w:p>
        </w:tc>
      </w:tr>
      <w:tr w:rsidR="007E1284" w:rsidRPr="00184569" w14:paraId="33D8DF76" w14:textId="77777777" w:rsidTr="00E16EC6">
        <w:trPr>
          <w:trHeight w:val="486"/>
        </w:trPr>
        <w:tc>
          <w:tcPr>
            <w:tcW w:w="1874" w:type="pct"/>
          </w:tcPr>
          <w:p w14:paraId="2FE7E38B" w14:textId="77777777" w:rsidR="007E1284" w:rsidRPr="00184569" w:rsidRDefault="007E1284" w:rsidP="007E1284">
            <w:pPr>
              <w:widowControl w:val="0"/>
              <w:autoSpaceDE w:val="0"/>
              <w:autoSpaceDN w:val="0"/>
              <w:spacing w:after="0" w:line="240" w:lineRule="auto"/>
              <w:ind w:left="107"/>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Az</w:t>
            </w:r>
            <w:r w:rsidRPr="00184569">
              <w:rPr>
                <w:rFonts w:ascii="Times New Roman" w:eastAsia="Times New Roman" w:hAnsi="Times New Roman" w:cs="Times New Roman"/>
                <w:spacing w:val="-5"/>
                <w:kern w:val="0"/>
                <w14:ligatures w14:val="none"/>
              </w:rPr>
              <w:t xml:space="preserve"> </w:t>
            </w:r>
            <w:r w:rsidRPr="00184569">
              <w:rPr>
                <w:rFonts w:ascii="Times New Roman" w:eastAsia="Times New Roman" w:hAnsi="Times New Roman" w:cs="Times New Roman"/>
                <w:kern w:val="0"/>
                <w14:ligatures w14:val="none"/>
              </w:rPr>
              <w:t>alkalmazás</w:t>
            </w:r>
            <w:r w:rsidRPr="00184569">
              <w:rPr>
                <w:rFonts w:ascii="Times New Roman" w:eastAsia="Times New Roman" w:hAnsi="Times New Roman" w:cs="Times New Roman"/>
                <w:spacing w:val="-4"/>
                <w:kern w:val="0"/>
                <w14:ligatures w14:val="none"/>
              </w:rPr>
              <w:t xml:space="preserve"> </w:t>
            </w:r>
            <w:r w:rsidRPr="00184569">
              <w:rPr>
                <w:rFonts w:ascii="Times New Roman" w:eastAsia="Times New Roman" w:hAnsi="Times New Roman" w:cs="Times New Roman"/>
                <w:kern w:val="0"/>
                <w14:ligatures w14:val="none"/>
              </w:rPr>
              <w:t>helyén</w:t>
            </w:r>
            <w:r w:rsidRPr="00184569">
              <w:rPr>
                <w:rFonts w:ascii="Times New Roman" w:eastAsia="Times New Roman" w:hAnsi="Times New Roman" w:cs="Times New Roman"/>
                <w:spacing w:val="-5"/>
                <w:kern w:val="0"/>
                <w14:ligatures w14:val="none"/>
              </w:rPr>
              <w:t xml:space="preserve"> </w:t>
            </w:r>
            <w:r w:rsidRPr="00184569">
              <w:rPr>
                <w:rFonts w:ascii="Times New Roman" w:eastAsia="Times New Roman" w:hAnsi="Times New Roman" w:cs="Times New Roman"/>
                <w:kern w:val="0"/>
                <w14:ligatures w14:val="none"/>
              </w:rPr>
              <w:t>jelentkező vérzés</w:t>
            </w:r>
          </w:p>
        </w:tc>
        <w:tc>
          <w:tcPr>
            <w:tcW w:w="1095" w:type="pct"/>
          </w:tcPr>
          <w:p w14:paraId="6E110B42" w14:textId="77777777" w:rsidR="007E1284" w:rsidRPr="00184569" w:rsidRDefault="007E1284" w:rsidP="007E1284">
            <w:pPr>
              <w:widowControl w:val="0"/>
              <w:autoSpaceDE w:val="0"/>
              <w:autoSpaceDN w:val="0"/>
              <w:spacing w:after="0" w:line="240" w:lineRule="auto"/>
              <w:ind w:left="374" w:right="328"/>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nem</w:t>
            </w:r>
            <w:r w:rsidRPr="00184569">
              <w:rPr>
                <w:rFonts w:ascii="Times New Roman" w:eastAsia="Times New Roman" w:hAnsi="Times New Roman" w:cs="Times New Roman"/>
                <w:spacing w:val="-4"/>
                <w:kern w:val="0"/>
                <w14:ligatures w14:val="none"/>
              </w:rPr>
              <w:t xml:space="preserve"> </w:t>
            </w:r>
            <w:r w:rsidRPr="00184569">
              <w:rPr>
                <w:rFonts w:ascii="Times New Roman" w:eastAsia="Times New Roman" w:hAnsi="Times New Roman" w:cs="Times New Roman"/>
                <w:kern w:val="0"/>
                <w14:ligatures w14:val="none"/>
              </w:rPr>
              <w:t>gyakori</w:t>
            </w:r>
          </w:p>
        </w:tc>
        <w:tc>
          <w:tcPr>
            <w:tcW w:w="1017" w:type="pct"/>
          </w:tcPr>
          <w:p w14:paraId="1EE9D2EC" w14:textId="77777777" w:rsidR="007E1284" w:rsidRPr="00184569" w:rsidRDefault="007E1284" w:rsidP="007E1284">
            <w:pPr>
              <w:widowControl w:val="0"/>
              <w:autoSpaceDE w:val="0"/>
              <w:autoSpaceDN w:val="0"/>
              <w:spacing w:after="0" w:line="240" w:lineRule="auto"/>
              <w:ind w:left="163" w:right="160"/>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nem</w:t>
            </w:r>
            <w:r w:rsidRPr="00184569">
              <w:rPr>
                <w:rFonts w:ascii="Times New Roman" w:eastAsia="Times New Roman" w:hAnsi="Times New Roman" w:cs="Times New Roman"/>
                <w:spacing w:val="-4"/>
                <w:kern w:val="0"/>
                <w14:ligatures w14:val="none"/>
              </w:rPr>
              <w:t xml:space="preserve"> </w:t>
            </w:r>
            <w:r w:rsidRPr="00184569">
              <w:rPr>
                <w:rFonts w:ascii="Times New Roman" w:eastAsia="Times New Roman" w:hAnsi="Times New Roman" w:cs="Times New Roman"/>
                <w:kern w:val="0"/>
                <w14:ligatures w14:val="none"/>
              </w:rPr>
              <w:t>gyakori</w:t>
            </w:r>
          </w:p>
        </w:tc>
        <w:tc>
          <w:tcPr>
            <w:tcW w:w="1014" w:type="pct"/>
          </w:tcPr>
          <w:p w14:paraId="0B4D699A" w14:textId="77777777" w:rsidR="007E1284" w:rsidRPr="00184569" w:rsidRDefault="007E1284" w:rsidP="007E1284">
            <w:pPr>
              <w:widowControl w:val="0"/>
              <w:autoSpaceDE w:val="0"/>
              <w:autoSpaceDN w:val="0"/>
              <w:spacing w:after="0" w:line="240" w:lineRule="auto"/>
              <w:ind w:left="163" w:right="160"/>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nem</w:t>
            </w:r>
            <w:r w:rsidRPr="00184569">
              <w:rPr>
                <w:rFonts w:ascii="Times New Roman" w:eastAsia="Times New Roman" w:hAnsi="Times New Roman" w:cs="Times New Roman"/>
                <w:spacing w:val="-4"/>
                <w:kern w:val="0"/>
                <w14:ligatures w14:val="none"/>
              </w:rPr>
              <w:t xml:space="preserve"> </w:t>
            </w:r>
            <w:r w:rsidRPr="00184569">
              <w:rPr>
                <w:rFonts w:ascii="Times New Roman" w:eastAsia="Times New Roman" w:hAnsi="Times New Roman" w:cs="Times New Roman"/>
                <w:kern w:val="0"/>
                <w14:ligatures w14:val="none"/>
              </w:rPr>
              <w:t>ismert</w:t>
            </w:r>
          </w:p>
        </w:tc>
      </w:tr>
      <w:tr w:rsidR="007E1284" w:rsidRPr="00184569" w14:paraId="2CB05A96" w14:textId="77777777" w:rsidTr="00E16EC6">
        <w:trPr>
          <w:trHeight w:val="359"/>
        </w:trPr>
        <w:tc>
          <w:tcPr>
            <w:tcW w:w="5000" w:type="pct"/>
            <w:gridSpan w:val="4"/>
            <w:vAlign w:val="center"/>
          </w:tcPr>
          <w:p w14:paraId="22017348" w14:textId="77777777" w:rsidR="007E1284" w:rsidRPr="00184569" w:rsidRDefault="007E1284" w:rsidP="007E1284">
            <w:pPr>
              <w:widowControl w:val="0"/>
              <w:autoSpaceDE w:val="0"/>
              <w:autoSpaceDN w:val="0"/>
              <w:spacing w:after="0" w:line="240" w:lineRule="auto"/>
              <w:ind w:left="113"/>
              <w:rPr>
                <w:rFonts w:ascii="Times New Roman" w:eastAsia="Times New Roman" w:hAnsi="Times New Roman" w:cs="Times New Roman"/>
                <w:i/>
                <w:kern w:val="0"/>
                <w14:ligatures w14:val="none"/>
              </w:rPr>
            </w:pPr>
            <w:r w:rsidRPr="00184569">
              <w:rPr>
                <w:rFonts w:ascii="Times New Roman" w:eastAsia="Times New Roman" w:hAnsi="Times New Roman" w:cs="Times New Roman"/>
                <w:i/>
                <w:kern w:val="0"/>
                <w14:ligatures w14:val="none"/>
              </w:rPr>
              <w:t>Laboratóriumi</w:t>
            </w:r>
            <w:r w:rsidRPr="00184569">
              <w:rPr>
                <w:rFonts w:ascii="Times New Roman" w:eastAsia="Times New Roman" w:hAnsi="Times New Roman" w:cs="Times New Roman"/>
                <w:i/>
                <w:spacing w:val="-6"/>
                <w:kern w:val="0"/>
                <w14:ligatures w14:val="none"/>
              </w:rPr>
              <w:t xml:space="preserve"> </w:t>
            </w:r>
            <w:r w:rsidRPr="00184569">
              <w:rPr>
                <w:rFonts w:ascii="Times New Roman" w:eastAsia="Times New Roman" w:hAnsi="Times New Roman" w:cs="Times New Roman"/>
                <w:i/>
                <w:kern w:val="0"/>
                <w14:ligatures w14:val="none"/>
              </w:rPr>
              <w:t>és</w:t>
            </w:r>
            <w:r w:rsidRPr="00184569">
              <w:rPr>
                <w:rFonts w:ascii="Times New Roman" w:eastAsia="Times New Roman" w:hAnsi="Times New Roman" w:cs="Times New Roman"/>
                <w:i/>
                <w:spacing w:val="-5"/>
                <w:kern w:val="0"/>
                <w14:ligatures w14:val="none"/>
              </w:rPr>
              <w:t xml:space="preserve"> </w:t>
            </w:r>
            <w:r w:rsidRPr="00184569">
              <w:rPr>
                <w:rFonts w:ascii="Times New Roman" w:eastAsia="Times New Roman" w:hAnsi="Times New Roman" w:cs="Times New Roman"/>
                <w:i/>
                <w:kern w:val="0"/>
                <w14:ligatures w14:val="none"/>
              </w:rPr>
              <w:t>egyéb</w:t>
            </w:r>
            <w:r w:rsidRPr="00184569">
              <w:rPr>
                <w:rFonts w:ascii="Times New Roman" w:eastAsia="Times New Roman" w:hAnsi="Times New Roman" w:cs="Times New Roman"/>
                <w:i/>
                <w:spacing w:val="-5"/>
                <w:kern w:val="0"/>
                <w14:ligatures w14:val="none"/>
              </w:rPr>
              <w:t xml:space="preserve"> </w:t>
            </w:r>
            <w:r w:rsidRPr="00184569">
              <w:rPr>
                <w:rFonts w:ascii="Times New Roman" w:eastAsia="Times New Roman" w:hAnsi="Times New Roman" w:cs="Times New Roman"/>
                <w:i/>
                <w:kern w:val="0"/>
                <w14:ligatures w14:val="none"/>
              </w:rPr>
              <w:t>vizsgálatok</w:t>
            </w:r>
            <w:r w:rsidRPr="00184569">
              <w:rPr>
                <w:rFonts w:ascii="Times New Roman" w:eastAsia="Times New Roman" w:hAnsi="Times New Roman" w:cs="Times New Roman"/>
                <w:i/>
                <w:spacing w:val="-5"/>
                <w:kern w:val="0"/>
                <w14:ligatures w14:val="none"/>
              </w:rPr>
              <w:t xml:space="preserve"> </w:t>
            </w:r>
            <w:r w:rsidRPr="00184569">
              <w:rPr>
                <w:rFonts w:ascii="Times New Roman" w:eastAsia="Times New Roman" w:hAnsi="Times New Roman" w:cs="Times New Roman"/>
                <w:i/>
                <w:kern w:val="0"/>
                <w14:ligatures w14:val="none"/>
              </w:rPr>
              <w:t>eredményei</w:t>
            </w:r>
          </w:p>
        </w:tc>
      </w:tr>
      <w:tr w:rsidR="007E1284" w:rsidRPr="00184569" w14:paraId="54190A91" w14:textId="77777777" w:rsidTr="00E16EC6">
        <w:trPr>
          <w:trHeight w:val="258"/>
        </w:trPr>
        <w:tc>
          <w:tcPr>
            <w:tcW w:w="1874" w:type="pct"/>
          </w:tcPr>
          <w:p w14:paraId="049006A3" w14:textId="77777777" w:rsidR="007E1284" w:rsidRPr="00184569" w:rsidRDefault="007E1284" w:rsidP="007E1284">
            <w:pPr>
              <w:widowControl w:val="0"/>
              <w:autoSpaceDE w:val="0"/>
              <w:autoSpaceDN w:val="0"/>
              <w:spacing w:after="0" w:line="240" w:lineRule="auto"/>
              <w:ind w:left="107"/>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Occult</w:t>
            </w:r>
            <w:r w:rsidRPr="00184569">
              <w:rPr>
                <w:rFonts w:ascii="Times New Roman" w:eastAsia="Times New Roman" w:hAnsi="Times New Roman" w:cs="Times New Roman"/>
                <w:spacing w:val="-5"/>
                <w:kern w:val="0"/>
                <w14:ligatures w14:val="none"/>
              </w:rPr>
              <w:t xml:space="preserve"> </w:t>
            </w:r>
            <w:r w:rsidRPr="00184569">
              <w:rPr>
                <w:rFonts w:ascii="Times New Roman" w:eastAsia="Times New Roman" w:hAnsi="Times New Roman" w:cs="Times New Roman"/>
                <w:kern w:val="0"/>
                <w14:ligatures w14:val="none"/>
              </w:rPr>
              <w:t>vér</w:t>
            </w:r>
            <w:r w:rsidRPr="00184569">
              <w:rPr>
                <w:rFonts w:ascii="Times New Roman" w:eastAsia="Times New Roman" w:hAnsi="Times New Roman" w:cs="Times New Roman"/>
                <w:spacing w:val="-4"/>
                <w:kern w:val="0"/>
                <w14:ligatures w14:val="none"/>
              </w:rPr>
              <w:t xml:space="preserve"> </w:t>
            </w:r>
            <w:r w:rsidRPr="00184569">
              <w:rPr>
                <w:rFonts w:ascii="Times New Roman" w:eastAsia="Times New Roman" w:hAnsi="Times New Roman" w:cs="Times New Roman"/>
                <w:kern w:val="0"/>
                <w14:ligatures w14:val="none"/>
              </w:rPr>
              <w:t>pozitivitás</w:t>
            </w:r>
          </w:p>
        </w:tc>
        <w:tc>
          <w:tcPr>
            <w:tcW w:w="1095" w:type="pct"/>
          </w:tcPr>
          <w:p w14:paraId="245B3C09" w14:textId="77777777" w:rsidR="007E1284" w:rsidRPr="00184569" w:rsidRDefault="007E1284" w:rsidP="007E1284">
            <w:pPr>
              <w:widowControl w:val="0"/>
              <w:autoSpaceDE w:val="0"/>
              <w:autoSpaceDN w:val="0"/>
              <w:spacing w:after="0" w:line="240" w:lineRule="auto"/>
              <w:ind w:left="374" w:right="328"/>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nem</w:t>
            </w:r>
            <w:r w:rsidRPr="00184569">
              <w:rPr>
                <w:rFonts w:ascii="Times New Roman" w:eastAsia="Times New Roman" w:hAnsi="Times New Roman" w:cs="Times New Roman"/>
                <w:spacing w:val="-4"/>
                <w:kern w:val="0"/>
                <w14:ligatures w14:val="none"/>
              </w:rPr>
              <w:t xml:space="preserve"> </w:t>
            </w:r>
            <w:r w:rsidRPr="00184569">
              <w:rPr>
                <w:rFonts w:ascii="Times New Roman" w:eastAsia="Times New Roman" w:hAnsi="Times New Roman" w:cs="Times New Roman"/>
                <w:kern w:val="0"/>
                <w14:ligatures w14:val="none"/>
              </w:rPr>
              <w:t>gyakori</w:t>
            </w:r>
          </w:p>
        </w:tc>
        <w:tc>
          <w:tcPr>
            <w:tcW w:w="1017" w:type="pct"/>
          </w:tcPr>
          <w:p w14:paraId="5B1AEE2C" w14:textId="77777777" w:rsidR="007E1284" w:rsidRPr="00184569" w:rsidRDefault="007E1284" w:rsidP="007E1284">
            <w:pPr>
              <w:widowControl w:val="0"/>
              <w:autoSpaceDE w:val="0"/>
              <w:autoSpaceDN w:val="0"/>
              <w:spacing w:after="0" w:line="240" w:lineRule="auto"/>
              <w:ind w:left="163" w:right="160"/>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nem</w:t>
            </w:r>
            <w:r w:rsidRPr="00184569">
              <w:rPr>
                <w:rFonts w:ascii="Times New Roman" w:eastAsia="Times New Roman" w:hAnsi="Times New Roman" w:cs="Times New Roman"/>
                <w:spacing w:val="-4"/>
                <w:kern w:val="0"/>
                <w14:ligatures w14:val="none"/>
              </w:rPr>
              <w:t xml:space="preserve"> </w:t>
            </w:r>
            <w:r w:rsidRPr="00184569">
              <w:rPr>
                <w:rFonts w:ascii="Times New Roman" w:eastAsia="Times New Roman" w:hAnsi="Times New Roman" w:cs="Times New Roman"/>
                <w:kern w:val="0"/>
                <w14:ligatures w14:val="none"/>
              </w:rPr>
              <w:t>gyakori</w:t>
            </w:r>
          </w:p>
        </w:tc>
        <w:tc>
          <w:tcPr>
            <w:tcW w:w="1014" w:type="pct"/>
          </w:tcPr>
          <w:p w14:paraId="33300413" w14:textId="77777777" w:rsidR="007E1284" w:rsidRPr="00184569" w:rsidRDefault="007E1284" w:rsidP="007E1284">
            <w:pPr>
              <w:widowControl w:val="0"/>
              <w:autoSpaceDE w:val="0"/>
              <w:autoSpaceDN w:val="0"/>
              <w:spacing w:after="0" w:line="240" w:lineRule="auto"/>
              <w:ind w:left="163" w:right="160"/>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nem</w:t>
            </w:r>
            <w:r w:rsidRPr="00184569">
              <w:rPr>
                <w:rFonts w:ascii="Times New Roman" w:eastAsia="Times New Roman" w:hAnsi="Times New Roman" w:cs="Times New Roman"/>
                <w:spacing w:val="-4"/>
                <w:kern w:val="0"/>
                <w14:ligatures w14:val="none"/>
              </w:rPr>
              <w:t xml:space="preserve"> </w:t>
            </w:r>
            <w:r w:rsidRPr="00184569">
              <w:rPr>
                <w:rFonts w:ascii="Times New Roman" w:eastAsia="Times New Roman" w:hAnsi="Times New Roman" w:cs="Times New Roman"/>
                <w:kern w:val="0"/>
                <w14:ligatures w14:val="none"/>
              </w:rPr>
              <w:t>ismert</w:t>
            </w:r>
          </w:p>
        </w:tc>
      </w:tr>
      <w:tr w:rsidR="007E1284" w:rsidRPr="00184569" w14:paraId="1584B72B" w14:textId="77777777" w:rsidTr="00E16EC6">
        <w:trPr>
          <w:trHeight w:val="361"/>
        </w:trPr>
        <w:tc>
          <w:tcPr>
            <w:tcW w:w="5000" w:type="pct"/>
            <w:gridSpan w:val="4"/>
          </w:tcPr>
          <w:p w14:paraId="5FB74952" w14:textId="77777777" w:rsidR="007E1284" w:rsidRPr="00184569" w:rsidRDefault="007E1284" w:rsidP="007E1284">
            <w:pPr>
              <w:widowControl w:val="0"/>
              <w:autoSpaceDE w:val="0"/>
              <w:autoSpaceDN w:val="0"/>
              <w:spacing w:after="0" w:line="240" w:lineRule="auto"/>
              <w:rPr>
                <w:rFonts w:ascii="Times New Roman" w:eastAsia="Times New Roman" w:hAnsi="Times New Roman" w:cs="Times New Roman"/>
                <w:i/>
                <w:kern w:val="0"/>
                <w14:ligatures w14:val="none"/>
              </w:rPr>
            </w:pPr>
            <w:r w:rsidRPr="00184569">
              <w:rPr>
                <w:rFonts w:ascii="Times New Roman" w:eastAsia="Times New Roman" w:hAnsi="Times New Roman" w:cs="Times New Roman"/>
                <w:i/>
                <w:kern w:val="0"/>
                <w14:ligatures w14:val="none"/>
              </w:rPr>
              <w:t>Sérülés,</w:t>
            </w:r>
            <w:r w:rsidRPr="00184569">
              <w:rPr>
                <w:rFonts w:ascii="Times New Roman" w:eastAsia="Times New Roman" w:hAnsi="Times New Roman" w:cs="Times New Roman"/>
                <w:i/>
                <w:spacing w:val="-5"/>
                <w:kern w:val="0"/>
                <w14:ligatures w14:val="none"/>
              </w:rPr>
              <w:t xml:space="preserve"> </w:t>
            </w:r>
            <w:r w:rsidRPr="00184569">
              <w:rPr>
                <w:rFonts w:ascii="Times New Roman" w:eastAsia="Times New Roman" w:hAnsi="Times New Roman" w:cs="Times New Roman"/>
                <w:i/>
                <w:kern w:val="0"/>
                <w14:ligatures w14:val="none"/>
              </w:rPr>
              <w:t>mérgezés</w:t>
            </w:r>
            <w:r w:rsidRPr="00184569">
              <w:rPr>
                <w:rFonts w:ascii="Times New Roman" w:eastAsia="Times New Roman" w:hAnsi="Times New Roman" w:cs="Times New Roman"/>
                <w:i/>
                <w:spacing w:val="-5"/>
                <w:kern w:val="0"/>
                <w14:ligatures w14:val="none"/>
              </w:rPr>
              <w:t xml:space="preserve"> </w:t>
            </w:r>
            <w:r w:rsidRPr="00184569">
              <w:rPr>
                <w:rFonts w:ascii="Times New Roman" w:eastAsia="Times New Roman" w:hAnsi="Times New Roman" w:cs="Times New Roman"/>
                <w:i/>
                <w:kern w:val="0"/>
                <w14:ligatures w14:val="none"/>
              </w:rPr>
              <w:t>és</w:t>
            </w:r>
            <w:r w:rsidRPr="00184569">
              <w:rPr>
                <w:rFonts w:ascii="Times New Roman" w:eastAsia="Times New Roman" w:hAnsi="Times New Roman" w:cs="Times New Roman"/>
                <w:i/>
                <w:spacing w:val="-5"/>
                <w:kern w:val="0"/>
                <w14:ligatures w14:val="none"/>
              </w:rPr>
              <w:t xml:space="preserve"> </w:t>
            </w:r>
            <w:r w:rsidRPr="00184569">
              <w:rPr>
                <w:rFonts w:ascii="Times New Roman" w:eastAsia="Times New Roman" w:hAnsi="Times New Roman" w:cs="Times New Roman"/>
                <w:i/>
                <w:kern w:val="0"/>
                <w14:ligatures w14:val="none"/>
              </w:rPr>
              <w:t>a</w:t>
            </w:r>
            <w:r w:rsidRPr="00184569">
              <w:rPr>
                <w:rFonts w:ascii="Times New Roman" w:eastAsia="Times New Roman" w:hAnsi="Times New Roman" w:cs="Times New Roman"/>
                <w:i/>
                <w:spacing w:val="-5"/>
                <w:kern w:val="0"/>
                <w14:ligatures w14:val="none"/>
              </w:rPr>
              <w:t xml:space="preserve"> </w:t>
            </w:r>
            <w:r w:rsidRPr="00184569">
              <w:rPr>
                <w:rFonts w:ascii="Times New Roman" w:eastAsia="Times New Roman" w:hAnsi="Times New Roman" w:cs="Times New Roman"/>
                <w:i/>
                <w:kern w:val="0"/>
                <w14:ligatures w14:val="none"/>
              </w:rPr>
              <w:t>beavatkozással</w:t>
            </w:r>
            <w:r w:rsidRPr="00184569">
              <w:rPr>
                <w:rFonts w:ascii="Times New Roman" w:eastAsia="Times New Roman" w:hAnsi="Times New Roman" w:cs="Times New Roman"/>
                <w:i/>
                <w:spacing w:val="-5"/>
                <w:kern w:val="0"/>
                <w14:ligatures w14:val="none"/>
              </w:rPr>
              <w:t xml:space="preserve"> </w:t>
            </w:r>
            <w:r w:rsidRPr="00184569">
              <w:rPr>
                <w:rFonts w:ascii="Times New Roman" w:eastAsia="Times New Roman" w:hAnsi="Times New Roman" w:cs="Times New Roman"/>
                <w:i/>
                <w:kern w:val="0"/>
                <w14:ligatures w14:val="none"/>
              </w:rPr>
              <w:t>kapcsolatos</w:t>
            </w:r>
            <w:r w:rsidRPr="00184569">
              <w:rPr>
                <w:rFonts w:ascii="Times New Roman" w:eastAsia="Times New Roman" w:hAnsi="Times New Roman" w:cs="Times New Roman"/>
                <w:i/>
                <w:spacing w:val="-5"/>
                <w:kern w:val="0"/>
                <w14:ligatures w14:val="none"/>
              </w:rPr>
              <w:t xml:space="preserve"> </w:t>
            </w:r>
            <w:r w:rsidRPr="00184569">
              <w:rPr>
                <w:rFonts w:ascii="Times New Roman" w:eastAsia="Times New Roman" w:hAnsi="Times New Roman" w:cs="Times New Roman"/>
                <w:i/>
                <w:kern w:val="0"/>
                <w14:ligatures w14:val="none"/>
              </w:rPr>
              <w:t>szövődmények</w:t>
            </w:r>
          </w:p>
        </w:tc>
      </w:tr>
      <w:tr w:rsidR="007E1284" w:rsidRPr="00184569" w14:paraId="10EF01FC" w14:textId="77777777" w:rsidTr="00E16EC6">
        <w:trPr>
          <w:trHeight w:val="246"/>
        </w:trPr>
        <w:tc>
          <w:tcPr>
            <w:tcW w:w="1874" w:type="pct"/>
          </w:tcPr>
          <w:p w14:paraId="1F73A113" w14:textId="77777777" w:rsidR="007E1284" w:rsidRPr="00184569" w:rsidRDefault="007E1284" w:rsidP="007E1284">
            <w:pPr>
              <w:widowControl w:val="0"/>
              <w:autoSpaceDE w:val="0"/>
              <w:autoSpaceDN w:val="0"/>
              <w:spacing w:after="0" w:line="240" w:lineRule="auto"/>
              <w:ind w:left="107"/>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Suffusio</w:t>
            </w:r>
          </w:p>
        </w:tc>
        <w:tc>
          <w:tcPr>
            <w:tcW w:w="1095" w:type="pct"/>
          </w:tcPr>
          <w:p w14:paraId="31F70F13" w14:textId="77777777" w:rsidR="007E1284" w:rsidRPr="00184569" w:rsidRDefault="007E1284" w:rsidP="007E1284">
            <w:pPr>
              <w:widowControl w:val="0"/>
              <w:autoSpaceDE w:val="0"/>
              <w:autoSpaceDN w:val="0"/>
              <w:spacing w:after="0" w:line="240" w:lineRule="auto"/>
              <w:ind w:left="374" w:right="329"/>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gyakori</w:t>
            </w:r>
          </w:p>
        </w:tc>
        <w:tc>
          <w:tcPr>
            <w:tcW w:w="1017" w:type="pct"/>
          </w:tcPr>
          <w:p w14:paraId="6E0A1614" w14:textId="77777777" w:rsidR="007E1284" w:rsidRPr="00184569" w:rsidRDefault="007E1284" w:rsidP="007E1284">
            <w:pPr>
              <w:widowControl w:val="0"/>
              <w:autoSpaceDE w:val="0"/>
              <w:autoSpaceDN w:val="0"/>
              <w:spacing w:after="0" w:line="240" w:lineRule="auto"/>
              <w:ind w:left="165" w:right="157"/>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gyakori</w:t>
            </w:r>
          </w:p>
        </w:tc>
        <w:tc>
          <w:tcPr>
            <w:tcW w:w="1014" w:type="pct"/>
          </w:tcPr>
          <w:p w14:paraId="13FDF6BA" w14:textId="77777777" w:rsidR="007E1284" w:rsidRPr="00184569" w:rsidRDefault="007E1284" w:rsidP="007E1284">
            <w:pPr>
              <w:widowControl w:val="0"/>
              <w:autoSpaceDE w:val="0"/>
              <w:autoSpaceDN w:val="0"/>
              <w:spacing w:after="0" w:line="240" w:lineRule="auto"/>
              <w:ind w:left="165" w:right="157"/>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gyakori</w:t>
            </w:r>
          </w:p>
        </w:tc>
      </w:tr>
      <w:tr w:rsidR="007E1284" w:rsidRPr="00184569" w14:paraId="500ABDC9" w14:textId="77777777" w:rsidTr="00E16EC6">
        <w:trPr>
          <w:trHeight w:val="256"/>
        </w:trPr>
        <w:tc>
          <w:tcPr>
            <w:tcW w:w="1874" w:type="pct"/>
          </w:tcPr>
          <w:p w14:paraId="3C2BCDCE" w14:textId="77777777" w:rsidR="007E1284" w:rsidRPr="00184569" w:rsidRDefault="007E1284" w:rsidP="007E1284">
            <w:pPr>
              <w:widowControl w:val="0"/>
              <w:autoSpaceDE w:val="0"/>
              <w:autoSpaceDN w:val="0"/>
              <w:spacing w:after="0" w:line="240" w:lineRule="auto"/>
              <w:ind w:left="107" w:right="132"/>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Beavatkozás utáni vérzés (beleértve a</w:t>
            </w:r>
            <w:r w:rsidRPr="00184569">
              <w:rPr>
                <w:rFonts w:ascii="Times New Roman" w:eastAsia="Times New Roman" w:hAnsi="Times New Roman" w:cs="Times New Roman"/>
                <w:spacing w:val="1"/>
                <w:kern w:val="0"/>
                <w14:ligatures w14:val="none"/>
              </w:rPr>
              <w:t xml:space="preserve"> </w:t>
            </w:r>
            <w:r w:rsidRPr="00184569">
              <w:rPr>
                <w:rFonts w:ascii="Times New Roman" w:eastAsia="Times New Roman" w:hAnsi="Times New Roman" w:cs="Times New Roman"/>
                <w:kern w:val="0"/>
                <w14:ligatures w14:val="none"/>
              </w:rPr>
              <w:t>beavatkozás utáni haematomát, a</w:t>
            </w:r>
            <w:r w:rsidRPr="00184569">
              <w:rPr>
                <w:rFonts w:ascii="Times New Roman" w:eastAsia="Times New Roman" w:hAnsi="Times New Roman" w:cs="Times New Roman"/>
                <w:spacing w:val="1"/>
                <w:kern w:val="0"/>
                <w14:ligatures w14:val="none"/>
              </w:rPr>
              <w:t xml:space="preserve"> </w:t>
            </w:r>
            <w:r w:rsidRPr="00184569">
              <w:rPr>
                <w:rFonts w:ascii="Times New Roman" w:eastAsia="Times New Roman" w:hAnsi="Times New Roman" w:cs="Times New Roman"/>
                <w:kern w:val="0"/>
                <w14:ligatures w14:val="none"/>
              </w:rPr>
              <w:t>sebvérzést, a haematomát az érpunkció</w:t>
            </w:r>
            <w:r w:rsidRPr="00184569">
              <w:rPr>
                <w:rFonts w:ascii="Times New Roman" w:eastAsia="Times New Roman" w:hAnsi="Times New Roman" w:cs="Times New Roman"/>
                <w:spacing w:val="-52"/>
                <w:kern w:val="0"/>
                <w14:ligatures w14:val="none"/>
              </w:rPr>
              <w:t xml:space="preserve"> </w:t>
            </w:r>
            <w:r w:rsidRPr="00184569">
              <w:rPr>
                <w:rFonts w:ascii="Times New Roman" w:eastAsia="Times New Roman" w:hAnsi="Times New Roman" w:cs="Times New Roman"/>
                <w:kern w:val="0"/>
                <w14:ligatures w14:val="none"/>
              </w:rPr>
              <w:t>helyén és a vérzést a katéter</w:t>
            </w:r>
            <w:r w:rsidRPr="00184569">
              <w:rPr>
                <w:rFonts w:ascii="Times New Roman" w:eastAsia="Times New Roman" w:hAnsi="Times New Roman" w:cs="Times New Roman"/>
                <w:spacing w:val="1"/>
                <w:kern w:val="0"/>
                <w14:ligatures w14:val="none"/>
              </w:rPr>
              <w:t xml:space="preserve"> </w:t>
            </w:r>
            <w:r w:rsidRPr="00184569">
              <w:rPr>
                <w:rFonts w:ascii="Times New Roman" w:eastAsia="Times New Roman" w:hAnsi="Times New Roman" w:cs="Times New Roman"/>
                <w:kern w:val="0"/>
                <w14:ligatures w14:val="none"/>
              </w:rPr>
              <w:t>bevezetésének a helyén is),</w:t>
            </w:r>
            <w:r w:rsidRPr="00184569">
              <w:rPr>
                <w:rFonts w:ascii="Times New Roman" w:eastAsia="Times New Roman" w:hAnsi="Times New Roman" w:cs="Times New Roman"/>
                <w:spacing w:val="1"/>
                <w:kern w:val="0"/>
                <w14:ligatures w14:val="none"/>
              </w:rPr>
              <w:t xml:space="preserve"> </w:t>
            </w:r>
            <w:r w:rsidRPr="00184569">
              <w:rPr>
                <w:rFonts w:ascii="Times New Roman" w:eastAsia="Times New Roman" w:hAnsi="Times New Roman" w:cs="Times New Roman"/>
                <w:kern w:val="0"/>
                <w14:ligatures w14:val="none"/>
              </w:rPr>
              <w:t>sebváladékozás,</w:t>
            </w:r>
            <w:r w:rsidRPr="00184569">
              <w:rPr>
                <w:rFonts w:ascii="Times New Roman" w:eastAsia="Times New Roman" w:hAnsi="Times New Roman" w:cs="Times New Roman"/>
                <w:spacing w:val="-3"/>
                <w:kern w:val="0"/>
                <w14:ligatures w14:val="none"/>
              </w:rPr>
              <w:t xml:space="preserve"> </w:t>
            </w:r>
            <w:r w:rsidRPr="00184569">
              <w:rPr>
                <w:rFonts w:ascii="Times New Roman" w:eastAsia="Times New Roman" w:hAnsi="Times New Roman" w:cs="Times New Roman"/>
                <w:kern w:val="0"/>
                <w14:ligatures w14:val="none"/>
              </w:rPr>
              <w:t>vérzés</w:t>
            </w:r>
            <w:r w:rsidRPr="00184569">
              <w:rPr>
                <w:rFonts w:ascii="Times New Roman" w:eastAsia="Times New Roman" w:hAnsi="Times New Roman" w:cs="Times New Roman"/>
                <w:spacing w:val="-2"/>
                <w:kern w:val="0"/>
                <w14:ligatures w14:val="none"/>
              </w:rPr>
              <w:t xml:space="preserve"> </w:t>
            </w:r>
            <w:r w:rsidRPr="00184569">
              <w:rPr>
                <w:rFonts w:ascii="Times New Roman" w:eastAsia="Times New Roman" w:hAnsi="Times New Roman" w:cs="Times New Roman"/>
                <w:kern w:val="0"/>
                <w14:ligatures w14:val="none"/>
              </w:rPr>
              <w:t>az</w:t>
            </w:r>
            <w:r w:rsidRPr="00184569">
              <w:rPr>
                <w:rFonts w:ascii="Times New Roman" w:eastAsia="Times New Roman" w:hAnsi="Times New Roman" w:cs="Times New Roman"/>
                <w:spacing w:val="-2"/>
                <w:kern w:val="0"/>
                <w14:ligatures w14:val="none"/>
              </w:rPr>
              <w:t xml:space="preserve"> </w:t>
            </w:r>
            <w:r w:rsidRPr="00184569">
              <w:rPr>
                <w:rFonts w:ascii="Times New Roman" w:eastAsia="Times New Roman" w:hAnsi="Times New Roman" w:cs="Times New Roman"/>
                <w:kern w:val="0"/>
                <w14:ligatures w14:val="none"/>
              </w:rPr>
              <w:t>incisio helyén (beleértve a haematomát az</w:t>
            </w:r>
            <w:r w:rsidRPr="00184569">
              <w:rPr>
                <w:rFonts w:ascii="Times New Roman" w:eastAsia="Times New Roman" w:hAnsi="Times New Roman" w:cs="Times New Roman"/>
                <w:spacing w:val="1"/>
                <w:kern w:val="0"/>
                <w14:ligatures w14:val="none"/>
              </w:rPr>
              <w:t xml:space="preserve"> </w:t>
            </w:r>
            <w:r w:rsidRPr="00184569">
              <w:rPr>
                <w:rFonts w:ascii="Times New Roman" w:eastAsia="Times New Roman" w:hAnsi="Times New Roman" w:cs="Times New Roman"/>
                <w:kern w:val="0"/>
                <w14:ligatures w14:val="none"/>
              </w:rPr>
              <w:t>incisio</w:t>
            </w:r>
            <w:r w:rsidRPr="00184569">
              <w:rPr>
                <w:rFonts w:ascii="Times New Roman" w:eastAsia="Times New Roman" w:hAnsi="Times New Roman" w:cs="Times New Roman"/>
                <w:spacing w:val="-7"/>
                <w:kern w:val="0"/>
                <w14:ligatures w14:val="none"/>
              </w:rPr>
              <w:t xml:space="preserve"> </w:t>
            </w:r>
            <w:r w:rsidRPr="00184569">
              <w:rPr>
                <w:rFonts w:ascii="Times New Roman" w:eastAsia="Times New Roman" w:hAnsi="Times New Roman" w:cs="Times New Roman"/>
                <w:kern w:val="0"/>
                <w14:ligatures w14:val="none"/>
              </w:rPr>
              <w:t>helyén),</w:t>
            </w:r>
            <w:r w:rsidRPr="00184569">
              <w:rPr>
                <w:rFonts w:ascii="Times New Roman" w:eastAsia="Times New Roman" w:hAnsi="Times New Roman" w:cs="Times New Roman"/>
                <w:spacing w:val="-7"/>
                <w:kern w:val="0"/>
                <w14:ligatures w14:val="none"/>
              </w:rPr>
              <w:t xml:space="preserve"> </w:t>
            </w:r>
            <w:r w:rsidRPr="00184569">
              <w:rPr>
                <w:rFonts w:ascii="Times New Roman" w:eastAsia="Times New Roman" w:hAnsi="Times New Roman" w:cs="Times New Roman"/>
                <w:kern w:val="0"/>
                <w14:ligatures w14:val="none"/>
              </w:rPr>
              <w:t>intraoperatív</w:t>
            </w:r>
            <w:r w:rsidRPr="00184569">
              <w:rPr>
                <w:rFonts w:ascii="Times New Roman" w:eastAsia="Times New Roman" w:hAnsi="Times New Roman" w:cs="Times New Roman"/>
                <w:spacing w:val="-7"/>
                <w:kern w:val="0"/>
                <w14:ligatures w14:val="none"/>
              </w:rPr>
              <w:t xml:space="preserve"> </w:t>
            </w:r>
            <w:r w:rsidRPr="00184569">
              <w:rPr>
                <w:rFonts w:ascii="Times New Roman" w:eastAsia="Times New Roman" w:hAnsi="Times New Roman" w:cs="Times New Roman"/>
                <w:kern w:val="0"/>
                <w14:ligatures w14:val="none"/>
              </w:rPr>
              <w:t>vérzés</w:t>
            </w:r>
          </w:p>
        </w:tc>
        <w:tc>
          <w:tcPr>
            <w:tcW w:w="1095" w:type="pct"/>
          </w:tcPr>
          <w:p w14:paraId="77832695" w14:textId="77777777" w:rsidR="007E1284" w:rsidRPr="00184569" w:rsidRDefault="007E1284" w:rsidP="007E1284">
            <w:pPr>
              <w:widowControl w:val="0"/>
              <w:autoSpaceDE w:val="0"/>
              <w:autoSpaceDN w:val="0"/>
              <w:spacing w:after="0" w:line="240" w:lineRule="auto"/>
              <w:ind w:left="374" w:right="333"/>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nem</w:t>
            </w:r>
            <w:r w:rsidRPr="00184569">
              <w:rPr>
                <w:rFonts w:ascii="Times New Roman" w:eastAsia="Times New Roman" w:hAnsi="Times New Roman" w:cs="Times New Roman"/>
                <w:spacing w:val="-4"/>
                <w:kern w:val="0"/>
                <w14:ligatures w14:val="none"/>
              </w:rPr>
              <w:t xml:space="preserve"> </w:t>
            </w:r>
            <w:r w:rsidRPr="00184569">
              <w:rPr>
                <w:rFonts w:ascii="Times New Roman" w:eastAsia="Times New Roman" w:hAnsi="Times New Roman" w:cs="Times New Roman"/>
                <w:kern w:val="0"/>
                <w14:ligatures w14:val="none"/>
              </w:rPr>
              <w:t>gyakori</w:t>
            </w:r>
          </w:p>
        </w:tc>
        <w:tc>
          <w:tcPr>
            <w:tcW w:w="1017" w:type="pct"/>
          </w:tcPr>
          <w:p w14:paraId="7D6C1EA8" w14:textId="77777777" w:rsidR="007E1284" w:rsidRPr="00184569" w:rsidRDefault="007E1284" w:rsidP="007E1284">
            <w:pPr>
              <w:widowControl w:val="0"/>
              <w:autoSpaceDE w:val="0"/>
              <w:autoSpaceDN w:val="0"/>
              <w:spacing w:after="0" w:line="240" w:lineRule="auto"/>
              <w:ind w:left="163" w:right="160"/>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nem</w:t>
            </w:r>
            <w:r w:rsidRPr="00184569">
              <w:rPr>
                <w:rFonts w:ascii="Times New Roman" w:eastAsia="Times New Roman" w:hAnsi="Times New Roman" w:cs="Times New Roman"/>
                <w:spacing w:val="-4"/>
                <w:kern w:val="0"/>
                <w14:ligatures w14:val="none"/>
              </w:rPr>
              <w:t xml:space="preserve"> </w:t>
            </w:r>
            <w:r w:rsidRPr="00184569">
              <w:rPr>
                <w:rFonts w:ascii="Times New Roman" w:eastAsia="Times New Roman" w:hAnsi="Times New Roman" w:cs="Times New Roman"/>
                <w:kern w:val="0"/>
                <w14:ligatures w14:val="none"/>
              </w:rPr>
              <w:t>gyakori</w:t>
            </w:r>
          </w:p>
        </w:tc>
        <w:tc>
          <w:tcPr>
            <w:tcW w:w="1014" w:type="pct"/>
          </w:tcPr>
          <w:p w14:paraId="37E10F0A" w14:textId="77777777" w:rsidR="007E1284" w:rsidRPr="00184569" w:rsidRDefault="007E1284" w:rsidP="007E1284">
            <w:pPr>
              <w:widowControl w:val="0"/>
              <w:autoSpaceDE w:val="0"/>
              <w:autoSpaceDN w:val="0"/>
              <w:spacing w:after="0" w:line="240" w:lineRule="auto"/>
              <w:ind w:left="163" w:right="160"/>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gyakori</w:t>
            </w:r>
          </w:p>
        </w:tc>
      </w:tr>
      <w:tr w:rsidR="007E1284" w:rsidRPr="00184569" w14:paraId="2A76E35D" w14:textId="77777777" w:rsidTr="00E16EC6">
        <w:trPr>
          <w:trHeight w:val="261"/>
        </w:trPr>
        <w:tc>
          <w:tcPr>
            <w:tcW w:w="1874" w:type="pct"/>
          </w:tcPr>
          <w:p w14:paraId="471FA8FA" w14:textId="77777777" w:rsidR="007E1284" w:rsidRPr="00184569" w:rsidRDefault="007E1284" w:rsidP="007E1284">
            <w:pPr>
              <w:widowControl w:val="0"/>
              <w:autoSpaceDE w:val="0"/>
              <w:autoSpaceDN w:val="0"/>
              <w:spacing w:after="0" w:line="240" w:lineRule="auto"/>
              <w:ind w:left="107"/>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Traumás</w:t>
            </w:r>
            <w:r w:rsidRPr="00184569">
              <w:rPr>
                <w:rFonts w:ascii="Times New Roman" w:eastAsia="Times New Roman" w:hAnsi="Times New Roman" w:cs="Times New Roman"/>
                <w:spacing w:val="-5"/>
                <w:kern w:val="0"/>
                <w14:ligatures w14:val="none"/>
              </w:rPr>
              <w:t xml:space="preserve"> </w:t>
            </w:r>
            <w:r w:rsidRPr="00184569">
              <w:rPr>
                <w:rFonts w:ascii="Times New Roman" w:eastAsia="Times New Roman" w:hAnsi="Times New Roman" w:cs="Times New Roman"/>
                <w:kern w:val="0"/>
                <w14:ligatures w14:val="none"/>
              </w:rPr>
              <w:t>vérzés</w:t>
            </w:r>
          </w:p>
        </w:tc>
        <w:tc>
          <w:tcPr>
            <w:tcW w:w="1095" w:type="pct"/>
          </w:tcPr>
          <w:p w14:paraId="24A25A4F" w14:textId="77777777" w:rsidR="007E1284" w:rsidRPr="00184569" w:rsidRDefault="007E1284" w:rsidP="007E1284">
            <w:pPr>
              <w:widowControl w:val="0"/>
              <w:autoSpaceDE w:val="0"/>
              <w:autoSpaceDN w:val="0"/>
              <w:spacing w:after="0" w:line="240" w:lineRule="auto"/>
              <w:ind w:left="374" w:right="328"/>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nem</w:t>
            </w:r>
            <w:r w:rsidRPr="00184569">
              <w:rPr>
                <w:rFonts w:ascii="Times New Roman" w:eastAsia="Times New Roman" w:hAnsi="Times New Roman" w:cs="Times New Roman"/>
                <w:spacing w:val="-4"/>
                <w:kern w:val="0"/>
                <w14:ligatures w14:val="none"/>
              </w:rPr>
              <w:t xml:space="preserve"> </w:t>
            </w:r>
            <w:r w:rsidRPr="00184569">
              <w:rPr>
                <w:rFonts w:ascii="Times New Roman" w:eastAsia="Times New Roman" w:hAnsi="Times New Roman" w:cs="Times New Roman"/>
                <w:kern w:val="0"/>
                <w14:ligatures w14:val="none"/>
              </w:rPr>
              <w:t>gyakori</w:t>
            </w:r>
          </w:p>
        </w:tc>
        <w:tc>
          <w:tcPr>
            <w:tcW w:w="1017" w:type="pct"/>
          </w:tcPr>
          <w:p w14:paraId="036F5A3A" w14:textId="77777777" w:rsidR="007E1284" w:rsidRPr="00184569" w:rsidRDefault="007E1284" w:rsidP="007E1284">
            <w:pPr>
              <w:widowControl w:val="0"/>
              <w:autoSpaceDE w:val="0"/>
              <w:autoSpaceDN w:val="0"/>
              <w:spacing w:after="0" w:line="240" w:lineRule="auto"/>
              <w:ind w:left="163" w:right="160"/>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nem</w:t>
            </w:r>
            <w:r w:rsidRPr="00184569">
              <w:rPr>
                <w:rFonts w:ascii="Times New Roman" w:eastAsia="Times New Roman" w:hAnsi="Times New Roman" w:cs="Times New Roman"/>
                <w:spacing w:val="-4"/>
                <w:kern w:val="0"/>
                <w14:ligatures w14:val="none"/>
              </w:rPr>
              <w:t xml:space="preserve"> </w:t>
            </w:r>
            <w:r w:rsidRPr="00184569">
              <w:rPr>
                <w:rFonts w:ascii="Times New Roman" w:eastAsia="Times New Roman" w:hAnsi="Times New Roman" w:cs="Times New Roman"/>
                <w:kern w:val="0"/>
                <w14:ligatures w14:val="none"/>
              </w:rPr>
              <w:t>gyakori</w:t>
            </w:r>
          </w:p>
        </w:tc>
        <w:tc>
          <w:tcPr>
            <w:tcW w:w="1014" w:type="pct"/>
          </w:tcPr>
          <w:p w14:paraId="61E50828" w14:textId="77777777" w:rsidR="007E1284" w:rsidRPr="00184569" w:rsidRDefault="007E1284" w:rsidP="007E1284">
            <w:pPr>
              <w:widowControl w:val="0"/>
              <w:autoSpaceDE w:val="0"/>
              <w:autoSpaceDN w:val="0"/>
              <w:spacing w:after="0" w:line="240" w:lineRule="auto"/>
              <w:ind w:left="163" w:right="160"/>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nem</w:t>
            </w:r>
            <w:r w:rsidRPr="00184569">
              <w:rPr>
                <w:rFonts w:ascii="Times New Roman" w:eastAsia="Times New Roman" w:hAnsi="Times New Roman" w:cs="Times New Roman"/>
                <w:spacing w:val="-4"/>
                <w:kern w:val="0"/>
                <w14:ligatures w14:val="none"/>
              </w:rPr>
              <w:t xml:space="preserve"> </w:t>
            </w:r>
            <w:r w:rsidRPr="00184569">
              <w:rPr>
                <w:rFonts w:ascii="Times New Roman" w:eastAsia="Times New Roman" w:hAnsi="Times New Roman" w:cs="Times New Roman"/>
                <w:kern w:val="0"/>
                <w14:ligatures w14:val="none"/>
              </w:rPr>
              <w:t>ismert</w:t>
            </w:r>
          </w:p>
        </w:tc>
      </w:tr>
    </w:tbl>
    <w:p w14:paraId="2DFD31CA"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sz w:val="18"/>
          <w:szCs w:val="18"/>
          <w14:ligatures w14:val="none"/>
        </w:rPr>
      </w:pPr>
      <w:r w:rsidRPr="00184569">
        <w:rPr>
          <w:rFonts w:ascii="Times New Roman" w:eastAsia="Times New Roman" w:hAnsi="Times New Roman" w:cs="Times New Roman"/>
          <w:kern w:val="0"/>
          <w:sz w:val="18"/>
          <w:szCs w:val="18"/>
          <w14:ligatures w14:val="none"/>
        </w:rPr>
        <w:t>*A CV185057 vizsgálatban (VTE hosszú távú megelőzése) nem fordult elő egész testre kiterjedő pruritus.</w:t>
      </w:r>
    </w:p>
    <w:p w14:paraId="656BE567" w14:textId="77777777" w:rsidR="00184569" w:rsidRPr="00184569" w:rsidRDefault="00184569" w:rsidP="00184569">
      <w:pPr>
        <w:widowControl w:val="0"/>
        <w:autoSpaceDE w:val="0"/>
        <w:autoSpaceDN w:val="0"/>
        <w:spacing w:after="0" w:line="240" w:lineRule="auto"/>
        <w:ind w:left="142" w:hanging="142"/>
        <w:rPr>
          <w:rFonts w:ascii="Times New Roman" w:eastAsia="Times New Roman" w:hAnsi="Times New Roman" w:cs="Times New Roman"/>
          <w:kern w:val="0"/>
          <w:sz w:val="18"/>
          <w:szCs w:val="18"/>
          <w14:ligatures w14:val="none"/>
        </w:rPr>
      </w:pPr>
      <w:r w:rsidRPr="00184569">
        <w:rPr>
          <w:rFonts w:ascii="Times New Roman" w:eastAsia="Times New Roman" w:hAnsi="Times New Roman" w:cs="Times New Roman"/>
          <w:kern w:val="0"/>
          <w:sz w:val="20"/>
          <w:szCs w:val="20"/>
          <w:vertAlign w:val="superscript"/>
          <w:lang w:eastAsia="en-GB"/>
          <w14:ligatures w14:val="none"/>
        </w:rPr>
        <w:t>†</w:t>
      </w:r>
      <w:r w:rsidRPr="00184569">
        <w:rPr>
          <w:rFonts w:ascii="Times New Roman" w:eastAsia="Times New Roman" w:hAnsi="Times New Roman" w:cs="Times New Roman"/>
          <w:kern w:val="0"/>
          <w:sz w:val="18"/>
          <w:szCs w:val="18"/>
          <w14:ligatures w14:val="none"/>
        </w:rPr>
        <w:t>Az „Agyvérzés” kifejezés minden intracranialis és intraspinalis vérzést magába foglal (azaz a haemorrhagiás stroke-ot, illetve a putamen, cerebellum vérzéseit és az intraventricularis és subduralis vérzéseket is).</w:t>
      </w:r>
    </w:p>
    <w:p w14:paraId="774C8425" w14:textId="77777777" w:rsidR="00184569" w:rsidRPr="00184569" w:rsidRDefault="00184569" w:rsidP="00184569">
      <w:pPr>
        <w:widowControl w:val="0"/>
        <w:autoSpaceDE w:val="0"/>
        <w:autoSpaceDN w:val="0"/>
        <w:spacing w:after="0" w:line="240" w:lineRule="auto"/>
        <w:ind w:left="142" w:hanging="142"/>
        <w:rPr>
          <w:rFonts w:ascii="Times New Roman" w:eastAsia="Times New Roman" w:hAnsi="Times New Roman" w:cs="Times New Roman"/>
          <w:kern w:val="0"/>
          <w:sz w:val="18"/>
          <w:szCs w:val="18"/>
          <w14:ligatures w14:val="none"/>
        </w:rPr>
      </w:pPr>
      <w:r w:rsidRPr="00184569">
        <w:rPr>
          <w:rFonts w:ascii="Times New Roman" w:eastAsia="Times New Roman" w:hAnsi="Times New Roman" w:cs="Times New Roman"/>
          <w:kern w:val="0"/>
          <w:sz w:val="18"/>
          <w:szCs w:val="18"/>
          <w14:ligatures w14:val="none"/>
        </w:rPr>
        <w:t>‡ Magában foglalja az anaphylaxiás reakciót, a gyógyszer-túlérzékenységet és a túlérzékenységet.</w:t>
      </w:r>
    </w:p>
    <w:p w14:paraId="4D767694" w14:textId="77777777" w:rsidR="00184569" w:rsidRPr="00184569" w:rsidRDefault="00184569" w:rsidP="00184569">
      <w:pPr>
        <w:widowControl w:val="0"/>
        <w:autoSpaceDE w:val="0"/>
        <w:autoSpaceDN w:val="0"/>
        <w:spacing w:after="0" w:line="240" w:lineRule="auto"/>
        <w:ind w:left="142" w:hanging="142"/>
        <w:rPr>
          <w:rFonts w:ascii="Times New Roman" w:eastAsia="Times New Roman" w:hAnsi="Times New Roman" w:cs="Times New Roman"/>
          <w:kern w:val="0"/>
          <w:sz w:val="18"/>
          <w:szCs w:val="18"/>
          <w14:ligatures w14:val="none"/>
        </w:rPr>
      </w:pPr>
      <w:r w:rsidRPr="00184569">
        <w:rPr>
          <w:rFonts w:ascii="Times New Roman" w:eastAsia="Times New Roman" w:hAnsi="Times New Roman" w:cs="Times New Roman"/>
          <w:kern w:val="0"/>
          <w:sz w:val="18"/>
          <w:szCs w:val="18"/>
          <w14:ligatures w14:val="none"/>
        </w:rPr>
        <w:t xml:space="preserve"> § Magában foglalja az erős menstruációs vérzést, a menstruációs vérzések közötti vérzést és a hüvelyi vérzést.</w:t>
      </w:r>
    </w:p>
    <w:p w14:paraId="54AFDE69"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
    <w:p w14:paraId="79F44964" w14:textId="77777777" w:rsidR="00184569" w:rsidRPr="00184569" w:rsidRDefault="00184569" w:rsidP="00184569">
      <w:pPr>
        <w:keepNext/>
        <w:autoSpaceDE w:val="0"/>
        <w:autoSpaceDN w:val="0"/>
        <w:spacing w:after="0" w:line="240" w:lineRule="auto"/>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Az apixabán alkalmazása összefüggésben állhat bármely szövetből vagy szervből származó occult vagy nyilvánvaló vérzés fokozott kockázatával, ami posthaemorrhagiás anaemia kialakulását eredményezheti. A jelek és a tünetek, valamint azok súlyossága a vérzés helyétől, mértékétől és kiterjedtségétől függően változhatnak (lásd 4.4 és 5.1 pont).</w:t>
      </w:r>
    </w:p>
    <w:p w14:paraId="2BB08D12"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
    <w:p w14:paraId="2F20BC3D"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u w:val="single"/>
          <w14:ligatures w14:val="none"/>
        </w:rPr>
      </w:pPr>
      <w:r w:rsidRPr="00184569">
        <w:rPr>
          <w:rFonts w:ascii="Times New Roman" w:eastAsia="Times New Roman" w:hAnsi="Times New Roman" w:cs="Times New Roman"/>
          <w:kern w:val="0"/>
          <w:u w:val="single"/>
          <w14:ligatures w14:val="none"/>
        </w:rPr>
        <w:t>Gyermekek és serdülők</w:t>
      </w:r>
    </w:p>
    <w:p w14:paraId="15E23BB1"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
    <w:p w14:paraId="2318AC60"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Az apixabán biztonságosságát egy I. fázisú és három II/III. fázisú klinikai vizsgálatban, 970 beteg bevonásával vizsgálták. Közülük 568 beteg kapott egy vagy több dózis apixabánt összesen átlagosan 1, 24, 331 és 80 nap expozícióval (lásd 5.1 pont). A betegek testtömeg alapján beállított dózisban és életkornak megfelelő gyógyszerformában kapták az apixabánt.</w:t>
      </w:r>
    </w:p>
    <w:p w14:paraId="0499A5C3"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
    <w:p w14:paraId="1578D6E0"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Összességében az apixabán biztonságossági profilja a gyermekeknél és serdülőknél (28 napostól betöltött 18 éves korig) hasonló volt a felnőttekéhez, és általánosan konzisztens volt a különböző gyermekgyógyászati korcsoportokban.</w:t>
      </w:r>
    </w:p>
    <w:p w14:paraId="57D80938"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
    <w:p w14:paraId="15E68BE1"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Gyermekeknél és serdülőknél a leggyakrabban jelentett mellékhatás az epistaxis és a kóros hüvelyi vérzés volt (a mellékhatásprofilt és az indikációk szerinti gyakoriságokat lásd a 3. táblázatban).</w:t>
      </w:r>
    </w:p>
    <w:p w14:paraId="4890E4BE"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
    <w:p w14:paraId="79A43B17"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roofErr w:type="gramStart"/>
      <w:r w:rsidRPr="00184569">
        <w:rPr>
          <w:rFonts w:ascii="Times New Roman" w:eastAsia="Times New Roman" w:hAnsi="Times New Roman" w:cs="Times New Roman"/>
          <w:kern w:val="0"/>
          <w14:ligatures w14:val="none"/>
        </w:rPr>
        <w:t>Gyermekeknél és serdülőknél az epistaxist (nagyon gyakori), a kóros hüvelyi vérzést (nagyon gyakori), a túlérzékenységet és az anaphylaxiát (gyakori), a pruritust (gyakori), a hypotoniát (gyakori), a haematocheziát (gyakori), az emelkedett glutamát-oxálacetát-transzaminázszintet (gyakori), az alopeciát (gyakori) és a beavatkozás utáni vérzést (gyakori) gyakrabban jelentették, mint az apixabánnal kezelt felnőtteknél, de azonos gyakorisági kategóriával, mint a szokásos ellátás szerinti kezelést kapó karra beosztott gyermekeknél és serdülőknél; az egyetlen kivételt a kóros hüvelyi vérzés jelentette,</w:t>
      </w:r>
      <w:proofErr w:type="gramEnd"/>
      <w:r w:rsidRPr="00184569">
        <w:rPr>
          <w:rFonts w:ascii="Times New Roman" w:eastAsia="Times New Roman" w:hAnsi="Times New Roman" w:cs="Times New Roman"/>
          <w:kern w:val="0"/>
          <w14:ligatures w14:val="none"/>
        </w:rPr>
        <w:t xml:space="preserve"> </w:t>
      </w:r>
      <w:proofErr w:type="gramStart"/>
      <w:r w:rsidRPr="00184569">
        <w:rPr>
          <w:rFonts w:ascii="Times New Roman" w:eastAsia="Times New Roman" w:hAnsi="Times New Roman" w:cs="Times New Roman"/>
          <w:kern w:val="0"/>
          <w14:ligatures w14:val="none"/>
        </w:rPr>
        <w:t>amelyet</w:t>
      </w:r>
      <w:proofErr w:type="gramEnd"/>
      <w:r w:rsidRPr="00184569">
        <w:rPr>
          <w:rFonts w:ascii="Times New Roman" w:eastAsia="Times New Roman" w:hAnsi="Times New Roman" w:cs="Times New Roman"/>
          <w:kern w:val="0"/>
          <w14:ligatures w14:val="none"/>
        </w:rPr>
        <w:t xml:space="preserve"> gyakoriként jelentettek a szokásos ellátás szerinti kezelést alkalmazó karon. Emelkedett máj transzamináz-szinteket – egy eset kivételével – olyan gyermekeknél és serdülőknél jelentettek, akik egyidejűleg kemoterápiát kaptak malignus alapbetegség miatt.</w:t>
      </w:r>
    </w:p>
    <w:p w14:paraId="2C7BDB0A"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
    <w:p w14:paraId="268EE7E0"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u w:val="single"/>
          <w14:ligatures w14:val="none"/>
        </w:rPr>
        <w:t>Feltételezett mellékhatások bejelentése</w:t>
      </w:r>
    </w:p>
    <w:p w14:paraId="53623CAA"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
    <w:p w14:paraId="7ABE19C0"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 xml:space="preserve">A gyógyszer engedélyezését követően lényeges a feltételezett mellékhatások bejelentése, mert ez fontos eszköze annak, hogy a gyógyszer előny/kockázat profilját folyamatosan figyelemmel lehessen kísérni. Az egészségügyi szakembereket kérjük, hogy jelentsék be a feltételezett mellékhatásokat a hatóság részére az </w:t>
      </w:r>
      <w:hyperlink r:id="rId9">
        <w:r w:rsidRPr="00184569">
          <w:rPr>
            <w:rFonts w:ascii="Times New Roman" w:eastAsia="Times New Roman" w:hAnsi="Times New Roman" w:cs="Times New Roman"/>
            <w:color w:val="0000FD"/>
            <w:kern w:val="0"/>
            <w:u w:val="single" w:color="0000FF"/>
            <w:shd w:val="clear" w:color="auto" w:fill="C0C0C0"/>
            <w14:ligatures w14:val="none"/>
          </w:rPr>
          <w:t>V. függelékbe</w:t>
        </w:r>
      </w:hyperlink>
      <w:r w:rsidRPr="00184569">
        <w:rPr>
          <w:rFonts w:ascii="Times New Roman" w:eastAsia="Times New Roman" w:hAnsi="Times New Roman" w:cs="Times New Roman"/>
          <w:color w:val="0000FD"/>
          <w:kern w:val="0"/>
          <w:u w:val="single" w:color="0000FF"/>
          <w:shd w:val="clear" w:color="auto" w:fill="C0C0C0"/>
          <w14:ligatures w14:val="none"/>
        </w:rPr>
        <w:t xml:space="preserve">n </w:t>
      </w:r>
      <w:r w:rsidRPr="00184569">
        <w:rPr>
          <w:rFonts w:ascii="Times New Roman" w:eastAsia="Times New Roman" w:hAnsi="Times New Roman" w:cs="Times New Roman"/>
          <w:color w:val="000000"/>
          <w:kern w:val="0"/>
          <w:highlight w:val="lightGray"/>
          <w14:ligatures w14:val="none"/>
        </w:rPr>
        <w:t>található elérhetőségek valamelyikén keresztül.</w:t>
      </w:r>
    </w:p>
    <w:p w14:paraId="69EECC57"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
    <w:p w14:paraId="09220D89" w14:textId="77777777" w:rsidR="00184569" w:rsidRPr="00184569" w:rsidRDefault="00184569" w:rsidP="008B021B">
      <w:pPr>
        <w:keepNext/>
        <w:widowControl w:val="0"/>
        <w:numPr>
          <w:ilvl w:val="1"/>
          <w:numId w:val="8"/>
        </w:numPr>
        <w:autoSpaceDE w:val="0"/>
        <w:autoSpaceDN w:val="0"/>
        <w:spacing w:after="0" w:line="240" w:lineRule="auto"/>
        <w:ind w:left="567" w:hanging="567"/>
        <w:outlineLvl w:val="1"/>
        <w:rPr>
          <w:rFonts w:ascii="Times New Roman" w:eastAsia="Times New Roman" w:hAnsi="Times New Roman" w:cs="Times New Roman"/>
          <w:b/>
          <w:bCs/>
          <w:kern w:val="0"/>
          <w14:ligatures w14:val="none"/>
        </w:rPr>
      </w:pPr>
      <w:r w:rsidRPr="00184569">
        <w:rPr>
          <w:rFonts w:ascii="Times New Roman" w:eastAsia="Times New Roman" w:hAnsi="Times New Roman" w:cs="Times New Roman"/>
          <w:b/>
          <w:bCs/>
          <w:kern w:val="0"/>
          <w14:ligatures w14:val="none"/>
        </w:rPr>
        <w:t>Túladagolás</w:t>
      </w:r>
    </w:p>
    <w:p w14:paraId="7A6DF1C5" w14:textId="77777777" w:rsidR="00184569" w:rsidRPr="00184569" w:rsidRDefault="00184569" w:rsidP="00184569">
      <w:pPr>
        <w:keepNext/>
        <w:autoSpaceDE w:val="0"/>
        <w:autoSpaceDN w:val="0"/>
        <w:spacing w:after="0" w:line="240" w:lineRule="auto"/>
        <w:rPr>
          <w:rFonts w:ascii="Times New Roman" w:eastAsia="Times New Roman" w:hAnsi="Times New Roman" w:cs="Times New Roman"/>
          <w:b/>
          <w:kern w:val="0"/>
          <w14:ligatures w14:val="none"/>
        </w:rPr>
      </w:pPr>
    </w:p>
    <w:p w14:paraId="66E10AD3"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Az apixabán túladagolása a vérzés kockázatának növekedését eredményezheti. Vérzéses szövődmények esetén a kezelést le kell állítani, és ki kell deríteni a vérzés forrását. Mérlegelni kell a megfelelő kezelés elkezdését, például sebészi vérzéscsillapítást, friss fagyasztott plazma transzfúzióját vagy a Xa-faktor-gátló hatás reverzióját biztosító szer adását (lásd 4.4 pont).</w:t>
      </w:r>
    </w:p>
    <w:p w14:paraId="62692F05"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
    <w:p w14:paraId="783DC202"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Egészséges felnőttekkel végzett kontrollos klinikai vizsgálatokban, amelyekben naponta maximum 50 mg apixabánt adtak szájon át 3–7 napig (25 mg naponta kétszer 7 napon át vagy 50 mg naponta egyszer 3 napon át), klinikailag jelentős mellékhatás nem fordult elő.</w:t>
      </w:r>
    </w:p>
    <w:p w14:paraId="7448B5D8"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
    <w:p w14:paraId="247507B2"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Egészséges felnőtteknél 2 és 6 órával egy 20 mg-os apixabán-dózis bevétele után az orvosi szén adása az átlagos apixabán AUC-t sorrendben 50%-kal, illetve 27%-kal csökkentette, és nem volt hatással a</w:t>
      </w:r>
      <w:r w:rsidRPr="00184569">
        <w:rPr>
          <w:rFonts w:ascii="Times New Roman" w:eastAsia="Times New Roman" w:hAnsi="Times New Roman" w:cs="Times New Roman"/>
          <w:kern w:val="0"/>
          <w:position w:val="2"/>
          <w14:ligatures w14:val="none"/>
        </w:rPr>
        <w:t xml:space="preserve"> C</w:t>
      </w:r>
      <w:r w:rsidRPr="00184569">
        <w:rPr>
          <w:rFonts w:ascii="Times New Roman" w:eastAsia="Times New Roman" w:hAnsi="Times New Roman" w:cs="Times New Roman"/>
          <w:kern w:val="0"/>
          <w:vertAlign w:val="subscript"/>
          <w14:ligatures w14:val="none"/>
        </w:rPr>
        <w:t>max</w:t>
      </w:r>
      <w:r w:rsidRPr="00184569">
        <w:rPr>
          <w:rFonts w:ascii="Times New Roman" w:eastAsia="Times New Roman" w:hAnsi="Times New Roman" w:cs="Times New Roman"/>
          <w:kern w:val="0"/>
          <w:position w:val="2"/>
          <w14:ligatures w14:val="none"/>
        </w:rPr>
        <w:t xml:space="preserve">-ra. Az apixabán átlagos felezési ideje az önmagában adott apixabán esetén észlelt 13,4 óráról </w:t>
      </w:r>
      <w:r w:rsidRPr="00184569">
        <w:rPr>
          <w:rFonts w:ascii="Times New Roman" w:eastAsia="Times New Roman" w:hAnsi="Times New Roman" w:cs="Times New Roman"/>
          <w:kern w:val="0"/>
          <w14:ligatures w14:val="none"/>
        </w:rPr>
        <w:t>5,3 órára, illetve 4,9 órára csökkent, ha az orvosi szenet 2 és 6 órával az apixabán után adták. Így az orvosi szén alkalmazása az apixabán túladagolásának vagy véletlen lenyelésének kezelése esetén hasznos lehet.</w:t>
      </w:r>
    </w:p>
    <w:p w14:paraId="38B5049E"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
    <w:p w14:paraId="137EE9C8"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Az apixabán egyszeri, 5 mg-os dózisának szájon át történő alkalmazása esetén a haemodialysis 14%-kal csökkentette az apixabán AUC-értékét végstádiumú vesebetegségben (ESRD) szenvedőknél. Ezért a haemodialysis valószínűleg nem hatékony módszer az apixabán-túladagolás kezelésére.</w:t>
      </w:r>
    </w:p>
    <w:p w14:paraId="06DB62F8"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
    <w:p w14:paraId="2970783F" w14:textId="77777777" w:rsidR="00184569" w:rsidRPr="00184569" w:rsidRDefault="00184569" w:rsidP="00184569">
      <w:pPr>
        <w:keepNext/>
        <w:autoSpaceDE w:val="0"/>
        <w:autoSpaceDN w:val="0"/>
        <w:spacing w:after="0" w:line="240" w:lineRule="auto"/>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Ha életveszélyes vagy kontrollálatlan vérzés miatt szükség van az antikoaguláns hatás felfüggesztésére, felnőttek számára rendelkezésre áll egy szer az Xa-faktor-inhibitorok aktivitásának visszafordítására (lásd 4.4 pont). Prothrombin komplex koncentrátumok (PCC-k) vagy rekombináns VIIa-faktor alkalmazása is mérlegelhető. Egészséges egyénekkel végzett thrombinképződési tesztben beálló változásokkal kimutatták</w:t>
      </w:r>
      <w:r w:rsidRPr="00184569" w:rsidDel="001E055D">
        <w:rPr>
          <w:rFonts w:ascii="Times New Roman" w:eastAsia="Times New Roman" w:hAnsi="Times New Roman" w:cs="Times New Roman"/>
          <w:kern w:val="0"/>
          <w14:ligatures w14:val="none"/>
        </w:rPr>
        <w:t xml:space="preserve"> </w:t>
      </w:r>
      <w:r w:rsidRPr="00184569">
        <w:rPr>
          <w:rFonts w:ascii="Times New Roman" w:eastAsia="Times New Roman" w:hAnsi="Times New Roman" w:cs="Times New Roman"/>
          <w:kern w:val="0"/>
          <w14:ligatures w14:val="none"/>
        </w:rPr>
        <w:t>az apixabán farmakodinámiás hatásainak visszafordulását, ami az infúzió végén nyilvánvaló volt, és a 30 perces 4-faktoros PCC infúzió kezdetétől számított 4 órán belül elérte a kiindulási értékeket. Mindamellett nincs klinikai tapasztalat az apixabánnal kezelt betegek vérzésének leállítására adott 4-faktoros PCC készítmények alkalmazására vonatkozóan. Jelenleg még nincs tapasztalat a rekombináns VIIa-faktor történő alkalmazásával kapcsolatban apixabánt szedő betegeknél. A vérzés csökkenésétől függően megfontolandó a rekombináns VIIa-faktor ismételt adása és a dózis módosítása.</w:t>
      </w:r>
    </w:p>
    <w:p w14:paraId="5AC1CC8C"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
    <w:p w14:paraId="57D0F185"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Az apixabán farmakodinámiás hatását antagonizáló specifikus antidotumot (andexanet-alfa) nem vizsgálták gyermekek és serdülők körében (lásd az andexanet-alfa alkalmazási előírását). Friss fagyasztott plazma transzfúziója, rothrombin komplex koncentrátumok (PCC-k) alkalmazása vagy rekombináns VIIa-faktor alkalmazása is mérlegelhető.</w:t>
      </w:r>
    </w:p>
    <w:p w14:paraId="05CE7348"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
    <w:p w14:paraId="5C293D36"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Súlyos vérzés esetén, helyi elérhetőségtől függően, megfontolandó egy véralvadási szakértővel történő konzultáció.</w:t>
      </w:r>
    </w:p>
    <w:p w14:paraId="351E3954"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
    <w:p w14:paraId="638A16E4"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
    <w:p w14:paraId="439D1EB1" w14:textId="77777777" w:rsidR="00184569" w:rsidRPr="00184569" w:rsidRDefault="00184569" w:rsidP="008B021B">
      <w:pPr>
        <w:widowControl w:val="0"/>
        <w:numPr>
          <w:ilvl w:val="0"/>
          <w:numId w:val="2"/>
        </w:numPr>
        <w:autoSpaceDE w:val="0"/>
        <w:autoSpaceDN w:val="0"/>
        <w:spacing w:after="0" w:line="240" w:lineRule="auto"/>
        <w:ind w:left="567"/>
        <w:outlineLvl w:val="0"/>
        <w:rPr>
          <w:rFonts w:ascii="Times New Roman" w:eastAsia="Times New Roman" w:hAnsi="Times New Roman" w:cs="Times New Roman"/>
          <w:b/>
          <w:bCs/>
          <w:kern w:val="0"/>
          <w14:ligatures w14:val="none"/>
        </w:rPr>
      </w:pPr>
      <w:r w:rsidRPr="00184569">
        <w:rPr>
          <w:rFonts w:ascii="Times New Roman" w:eastAsia="Times New Roman" w:hAnsi="Times New Roman" w:cs="Times New Roman"/>
          <w:b/>
          <w:bCs/>
          <w:kern w:val="0"/>
          <w14:ligatures w14:val="none"/>
        </w:rPr>
        <w:t>FARMAKOLÓGIAI TULAJDONSÁGOK</w:t>
      </w:r>
    </w:p>
    <w:p w14:paraId="7DAF3B6C"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b/>
          <w:kern w:val="0"/>
          <w14:ligatures w14:val="none"/>
        </w:rPr>
      </w:pPr>
    </w:p>
    <w:p w14:paraId="4687973E" w14:textId="77777777" w:rsidR="00184569" w:rsidRPr="00184569" w:rsidRDefault="00184569" w:rsidP="008B021B">
      <w:pPr>
        <w:widowControl w:val="0"/>
        <w:numPr>
          <w:ilvl w:val="1"/>
          <w:numId w:val="2"/>
        </w:numPr>
        <w:autoSpaceDE w:val="0"/>
        <w:autoSpaceDN w:val="0"/>
        <w:spacing w:after="0" w:line="240" w:lineRule="auto"/>
        <w:ind w:left="567"/>
        <w:outlineLvl w:val="1"/>
        <w:rPr>
          <w:rFonts w:ascii="Times New Roman" w:eastAsia="Times New Roman" w:hAnsi="Times New Roman" w:cs="Times New Roman"/>
          <w:b/>
          <w:bCs/>
          <w:kern w:val="0"/>
          <w14:ligatures w14:val="none"/>
        </w:rPr>
      </w:pPr>
      <w:r w:rsidRPr="00184569">
        <w:rPr>
          <w:rFonts w:ascii="Times New Roman" w:eastAsia="Times New Roman" w:hAnsi="Times New Roman" w:cs="Times New Roman"/>
          <w:b/>
          <w:bCs/>
          <w:kern w:val="0"/>
          <w14:ligatures w14:val="none"/>
        </w:rPr>
        <w:t>Farmakodinámiás tulajdonságok</w:t>
      </w:r>
    </w:p>
    <w:p w14:paraId="5AC20CD9"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b/>
          <w:kern w:val="0"/>
          <w14:ligatures w14:val="none"/>
        </w:rPr>
      </w:pPr>
    </w:p>
    <w:p w14:paraId="6173CD2D"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Farmakoterápiás csoport: antithrombotikus szerek, direkt Xa-faktor-inhibitorok, ATC kód: B01AF02</w:t>
      </w:r>
    </w:p>
    <w:p w14:paraId="32932A37"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
    <w:p w14:paraId="52C744EA"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u w:val="single"/>
          <w14:ligatures w14:val="none"/>
        </w:rPr>
      </w:pPr>
      <w:r w:rsidRPr="00184569">
        <w:rPr>
          <w:rFonts w:ascii="Times New Roman" w:eastAsia="Times New Roman" w:hAnsi="Times New Roman" w:cs="Times New Roman"/>
          <w:kern w:val="0"/>
          <w:u w:val="single"/>
          <w14:ligatures w14:val="none"/>
        </w:rPr>
        <w:t>Hatásmechanizmus</w:t>
      </w:r>
    </w:p>
    <w:p w14:paraId="41ABA30B"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
    <w:p w14:paraId="709AB542"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Az apixabán a Xa-faktor aktív centrumának egy erős, orális, reverzibilis, direkt és nagy szelektivitású inhibitora. Az antithromboticus hatás kifejtéséhez nem igényel antithrombin III-at. Az apixabán gátolja a szabad és a véralvadékhoz kötött Xa-faktort és a prothrombináz-aktivitást. Az apixabán nincs közvetlen hatással a thrombocytaaggregációra, de közvetetten gátolja a thrombin indukálta thrombocytaaggregációt. A Xa-faktor gátlásával az apixabán megakadályozza a thrombin képződését és a thrombusok kialakulását. Az állatmodelleken apixabánnal végzett preklinikai vizsgálatok a haemostasist fenntartó dózisok mellett kimutatták az artériás és vénás thrombosis megelőzésére alkalmas antithromboticus hatásosságot.</w:t>
      </w:r>
    </w:p>
    <w:p w14:paraId="7A28A420"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
    <w:p w14:paraId="042D6946"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u w:val="single"/>
          <w14:ligatures w14:val="none"/>
        </w:rPr>
        <w:t>Farmakodinámiás hatások</w:t>
      </w:r>
    </w:p>
    <w:p w14:paraId="5D2C4977"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
    <w:p w14:paraId="070B4C6D"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Az apixabán farmakodinámiás hatásai a hatásmechanizmusával (Xa-faktor gátlása) vannak összhangban. A Xa-faktor-gátlás eredményeképpen az apixabán megnyújtja a véralvadási tesztek eredményeit, így a prothrombinidőt (PI), az INR-t és az aktivált parciális thromboplastinidőt (aPTI). Felnőtteknél a véralvadási vizsgálatok eredményeiben megfigyelt változások az elvárt terápiás adagolás mellett mérsékeltek és nagy variabilitást mutatnak. Ezek a vizsgálatok nem javasoltak az apixabán farmakodinámiás hatásának értékelésére. A thrombinképződési tesztben az apixabán csökkentette az endogén thrombin potenciált, amely humán plazmában a thrombinképződés mutatója.</w:t>
      </w:r>
    </w:p>
    <w:p w14:paraId="577F9E2E"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
    <w:p w14:paraId="55E42779"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Az apixabán Xa-faktor-ellenes aktivitást (anti-Factor Xa activity, AXA) is mutat, ami többféle, kereskedelmi forgalomban kapható Xa</w:t>
      </w:r>
      <w:r w:rsidRPr="00184569">
        <w:rPr>
          <w:rFonts w:ascii="Times New Roman" w:eastAsia="Times New Roman" w:hAnsi="Times New Roman" w:cs="Times New Roman"/>
          <w:kern w:val="0"/>
          <w14:ligatures w14:val="none"/>
        </w:rPr>
        <w:noBreakHyphen/>
        <w:t>faktor-ellenes vizsgálati szett (kit) esetén is jelentkező Xa-faktor enzim aktivitásának csökkenéséből is nyilvánvaló, bár az eredmények szettenként változnak. Felnőttek klinikai vizsgálatából származó adatok kizárólag a Rotachrom® Heparin kromogén teszttel állnak rendelkezésre. A Xa-faktor-ellenes aktivitás szoros és közvetlen lineáris összefüggést mutat az apixabán plazmakoncentrációjával, maximális értékét az apixabán plazma-csúcskoncentrációjának időpontjában éri el. Az apixabán plazmakoncentrációja és Xa-faktor-ellenes aktivitása közti összefüggés az apixabán széles dózistartományában megközelítőleg lineáris.</w:t>
      </w:r>
    </w:p>
    <w:p w14:paraId="2CCB21DA"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A gyermekeknél és serdülőknél végzett vizsgálatok azt mutatják, hogy az apixabán koncentrációja és a Xa-faktor-ellenes aktivitás közötti lineáris összefüggés konzisztens a felnőtteknél már korábban dokumentált összefüggéssel. Ez alátámasztja az apixabán szelektív Xa-faktor-gátlóként dokumentált hatásmechanizmusát.</w:t>
      </w:r>
    </w:p>
    <w:p w14:paraId="07DE7A52"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
    <w:p w14:paraId="7D075242"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Az alábbi, 4. táblázat a dinamikus egyensúlyi állapotban (steady state) várható apixabán-koncentrációt és Xa-faktor-ellenes aktivitást mutatja a felnőttekre vonatkozó indikációkban. Nem valvuláris</w:t>
      </w:r>
      <w:r w:rsidRPr="00184569" w:rsidDel="00997A93">
        <w:rPr>
          <w:rFonts w:ascii="Times New Roman" w:eastAsia="Times New Roman" w:hAnsi="Times New Roman" w:cs="Times New Roman"/>
          <w:kern w:val="0"/>
          <w14:ligatures w14:val="none"/>
        </w:rPr>
        <w:t xml:space="preserve"> </w:t>
      </w:r>
      <w:r w:rsidRPr="00184569">
        <w:rPr>
          <w:rFonts w:ascii="Times New Roman" w:eastAsia="Times New Roman" w:hAnsi="Times New Roman" w:cs="Times New Roman"/>
          <w:kern w:val="0"/>
          <w14:ligatures w14:val="none"/>
        </w:rPr>
        <w:t xml:space="preserve">pitvarfibrillációban szenvedő betegeknél, akik az apixabánt a stroke és a szisztémás embolizáció megelőzésére szedik, az eredmények </w:t>
      </w:r>
      <w:proofErr w:type="gramStart"/>
      <w:r w:rsidRPr="00184569">
        <w:rPr>
          <w:rFonts w:ascii="Times New Roman" w:eastAsia="Times New Roman" w:hAnsi="Times New Roman" w:cs="Times New Roman"/>
          <w:kern w:val="0"/>
          <w14:ligatures w14:val="none"/>
        </w:rPr>
        <w:t>kevesebb</w:t>
      </w:r>
      <w:proofErr w:type="gramEnd"/>
      <w:r w:rsidRPr="00184569">
        <w:rPr>
          <w:rFonts w:ascii="Times New Roman" w:eastAsia="Times New Roman" w:hAnsi="Times New Roman" w:cs="Times New Roman"/>
          <w:kern w:val="0"/>
          <w14:ligatures w14:val="none"/>
        </w:rPr>
        <w:t xml:space="preserve"> mint 1,7-szeres ingadozást mutatnak a legmagasabb és a legalacsonyabb szintek között. Az MVT és a PE kezelésére, illetve az MVT és a PE kiújulásának megelőzésére apixabánt szedő betegeknél az eredmények </w:t>
      </w:r>
      <w:proofErr w:type="gramStart"/>
      <w:r w:rsidRPr="00184569">
        <w:rPr>
          <w:rFonts w:ascii="Times New Roman" w:eastAsia="Times New Roman" w:hAnsi="Times New Roman" w:cs="Times New Roman"/>
          <w:kern w:val="0"/>
          <w14:ligatures w14:val="none"/>
        </w:rPr>
        <w:t>kevesebb</w:t>
      </w:r>
      <w:proofErr w:type="gramEnd"/>
      <w:r w:rsidRPr="00184569">
        <w:rPr>
          <w:rFonts w:ascii="Times New Roman" w:eastAsia="Times New Roman" w:hAnsi="Times New Roman" w:cs="Times New Roman"/>
          <w:kern w:val="0"/>
          <w14:ligatures w14:val="none"/>
        </w:rPr>
        <w:t xml:space="preserve"> mint 2,2-szeres fluktuációt mutatnak a legmagasabb és a legalacsonyabb szintek között.</w:t>
      </w:r>
    </w:p>
    <w:p w14:paraId="1CEBB034"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
    <w:p w14:paraId="18D3890B" w14:textId="77777777" w:rsidR="00184569" w:rsidRPr="00184569" w:rsidRDefault="00184569" w:rsidP="00184569">
      <w:pPr>
        <w:widowControl w:val="0"/>
        <w:autoSpaceDE w:val="0"/>
        <w:autoSpaceDN w:val="0"/>
        <w:spacing w:after="0" w:line="240" w:lineRule="auto"/>
        <w:outlineLvl w:val="1"/>
        <w:rPr>
          <w:rFonts w:ascii="Times New Roman" w:eastAsia="Times New Roman" w:hAnsi="Times New Roman" w:cs="Times New Roman"/>
          <w:b/>
          <w:bCs/>
          <w:kern w:val="0"/>
          <w14:ligatures w14:val="none"/>
        </w:rPr>
      </w:pPr>
      <w:r w:rsidRPr="00184569">
        <w:rPr>
          <w:rFonts w:ascii="Times New Roman" w:eastAsia="Times New Roman" w:hAnsi="Times New Roman" w:cs="Times New Roman"/>
          <w:b/>
          <w:bCs/>
          <w:kern w:val="0"/>
          <w14:ligatures w14:val="none"/>
        </w:rPr>
        <w:t>4. táblázat: Dinamikus egyensúlyi állapotban (steady state) várható apixabán-koncentráció és Xa-faktor-ellenes aktivitás</w:t>
      </w:r>
    </w:p>
    <w:tbl>
      <w:tblPr>
        <w:tblW w:w="9713"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53"/>
        <w:gridCol w:w="1915"/>
        <w:gridCol w:w="1915"/>
        <w:gridCol w:w="1915"/>
        <w:gridCol w:w="1915"/>
      </w:tblGrid>
      <w:tr w:rsidR="00184569" w:rsidRPr="00184569" w14:paraId="0392C7AA" w14:textId="77777777" w:rsidTr="00E16EC6">
        <w:trPr>
          <w:trHeight w:val="1336"/>
          <w:tblHeader/>
        </w:trPr>
        <w:tc>
          <w:tcPr>
            <w:tcW w:w="2053" w:type="dxa"/>
          </w:tcPr>
          <w:p w14:paraId="063D2FC9"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
        </w:tc>
        <w:tc>
          <w:tcPr>
            <w:tcW w:w="1915" w:type="dxa"/>
          </w:tcPr>
          <w:p w14:paraId="745EDBC0" w14:textId="77777777" w:rsidR="00184569" w:rsidRPr="00184569" w:rsidRDefault="00184569" w:rsidP="00184569">
            <w:pPr>
              <w:widowControl w:val="0"/>
              <w:autoSpaceDE w:val="0"/>
              <w:autoSpaceDN w:val="0"/>
              <w:spacing w:after="0" w:line="240" w:lineRule="auto"/>
              <w:ind w:hanging="18"/>
              <w:jc w:val="center"/>
              <w:rPr>
                <w:rFonts w:ascii="Times New Roman" w:eastAsia="Times New Roman" w:hAnsi="Times New Roman" w:cs="Times New Roman"/>
                <w:b/>
                <w:kern w:val="0"/>
                <w14:ligatures w14:val="none"/>
              </w:rPr>
            </w:pPr>
            <w:r w:rsidRPr="00184569">
              <w:rPr>
                <w:rFonts w:ascii="Times New Roman" w:eastAsia="Times New Roman" w:hAnsi="Times New Roman" w:cs="Times New Roman"/>
                <w:b/>
                <w:kern w:val="0"/>
                <w14:ligatures w14:val="none"/>
              </w:rPr>
              <w:t xml:space="preserve">apixabán </w:t>
            </w:r>
            <w:r w:rsidRPr="00184569">
              <w:rPr>
                <w:rFonts w:ascii="Times New Roman" w:eastAsia="Times New Roman" w:hAnsi="Times New Roman" w:cs="Times New Roman"/>
                <w:b/>
                <w:kern w:val="0"/>
                <w:position w:val="2"/>
                <w14:ligatures w14:val="none"/>
              </w:rPr>
              <w:t>C</w:t>
            </w:r>
            <w:r w:rsidRPr="00184569">
              <w:rPr>
                <w:rFonts w:ascii="Times New Roman" w:eastAsia="Times New Roman" w:hAnsi="Times New Roman" w:cs="Times New Roman"/>
                <w:b/>
                <w:kern w:val="0"/>
                <w:vertAlign w:val="subscript"/>
                <w14:ligatures w14:val="none"/>
              </w:rPr>
              <w:t>max</w:t>
            </w:r>
            <w:r w:rsidRPr="00184569">
              <w:rPr>
                <w:rFonts w:ascii="Times New Roman" w:eastAsia="Times New Roman" w:hAnsi="Times New Roman" w:cs="Times New Roman"/>
                <w:b/>
                <w:kern w:val="0"/>
                <w14:ligatures w14:val="none"/>
              </w:rPr>
              <w:t xml:space="preserve"> </w:t>
            </w:r>
            <w:r w:rsidRPr="00184569">
              <w:rPr>
                <w:rFonts w:ascii="Times New Roman" w:eastAsia="Times New Roman" w:hAnsi="Times New Roman" w:cs="Times New Roman"/>
                <w:b/>
                <w:kern w:val="0"/>
                <w:position w:val="2"/>
                <w14:ligatures w14:val="none"/>
              </w:rPr>
              <w:t>(ng/ml)</w:t>
            </w:r>
          </w:p>
        </w:tc>
        <w:tc>
          <w:tcPr>
            <w:tcW w:w="1915" w:type="dxa"/>
          </w:tcPr>
          <w:p w14:paraId="76215B9E" w14:textId="77777777" w:rsidR="00184569" w:rsidRPr="00184569" w:rsidRDefault="00184569" w:rsidP="00184569">
            <w:pPr>
              <w:widowControl w:val="0"/>
              <w:autoSpaceDE w:val="0"/>
              <w:autoSpaceDN w:val="0"/>
              <w:spacing w:after="0" w:line="240" w:lineRule="auto"/>
              <w:ind w:hanging="18"/>
              <w:jc w:val="center"/>
              <w:rPr>
                <w:rFonts w:ascii="Times New Roman" w:eastAsia="Times New Roman" w:hAnsi="Times New Roman" w:cs="Times New Roman"/>
                <w:b/>
                <w:kern w:val="0"/>
                <w14:ligatures w14:val="none"/>
              </w:rPr>
            </w:pPr>
            <w:r w:rsidRPr="00184569">
              <w:rPr>
                <w:rFonts w:ascii="Times New Roman" w:eastAsia="Times New Roman" w:hAnsi="Times New Roman" w:cs="Times New Roman"/>
                <w:b/>
                <w:kern w:val="0"/>
                <w14:ligatures w14:val="none"/>
              </w:rPr>
              <w:t>apixabán Cmin (ng/ml)</w:t>
            </w:r>
          </w:p>
        </w:tc>
        <w:tc>
          <w:tcPr>
            <w:tcW w:w="1915" w:type="dxa"/>
          </w:tcPr>
          <w:p w14:paraId="78C4BACD" w14:textId="77777777" w:rsidR="00184569" w:rsidRPr="00184569" w:rsidRDefault="00184569" w:rsidP="00184569">
            <w:pPr>
              <w:widowControl w:val="0"/>
              <w:autoSpaceDE w:val="0"/>
              <w:autoSpaceDN w:val="0"/>
              <w:spacing w:after="0" w:line="240" w:lineRule="auto"/>
              <w:ind w:hanging="18"/>
              <w:jc w:val="center"/>
              <w:rPr>
                <w:rFonts w:ascii="Times New Roman" w:eastAsia="Times New Roman" w:hAnsi="Times New Roman" w:cs="Times New Roman"/>
                <w:b/>
                <w:kern w:val="0"/>
                <w14:ligatures w14:val="none"/>
              </w:rPr>
            </w:pPr>
            <w:r w:rsidRPr="00184569">
              <w:rPr>
                <w:rFonts w:ascii="Times New Roman" w:eastAsia="Times New Roman" w:hAnsi="Times New Roman" w:cs="Times New Roman"/>
                <w:b/>
                <w:kern w:val="0"/>
                <w14:ligatures w14:val="none"/>
              </w:rPr>
              <w:t>apixabán</w:t>
            </w:r>
          </w:p>
          <w:p w14:paraId="2E3F34CC" w14:textId="282D7FBC" w:rsidR="00184569" w:rsidRPr="00184569" w:rsidRDefault="000C7391" w:rsidP="00184569">
            <w:pPr>
              <w:widowControl w:val="0"/>
              <w:autoSpaceDE w:val="0"/>
              <w:autoSpaceDN w:val="0"/>
              <w:spacing w:after="0" w:line="240" w:lineRule="auto"/>
              <w:ind w:hanging="18"/>
              <w:jc w:val="center"/>
              <w:rPr>
                <w:rFonts w:ascii="Times New Roman" w:eastAsia="Times New Roman" w:hAnsi="Times New Roman" w:cs="Times New Roman"/>
                <w:b/>
                <w:kern w:val="0"/>
                <w14:ligatures w14:val="none"/>
              </w:rPr>
            </w:pPr>
            <w:r w:rsidRPr="00184569">
              <w:rPr>
                <w:rFonts w:ascii="Times New Roman" w:eastAsia="Times New Roman" w:hAnsi="Times New Roman" w:cs="Times New Roman"/>
                <w:b/>
                <w:kern w:val="0"/>
                <w14:ligatures w14:val="none"/>
              </w:rPr>
              <w:t xml:space="preserve">maximális </w:t>
            </w:r>
            <w:r w:rsidR="00184569" w:rsidRPr="00184569">
              <w:rPr>
                <w:rFonts w:ascii="Times New Roman" w:eastAsia="Times New Roman" w:hAnsi="Times New Roman" w:cs="Times New Roman"/>
                <w:b/>
                <w:kern w:val="0"/>
                <w14:ligatures w14:val="none"/>
              </w:rPr>
              <w:t>Xa</w:t>
            </w:r>
            <w:r>
              <w:rPr>
                <w:rFonts w:ascii="Times New Roman" w:eastAsia="Times New Roman" w:hAnsi="Times New Roman" w:cs="Times New Roman"/>
                <w:b/>
                <w:kern w:val="0"/>
                <w14:ligatures w14:val="none"/>
              </w:rPr>
              <w:noBreakHyphen/>
            </w:r>
            <w:r w:rsidR="00184569" w:rsidRPr="00184569">
              <w:rPr>
                <w:rFonts w:ascii="Times New Roman" w:eastAsia="Times New Roman" w:hAnsi="Times New Roman" w:cs="Times New Roman"/>
                <w:b/>
                <w:kern w:val="0"/>
                <w14:ligatures w14:val="none"/>
              </w:rPr>
              <w:t>faktor-ellenes aktivitás (NE/ml)</w:t>
            </w:r>
          </w:p>
        </w:tc>
        <w:tc>
          <w:tcPr>
            <w:tcW w:w="1915" w:type="dxa"/>
          </w:tcPr>
          <w:p w14:paraId="49D9465B" w14:textId="77777777" w:rsidR="00184569" w:rsidRPr="00184569" w:rsidRDefault="00184569" w:rsidP="00184569">
            <w:pPr>
              <w:widowControl w:val="0"/>
              <w:autoSpaceDE w:val="0"/>
              <w:autoSpaceDN w:val="0"/>
              <w:spacing w:after="0" w:line="240" w:lineRule="auto"/>
              <w:ind w:hanging="18"/>
              <w:jc w:val="center"/>
              <w:rPr>
                <w:rFonts w:ascii="Times New Roman" w:eastAsia="Times New Roman" w:hAnsi="Times New Roman" w:cs="Times New Roman"/>
                <w:b/>
                <w:kern w:val="0"/>
                <w14:ligatures w14:val="none"/>
              </w:rPr>
            </w:pPr>
            <w:r w:rsidRPr="00184569">
              <w:rPr>
                <w:rFonts w:ascii="Times New Roman" w:eastAsia="Times New Roman" w:hAnsi="Times New Roman" w:cs="Times New Roman"/>
                <w:b/>
                <w:kern w:val="0"/>
                <w14:ligatures w14:val="none"/>
              </w:rPr>
              <w:t xml:space="preserve">apixabán </w:t>
            </w:r>
          </w:p>
          <w:p w14:paraId="2F6CFF81" w14:textId="70D7F239" w:rsidR="00184569" w:rsidRPr="00184569" w:rsidRDefault="000C7391" w:rsidP="00184569">
            <w:pPr>
              <w:widowControl w:val="0"/>
              <w:autoSpaceDE w:val="0"/>
              <w:autoSpaceDN w:val="0"/>
              <w:spacing w:after="0" w:line="240" w:lineRule="auto"/>
              <w:ind w:hanging="18"/>
              <w:jc w:val="center"/>
              <w:rPr>
                <w:rFonts w:ascii="Times New Roman" w:eastAsia="Times New Roman" w:hAnsi="Times New Roman" w:cs="Times New Roman"/>
                <w:b/>
                <w:kern w:val="0"/>
                <w14:ligatures w14:val="none"/>
              </w:rPr>
            </w:pPr>
            <w:r w:rsidRPr="00184569">
              <w:rPr>
                <w:rFonts w:ascii="Times New Roman" w:eastAsia="Times New Roman" w:hAnsi="Times New Roman" w:cs="Times New Roman"/>
                <w:b/>
                <w:kern w:val="0"/>
                <w14:ligatures w14:val="none"/>
              </w:rPr>
              <w:t xml:space="preserve">minimális </w:t>
            </w:r>
            <w:r w:rsidR="00184569" w:rsidRPr="00184569">
              <w:rPr>
                <w:rFonts w:ascii="Times New Roman" w:eastAsia="Times New Roman" w:hAnsi="Times New Roman" w:cs="Times New Roman"/>
                <w:b/>
                <w:kern w:val="0"/>
                <w14:ligatures w14:val="none"/>
              </w:rPr>
              <w:t>Xa</w:t>
            </w:r>
            <w:r>
              <w:rPr>
                <w:rFonts w:ascii="Times New Roman" w:eastAsia="Times New Roman" w:hAnsi="Times New Roman" w:cs="Times New Roman"/>
                <w:b/>
                <w:kern w:val="0"/>
                <w14:ligatures w14:val="none"/>
              </w:rPr>
              <w:noBreakHyphen/>
            </w:r>
            <w:r w:rsidR="00184569" w:rsidRPr="00184569">
              <w:rPr>
                <w:rFonts w:ascii="Times New Roman" w:eastAsia="Times New Roman" w:hAnsi="Times New Roman" w:cs="Times New Roman"/>
                <w:b/>
                <w:kern w:val="0"/>
                <w14:ligatures w14:val="none"/>
              </w:rPr>
              <w:t>faktor-ellenes aktivitás (NE/ml)</w:t>
            </w:r>
          </w:p>
        </w:tc>
      </w:tr>
      <w:tr w:rsidR="00184569" w:rsidRPr="00184569" w14:paraId="2949F8F2" w14:textId="77777777" w:rsidTr="00E16EC6">
        <w:trPr>
          <w:trHeight w:val="283"/>
        </w:trPr>
        <w:tc>
          <w:tcPr>
            <w:tcW w:w="2053" w:type="dxa"/>
          </w:tcPr>
          <w:p w14:paraId="31028965"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
        </w:tc>
        <w:tc>
          <w:tcPr>
            <w:tcW w:w="7660" w:type="dxa"/>
            <w:gridSpan w:val="4"/>
          </w:tcPr>
          <w:p w14:paraId="495DA9DA" w14:textId="77777777" w:rsidR="00184569" w:rsidRPr="00184569" w:rsidRDefault="00184569" w:rsidP="00184569">
            <w:pPr>
              <w:widowControl w:val="0"/>
              <w:autoSpaceDE w:val="0"/>
              <w:autoSpaceDN w:val="0"/>
              <w:spacing w:after="0" w:line="240" w:lineRule="auto"/>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medián [5; 95 percentilis]</w:t>
            </w:r>
          </w:p>
        </w:tc>
      </w:tr>
      <w:tr w:rsidR="00184569" w:rsidRPr="00184569" w14:paraId="5519432E" w14:textId="77777777" w:rsidTr="00E16EC6">
        <w:trPr>
          <w:trHeight w:val="259"/>
        </w:trPr>
        <w:tc>
          <w:tcPr>
            <w:tcW w:w="9713" w:type="dxa"/>
            <w:gridSpan w:val="5"/>
            <w:vAlign w:val="center"/>
          </w:tcPr>
          <w:p w14:paraId="15E03335" w14:textId="77777777" w:rsidR="00184569" w:rsidRPr="00184569" w:rsidRDefault="00184569" w:rsidP="00184569">
            <w:pPr>
              <w:widowControl w:val="0"/>
              <w:autoSpaceDE w:val="0"/>
              <w:autoSpaceDN w:val="0"/>
              <w:spacing w:after="0" w:line="240" w:lineRule="auto"/>
              <w:ind w:left="107"/>
              <w:rPr>
                <w:rFonts w:ascii="Times New Roman" w:eastAsia="Times New Roman" w:hAnsi="Times New Roman" w:cs="Times New Roman"/>
                <w:i/>
                <w:kern w:val="0"/>
                <w14:ligatures w14:val="none"/>
              </w:rPr>
            </w:pPr>
            <w:r w:rsidRPr="00184569">
              <w:rPr>
                <w:rFonts w:ascii="Times New Roman" w:eastAsia="Times New Roman" w:hAnsi="Times New Roman" w:cs="Times New Roman"/>
                <w:i/>
                <w:kern w:val="0"/>
                <w14:ligatures w14:val="none"/>
              </w:rPr>
              <w:t>A stroke és a szisztémás embolizáció megelőzése: NVPF</w:t>
            </w:r>
          </w:p>
        </w:tc>
      </w:tr>
      <w:tr w:rsidR="00184569" w:rsidRPr="00184569" w14:paraId="2756395B" w14:textId="77777777" w:rsidTr="00E16EC6">
        <w:trPr>
          <w:trHeight w:val="419"/>
        </w:trPr>
        <w:tc>
          <w:tcPr>
            <w:tcW w:w="2053" w:type="dxa"/>
          </w:tcPr>
          <w:p w14:paraId="45332E20" w14:textId="77777777" w:rsidR="00184569" w:rsidRPr="00184569" w:rsidRDefault="00184569" w:rsidP="00184569">
            <w:pPr>
              <w:widowControl w:val="0"/>
              <w:autoSpaceDE w:val="0"/>
              <w:autoSpaceDN w:val="0"/>
              <w:spacing w:after="0" w:line="240" w:lineRule="auto"/>
              <w:ind w:left="107"/>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2,5 mg naponta kétszer</w:t>
            </w:r>
            <w:bookmarkStart w:id="2" w:name="_Hlk76676253"/>
            <w:r w:rsidRPr="00184569">
              <w:rPr>
                <w:rFonts w:ascii="Times New Roman" w:eastAsia="Times New Roman" w:hAnsi="Times New Roman" w:cs="Times New Roman"/>
                <w:kern w:val="0"/>
                <w14:ligatures w14:val="none"/>
              </w:rPr>
              <w:t>*</w:t>
            </w:r>
            <w:bookmarkEnd w:id="2"/>
          </w:p>
        </w:tc>
        <w:tc>
          <w:tcPr>
            <w:tcW w:w="1915" w:type="dxa"/>
          </w:tcPr>
          <w:p w14:paraId="577D6979" w14:textId="77777777" w:rsidR="00184569" w:rsidRPr="00184569" w:rsidRDefault="00184569" w:rsidP="00184569">
            <w:pPr>
              <w:widowControl w:val="0"/>
              <w:autoSpaceDE w:val="0"/>
              <w:autoSpaceDN w:val="0"/>
              <w:spacing w:after="0" w:line="240" w:lineRule="auto"/>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123 [69; 221]</w:t>
            </w:r>
          </w:p>
        </w:tc>
        <w:tc>
          <w:tcPr>
            <w:tcW w:w="1915" w:type="dxa"/>
          </w:tcPr>
          <w:p w14:paraId="01443DB9" w14:textId="77777777" w:rsidR="00184569" w:rsidRPr="00184569" w:rsidRDefault="00184569" w:rsidP="00184569">
            <w:pPr>
              <w:widowControl w:val="0"/>
              <w:autoSpaceDE w:val="0"/>
              <w:autoSpaceDN w:val="0"/>
              <w:spacing w:after="0" w:line="240" w:lineRule="auto"/>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79 [34; 162]</w:t>
            </w:r>
          </w:p>
        </w:tc>
        <w:tc>
          <w:tcPr>
            <w:tcW w:w="1915" w:type="dxa"/>
          </w:tcPr>
          <w:p w14:paraId="320091DD" w14:textId="77777777" w:rsidR="00184569" w:rsidRPr="00184569" w:rsidRDefault="00184569" w:rsidP="00184569">
            <w:pPr>
              <w:widowControl w:val="0"/>
              <w:autoSpaceDE w:val="0"/>
              <w:autoSpaceDN w:val="0"/>
              <w:spacing w:after="0" w:line="240" w:lineRule="auto"/>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1,8 [1,0; 3,3]</w:t>
            </w:r>
          </w:p>
        </w:tc>
        <w:tc>
          <w:tcPr>
            <w:tcW w:w="1915" w:type="dxa"/>
          </w:tcPr>
          <w:p w14:paraId="5AE892D7" w14:textId="77777777" w:rsidR="00184569" w:rsidRPr="00184569" w:rsidRDefault="00184569" w:rsidP="00184569">
            <w:pPr>
              <w:widowControl w:val="0"/>
              <w:autoSpaceDE w:val="0"/>
              <w:autoSpaceDN w:val="0"/>
              <w:spacing w:after="0" w:line="240" w:lineRule="auto"/>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1,2 [0,51; 2,4]</w:t>
            </w:r>
          </w:p>
        </w:tc>
      </w:tr>
      <w:tr w:rsidR="00184569" w:rsidRPr="00184569" w14:paraId="4454B1FB" w14:textId="77777777" w:rsidTr="00E16EC6">
        <w:trPr>
          <w:trHeight w:val="327"/>
        </w:trPr>
        <w:tc>
          <w:tcPr>
            <w:tcW w:w="2053" w:type="dxa"/>
          </w:tcPr>
          <w:p w14:paraId="31E321CA" w14:textId="77777777" w:rsidR="00184569" w:rsidRPr="00184569" w:rsidRDefault="00184569" w:rsidP="00184569">
            <w:pPr>
              <w:widowControl w:val="0"/>
              <w:autoSpaceDE w:val="0"/>
              <w:autoSpaceDN w:val="0"/>
              <w:spacing w:after="0" w:line="240" w:lineRule="auto"/>
              <w:ind w:left="107"/>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5 mg naponta kétszer</w:t>
            </w:r>
          </w:p>
        </w:tc>
        <w:tc>
          <w:tcPr>
            <w:tcW w:w="1915" w:type="dxa"/>
          </w:tcPr>
          <w:p w14:paraId="71941207" w14:textId="77777777" w:rsidR="00184569" w:rsidRPr="00184569" w:rsidRDefault="00184569" w:rsidP="00184569">
            <w:pPr>
              <w:widowControl w:val="0"/>
              <w:autoSpaceDE w:val="0"/>
              <w:autoSpaceDN w:val="0"/>
              <w:spacing w:after="0" w:line="240" w:lineRule="auto"/>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171 [91; 321]</w:t>
            </w:r>
          </w:p>
        </w:tc>
        <w:tc>
          <w:tcPr>
            <w:tcW w:w="1915" w:type="dxa"/>
          </w:tcPr>
          <w:p w14:paraId="588499F7" w14:textId="77777777" w:rsidR="00184569" w:rsidRPr="00184569" w:rsidRDefault="00184569" w:rsidP="00184569">
            <w:pPr>
              <w:widowControl w:val="0"/>
              <w:autoSpaceDE w:val="0"/>
              <w:autoSpaceDN w:val="0"/>
              <w:spacing w:after="0" w:line="240" w:lineRule="auto"/>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103 [41; 230]</w:t>
            </w:r>
          </w:p>
        </w:tc>
        <w:tc>
          <w:tcPr>
            <w:tcW w:w="1915" w:type="dxa"/>
          </w:tcPr>
          <w:p w14:paraId="721389A5" w14:textId="77777777" w:rsidR="00184569" w:rsidRPr="00184569" w:rsidRDefault="00184569" w:rsidP="00184569">
            <w:pPr>
              <w:widowControl w:val="0"/>
              <w:autoSpaceDE w:val="0"/>
              <w:autoSpaceDN w:val="0"/>
              <w:spacing w:after="0" w:line="240" w:lineRule="auto"/>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2,6 [1,4; 4,8]</w:t>
            </w:r>
          </w:p>
        </w:tc>
        <w:tc>
          <w:tcPr>
            <w:tcW w:w="1915" w:type="dxa"/>
          </w:tcPr>
          <w:p w14:paraId="729474E0" w14:textId="77777777" w:rsidR="00184569" w:rsidRPr="00184569" w:rsidRDefault="00184569" w:rsidP="00184569">
            <w:pPr>
              <w:widowControl w:val="0"/>
              <w:autoSpaceDE w:val="0"/>
              <w:autoSpaceDN w:val="0"/>
              <w:spacing w:after="0" w:line="240" w:lineRule="auto"/>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1,5 [0,61; 3,4]</w:t>
            </w:r>
          </w:p>
        </w:tc>
      </w:tr>
      <w:tr w:rsidR="00184569" w:rsidRPr="00184569" w14:paraId="36A06732" w14:textId="77777777" w:rsidTr="00E16EC6">
        <w:trPr>
          <w:trHeight w:val="276"/>
        </w:trPr>
        <w:tc>
          <w:tcPr>
            <w:tcW w:w="9713" w:type="dxa"/>
            <w:gridSpan w:val="5"/>
            <w:vAlign w:val="center"/>
          </w:tcPr>
          <w:p w14:paraId="003CC6B9" w14:textId="77777777" w:rsidR="00184569" w:rsidRPr="00184569" w:rsidRDefault="00184569" w:rsidP="00184569">
            <w:pPr>
              <w:widowControl w:val="0"/>
              <w:autoSpaceDE w:val="0"/>
              <w:autoSpaceDN w:val="0"/>
              <w:spacing w:after="0" w:line="240" w:lineRule="auto"/>
              <w:ind w:left="107"/>
              <w:rPr>
                <w:rFonts w:ascii="Times New Roman" w:eastAsia="Times New Roman" w:hAnsi="Times New Roman" w:cs="Times New Roman"/>
                <w:i/>
                <w:kern w:val="0"/>
                <w14:ligatures w14:val="none"/>
              </w:rPr>
            </w:pPr>
            <w:r w:rsidRPr="00184569">
              <w:rPr>
                <w:rFonts w:ascii="Times New Roman" w:eastAsia="Times New Roman" w:hAnsi="Times New Roman" w:cs="Times New Roman"/>
                <w:i/>
                <w:kern w:val="0"/>
                <w14:ligatures w14:val="none"/>
              </w:rPr>
              <w:t>Az MVT kezelése, a PE kezelése, valamint az MVT és a PE kiújulásának megelőzése (VTEt)</w:t>
            </w:r>
          </w:p>
        </w:tc>
      </w:tr>
      <w:tr w:rsidR="00184569" w:rsidRPr="00184569" w14:paraId="1F3FF3FB" w14:textId="77777777" w:rsidTr="00E16EC6">
        <w:trPr>
          <w:trHeight w:val="422"/>
        </w:trPr>
        <w:tc>
          <w:tcPr>
            <w:tcW w:w="2053" w:type="dxa"/>
          </w:tcPr>
          <w:p w14:paraId="42A3C7A6" w14:textId="77777777" w:rsidR="00184569" w:rsidRPr="00184569" w:rsidRDefault="00184569" w:rsidP="00184569">
            <w:pPr>
              <w:widowControl w:val="0"/>
              <w:autoSpaceDE w:val="0"/>
              <w:autoSpaceDN w:val="0"/>
              <w:spacing w:after="0" w:line="240" w:lineRule="auto"/>
              <w:ind w:left="107"/>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2,5 mg naponta kétszer</w:t>
            </w:r>
          </w:p>
        </w:tc>
        <w:tc>
          <w:tcPr>
            <w:tcW w:w="1915" w:type="dxa"/>
          </w:tcPr>
          <w:p w14:paraId="202F1568" w14:textId="77777777" w:rsidR="00184569" w:rsidRPr="00184569" w:rsidRDefault="00184569" w:rsidP="00184569">
            <w:pPr>
              <w:widowControl w:val="0"/>
              <w:autoSpaceDE w:val="0"/>
              <w:autoSpaceDN w:val="0"/>
              <w:spacing w:after="0" w:line="240" w:lineRule="auto"/>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67 [30; 153]</w:t>
            </w:r>
          </w:p>
        </w:tc>
        <w:tc>
          <w:tcPr>
            <w:tcW w:w="1915" w:type="dxa"/>
          </w:tcPr>
          <w:p w14:paraId="4954F20D" w14:textId="77777777" w:rsidR="00184569" w:rsidRPr="00184569" w:rsidRDefault="00184569" w:rsidP="00184569">
            <w:pPr>
              <w:widowControl w:val="0"/>
              <w:autoSpaceDE w:val="0"/>
              <w:autoSpaceDN w:val="0"/>
              <w:spacing w:after="0" w:line="240" w:lineRule="auto"/>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32 [11; 90]</w:t>
            </w:r>
          </w:p>
        </w:tc>
        <w:tc>
          <w:tcPr>
            <w:tcW w:w="1915" w:type="dxa"/>
          </w:tcPr>
          <w:p w14:paraId="5AD6AA32" w14:textId="77777777" w:rsidR="00184569" w:rsidRPr="00184569" w:rsidRDefault="00184569" w:rsidP="00184569">
            <w:pPr>
              <w:widowControl w:val="0"/>
              <w:autoSpaceDE w:val="0"/>
              <w:autoSpaceDN w:val="0"/>
              <w:spacing w:after="0" w:line="240" w:lineRule="auto"/>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1,0 [0,46; 2,5]</w:t>
            </w:r>
          </w:p>
        </w:tc>
        <w:tc>
          <w:tcPr>
            <w:tcW w:w="1915" w:type="dxa"/>
          </w:tcPr>
          <w:p w14:paraId="784C3952" w14:textId="77777777" w:rsidR="00184569" w:rsidRPr="00184569" w:rsidRDefault="00184569" w:rsidP="00184569">
            <w:pPr>
              <w:widowControl w:val="0"/>
              <w:autoSpaceDE w:val="0"/>
              <w:autoSpaceDN w:val="0"/>
              <w:spacing w:after="0" w:line="240" w:lineRule="auto"/>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0,49 [0,17; 1,4]</w:t>
            </w:r>
          </w:p>
        </w:tc>
      </w:tr>
      <w:tr w:rsidR="00184569" w:rsidRPr="00184569" w14:paraId="759ED4EF" w14:textId="77777777" w:rsidTr="00E16EC6">
        <w:trPr>
          <w:trHeight w:val="329"/>
        </w:trPr>
        <w:tc>
          <w:tcPr>
            <w:tcW w:w="2053" w:type="dxa"/>
          </w:tcPr>
          <w:p w14:paraId="737F9AF4" w14:textId="77777777" w:rsidR="00184569" w:rsidRPr="00184569" w:rsidRDefault="00184569" w:rsidP="00184569">
            <w:pPr>
              <w:widowControl w:val="0"/>
              <w:autoSpaceDE w:val="0"/>
              <w:autoSpaceDN w:val="0"/>
              <w:spacing w:after="0" w:line="240" w:lineRule="auto"/>
              <w:ind w:left="107"/>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5 mg naponta kétszer</w:t>
            </w:r>
          </w:p>
        </w:tc>
        <w:tc>
          <w:tcPr>
            <w:tcW w:w="1915" w:type="dxa"/>
          </w:tcPr>
          <w:p w14:paraId="01687A61" w14:textId="77777777" w:rsidR="00184569" w:rsidRPr="00184569" w:rsidRDefault="00184569" w:rsidP="00184569">
            <w:pPr>
              <w:widowControl w:val="0"/>
              <w:autoSpaceDE w:val="0"/>
              <w:autoSpaceDN w:val="0"/>
              <w:spacing w:after="0" w:line="240" w:lineRule="auto"/>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132 [59; 302]</w:t>
            </w:r>
          </w:p>
        </w:tc>
        <w:tc>
          <w:tcPr>
            <w:tcW w:w="1915" w:type="dxa"/>
          </w:tcPr>
          <w:p w14:paraId="202B98E8" w14:textId="77777777" w:rsidR="00184569" w:rsidRPr="00184569" w:rsidRDefault="00184569" w:rsidP="00184569">
            <w:pPr>
              <w:widowControl w:val="0"/>
              <w:autoSpaceDE w:val="0"/>
              <w:autoSpaceDN w:val="0"/>
              <w:spacing w:after="0" w:line="240" w:lineRule="auto"/>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63 [22; 177]</w:t>
            </w:r>
          </w:p>
        </w:tc>
        <w:tc>
          <w:tcPr>
            <w:tcW w:w="1915" w:type="dxa"/>
          </w:tcPr>
          <w:p w14:paraId="4395C291" w14:textId="77777777" w:rsidR="00184569" w:rsidRPr="00184569" w:rsidRDefault="00184569" w:rsidP="00184569">
            <w:pPr>
              <w:widowControl w:val="0"/>
              <w:autoSpaceDE w:val="0"/>
              <w:autoSpaceDN w:val="0"/>
              <w:spacing w:after="0" w:line="240" w:lineRule="auto"/>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2,1 [0,91; 5,2]</w:t>
            </w:r>
          </w:p>
        </w:tc>
        <w:tc>
          <w:tcPr>
            <w:tcW w:w="1915" w:type="dxa"/>
          </w:tcPr>
          <w:p w14:paraId="63560230" w14:textId="77777777" w:rsidR="00184569" w:rsidRPr="00184569" w:rsidRDefault="00184569" w:rsidP="00184569">
            <w:pPr>
              <w:widowControl w:val="0"/>
              <w:autoSpaceDE w:val="0"/>
              <w:autoSpaceDN w:val="0"/>
              <w:spacing w:after="0" w:line="240" w:lineRule="auto"/>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1,0 [0,33; 2,9]</w:t>
            </w:r>
          </w:p>
        </w:tc>
      </w:tr>
      <w:tr w:rsidR="00184569" w:rsidRPr="00184569" w14:paraId="3ECA800B" w14:textId="77777777" w:rsidTr="00E16EC6">
        <w:trPr>
          <w:trHeight w:val="419"/>
        </w:trPr>
        <w:tc>
          <w:tcPr>
            <w:tcW w:w="2053" w:type="dxa"/>
          </w:tcPr>
          <w:p w14:paraId="695BCB6F" w14:textId="77777777" w:rsidR="00184569" w:rsidRPr="00184569" w:rsidRDefault="00184569" w:rsidP="00184569">
            <w:pPr>
              <w:widowControl w:val="0"/>
              <w:autoSpaceDE w:val="0"/>
              <w:autoSpaceDN w:val="0"/>
              <w:spacing w:after="0" w:line="240" w:lineRule="auto"/>
              <w:ind w:left="107"/>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10 mg naponta kétszer</w:t>
            </w:r>
          </w:p>
        </w:tc>
        <w:tc>
          <w:tcPr>
            <w:tcW w:w="1915" w:type="dxa"/>
          </w:tcPr>
          <w:p w14:paraId="01984FD9" w14:textId="77777777" w:rsidR="00184569" w:rsidRPr="00184569" w:rsidRDefault="00184569" w:rsidP="00184569">
            <w:pPr>
              <w:widowControl w:val="0"/>
              <w:autoSpaceDE w:val="0"/>
              <w:autoSpaceDN w:val="0"/>
              <w:spacing w:after="0" w:line="240" w:lineRule="auto"/>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251 [111; 572]</w:t>
            </w:r>
          </w:p>
        </w:tc>
        <w:tc>
          <w:tcPr>
            <w:tcW w:w="1915" w:type="dxa"/>
          </w:tcPr>
          <w:p w14:paraId="4B3BE83C" w14:textId="77777777" w:rsidR="00184569" w:rsidRPr="00184569" w:rsidRDefault="00184569" w:rsidP="00184569">
            <w:pPr>
              <w:widowControl w:val="0"/>
              <w:autoSpaceDE w:val="0"/>
              <w:autoSpaceDN w:val="0"/>
              <w:spacing w:after="0" w:line="240" w:lineRule="auto"/>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120 [41; 335]</w:t>
            </w:r>
          </w:p>
        </w:tc>
        <w:tc>
          <w:tcPr>
            <w:tcW w:w="1915" w:type="dxa"/>
          </w:tcPr>
          <w:p w14:paraId="54492CAC" w14:textId="77777777" w:rsidR="00184569" w:rsidRPr="00184569" w:rsidRDefault="00184569" w:rsidP="00184569">
            <w:pPr>
              <w:widowControl w:val="0"/>
              <w:autoSpaceDE w:val="0"/>
              <w:autoSpaceDN w:val="0"/>
              <w:spacing w:after="0" w:line="240" w:lineRule="auto"/>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4,2 [1,8; 10,8]</w:t>
            </w:r>
          </w:p>
        </w:tc>
        <w:tc>
          <w:tcPr>
            <w:tcW w:w="1915" w:type="dxa"/>
          </w:tcPr>
          <w:p w14:paraId="1643B6DA" w14:textId="77777777" w:rsidR="00184569" w:rsidRPr="00184569" w:rsidRDefault="00184569" w:rsidP="00184569">
            <w:pPr>
              <w:widowControl w:val="0"/>
              <w:autoSpaceDE w:val="0"/>
              <w:autoSpaceDN w:val="0"/>
              <w:spacing w:after="0" w:line="240" w:lineRule="auto"/>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1,9 [0,64; 5,8]</w:t>
            </w:r>
          </w:p>
        </w:tc>
      </w:tr>
    </w:tbl>
    <w:p w14:paraId="799EFE55" w14:textId="77777777" w:rsidR="00184569" w:rsidRPr="00184569" w:rsidRDefault="00184569" w:rsidP="00184569">
      <w:pPr>
        <w:widowControl w:val="0"/>
        <w:autoSpaceDE w:val="0"/>
        <w:autoSpaceDN w:val="0"/>
        <w:spacing w:after="0" w:line="240" w:lineRule="auto"/>
        <w:ind w:left="142" w:hanging="142"/>
        <w:rPr>
          <w:rFonts w:ascii="Times New Roman" w:eastAsia="Times New Roman" w:hAnsi="Times New Roman" w:cs="Times New Roman"/>
          <w:kern w:val="0"/>
          <w:sz w:val="18"/>
          <w:szCs w:val="18"/>
          <w14:ligatures w14:val="none"/>
        </w:rPr>
      </w:pPr>
      <w:r w:rsidRPr="00184569">
        <w:rPr>
          <w:rFonts w:ascii="Times New Roman" w:eastAsia="Times New Roman" w:hAnsi="Times New Roman" w:cs="Times New Roman"/>
          <w:kern w:val="0"/>
          <w:sz w:val="18"/>
          <w:szCs w:val="18"/>
          <w14:ligatures w14:val="none"/>
        </w:rPr>
        <w:t>*Az ARISTOTLE vizsgálatban részt vett, 2 vagy 3 dóziscsökkentési kritériumnak megfelelt, és ez alapján dózismódosításban részesült betegek.</w:t>
      </w:r>
    </w:p>
    <w:p w14:paraId="63900900"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
    <w:p w14:paraId="27B6243C"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Bár az apixabán-kezelés során nem szükséges az expozíció rutinszerű monitorozása, egy kalibrált, mennyiségi meghatározásra alkalmas anti-Xa-faktor-teszt hasznos lehet olyan kivételes helyzetekben, amikor az apixabán-expozíció ismerete segítségül szolgálhat a klinikai döntéshozatal során, például túladagoláskor és sürgős műtét esetén.</w:t>
      </w:r>
    </w:p>
    <w:p w14:paraId="1198E678"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
    <w:p w14:paraId="31CE46D0"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u w:val="single"/>
          <w14:ligatures w14:val="none"/>
        </w:rPr>
      </w:pPr>
      <w:r w:rsidRPr="00184569">
        <w:rPr>
          <w:rFonts w:ascii="Times New Roman" w:eastAsia="Times New Roman" w:hAnsi="Times New Roman" w:cs="Times New Roman"/>
          <w:kern w:val="0"/>
          <w:u w:val="single"/>
          <w14:ligatures w14:val="none"/>
        </w:rPr>
        <w:t>Gyermekek és serdülők</w:t>
      </w:r>
    </w:p>
    <w:p w14:paraId="517F5C66"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
    <w:p w14:paraId="1E088FCC"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Az apixabán gyermekeknél és serdülőknél végzett vizsgálataiban az STA® Liquid Anti-Xa apixabán-tesztet alkalmazták. Ezen vizsgálatok eredményei szerint az apixabán koncentrációja és a Xa-faktor-ellenes aktivitás (AXA) közötti lineáris összefüggés konzisztens volt a felnőttek esetében korábban dokumentált összefüggéssel. Ez alátámasztja az apixabán szelektív Xa-faktor-gátlóként dokumentált hatásmechanizmusát.</w:t>
      </w:r>
    </w:p>
    <w:p w14:paraId="49813750"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
    <w:p w14:paraId="7D33C65C"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roofErr w:type="gramStart"/>
      <w:r w:rsidRPr="00184569">
        <w:rPr>
          <w:rFonts w:ascii="Times New Roman" w:eastAsia="Times New Roman" w:hAnsi="Times New Roman" w:cs="Times New Roman"/>
          <w:kern w:val="0"/>
          <w14:ligatures w14:val="none"/>
        </w:rPr>
        <w:t>A CV185155 vizsgálatban a 9 – ≥35 kg testtömegcsoportokban az AXA</w:t>
      </w:r>
      <w:r w:rsidRPr="00184569">
        <w:rPr>
          <w:rFonts w:ascii="Times New Roman" w:eastAsia="Times New Roman" w:hAnsi="Times New Roman" w:cs="Times New Roman"/>
          <w:kern w:val="0"/>
          <w:vertAlign w:val="subscript"/>
          <w14:ligatures w14:val="none"/>
        </w:rPr>
        <w:t>min</w:t>
      </w:r>
      <w:r w:rsidRPr="00184569">
        <w:rPr>
          <w:rFonts w:ascii="Times New Roman" w:eastAsia="Times New Roman" w:hAnsi="Times New Roman" w:cs="Times New Roman"/>
          <w:kern w:val="0"/>
          <w14:ligatures w14:val="none"/>
        </w:rPr>
        <w:t xml:space="preserve"> és AXA</w:t>
      </w:r>
      <w:r w:rsidRPr="00184569">
        <w:rPr>
          <w:rFonts w:ascii="Times New Roman" w:eastAsia="Times New Roman" w:hAnsi="Times New Roman" w:cs="Times New Roman"/>
          <w:kern w:val="0"/>
          <w:vertAlign w:val="subscript"/>
          <w14:ligatures w14:val="none"/>
        </w:rPr>
        <w:t>max</w:t>
      </w:r>
      <w:r w:rsidRPr="00184569">
        <w:rPr>
          <w:rFonts w:ascii="Times New Roman" w:eastAsia="Times New Roman" w:hAnsi="Times New Roman" w:cs="Times New Roman"/>
          <w:kern w:val="0"/>
          <w14:ligatures w14:val="none"/>
        </w:rPr>
        <w:t xml:space="preserve"> mértani átlagértékeinek (%CV) tartománya 27,1 (22,2) ng/ml és 71,9 (17,3) ng/ml között változott, ami megfelel a C</w:t>
      </w:r>
      <w:r w:rsidRPr="00184569">
        <w:rPr>
          <w:rFonts w:ascii="Times New Roman" w:eastAsia="Times New Roman" w:hAnsi="Times New Roman" w:cs="Times New Roman"/>
          <w:kern w:val="0"/>
          <w:vertAlign w:val="subscript"/>
          <w14:ligatures w14:val="none"/>
        </w:rPr>
        <w:t>min,ss</w:t>
      </w:r>
      <w:r w:rsidRPr="00184569">
        <w:rPr>
          <w:rFonts w:ascii="Times New Roman" w:eastAsia="Times New Roman" w:hAnsi="Times New Roman" w:cs="Times New Roman"/>
          <w:kern w:val="0"/>
          <w14:ligatures w14:val="none"/>
        </w:rPr>
        <w:t xml:space="preserve"> 30,3 (22) ng/ml és C</w:t>
      </w:r>
      <w:r w:rsidRPr="00184569">
        <w:rPr>
          <w:rFonts w:ascii="Times New Roman" w:eastAsia="Times New Roman" w:hAnsi="Times New Roman" w:cs="Times New Roman"/>
          <w:kern w:val="0"/>
          <w:vertAlign w:val="subscript"/>
          <w14:ligatures w14:val="none"/>
        </w:rPr>
        <w:t>max,ss</w:t>
      </w:r>
      <w:r w:rsidRPr="00184569">
        <w:rPr>
          <w:rFonts w:ascii="Times New Roman" w:eastAsia="Times New Roman" w:hAnsi="Times New Roman" w:cs="Times New Roman"/>
          <w:kern w:val="0"/>
          <w14:ligatures w14:val="none"/>
        </w:rPr>
        <w:t xml:space="preserve"> 80,8 (16,8) ng/ml mértani átlagértékeknek (%CV).</w:t>
      </w:r>
      <w:proofErr w:type="gramEnd"/>
      <w:r w:rsidRPr="00184569">
        <w:rPr>
          <w:rFonts w:ascii="Times New Roman" w:eastAsia="Times New Roman" w:hAnsi="Times New Roman" w:cs="Times New Roman"/>
          <w:kern w:val="0"/>
          <w14:ligatures w14:val="none"/>
        </w:rPr>
        <w:t xml:space="preserve"> A gyermekgyógyászati adagolási rend szerinti kezelést alkalmazva, ezen AXA-tartományokban elért expozíció hasonló azon felnőtteknél tapasztalt expozícióval, amit napi kétszer 2,5 mg dózisú apixabánnal értek el.</w:t>
      </w:r>
    </w:p>
    <w:p w14:paraId="464DB082"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
    <w:p w14:paraId="2D793316"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roofErr w:type="gramStart"/>
      <w:r w:rsidRPr="00184569">
        <w:rPr>
          <w:rFonts w:ascii="Times New Roman" w:eastAsia="Times New Roman" w:hAnsi="Times New Roman" w:cs="Times New Roman"/>
          <w:kern w:val="0"/>
          <w14:ligatures w14:val="none"/>
        </w:rPr>
        <w:t>A CV185362 vizsgálatban a 6 – ≥35 kg testtömegcsoportokban az AXA</w:t>
      </w:r>
      <w:r w:rsidRPr="00184569">
        <w:rPr>
          <w:rFonts w:ascii="Times New Roman" w:eastAsia="Times New Roman" w:hAnsi="Times New Roman" w:cs="Times New Roman"/>
          <w:kern w:val="0"/>
          <w:vertAlign w:val="subscript"/>
          <w14:ligatures w14:val="none"/>
        </w:rPr>
        <w:t>min</w:t>
      </w:r>
      <w:r w:rsidRPr="00184569">
        <w:rPr>
          <w:rFonts w:ascii="Times New Roman" w:eastAsia="Times New Roman" w:hAnsi="Times New Roman" w:cs="Times New Roman"/>
          <w:kern w:val="0"/>
          <w14:ligatures w14:val="none"/>
        </w:rPr>
        <w:t xml:space="preserve"> és AXA</w:t>
      </w:r>
      <w:r w:rsidRPr="00184569">
        <w:rPr>
          <w:rFonts w:ascii="Times New Roman" w:eastAsia="Times New Roman" w:hAnsi="Times New Roman" w:cs="Times New Roman"/>
          <w:kern w:val="0"/>
          <w:vertAlign w:val="subscript"/>
          <w14:ligatures w14:val="none"/>
        </w:rPr>
        <w:t>max</w:t>
      </w:r>
      <w:r w:rsidRPr="00184569">
        <w:rPr>
          <w:rFonts w:ascii="Times New Roman" w:eastAsia="Times New Roman" w:hAnsi="Times New Roman" w:cs="Times New Roman"/>
          <w:kern w:val="0"/>
          <w14:ligatures w14:val="none"/>
        </w:rPr>
        <w:t xml:space="preserve"> mértani átlagértékeinek (%CV) tartománya 67,1 (30,2) ng/ml és 213 (41,7) ng/ml között változott, ami megfelel a C</w:t>
      </w:r>
      <w:r w:rsidRPr="00184569">
        <w:rPr>
          <w:rFonts w:ascii="Times New Roman" w:eastAsia="Times New Roman" w:hAnsi="Times New Roman" w:cs="Times New Roman"/>
          <w:kern w:val="0"/>
          <w:vertAlign w:val="subscript"/>
          <w14:ligatures w14:val="none"/>
        </w:rPr>
        <w:t>min,ss</w:t>
      </w:r>
      <w:r w:rsidRPr="00184569">
        <w:rPr>
          <w:rFonts w:ascii="Times New Roman" w:eastAsia="Times New Roman" w:hAnsi="Times New Roman" w:cs="Times New Roman"/>
          <w:kern w:val="0"/>
          <w14:ligatures w14:val="none"/>
        </w:rPr>
        <w:t xml:space="preserve"> 71,3 (61,3) ng/ml és C</w:t>
      </w:r>
      <w:r w:rsidRPr="00184569">
        <w:rPr>
          <w:rFonts w:ascii="Times New Roman" w:eastAsia="Times New Roman" w:hAnsi="Times New Roman" w:cs="Times New Roman"/>
          <w:kern w:val="0"/>
          <w:vertAlign w:val="subscript"/>
          <w14:ligatures w14:val="none"/>
        </w:rPr>
        <w:t>max,ss</w:t>
      </w:r>
      <w:r w:rsidRPr="00184569">
        <w:rPr>
          <w:rFonts w:ascii="Times New Roman" w:eastAsia="Times New Roman" w:hAnsi="Times New Roman" w:cs="Times New Roman"/>
          <w:kern w:val="0"/>
          <w14:ligatures w14:val="none"/>
        </w:rPr>
        <w:t xml:space="preserve"> 230 (39,5) ng/ml mértani átlagértékeknek (%CV).</w:t>
      </w:r>
      <w:proofErr w:type="gramEnd"/>
      <w:r w:rsidRPr="00184569">
        <w:rPr>
          <w:rFonts w:ascii="Times New Roman" w:eastAsia="Times New Roman" w:hAnsi="Times New Roman" w:cs="Times New Roman"/>
          <w:kern w:val="0"/>
          <w14:ligatures w14:val="none"/>
        </w:rPr>
        <w:t xml:space="preserve"> A gyermekgyógyászati adagolási rend szerinti kezelést alkalmazva, ezen AXA-tartományokban elért expozíció hasonló azon felnőtteknél tapasztalt expozícióhoz, amit napi kétszer 5 mg dózisú apixabánnal értek el.</w:t>
      </w:r>
    </w:p>
    <w:p w14:paraId="1DA98DE3"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
    <w:p w14:paraId="0CB50E77"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roofErr w:type="gramStart"/>
      <w:r w:rsidRPr="00184569">
        <w:rPr>
          <w:rFonts w:ascii="Times New Roman" w:eastAsia="Times New Roman" w:hAnsi="Times New Roman" w:cs="Times New Roman"/>
          <w:kern w:val="0"/>
          <w14:ligatures w14:val="none"/>
        </w:rPr>
        <w:t>A CV185325 vizsgálatban a 6 – ≥35 kg testtömegcsoportokban az AXA</w:t>
      </w:r>
      <w:r w:rsidRPr="00184569">
        <w:rPr>
          <w:rFonts w:ascii="Times New Roman" w:eastAsia="Times New Roman" w:hAnsi="Times New Roman" w:cs="Times New Roman"/>
          <w:kern w:val="0"/>
          <w:vertAlign w:val="subscript"/>
          <w14:ligatures w14:val="none"/>
        </w:rPr>
        <w:t>min</w:t>
      </w:r>
      <w:r w:rsidRPr="00184569">
        <w:rPr>
          <w:rFonts w:ascii="Times New Roman" w:eastAsia="Times New Roman" w:hAnsi="Times New Roman" w:cs="Times New Roman"/>
          <w:kern w:val="0"/>
          <w14:ligatures w14:val="none"/>
        </w:rPr>
        <w:t xml:space="preserve"> és AXA</w:t>
      </w:r>
      <w:r w:rsidRPr="00184569">
        <w:rPr>
          <w:rFonts w:ascii="Times New Roman" w:eastAsia="Times New Roman" w:hAnsi="Times New Roman" w:cs="Times New Roman"/>
          <w:kern w:val="0"/>
          <w:vertAlign w:val="subscript"/>
          <w14:ligatures w14:val="none"/>
        </w:rPr>
        <w:t>max</w:t>
      </w:r>
      <w:r w:rsidRPr="00184569">
        <w:rPr>
          <w:rFonts w:ascii="Times New Roman" w:eastAsia="Times New Roman" w:hAnsi="Times New Roman" w:cs="Times New Roman"/>
          <w:kern w:val="0"/>
          <w14:ligatures w14:val="none"/>
        </w:rPr>
        <w:t xml:space="preserve"> mértani átlagértékeinek (%CV) tartománya 47,1 (57,2) ng/ml és 146 (40,2) ng/ml között változott, ami megfelel a C</w:t>
      </w:r>
      <w:r w:rsidRPr="00184569">
        <w:rPr>
          <w:rFonts w:ascii="Times New Roman" w:eastAsia="Times New Roman" w:hAnsi="Times New Roman" w:cs="Times New Roman"/>
          <w:kern w:val="0"/>
          <w:vertAlign w:val="subscript"/>
          <w14:ligatures w14:val="none"/>
        </w:rPr>
        <w:t>min,ss</w:t>
      </w:r>
      <w:r w:rsidRPr="00184569">
        <w:rPr>
          <w:rFonts w:ascii="Times New Roman" w:eastAsia="Times New Roman" w:hAnsi="Times New Roman" w:cs="Times New Roman"/>
          <w:kern w:val="0"/>
          <w14:ligatures w14:val="none"/>
        </w:rPr>
        <w:t xml:space="preserve"> 50 (54,5) ng/ml és C</w:t>
      </w:r>
      <w:r w:rsidRPr="00184569">
        <w:rPr>
          <w:rFonts w:ascii="Times New Roman" w:eastAsia="Times New Roman" w:hAnsi="Times New Roman" w:cs="Times New Roman"/>
          <w:kern w:val="0"/>
          <w:vertAlign w:val="subscript"/>
          <w14:ligatures w14:val="none"/>
        </w:rPr>
        <w:t>max,ss</w:t>
      </w:r>
      <w:r w:rsidRPr="00184569">
        <w:rPr>
          <w:rFonts w:ascii="Times New Roman" w:eastAsia="Times New Roman" w:hAnsi="Times New Roman" w:cs="Times New Roman"/>
          <w:kern w:val="0"/>
          <w14:ligatures w14:val="none"/>
        </w:rPr>
        <w:t xml:space="preserve"> 144 (36,9) ng/ml mértani átlagértékeknek (%CV).</w:t>
      </w:r>
      <w:proofErr w:type="gramEnd"/>
      <w:r w:rsidRPr="00184569">
        <w:rPr>
          <w:rFonts w:ascii="Times New Roman" w:eastAsia="Times New Roman" w:hAnsi="Times New Roman" w:cs="Times New Roman"/>
          <w:kern w:val="0"/>
          <w14:ligatures w14:val="none"/>
        </w:rPr>
        <w:t xml:space="preserve"> A gyermekgyógyászati adagolási rend szerinti kezelést alkalmazva, ezen AXA-tartományokban elért expozíció hasonló azon felnőtteknél tapasztalt expozícióhoz, amit napi kétszer 5 mg dózisú apixabánnal értek el.</w:t>
      </w:r>
    </w:p>
    <w:p w14:paraId="18F8AC45"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
    <w:p w14:paraId="16F5A005"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A gyermekek és serdülők körében végzett vizsgálatok dinamikus egyensúlyi állapotban várható expozíció és Xa-faktor-ellenes aktivitás értéke alapján az apixabán koncentrációjának és az AXA-szinteknek a legmagasabb és a legalacsonyabb szintek közötti fluktuációja körülbelül 3-szoros volt (minimum, maximum: 2,65–3,22) a teljes populációban.</w:t>
      </w:r>
    </w:p>
    <w:p w14:paraId="6808A832"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
    <w:p w14:paraId="2F2971D6"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u w:val="single"/>
          <w14:ligatures w14:val="none"/>
        </w:rPr>
        <w:t>Klinikai hatásosság és biztonságosság</w:t>
      </w:r>
    </w:p>
    <w:p w14:paraId="6400F941"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
    <w:p w14:paraId="14671CA4"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r w:rsidRPr="00184569">
        <w:rPr>
          <w:rFonts w:ascii="Times New Roman" w:eastAsia="Times New Roman" w:hAnsi="Times New Roman" w:cs="Times New Roman"/>
          <w:i/>
          <w:kern w:val="0"/>
          <w:u w:val="single"/>
          <w14:ligatures w14:val="none"/>
        </w:rPr>
        <w:t xml:space="preserve">A stroke és a szisztémás embolizáció megelőzése nem </w:t>
      </w:r>
      <w:r w:rsidRPr="00184569">
        <w:rPr>
          <w:rFonts w:ascii="Times New Roman" w:eastAsia="Times New Roman" w:hAnsi="Times New Roman" w:cs="Times New Roman"/>
          <w:i/>
          <w:iCs/>
          <w:kern w:val="0"/>
          <w:u w:val="single"/>
          <w14:ligatures w14:val="none"/>
        </w:rPr>
        <w:t>valvuláris</w:t>
      </w:r>
      <w:r w:rsidRPr="00184569">
        <w:rPr>
          <w:rFonts w:ascii="Times New Roman" w:eastAsia="Times New Roman" w:hAnsi="Times New Roman" w:cs="Times New Roman"/>
          <w:i/>
          <w:kern w:val="0"/>
          <w:u w:val="single"/>
          <w14:ligatures w14:val="none"/>
        </w:rPr>
        <w:t xml:space="preserve"> pitvarfibrillációban (NVPF)</w:t>
      </w:r>
      <w:r w:rsidRPr="00184569">
        <w:rPr>
          <w:rFonts w:ascii="Times New Roman" w:eastAsia="Times New Roman" w:hAnsi="Times New Roman" w:cs="Times New Roman"/>
          <w:i/>
          <w:kern w:val="0"/>
          <w14:ligatures w14:val="none"/>
        </w:rPr>
        <w:t xml:space="preserve"> </w:t>
      </w:r>
      <w:r w:rsidRPr="00184569">
        <w:rPr>
          <w:rFonts w:ascii="Times New Roman" w:eastAsia="Times New Roman" w:hAnsi="Times New Roman" w:cs="Times New Roman"/>
          <w:i/>
          <w:kern w:val="0"/>
          <w:u w:val="single"/>
          <w14:ligatures w14:val="none"/>
        </w:rPr>
        <w:t>szenvedő betegeknél</w:t>
      </w:r>
    </w:p>
    <w:p w14:paraId="52C273E1"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Összesen 23 799 felnőtt beteget randomizáltak a klinikai programba (ARISTOTLE: apixabán versus warfarin, AVERROES: apixabán versus ASA), közülük 11 927 beteget randomizáltak apixabánra. A programot úgy tervezték, hogy igazolja az apixabán hatásosságát és biztonságosságát a stroke és a szisztémás embolizáció prevenciója esetén a nem valvuláris pitvarfibrillációban szenvedő olyan betegeknél, akiknél egy vagy több további kockázati tényező is fennáll, mint például:</w:t>
      </w:r>
    </w:p>
    <w:p w14:paraId="08E45057" w14:textId="277472D0" w:rsidR="00184569" w:rsidRPr="00184569" w:rsidRDefault="00184569" w:rsidP="008B021B">
      <w:pPr>
        <w:widowControl w:val="0"/>
        <w:numPr>
          <w:ilvl w:val="0"/>
          <w:numId w:val="4"/>
        </w:numPr>
        <w:autoSpaceDE w:val="0"/>
        <w:autoSpaceDN w:val="0"/>
        <w:spacing w:after="0" w:line="240" w:lineRule="auto"/>
        <w:ind w:left="567" w:hanging="567"/>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korábbi stroke vagy tran</w:t>
      </w:r>
      <w:r w:rsidR="009F0E53">
        <w:rPr>
          <w:rFonts w:ascii="Times New Roman" w:eastAsia="Times New Roman" w:hAnsi="Times New Roman" w:cs="Times New Roman"/>
          <w:kern w:val="0"/>
          <w14:ligatures w14:val="none"/>
        </w:rPr>
        <w:t>z</w:t>
      </w:r>
      <w:r w:rsidRPr="00184569">
        <w:rPr>
          <w:rFonts w:ascii="Times New Roman" w:eastAsia="Times New Roman" w:hAnsi="Times New Roman" w:cs="Times New Roman"/>
          <w:kern w:val="0"/>
          <w14:ligatures w14:val="none"/>
        </w:rPr>
        <w:t>iens ischaemiás attack (TIA),</w:t>
      </w:r>
    </w:p>
    <w:p w14:paraId="39EAC5AA" w14:textId="77777777" w:rsidR="00184569" w:rsidRPr="00184569" w:rsidRDefault="00184569" w:rsidP="008B021B">
      <w:pPr>
        <w:widowControl w:val="0"/>
        <w:numPr>
          <w:ilvl w:val="0"/>
          <w:numId w:val="4"/>
        </w:numPr>
        <w:autoSpaceDE w:val="0"/>
        <w:autoSpaceDN w:val="0"/>
        <w:spacing w:after="0" w:line="240" w:lineRule="auto"/>
        <w:ind w:left="567" w:hanging="567"/>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életkor ≥ 75 év,</w:t>
      </w:r>
    </w:p>
    <w:p w14:paraId="7EADDD1A" w14:textId="77777777" w:rsidR="00184569" w:rsidRPr="00184569" w:rsidRDefault="00184569" w:rsidP="008B021B">
      <w:pPr>
        <w:widowControl w:val="0"/>
        <w:numPr>
          <w:ilvl w:val="0"/>
          <w:numId w:val="4"/>
        </w:numPr>
        <w:autoSpaceDE w:val="0"/>
        <w:autoSpaceDN w:val="0"/>
        <w:spacing w:after="0" w:line="240" w:lineRule="auto"/>
        <w:ind w:left="567" w:hanging="567"/>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hypertonia,</w:t>
      </w:r>
    </w:p>
    <w:p w14:paraId="6F08202F" w14:textId="77777777" w:rsidR="00184569" w:rsidRPr="00184569" w:rsidRDefault="00184569" w:rsidP="008B021B">
      <w:pPr>
        <w:widowControl w:val="0"/>
        <w:numPr>
          <w:ilvl w:val="0"/>
          <w:numId w:val="4"/>
        </w:numPr>
        <w:autoSpaceDE w:val="0"/>
        <w:autoSpaceDN w:val="0"/>
        <w:spacing w:after="0" w:line="240" w:lineRule="auto"/>
        <w:ind w:left="567" w:hanging="567"/>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diabetes mellitus,</w:t>
      </w:r>
    </w:p>
    <w:p w14:paraId="25C7A117" w14:textId="77777777" w:rsidR="00184569" w:rsidRPr="00184569" w:rsidRDefault="00184569" w:rsidP="008B021B">
      <w:pPr>
        <w:widowControl w:val="0"/>
        <w:numPr>
          <w:ilvl w:val="0"/>
          <w:numId w:val="4"/>
        </w:numPr>
        <w:autoSpaceDE w:val="0"/>
        <w:autoSpaceDN w:val="0"/>
        <w:spacing w:after="0" w:line="240" w:lineRule="auto"/>
        <w:ind w:left="567" w:hanging="567"/>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tünetekkel járó szívelégtelenség (NYHA stádium ≥ II).</w:t>
      </w:r>
    </w:p>
    <w:p w14:paraId="767BA620"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i/>
          <w:kern w:val="0"/>
          <w:u w:val="single"/>
          <w14:ligatures w14:val="none"/>
        </w:rPr>
      </w:pPr>
    </w:p>
    <w:p w14:paraId="00A1115D" w14:textId="77777777" w:rsidR="00184569" w:rsidRPr="00184569" w:rsidRDefault="00184569" w:rsidP="00184569">
      <w:pPr>
        <w:keepNext/>
        <w:keepLines/>
        <w:autoSpaceDE w:val="0"/>
        <w:autoSpaceDN w:val="0"/>
        <w:spacing w:after="0" w:line="240" w:lineRule="auto"/>
        <w:rPr>
          <w:rFonts w:ascii="Times New Roman" w:eastAsia="Times New Roman" w:hAnsi="Times New Roman" w:cs="Times New Roman"/>
          <w:i/>
          <w:kern w:val="0"/>
          <w14:ligatures w14:val="none"/>
        </w:rPr>
      </w:pPr>
      <w:r w:rsidRPr="00184569">
        <w:rPr>
          <w:rFonts w:ascii="Times New Roman" w:eastAsia="Times New Roman" w:hAnsi="Times New Roman" w:cs="Times New Roman"/>
          <w:i/>
          <w:kern w:val="0"/>
          <w:u w:val="single"/>
          <w14:ligatures w14:val="none"/>
        </w:rPr>
        <w:t>ARISTOTLE vizsgálat</w:t>
      </w:r>
    </w:p>
    <w:p w14:paraId="3E23DA74" w14:textId="77777777" w:rsidR="00184569" w:rsidRPr="00184569" w:rsidRDefault="00184569" w:rsidP="00184569">
      <w:pPr>
        <w:keepLines/>
        <w:autoSpaceDE w:val="0"/>
        <w:autoSpaceDN w:val="0"/>
        <w:spacing w:after="0" w:line="240" w:lineRule="auto"/>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Az ARISTOTLE vizsgálatban összesen 18 201 felnőtt beteget randomizáltak naponta kétszer 5 mg (vagy a kiválasztott betegeknél naponta kétszer 2,5 mg [4,7%], lásd 4.2 pont) apixabánnal vagy warfarinnal (cél INR-tartomány 2,0–3,0) végzett kettős vak kezelésre, és a betegek a vizsgált hatóanyagot átlagosan 20 hónapig kapták. Az átlagéletkor 69,1 év, az átlagos CHADS</w:t>
      </w:r>
      <w:r w:rsidRPr="00184569">
        <w:rPr>
          <w:rFonts w:ascii="Times New Roman" w:eastAsia="Times New Roman" w:hAnsi="Times New Roman" w:cs="Times New Roman"/>
          <w:kern w:val="0"/>
          <w:vertAlign w:val="subscript"/>
          <w14:ligatures w14:val="none"/>
        </w:rPr>
        <w:t xml:space="preserve">2 </w:t>
      </w:r>
      <w:r w:rsidRPr="00184569">
        <w:rPr>
          <w:rFonts w:ascii="Times New Roman" w:eastAsia="Times New Roman" w:hAnsi="Times New Roman" w:cs="Times New Roman"/>
          <w:kern w:val="0"/>
          <w14:ligatures w14:val="none"/>
        </w:rPr>
        <w:t>pontszám 2,1 volt, és a betegek 18,9%-ának volt korábban stroke-ja vagy TIA-ja.</w:t>
      </w:r>
    </w:p>
    <w:p w14:paraId="00805A6E"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
    <w:p w14:paraId="5719D513"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A vizsgálatban az apixabán a warfarinhoz képest statisztikailag szignifikánsan jobb volt a stroke (haemorrhagiás vagy ischaemiás) és szisztémás embolizáció prevenciója elsődleges végpontban (lásd 5. táblázat).</w:t>
      </w:r>
    </w:p>
    <w:p w14:paraId="15100CB4"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
    <w:p w14:paraId="23C40951" w14:textId="77777777" w:rsidR="00184569" w:rsidRPr="00184569" w:rsidRDefault="00184569" w:rsidP="00184569">
      <w:pPr>
        <w:widowControl w:val="0"/>
        <w:autoSpaceDE w:val="0"/>
        <w:autoSpaceDN w:val="0"/>
        <w:spacing w:after="0" w:line="240" w:lineRule="auto"/>
        <w:outlineLvl w:val="1"/>
        <w:rPr>
          <w:rFonts w:ascii="Times New Roman" w:eastAsia="Times New Roman" w:hAnsi="Times New Roman" w:cs="Times New Roman"/>
          <w:b/>
          <w:bCs/>
          <w:kern w:val="0"/>
          <w14:ligatures w14:val="none"/>
        </w:rPr>
      </w:pPr>
      <w:r w:rsidRPr="00184569">
        <w:rPr>
          <w:rFonts w:ascii="Times New Roman" w:eastAsia="Times New Roman" w:hAnsi="Times New Roman" w:cs="Times New Roman"/>
          <w:b/>
          <w:bCs/>
          <w:kern w:val="0"/>
          <w14:ligatures w14:val="none"/>
        </w:rPr>
        <w:t>5. táblázat: Hatásossági végpontok pitvarfibrilláló betegeknél az ARISTOTLE vizsgálatban</w:t>
      </w: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988"/>
        <w:gridCol w:w="1136"/>
        <w:gridCol w:w="1134"/>
        <w:gridCol w:w="1691"/>
        <w:gridCol w:w="901"/>
      </w:tblGrid>
      <w:tr w:rsidR="00184569" w:rsidRPr="00184569" w14:paraId="5DEC1B72" w14:textId="77777777" w:rsidTr="00E16EC6">
        <w:trPr>
          <w:trHeight w:val="731"/>
        </w:trPr>
        <w:tc>
          <w:tcPr>
            <w:tcW w:w="3988" w:type="dxa"/>
          </w:tcPr>
          <w:p w14:paraId="32A63D8C"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
        </w:tc>
        <w:tc>
          <w:tcPr>
            <w:tcW w:w="1136" w:type="dxa"/>
          </w:tcPr>
          <w:p w14:paraId="2E93E486" w14:textId="77777777" w:rsidR="00184569" w:rsidRPr="00184569" w:rsidRDefault="00184569" w:rsidP="00184569">
            <w:pPr>
              <w:widowControl w:val="0"/>
              <w:autoSpaceDE w:val="0"/>
              <w:autoSpaceDN w:val="0"/>
              <w:spacing w:after="0" w:line="240" w:lineRule="auto"/>
              <w:ind w:left="150" w:hanging="41"/>
              <w:rPr>
                <w:rFonts w:ascii="Times New Roman" w:eastAsia="Times New Roman" w:hAnsi="Times New Roman" w:cs="Times New Roman"/>
                <w:b/>
                <w:kern w:val="0"/>
                <w14:ligatures w14:val="none"/>
              </w:rPr>
            </w:pPr>
            <w:r w:rsidRPr="00184569">
              <w:rPr>
                <w:rFonts w:ascii="Times New Roman" w:eastAsia="Times New Roman" w:hAnsi="Times New Roman" w:cs="Times New Roman"/>
                <w:b/>
                <w:kern w:val="0"/>
                <w14:ligatures w14:val="none"/>
              </w:rPr>
              <w:t>apixabán n = 9120</w:t>
            </w:r>
          </w:p>
          <w:p w14:paraId="7AB2B926" w14:textId="77777777" w:rsidR="00184569" w:rsidRPr="00184569" w:rsidRDefault="00184569" w:rsidP="00184569">
            <w:pPr>
              <w:widowControl w:val="0"/>
              <w:autoSpaceDE w:val="0"/>
              <w:autoSpaceDN w:val="0"/>
              <w:spacing w:after="0" w:line="240" w:lineRule="auto"/>
              <w:ind w:left="160"/>
              <w:rPr>
                <w:rFonts w:ascii="Times New Roman" w:eastAsia="Times New Roman" w:hAnsi="Times New Roman" w:cs="Times New Roman"/>
                <w:b/>
                <w:kern w:val="0"/>
                <w14:ligatures w14:val="none"/>
              </w:rPr>
            </w:pPr>
            <w:r w:rsidRPr="00184569">
              <w:rPr>
                <w:rFonts w:ascii="Times New Roman" w:eastAsia="Times New Roman" w:hAnsi="Times New Roman" w:cs="Times New Roman"/>
                <w:b/>
                <w:kern w:val="0"/>
                <w14:ligatures w14:val="none"/>
              </w:rPr>
              <w:t>n (%/év)</w:t>
            </w:r>
          </w:p>
        </w:tc>
        <w:tc>
          <w:tcPr>
            <w:tcW w:w="1134" w:type="dxa"/>
          </w:tcPr>
          <w:p w14:paraId="3575EA28" w14:textId="77777777" w:rsidR="00184569" w:rsidRPr="00184569" w:rsidRDefault="00184569" w:rsidP="00184569">
            <w:pPr>
              <w:widowControl w:val="0"/>
              <w:autoSpaceDE w:val="0"/>
              <w:autoSpaceDN w:val="0"/>
              <w:spacing w:after="0" w:line="240" w:lineRule="auto"/>
              <w:ind w:left="147" w:hanging="32"/>
              <w:rPr>
                <w:rFonts w:ascii="Times New Roman" w:eastAsia="Times New Roman" w:hAnsi="Times New Roman" w:cs="Times New Roman"/>
                <w:b/>
                <w:kern w:val="0"/>
                <w14:ligatures w14:val="none"/>
              </w:rPr>
            </w:pPr>
            <w:r w:rsidRPr="00184569">
              <w:rPr>
                <w:rFonts w:ascii="Times New Roman" w:eastAsia="Times New Roman" w:hAnsi="Times New Roman" w:cs="Times New Roman"/>
                <w:b/>
                <w:kern w:val="0"/>
                <w14:ligatures w14:val="none"/>
              </w:rPr>
              <w:t>warfarin n = 9081</w:t>
            </w:r>
          </w:p>
          <w:p w14:paraId="07A4C40C" w14:textId="77777777" w:rsidR="00184569" w:rsidRPr="00184569" w:rsidRDefault="00184569" w:rsidP="00184569">
            <w:pPr>
              <w:widowControl w:val="0"/>
              <w:autoSpaceDE w:val="0"/>
              <w:autoSpaceDN w:val="0"/>
              <w:spacing w:after="0" w:line="240" w:lineRule="auto"/>
              <w:ind w:left="157"/>
              <w:rPr>
                <w:rFonts w:ascii="Times New Roman" w:eastAsia="Times New Roman" w:hAnsi="Times New Roman" w:cs="Times New Roman"/>
                <w:b/>
                <w:kern w:val="0"/>
                <w14:ligatures w14:val="none"/>
              </w:rPr>
            </w:pPr>
            <w:r w:rsidRPr="00184569">
              <w:rPr>
                <w:rFonts w:ascii="Times New Roman" w:eastAsia="Times New Roman" w:hAnsi="Times New Roman" w:cs="Times New Roman"/>
                <w:b/>
                <w:kern w:val="0"/>
                <w14:ligatures w14:val="none"/>
              </w:rPr>
              <w:t>n (%/év)</w:t>
            </w:r>
          </w:p>
        </w:tc>
        <w:tc>
          <w:tcPr>
            <w:tcW w:w="1691" w:type="dxa"/>
          </w:tcPr>
          <w:p w14:paraId="5701A6B9" w14:textId="77777777" w:rsidR="00184569" w:rsidRPr="00184569" w:rsidRDefault="00184569" w:rsidP="00184569">
            <w:pPr>
              <w:widowControl w:val="0"/>
              <w:autoSpaceDE w:val="0"/>
              <w:autoSpaceDN w:val="0"/>
              <w:spacing w:after="0" w:line="240" w:lineRule="auto"/>
              <w:ind w:left="263" w:hanging="116"/>
              <w:rPr>
                <w:rFonts w:ascii="Times New Roman" w:eastAsia="Times New Roman" w:hAnsi="Times New Roman" w:cs="Times New Roman"/>
                <w:b/>
                <w:kern w:val="0"/>
                <w14:ligatures w14:val="none"/>
              </w:rPr>
            </w:pPr>
            <w:r w:rsidRPr="00184569">
              <w:rPr>
                <w:rFonts w:ascii="Times New Roman" w:eastAsia="Times New Roman" w:hAnsi="Times New Roman" w:cs="Times New Roman"/>
                <w:b/>
                <w:kern w:val="0"/>
                <w14:ligatures w14:val="none"/>
              </w:rPr>
              <w:t>relatív hazárd (95%-os CI)</w:t>
            </w:r>
          </w:p>
        </w:tc>
        <w:tc>
          <w:tcPr>
            <w:tcW w:w="901" w:type="dxa"/>
          </w:tcPr>
          <w:p w14:paraId="7565E10B"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b/>
                <w:kern w:val="0"/>
                <w14:ligatures w14:val="none"/>
              </w:rPr>
            </w:pPr>
          </w:p>
          <w:p w14:paraId="60775B08" w14:textId="77777777" w:rsidR="00184569" w:rsidRPr="00184569" w:rsidRDefault="00184569" w:rsidP="00184569">
            <w:pPr>
              <w:widowControl w:val="0"/>
              <w:autoSpaceDE w:val="0"/>
              <w:autoSpaceDN w:val="0"/>
              <w:spacing w:after="0" w:line="240" w:lineRule="auto"/>
              <w:ind w:left="104"/>
              <w:rPr>
                <w:rFonts w:ascii="Times New Roman" w:eastAsia="Times New Roman" w:hAnsi="Times New Roman" w:cs="Times New Roman"/>
                <w:b/>
                <w:kern w:val="0"/>
                <w14:ligatures w14:val="none"/>
              </w:rPr>
            </w:pPr>
            <w:r w:rsidRPr="00184569">
              <w:rPr>
                <w:rFonts w:ascii="Times New Roman" w:eastAsia="Times New Roman" w:hAnsi="Times New Roman" w:cs="Times New Roman"/>
                <w:b/>
                <w:kern w:val="0"/>
                <w14:ligatures w14:val="none"/>
              </w:rPr>
              <w:t>p-érték</w:t>
            </w:r>
          </w:p>
        </w:tc>
      </w:tr>
      <w:tr w:rsidR="00184569" w:rsidRPr="00184569" w14:paraId="6054ED6E" w14:textId="77777777" w:rsidTr="00E16EC6">
        <w:trPr>
          <w:trHeight w:val="242"/>
        </w:trPr>
        <w:tc>
          <w:tcPr>
            <w:tcW w:w="3988" w:type="dxa"/>
          </w:tcPr>
          <w:p w14:paraId="45E5C093" w14:textId="77777777" w:rsidR="00184569" w:rsidRPr="00184569" w:rsidRDefault="00184569" w:rsidP="00184569">
            <w:pPr>
              <w:widowControl w:val="0"/>
              <w:autoSpaceDE w:val="0"/>
              <w:autoSpaceDN w:val="0"/>
              <w:spacing w:after="0" w:line="240" w:lineRule="auto"/>
              <w:ind w:left="107"/>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Stroke vagy szisztémás embolizáció</w:t>
            </w:r>
          </w:p>
        </w:tc>
        <w:tc>
          <w:tcPr>
            <w:tcW w:w="1136" w:type="dxa"/>
          </w:tcPr>
          <w:p w14:paraId="1A19B147" w14:textId="77777777" w:rsidR="00184569" w:rsidRPr="00184569" w:rsidRDefault="00184569" w:rsidP="00184569">
            <w:pPr>
              <w:widowControl w:val="0"/>
              <w:autoSpaceDE w:val="0"/>
              <w:autoSpaceDN w:val="0"/>
              <w:spacing w:after="0" w:line="240" w:lineRule="auto"/>
              <w:ind w:left="92"/>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212 (1,27)</w:t>
            </w:r>
          </w:p>
        </w:tc>
        <w:tc>
          <w:tcPr>
            <w:tcW w:w="1134" w:type="dxa"/>
          </w:tcPr>
          <w:p w14:paraId="66B2BD84" w14:textId="77777777" w:rsidR="00184569" w:rsidRPr="00184569" w:rsidRDefault="00184569" w:rsidP="00184569">
            <w:pPr>
              <w:widowControl w:val="0"/>
              <w:autoSpaceDE w:val="0"/>
              <w:autoSpaceDN w:val="0"/>
              <w:spacing w:after="0" w:line="240" w:lineRule="auto"/>
              <w:ind w:left="106"/>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265 (1,60)</w:t>
            </w:r>
          </w:p>
        </w:tc>
        <w:tc>
          <w:tcPr>
            <w:tcW w:w="1691" w:type="dxa"/>
          </w:tcPr>
          <w:p w14:paraId="721D7127" w14:textId="77777777" w:rsidR="00184569" w:rsidRPr="00184569" w:rsidRDefault="00184569" w:rsidP="00184569">
            <w:pPr>
              <w:widowControl w:val="0"/>
              <w:autoSpaceDE w:val="0"/>
              <w:autoSpaceDN w:val="0"/>
              <w:spacing w:after="0" w:line="240" w:lineRule="auto"/>
              <w:ind w:left="88"/>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0,79 (0,66; 0,95)</w:t>
            </w:r>
          </w:p>
        </w:tc>
        <w:tc>
          <w:tcPr>
            <w:tcW w:w="901" w:type="dxa"/>
          </w:tcPr>
          <w:p w14:paraId="6E8ADD33" w14:textId="77777777" w:rsidR="00184569" w:rsidRPr="00184569" w:rsidRDefault="00184569" w:rsidP="00184569">
            <w:pPr>
              <w:widowControl w:val="0"/>
              <w:autoSpaceDE w:val="0"/>
              <w:autoSpaceDN w:val="0"/>
              <w:spacing w:after="0" w:line="240" w:lineRule="auto"/>
              <w:ind w:left="142"/>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0,0114</w:t>
            </w:r>
          </w:p>
        </w:tc>
      </w:tr>
      <w:tr w:rsidR="00184569" w:rsidRPr="00184569" w14:paraId="65C6DBAF" w14:textId="77777777" w:rsidTr="00E16EC6">
        <w:trPr>
          <w:trHeight w:val="244"/>
        </w:trPr>
        <w:tc>
          <w:tcPr>
            <w:tcW w:w="3988" w:type="dxa"/>
          </w:tcPr>
          <w:p w14:paraId="35257133" w14:textId="77777777" w:rsidR="00184569" w:rsidRPr="00184569" w:rsidRDefault="00184569" w:rsidP="00184569">
            <w:pPr>
              <w:widowControl w:val="0"/>
              <w:autoSpaceDE w:val="0"/>
              <w:autoSpaceDN w:val="0"/>
              <w:spacing w:after="0" w:line="240" w:lineRule="auto"/>
              <w:ind w:left="278"/>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Stroke</w:t>
            </w:r>
          </w:p>
        </w:tc>
        <w:tc>
          <w:tcPr>
            <w:tcW w:w="1136" w:type="dxa"/>
          </w:tcPr>
          <w:p w14:paraId="78747C01"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
        </w:tc>
        <w:tc>
          <w:tcPr>
            <w:tcW w:w="1134" w:type="dxa"/>
          </w:tcPr>
          <w:p w14:paraId="27C62155"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
        </w:tc>
        <w:tc>
          <w:tcPr>
            <w:tcW w:w="1691" w:type="dxa"/>
          </w:tcPr>
          <w:p w14:paraId="76F9942A"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
        </w:tc>
        <w:tc>
          <w:tcPr>
            <w:tcW w:w="901" w:type="dxa"/>
          </w:tcPr>
          <w:p w14:paraId="5FB60ABD"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
        </w:tc>
      </w:tr>
      <w:tr w:rsidR="00184569" w:rsidRPr="00184569" w14:paraId="0AC94DEF" w14:textId="77777777" w:rsidTr="00E16EC6">
        <w:trPr>
          <w:trHeight w:val="244"/>
        </w:trPr>
        <w:tc>
          <w:tcPr>
            <w:tcW w:w="3988" w:type="dxa"/>
          </w:tcPr>
          <w:p w14:paraId="18E6BF6A" w14:textId="77777777" w:rsidR="00184569" w:rsidRPr="00184569" w:rsidRDefault="00184569" w:rsidP="00184569">
            <w:pPr>
              <w:widowControl w:val="0"/>
              <w:autoSpaceDE w:val="0"/>
              <w:autoSpaceDN w:val="0"/>
              <w:spacing w:after="0" w:line="240" w:lineRule="auto"/>
              <w:ind w:left="535"/>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Ischaemiás vagy nem meghatározott</w:t>
            </w:r>
          </w:p>
        </w:tc>
        <w:tc>
          <w:tcPr>
            <w:tcW w:w="1136" w:type="dxa"/>
          </w:tcPr>
          <w:p w14:paraId="6749FC21" w14:textId="77777777" w:rsidR="00184569" w:rsidRPr="00184569" w:rsidRDefault="00184569" w:rsidP="00184569">
            <w:pPr>
              <w:widowControl w:val="0"/>
              <w:autoSpaceDE w:val="0"/>
              <w:autoSpaceDN w:val="0"/>
              <w:spacing w:after="0" w:line="240" w:lineRule="auto"/>
              <w:ind w:left="92"/>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162 (0,97)</w:t>
            </w:r>
          </w:p>
        </w:tc>
        <w:tc>
          <w:tcPr>
            <w:tcW w:w="1134" w:type="dxa"/>
          </w:tcPr>
          <w:p w14:paraId="1C5A67CA" w14:textId="77777777" w:rsidR="00184569" w:rsidRPr="00184569" w:rsidRDefault="00184569" w:rsidP="00184569">
            <w:pPr>
              <w:widowControl w:val="0"/>
              <w:autoSpaceDE w:val="0"/>
              <w:autoSpaceDN w:val="0"/>
              <w:spacing w:after="0" w:line="240" w:lineRule="auto"/>
              <w:ind w:left="106"/>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175 (1,05)</w:t>
            </w:r>
          </w:p>
        </w:tc>
        <w:tc>
          <w:tcPr>
            <w:tcW w:w="1691" w:type="dxa"/>
          </w:tcPr>
          <w:p w14:paraId="534C7624" w14:textId="77777777" w:rsidR="00184569" w:rsidRPr="00184569" w:rsidRDefault="00184569" w:rsidP="00184569">
            <w:pPr>
              <w:widowControl w:val="0"/>
              <w:autoSpaceDE w:val="0"/>
              <w:autoSpaceDN w:val="0"/>
              <w:spacing w:after="0" w:line="240" w:lineRule="auto"/>
              <w:ind w:left="88"/>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0,92 (0,74; 1,13)</w:t>
            </w:r>
          </w:p>
        </w:tc>
        <w:tc>
          <w:tcPr>
            <w:tcW w:w="901" w:type="dxa"/>
          </w:tcPr>
          <w:p w14:paraId="375D210A"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
        </w:tc>
      </w:tr>
      <w:tr w:rsidR="00184569" w:rsidRPr="00184569" w14:paraId="595E3874" w14:textId="77777777" w:rsidTr="00E16EC6">
        <w:trPr>
          <w:trHeight w:val="241"/>
        </w:trPr>
        <w:tc>
          <w:tcPr>
            <w:tcW w:w="3988" w:type="dxa"/>
          </w:tcPr>
          <w:p w14:paraId="67BF805F" w14:textId="77777777" w:rsidR="00184569" w:rsidRPr="00184569" w:rsidRDefault="00184569" w:rsidP="00184569">
            <w:pPr>
              <w:widowControl w:val="0"/>
              <w:autoSpaceDE w:val="0"/>
              <w:autoSpaceDN w:val="0"/>
              <w:spacing w:after="0" w:line="240" w:lineRule="auto"/>
              <w:ind w:left="535"/>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Haemorrhagiás</w:t>
            </w:r>
          </w:p>
        </w:tc>
        <w:tc>
          <w:tcPr>
            <w:tcW w:w="1136" w:type="dxa"/>
          </w:tcPr>
          <w:p w14:paraId="38AC9F58" w14:textId="77777777" w:rsidR="00184569" w:rsidRPr="00184569" w:rsidRDefault="00184569" w:rsidP="00184569">
            <w:pPr>
              <w:widowControl w:val="0"/>
              <w:autoSpaceDE w:val="0"/>
              <w:autoSpaceDN w:val="0"/>
              <w:spacing w:after="0" w:line="240" w:lineRule="auto"/>
              <w:ind w:left="92"/>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40 (0,24)</w:t>
            </w:r>
          </w:p>
        </w:tc>
        <w:tc>
          <w:tcPr>
            <w:tcW w:w="1134" w:type="dxa"/>
          </w:tcPr>
          <w:p w14:paraId="5169BCD9" w14:textId="77777777" w:rsidR="00184569" w:rsidRPr="00184569" w:rsidRDefault="00184569" w:rsidP="00184569">
            <w:pPr>
              <w:widowControl w:val="0"/>
              <w:autoSpaceDE w:val="0"/>
              <w:autoSpaceDN w:val="0"/>
              <w:spacing w:after="0" w:line="240" w:lineRule="auto"/>
              <w:ind w:left="161"/>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78 (0,47)</w:t>
            </w:r>
          </w:p>
        </w:tc>
        <w:tc>
          <w:tcPr>
            <w:tcW w:w="1691" w:type="dxa"/>
          </w:tcPr>
          <w:p w14:paraId="607EAE6A" w14:textId="77777777" w:rsidR="00184569" w:rsidRPr="00184569" w:rsidRDefault="00184569" w:rsidP="00184569">
            <w:pPr>
              <w:widowControl w:val="0"/>
              <w:autoSpaceDE w:val="0"/>
              <w:autoSpaceDN w:val="0"/>
              <w:spacing w:after="0" w:line="240" w:lineRule="auto"/>
              <w:ind w:left="88"/>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0,51 (0,35; 0,75)</w:t>
            </w:r>
          </w:p>
        </w:tc>
        <w:tc>
          <w:tcPr>
            <w:tcW w:w="901" w:type="dxa"/>
          </w:tcPr>
          <w:p w14:paraId="76F613B0"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
        </w:tc>
      </w:tr>
      <w:tr w:rsidR="00184569" w:rsidRPr="00184569" w14:paraId="2055A928" w14:textId="77777777" w:rsidTr="00E16EC6">
        <w:trPr>
          <w:trHeight w:val="244"/>
        </w:trPr>
        <w:tc>
          <w:tcPr>
            <w:tcW w:w="3988" w:type="dxa"/>
          </w:tcPr>
          <w:p w14:paraId="0EA89B2D" w14:textId="77777777" w:rsidR="00184569" w:rsidRPr="00184569" w:rsidRDefault="00184569" w:rsidP="00184569">
            <w:pPr>
              <w:widowControl w:val="0"/>
              <w:autoSpaceDE w:val="0"/>
              <w:autoSpaceDN w:val="0"/>
              <w:spacing w:after="0" w:line="240" w:lineRule="auto"/>
              <w:ind w:left="278"/>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Szisztémás embolizáció</w:t>
            </w:r>
          </w:p>
        </w:tc>
        <w:tc>
          <w:tcPr>
            <w:tcW w:w="1136" w:type="dxa"/>
          </w:tcPr>
          <w:p w14:paraId="7555C970" w14:textId="77777777" w:rsidR="00184569" w:rsidRPr="00184569" w:rsidRDefault="00184569" w:rsidP="00184569">
            <w:pPr>
              <w:widowControl w:val="0"/>
              <w:autoSpaceDE w:val="0"/>
              <w:autoSpaceDN w:val="0"/>
              <w:spacing w:after="0" w:line="240" w:lineRule="auto"/>
              <w:ind w:left="92"/>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15 (0,09)</w:t>
            </w:r>
          </w:p>
        </w:tc>
        <w:tc>
          <w:tcPr>
            <w:tcW w:w="1134" w:type="dxa"/>
          </w:tcPr>
          <w:p w14:paraId="771DC173" w14:textId="77777777" w:rsidR="00184569" w:rsidRPr="00184569" w:rsidRDefault="00184569" w:rsidP="00184569">
            <w:pPr>
              <w:widowControl w:val="0"/>
              <w:autoSpaceDE w:val="0"/>
              <w:autoSpaceDN w:val="0"/>
              <w:spacing w:after="0" w:line="240" w:lineRule="auto"/>
              <w:ind w:left="161"/>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17 (0,10)</w:t>
            </w:r>
          </w:p>
        </w:tc>
        <w:tc>
          <w:tcPr>
            <w:tcW w:w="1691" w:type="dxa"/>
          </w:tcPr>
          <w:p w14:paraId="4B934B0B" w14:textId="77777777" w:rsidR="00184569" w:rsidRPr="00184569" w:rsidRDefault="00184569" w:rsidP="00184569">
            <w:pPr>
              <w:widowControl w:val="0"/>
              <w:autoSpaceDE w:val="0"/>
              <w:autoSpaceDN w:val="0"/>
              <w:spacing w:after="0" w:line="240" w:lineRule="auto"/>
              <w:ind w:left="88"/>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0,87 (0,44; 1,75)</w:t>
            </w:r>
          </w:p>
        </w:tc>
        <w:tc>
          <w:tcPr>
            <w:tcW w:w="901" w:type="dxa"/>
          </w:tcPr>
          <w:p w14:paraId="6CB2BEFC"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
        </w:tc>
      </w:tr>
    </w:tbl>
    <w:p w14:paraId="114734AF"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b/>
          <w:kern w:val="0"/>
          <w14:ligatures w14:val="none"/>
        </w:rPr>
      </w:pPr>
    </w:p>
    <w:p w14:paraId="73BCC62F"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A warfarinra randomizált betegeknél a terápiás tartományban (INR 2–3) eltöltött időtartam (time in therapeutic range – TTR) 66% volt.</w:t>
      </w:r>
    </w:p>
    <w:p w14:paraId="2C0BE426"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
    <w:p w14:paraId="5F3C4F02"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 xml:space="preserve">Az apixabán a warfarinhoz képest a középső TTR különböző szintjein a stroke és a szisztémás embolizáció csökkenését mutatta. A középsővel összhangban a TTR felső kvartilisában az apixabán </w:t>
      </w:r>
      <w:r w:rsidRPr="00184569">
        <w:rPr>
          <w:rFonts w:ascii="Times New Roman" w:eastAsia="Times New Roman" w:hAnsi="Times New Roman" w:cs="Times New Roman"/>
          <w:iCs/>
          <w:kern w:val="0"/>
          <w14:ligatures w14:val="none"/>
        </w:rPr>
        <w:t>vs.</w:t>
      </w:r>
      <w:r w:rsidRPr="00184569">
        <w:rPr>
          <w:rFonts w:ascii="Times New Roman" w:eastAsia="Times New Roman" w:hAnsi="Times New Roman" w:cs="Times New Roman"/>
          <w:kern w:val="0"/>
          <w14:ligatures w14:val="none"/>
        </w:rPr>
        <w:t xml:space="preserve"> warfarin relatív hazárdja 0,73 volt (95%-os CI 0,38; 1,40).</w:t>
      </w:r>
    </w:p>
    <w:p w14:paraId="27AFEB53"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
    <w:p w14:paraId="22E3A2B3"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A vizsgálatban előforduló általános 1-es típusú hiba kiküszöbölése érdekében a nagyfokú vérzés és összmortalitás legfontosabb másodlagos végpontokat egy előre meghatározott hierarchikus vizsgálati stratégia szerint vizsgálták. A nagyfokú vérzés és összmortalitás, mint legfontosabb másodlagos végpontok tekintetében egyaránt statisztikailag szignifikáns szuperioritást értek el (lásd 6. táblázat). Az INR monitorozásának javításával az apixabán warfarinhoz viszonyított, az összmortalitás tekintetében megfigyelt előnye eltűnik.</w:t>
      </w:r>
    </w:p>
    <w:p w14:paraId="11E574D0"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
    <w:p w14:paraId="2ABF037D" w14:textId="77777777" w:rsidR="00184569" w:rsidRPr="00184569" w:rsidRDefault="00184569" w:rsidP="00184569">
      <w:pPr>
        <w:keepNext/>
        <w:autoSpaceDE w:val="0"/>
        <w:autoSpaceDN w:val="0"/>
        <w:spacing w:after="0" w:line="240" w:lineRule="auto"/>
        <w:outlineLvl w:val="1"/>
        <w:rPr>
          <w:rFonts w:ascii="Times New Roman" w:eastAsia="Times New Roman" w:hAnsi="Times New Roman" w:cs="Times New Roman"/>
          <w:b/>
          <w:bCs/>
          <w:kern w:val="0"/>
          <w14:ligatures w14:val="none"/>
        </w:rPr>
      </w:pPr>
      <w:r w:rsidRPr="00184569">
        <w:rPr>
          <w:rFonts w:ascii="Times New Roman" w:eastAsia="Times New Roman" w:hAnsi="Times New Roman" w:cs="Times New Roman"/>
          <w:b/>
          <w:bCs/>
          <w:kern w:val="0"/>
          <w14:ligatures w14:val="none"/>
        </w:rPr>
        <w:t>6. táblázat: Másodlagos végpontok pitvarfibrilláló betegeknél az ARISTOTLE vizsgálatban</w:t>
      </w:r>
    </w:p>
    <w:tbl>
      <w:tblPr>
        <w:tblW w:w="941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694"/>
        <w:gridCol w:w="1701"/>
        <w:gridCol w:w="1842"/>
        <w:gridCol w:w="1843"/>
        <w:gridCol w:w="1326"/>
        <w:gridCol w:w="10"/>
      </w:tblGrid>
      <w:tr w:rsidR="00184569" w:rsidRPr="00184569" w14:paraId="1F541B85" w14:textId="77777777" w:rsidTr="00E16EC6">
        <w:trPr>
          <w:gridAfter w:val="1"/>
          <w:wAfter w:w="10" w:type="dxa"/>
          <w:trHeight w:val="731"/>
        </w:trPr>
        <w:tc>
          <w:tcPr>
            <w:tcW w:w="2694" w:type="dxa"/>
          </w:tcPr>
          <w:p w14:paraId="7CF5A786" w14:textId="77777777" w:rsidR="00184569" w:rsidRPr="00184569" w:rsidRDefault="00184569" w:rsidP="00184569">
            <w:pPr>
              <w:keepNext/>
              <w:autoSpaceDE w:val="0"/>
              <w:autoSpaceDN w:val="0"/>
              <w:spacing w:after="0" w:line="240" w:lineRule="auto"/>
              <w:rPr>
                <w:rFonts w:ascii="Times New Roman" w:eastAsia="Times New Roman" w:hAnsi="Times New Roman" w:cs="Times New Roman"/>
                <w:kern w:val="0"/>
                <w14:ligatures w14:val="none"/>
              </w:rPr>
            </w:pPr>
          </w:p>
        </w:tc>
        <w:tc>
          <w:tcPr>
            <w:tcW w:w="1701" w:type="dxa"/>
          </w:tcPr>
          <w:p w14:paraId="7728CD11" w14:textId="77777777" w:rsidR="00184569" w:rsidRPr="00184569" w:rsidRDefault="00184569" w:rsidP="00184569">
            <w:pPr>
              <w:keepNext/>
              <w:autoSpaceDE w:val="0"/>
              <w:autoSpaceDN w:val="0"/>
              <w:spacing w:after="0" w:line="240" w:lineRule="auto"/>
              <w:ind w:left="2" w:hanging="2"/>
              <w:jc w:val="center"/>
              <w:rPr>
                <w:rFonts w:ascii="Times New Roman" w:eastAsia="Times New Roman" w:hAnsi="Times New Roman" w:cs="Times New Roman"/>
                <w:b/>
                <w:kern w:val="0"/>
                <w14:ligatures w14:val="none"/>
              </w:rPr>
            </w:pPr>
            <w:r w:rsidRPr="00184569">
              <w:rPr>
                <w:rFonts w:ascii="Times New Roman" w:eastAsia="Times New Roman" w:hAnsi="Times New Roman" w:cs="Times New Roman"/>
                <w:b/>
                <w:kern w:val="0"/>
                <w14:ligatures w14:val="none"/>
              </w:rPr>
              <w:t>apixabán</w:t>
            </w:r>
          </w:p>
          <w:p w14:paraId="734FFC16" w14:textId="77777777" w:rsidR="00184569" w:rsidRPr="00184569" w:rsidRDefault="00184569" w:rsidP="00184569">
            <w:pPr>
              <w:keepNext/>
              <w:autoSpaceDE w:val="0"/>
              <w:autoSpaceDN w:val="0"/>
              <w:spacing w:after="0" w:line="240" w:lineRule="auto"/>
              <w:ind w:left="2" w:hanging="2"/>
              <w:jc w:val="center"/>
              <w:rPr>
                <w:rFonts w:ascii="Times New Roman" w:eastAsia="Times New Roman" w:hAnsi="Times New Roman" w:cs="Times New Roman"/>
                <w:b/>
                <w:kern w:val="0"/>
                <w14:ligatures w14:val="none"/>
              </w:rPr>
            </w:pPr>
            <w:r w:rsidRPr="00184569">
              <w:rPr>
                <w:rFonts w:ascii="Times New Roman" w:eastAsia="Times New Roman" w:hAnsi="Times New Roman" w:cs="Times New Roman"/>
                <w:b/>
                <w:kern w:val="0"/>
                <w14:ligatures w14:val="none"/>
              </w:rPr>
              <w:t>n = 9088</w:t>
            </w:r>
          </w:p>
          <w:p w14:paraId="5E86BC05" w14:textId="77777777" w:rsidR="00184569" w:rsidRPr="00184569" w:rsidRDefault="00184569" w:rsidP="00184569">
            <w:pPr>
              <w:keepNext/>
              <w:autoSpaceDE w:val="0"/>
              <w:autoSpaceDN w:val="0"/>
              <w:spacing w:after="0" w:line="240" w:lineRule="auto"/>
              <w:ind w:left="2" w:hanging="2"/>
              <w:jc w:val="center"/>
              <w:rPr>
                <w:rFonts w:ascii="Times New Roman" w:eastAsia="Times New Roman" w:hAnsi="Times New Roman" w:cs="Times New Roman"/>
                <w:b/>
                <w:kern w:val="0"/>
                <w14:ligatures w14:val="none"/>
              </w:rPr>
            </w:pPr>
            <w:r w:rsidRPr="00184569">
              <w:rPr>
                <w:rFonts w:ascii="Times New Roman" w:eastAsia="Times New Roman" w:hAnsi="Times New Roman" w:cs="Times New Roman"/>
                <w:b/>
                <w:kern w:val="0"/>
                <w14:ligatures w14:val="none"/>
              </w:rPr>
              <w:t>n (%/év)</w:t>
            </w:r>
          </w:p>
        </w:tc>
        <w:tc>
          <w:tcPr>
            <w:tcW w:w="1842" w:type="dxa"/>
          </w:tcPr>
          <w:p w14:paraId="71E7F889" w14:textId="77777777" w:rsidR="00184569" w:rsidRPr="00184569" w:rsidRDefault="00184569" w:rsidP="00184569">
            <w:pPr>
              <w:keepNext/>
              <w:autoSpaceDE w:val="0"/>
              <w:autoSpaceDN w:val="0"/>
              <w:spacing w:after="0" w:line="240" w:lineRule="auto"/>
              <w:ind w:hanging="3"/>
              <w:jc w:val="center"/>
              <w:rPr>
                <w:rFonts w:ascii="Times New Roman" w:eastAsia="Times New Roman" w:hAnsi="Times New Roman" w:cs="Times New Roman"/>
                <w:b/>
                <w:kern w:val="0"/>
                <w14:ligatures w14:val="none"/>
              </w:rPr>
            </w:pPr>
            <w:r w:rsidRPr="00184569">
              <w:rPr>
                <w:rFonts w:ascii="Times New Roman" w:eastAsia="Times New Roman" w:hAnsi="Times New Roman" w:cs="Times New Roman"/>
                <w:b/>
                <w:kern w:val="0"/>
                <w14:ligatures w14:val="none"/>
              </w:rPr>
              <w:t>warfarin</w:t>
            </w:r>
          </w:p>
          <w:p w14:paraId="6B368F1C" w14:textId="77777777" w:rsidR="00184569" w:rsidRPr="00184569" w:rsidRDefault="00184569" w:rsidP="00184569">
            <w:pPr>
              <w:keepNext/>
              <w:autoSpaceDE w:val="0"/>
              <w:autoSpaceDN w:val="0"/>
              <w:spacing w:after="0" w:line="240" w:lineRule="auto"/>
              <w:ind w:hanging="3"/>
              <w:jc w:val="center"/>
              <w:rPr>
                <w:rFonts w:ascii="Times New Roman" w:eastAsia="Times New Roman" w:hAnsi="Times New Roman" w:cs="Times New Roman"/>
                <w:b/>
                <w:kern w:val="0"/>
                <w14:ligatures w14:val="none"/>
              </w:rPr>
            </w:pPr>
            <w:r w:rsidRPr="00184569">
              <w:rPr>
                <w:rFonts w:ascii="Times New Roman" w:eastAsia="Times New Roman" w:hAnsi="Times New Roman" w:cs="Times New Roman"/>
                <w:b/>
                <w:kern w:val="0"/>
                <w14:ligatures w14:val="none"/>
              </w:rPr>
              <w:t>n = 9052</w:t>
            </w:r>
          </w:p>
          <w:p w14:paraId="271D2261" w14:textId="77777777" w:rsidR="00184569" w:rsidRPr="00184569" w:rsidRDefault="00184569" w:rsidP="00184569">
            <w:pPr>
              <w:keepNext/>
              <w:autoSpaceDE w:val="0"/>
              <w:autoSpaceDN w:val="0"/>
              <w:spacing w:after="0" w:line="240" w:lineRule="auto"/>
              <w:jc w:val="center"/>
              <w:rPr>
                <w:rFonts w:ascii="Times New Roman" w:eastAsia="Times New Roman" w:hAnsi="Times New Roman" w:cs="Times New Roman"/>
                <w:b/>
                <w:kern w:val="0"/>
                <w14:ligatures w14:val="none"/>
              </w:rPr>
            </w:pPr>
            <w:r w:rsidRPr="00184569">
              <w:rPr>
                <w:rFonts w:ascii="Times New Roman" w:eastAsia="Times New Roman" w:hAnsi="Times New Roman" w:cs="Times New Roman"/>
                <w:b/>
                <w:kern w:val="0"/>
                <w14:ligatures w14:val="none"/>
              </w:rPr>
              <w:t>n (%/év)</w:t>
            </w:r>
          </w:p>
        </w:tc>
        <w:tc>
          <w:tcPr>
            <w:tcW w:w="1843" w:type="dxa"/>
          </w:tcPr>
          <w:p w14:paraId="23BCAACC" w14:textId="77777777" w:rsidR="00184569" w:rsidRPr="00184569" w:rsidRDefault="00184569" w:rsidP="00184569">
            <w:pPr>
              <w:keepNext/>
              <w:autoSpaceDE w:val="0"/>
              <w:autoSpaceDN w:val="0"/>
              <w:spacing w:after="0" w:line="240" w:lineRule="auto"/>
              <w:jc w:val="center"/>
              <w:rPr>
                <w:rFonts w:ascii="Times New Roman" w:eastAsia="Times New Roman" w:hAnsi="Times New Roman" w:cs="Times New Roman"/>
                <w:b/>
                <w:kern w:val="0"/>
                <w14:ligatures w14:val="none"/>
              </w:rPr>
            </w:pPr>
            <w:r w:rsidRPr="00184569">
              <w:rPr>
                <w:rFonts w:ascii="Times New Roman" w:eastAsia="Times New Roman" w:hAnsi="Times New Roman" w:cs="Times New Roman"/>
                <w:b/>
                <w:kern w:val="0"/>
                <w14:ligatures w14:val="none"/>
              </w:rPr>
              <w:t>relatív hazárd</w:t>
            </w:r>
          </w:p>
          <w:p w14:paraId="17F1197F" w14:textId="77777777" w:rsidR="00184569" w:rsidRPr="00184569" w:rsidRDefault="00184569" w:rsidP="00184569">
            <w:pPr>
              <w:keepNext/>
              <w:autoSpaceDE w:val="0"/>
              <w:autoSpaceDN w:val="0"/>
              <w:spacing w:after="0" w:line="240" w:lineRule="auto"/>
              <w:jc w:val="center"/>
              <w:rPr>
                <w:rFonts w:ascii="Times New Roman" w:eastAsia="Times New Roman" w:hAnsi="Times New Roman" w:cs="Times New Roman"/>
                <w:b/>
                <w:kern w:val="0"/>
                <w14:ligatures w14:val="none"/>
              </w:rPr>
            </w:pPr>
            <w:r w:rsidRPr="00184569">
              <w:rPr>
                <w:rFonts w:ascii="Times New Roman" w:eastAsia="Times New Roman" w:hAnsi="Times New Roman" w:cs="Times New Roman"/>
                <w:b/>
                <w:kern w:val="0"/>
                <w14:ligatures w14:val="none"/>
              </w:rPr>
              <w:t>(95%-os CI)</w:t>
            </w:r>
          </w:p>
        </w:tc>
        <w:tc>
          <w:tcPr>
            <w:tcW w:w="1326" w:type="dxa"/>
          </w:tcPr>
          <w:p w14:paraId="176BD842" w14:textId="77777777" w:rsidR="00184569" w:rsidRPr="00184569" w:rsidRDefault="00184569" w:rsidP="00184569">
            <w:pPr>
              <w:keepNext/>
              <w:autoSpaceDE w:val="0"/>
              <w:autoSpaceDN w:val="0"/>
              <w:spacing w:after="0" w:line="240" w:lineRule="auto"/>
              <w:ind w:left="3"/>
              <w:jc w:val="center"/>
              <w:rPr>
                <w:rFonts w:ascii="Times New Roman" w:eastAsia="Times New Roman" w:hAnsi="Times New Roman" w:cs="Times New Roman"/>
                <w:b/>
                <w:kern w:val="0"/>
                <w14:ligatures w14:val="none"/>
              </w:rPr>
            </w:pPr>
            <w:r w:rsidRPr="00184569">
              <w:rPr>
                <w:rFonts w:ascii="Times New Roman" w:eastAsia="Times New Roman" w:hAnsi="Times New Roman" w:cs="Times New Roman"/>
                <w:b/>
                <w:kern w:val="0"/>
                <w14:ligatures w14:val="none"/>
              </w:rPr>
              <w:t>p-érték</w:t>
            </w:r>
          </w:p>
        </w:tc>
      </w:tr>
      <w:tr w:rsidR="00184569" w:rsidRPr="00184569" w14:paraId="2411EB5A" w14:textId="77777777" w:rsidTr="00E16EC6">
        <w:trPr>
          <w:trHeight w:val="278"/>
        </w:trPr>
        <w:tc>
          <w:tcPr>
            <w:tcW w:w="9416" w:type="dxa"/>
            <w:gridSpan w:val="6"/>
          </w:tcPr>
          <w:p w14:paraId="78B071FD" w14:textId="77777777" w:rsidR="00184569" w:rsidRPr="00184569" w:rsidRDefault="00184569" w:rsidP="00184569">
            <w:pPr>
              <w:keepNext/>
              <w:autoSpaceDE w:val="0"/>
              <w:autoSpaceDN w:val="0"/>
              <w:spacing w:after="0" w:line="240" w:lineRule="auto"/>
              <w:ind w:left="107"/>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Vérzéses végpontok</w:t>
            </w:r>
          </w:p>
        </w:tc>
      </w:tr>
      <w:tr w:rsidR="00184569" w:rsidRPr="00184569" w14:paraId="5D7F67B7" w14:textId="77777777" w:rsidTr="00E16EC6">
        <w:trPr>
          <w:gridAfter w:val="1"/>
          <w:wAfter w:w="10" w:type="dxa"/>
          <w:trHeight w:val="266"/>
        </w:trPr>
        <w:tc>
          <w:tcPr>
            <w:tcW w:w="2694" w:type="dxa"/>
          </w:tcPr>
          <w:p w14:paraId="5E7E99A9" w14:textId="77777777" w:rsidR="00184569" w:rsidRPr="00184569" w:rsidRDefault="00184569" w:rsidP="00184569">
            <w:pPr>
              <w:keepNext/>
              <w:autoSpaceDE w:val="0"/>
              <w:autoSpaceDN w:val="0"/>
              <w:spacing w:after="0" w:line="240" w:lineRule="auto"/>
              <w:ind w:left="284"/>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Nagyfokú*</w:t>
            </w:r>
          </w:p>
        </w:tc>
        <w:tc>
          <w:tcPr>
            <w:tcW w:w="1701" w:type="dxa"/>
          </w:tcPr>
          <w:p w14:paraId="39D9CA8D" w14:textId="77777777" w:rsidR="00184569" w:rsidRPr="00184569" w:rsidRDefault="00184569" w:rsidP="00184569">
            <w:pPr>
              <w:keepNext/>
              <w:autoSpaceDE w:val="0"/>
              <w:autoSpaceDN w:val="0"/>
              <w:spacing w:after="0" w:line="240" w:lineRule="auto"/>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327 (2,13)</w:t>
            </w:r>
          </w:p>
        </w:tc>
        <w:tc>
          <w:tcPr>
            <w:tcW w:w="1842" w:type="dxa"/>
          </w:tcPr>
          <w:p w14:paraId="733C5B1C" w14:textId="77777777" w:rsidR="00184569" w:rsidRPr="00184569" w:rsidRDefault="00184569" w:rsidP="00184569">
            <w:pPr>
              <w:keepNext/>
              <w:autoSpaceDE w:val="0"/>
              <w:autoSpaceDN w:val="0"/>
              <w:spacing w:after="0" w:line="240" w:lineRule="auto"/>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462 (3,09)</w:t>
            </w:r>
          </w:p>
        </w:tc>
        <w:tc>
          <w:tcPr>
            <w:tcW w:w="1843" w:type="dxa"/>
          </w:tcPr>
          <w:p w14:paraId="6D8043D8" w14:textId="77777777" w:rsidR="00184569" w:rsidRPr="00184569" w:rsidRDefault="00184569" w:rsidP="00184569">
            <w:pPr>
              <w:keepNext/>
              <w:autoSpaceDE w:val="0"/>
              <w:autoSpaceDN w:val="0"/>
              <w:spacing w:after="0" w:line="240" w:lineRule="auto"/>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0,69 (0,60; 0,80)</w:t>
            </w:r>
          </w:p>
        </w:tc>
        <w:tc>
          <w:tcPr>
            <w:tcW w:w="1326" w:type="dxa"/>
          </w:tcPr>
          <w:p w14:paraId="6CB7AD47" w14:textId="77777777" w:rsidR="00184569" w:rsidRPr="00184569" w:rsidRDefault="00184569" w:rsidP="00184569">
            <w:pPr>
              <w:keepNext/>
              <w:autoSpaceDE w:val="0"/>
              <w:autoSpaceDN w:val="0"/>
              <w:spacing w:after="0" w:line="240" w:lineRule="auto"/>
              <w:ind w:left="2"/>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&lt; 0,0001</w:t>
            </w:r>
          </w:p>
        </w:tc>
      </w:tr>
      <w:tr w:rsidR="00184569" w:rsidRPr="00184569" w14:paraId="4B4A3B99" w14:textId="77777777" w:rsidTr="00E16EC6">
        <w:trPr>
          <w:gridAfter w:val="1"/>
          <w:wAfter w:w="10" w:type="dxa"/>
          <w:trHeight w:val="283"/>
        </w:trPr>
        <w:tc>
          <w:tcPr>
            <w:tcW w:w="2694" w:type="dxa"/>
          </w:tcPr>
          <w:p w14:paraId="7BBAB91C" w14:textId="77777777" w:rsidR="00184569" w:rsidRPr="00184569" w:rsidRDefault="00184569" w:rsidP="00184569">
            <w:pPr>
              <w:keepNext/>
              <w:autoSpaceDE w:val="0"/>
              <w:autoSpaceDN w:val="0"/>
              <w:spacing w:after="0" w:line="240" w:lineRule="auto"/>
              <w:ind w:left="567"/>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Végzetes kimenetelű</w:t>
            </w:r>
          </w:p>
        </w:tc>
        <w:tc>
          <w:tcPr>
            <w:tcW w:w="1701" w:type="dxa"/>
          </w:tcPr>
          <w:p w14:paraId="455C5B03" w14:textId="77777777" w:rsidR="00184569" w:rsidRPr="00184569" w:rsidRDefault="00184569" w:rsidP="00184569">
            <w:pPr>
              <w:keepNext/>
              <w:autoSpaceDE w:val="0"/>
              <w:autoSpaceDN w:val="0"/>
              <w:spacing w:after="0" w:line="240" w:lineRule="auto"/>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10 (0,06)</w:t>
            </w:r>
          </w:p>
        </w:tc>
        <w:tc>
          <w:tcPr>
            <w:tcW w:w="1842" w:type="dxa"/>
          </w:tcPr>
          <w:p w14:paraId="031C550A" w14:textId="77777777" w:rsidR="00184569" w:rsidRPr="00184569" w:rsidRDefault="00184569" w:rsidP="00184569">
            <w:pPr>
              <w:keepNext/>
              <w:autoSpaceDE w:val="0"/>
              <w:autoSpaceDN w:val="0"/>
              <w:spacing w:after="0" w:line="240" w:lineRule="auto"/>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37 (0,24)</w:t>
            </w:r>
          </w:p>
        </w:tc>
        <w:tc>
          <w:tcPr>
            <w:tcW w:w="1843" w:type="dxa"/>
          </w:tcPr>
          <w:p w14:paraId="70F71707" w14:textId="77777777" w:rsidR="00184569" w:rsidRPr="00184569" w:rsidRDefault="00184569" w:rsidP="00184569">
            <w:pPr>
              <w:keepNext/>
              <w:autoSpaceDE w:val="0"/>
              <w:autoSpaceDN w:val="0"/>
              <w:spacing w:after="0" w:line="240" w:lineRule="auto"/>
              <w:rPr>
                <w:rFonts w:ascii="Times New Roman" w:eastAsia="Times New Roman" w:hAnsi="Times New Roman" w:cs="Times New Roman"/>
                <w:kern w:val="0"/>
                <w14:ligatures w14:val="none"/>
              </w:rPr>
            </w:pPr>
          </w:p>
        </w:tc>
        <w:tc>
          <w:tcPr>
            <w:tcW w:w="1326" w:type="dxa"/>
          </w:tcPr>
          <w:p w14:paraId="523B62CD" w14:textId="77777777" w:rsidR="00184569" w:rsidRPr="00184569" w:rsidRDefault="00184569" w:rsidP="00184569">
            <w:pPr>
              <w:keepNext/>
              <w:autoSpaceDE w:val="0"/>
              <w:autoSpaceDN w:val="0"/>
              <w:spacing w:after="0" w:line="240" w:lineRule="auto"/>
              <w:ind w:left="2"/>
              <w:jc w:val="center"/>
              <w:rPr>
                <w:rFonts w:ascii="Times New Roman" w:eastAsia="Times New Roman" w:hAnsi="Times New Roman" w:cs="Times New Roman"/>
                <w:kern w:val="0"/>
                <w14:ligatures w14:val="none"/>
              </w:rPr>
            </w:pPr>
          </w:p>
        </w:tc>
      </w:tr>
      <w:tr w:rsidR="00184569" w:rsidRPr="00184569" w14:paraId="2777CBC6" w14:textId="77777777" w:rsidTr="00E16EC6">
        <w:trPr>
          <w:gridAfter w:val="1"/>
          <w:wAfter w:w="10" w:type="dxa"/>
          <w:trHeight w:val="246"/>
        </w:trPr>
        <w:tc>
          <w:tcPr>
            <w:tcW w:w="2694" w:type="dxa"/>
          </w:tcPr>
          <w:p w14:paraId="79DD3059" w14:textId="77777777" w:rsidR="00184569" w:rsidRPr="00184569" w:rsidRDefault="00184569" w:rsidP="00184569">
            <w:pPr>
              <w:widowControl w:val="0"/>
              <w:autoSpaceDE w:val="0"/>
              <w:autoSpaceDN w:val="0"/>
              <w:spacing w:after="0" w:line="240" w:lineRule="auto"/>
              <w:ind w:left="567"/>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Intracranialis</w:t>
            </w:r>
          </w:p>
        </w:tc>
        <w:tc>
          <w:tcPr>
            <w:tcW w:w="1701" w:type="dxa"/>
          </w:tcPr>
          <w:p w14:paraId="3594C962" w14:textId="77777777" w:rsidR="00184569" w:rsidRPr="00184569" w:rsidRDefault="00184569" w:rsidP="00184569">
            <w:pPr>
              <w:widowControl w:val="0"/>
              <w:autoSpaceDE w:val="0"/>
              <w:autoSpaceDN w:val="0"/>
              <w:spacing w:after="0" w:line="240" w:lineRule="auto"/>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52 (0,33)</w:t>
            </w:r>
          </w:p>
        </w:tc>
        <w:tc>
          <w:tcPr>
            <w:tcW w:w="1842" w:type="dxa"/>
          </w:tcPr>
          <w:p w14:paraId="27FE829B" w14:textId="77777777" w:rsidR="00184569" w:rsidRPr="00184569" w:rsidRDefault="00184569" w:rsidP="00184569">
            <w:pPr>
              <w:widowControl w:val="0"/>
              <w:autoSpaceDE w:val="0"/>
              <w:autoSpaceDN w:val="0"/>
              <w:spacing w:after="0" w:line="240" w:lineRule="auto"/>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122 (0,80)</w:t>
            </w:r>
          </w:p>
        </w:tc>
        <w:tc>
          <w:tcPr>
            <w:tcW w:w="1843" w:type="dxa"/>
          </w:tcPr>
          <w:p w14:paraId="69E52B27"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
        </w:tc>
        <w:tc>
          <w:tcPr>
            <w:tcW w:w="1326" w:type="dxa"/>
          </w:tcPr>
          <w:p w14:paraId="17B575E0" w14:textId="77777777" w:rsidR="00184569" w:rsidRPr="00184569" w:rsidRDefault="00184569" w:rsidP="00184569">
            <w:pPr>
              <w:widowControl w:val="0"/>
              <w:autoSpaceDE w:val="0"/>
              <w:autoSpaceDN w:val="0"/>
              <w:spacing w:after="0" w:line="240" w:lineRule="auto"/>
              <w:ind w:left="2"/>
              <w:jc w:val="center"/>
              <w:rPr>
                <w:rFonts w:ascii="Times New Roman" w:eastAsia="Times New Roman" w:hAnsi="Times New Roman" w:cs="Times New Roman"/>
                <w:kern w:val="0"/>
                <w14:ligatures w14:val="none"/>
              </w:rPr>
            </w:pPr>
          </w:p>
        </w:tc>
      </w:tr>
      <w:tr w:rsidR="00184569" w:rsidRPr="00184569" w14:paraId="54F5867A" w14:textId="77777777" w:rsidTr="00E16EC6">
        <w:trPr>
          <w:gridAfter w:val="1"/>
          <w:wAfter w:w="10" w:type="dxa"/>
          <w:trHeight w:val="486"/>
        </w:trPr>
        <w:tc>
          <w:tcPr>
            <w:tcW w:w="2694" w:type="dxa"/>
          </w:tcPr>
          <w:p w14:paraId="39D123A7" w14:textId="77777777" w:rsidR="00184569" w:rsidRPr="00184569" w:rsidRDefault="00184569" w:rsidP="00184569">
            <w:pPr>
              <w:widowControl w:val="0"/>
              <w:autoSpaceDE w:val="0"/>
              <w:autoSpaceDN w:val="0"/>
              <w:spacing w:after="0" w:line="240" w:lineRule="auto"/>
              <w:ind w:left="284"/>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Nagyfokú + CRNM</w:t>
            </w:r>
            <w:proofErr w:type="gramStart"/>
            <w:r w:rsidRPr="00184569">
              <w:rPr>
                <w:rFonts w:ascii="Times New Roman" w:eastAsia="Times New Roman" w:hAnsi="Times New Roman" w:cs="Times New Roman"/>
                <w:kern w:val="0"/>
                <w:sz w:val="24"/>
                <w:szCs w:val="24"/>
                <w:vertAlign w:val="superscript"/>
                <w14:ligatures w14:val="none"/>
              </w:rPr>
              <w:t>†</w:t>
            </w:r>
            <w:proofErr w:type="gramEnd"/>
          </w:p>
        </w:tc>
        <w:tc>
          <w:tcPr>
            <w:tcW w:w="1701" w:type="dxa"/>
          </w:tcPr>
          <w:p w14:paraId="27518467" w14:textId="77777777" w:rsidR="00184569" w:rsidRPr="00184569" w:rsidRDefault="00184569" w:rsidP="00184569">
            <w:pPr>
              <w:widowControl w:val="0"/>
              <w:autoSpaceDE w:val="0"/>
              <w:autoSpaceDN w:val="0"/>
              <w:spacing w:after="0" w:line="240" w:lineRule="auto"/>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613 (4,07)</w:t>
            </w:r>
          </w:p>
        </w:tc>
        <w:tc>
          <w:tcPr>
            <w:tcW w:w="1842" w:type="dxa"/>
          </w:tcPr>
          <w:p w14:paraId="7D5128E0" w14:textId="77777777" w:rsidR="00184569" w:rsidRPr="00184569" w:rsidRDefault="00184569" w:rsidP="00184569">
            <w:pPr>
              <w:widowControl w:val="0"/>
              <w:autoSpaceDE w:val="0"/>
              <w:autoSpaceDN w:val="0"/>
              <w:spacing w:after="0" w:line="240" w:lineRule="auto"/>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877 (6,01)</w:t>
            </w:r>
          </w:p>
        </w:tc>
        <w:tc>
          <w:tcPr>
            <w:tcW w:w="1843" w:type="dxa"/>
          </w:tcPr>
          <w:p w14:paraId="2D9A01D4" w14:textId="77777777" w:rsidR="00184569" w:rsidRPr="00184569" w:rsidRDefault="00184569" w:rsidP="00184569">
            <w:pPr>
              <w:widowControl w:val="0"/>
              <w:autoSpaceDE w:val="0"/>
              <w:autoSpaceDN w:val="0"/>
              <w:spacing w:after="0" w:line="240" w:lineRule="auto"/>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0,68(0,61; 0,75)</w:t>
            </w:r>
          </w:p>
        </w:tc>
        <w:tc>
          <w:tcPr>
            <w:tcW w:w="1326" w:type="dxa"/>
          </w:tcPr>
          <w:p w14:paraId="0844DD96" w14:textId="77777777" w:rsidR="00184569" w:rsidRPr="00184569" w:rsidRDefault="00184569" w:rsidP="00184569">
            <w:pPr>
              <w:widowControl w:val="0"/>
              <w:autoSpaceDE w:val="0"/>
              <w:autoSpaceDN w:val="0"/>
              <w:spacing w:after="0" w:line="240" w:lineRule="auto"/>
              <w:ind w:left="2"/>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&lt; 0,0001</w:t>
            </w:r>
          </w:p>
        </w:tc>
      </w:tr>
      <w:tr w:rsidR="00184569" w:rsidRPr="00184569" w14:paraId="5D14866F" w14:textId="77777777" w:rsidTr="00E16EC6">
        <w:trPr>
          <w:gridAfter w:val="1"/>
          <w:wAfter w:w="10" w:type="dxa"/>
          <w:trHeight w:val="249"/>
        </w:trPr>
        <w:tc>
          <w:tcPr>
            <w:tcW w:w="2694" w:type="dxa"/>
          </w:tcPr>
          <w:p w14:paraId="6A34DEFE" w14:textId="77777777" w:rsidR="00184569" w:rsidRPr="00184569" w:rsidRDefault="00184569" w:rsidP="00184569">
            <w:pPr>
              <w:widowControl w:val="0"/>
              <w:autoSpaceDE w:val="0"/>
              <w:autoSpaceDN w:val="0"/>
              <w:spacing w:after="0" w:line="240" w:lineRule="auto"/>
              <w:ind w:left="284"/>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Összes</w:t>
            </w:r>
          </w:p>
        </w:tc>
        <w:tc>
          <w:tcPr>
            <w:tcW w:w="1701" w:type="dxa"/>
          </w:tcPr>
          <w:p w14:paraId="095BACF7" w14:textId="77777777" w:rsidR="00184569" w:rsidRPr="00184569" w:rsidRDefault="00184569" w:rsidP="00184569">
            <w:pPr>
              <w:widowControl w:val="0"/>
              <w:autoSpaceDE w:val="0"/>
              <w:autoSpaceDN w:val="0"/>
              <w:spacing w:after="0" w:line="240" w:lineRule="auto"/>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2356 (18,1)</w:t>
            </w:r>
          </w:p>
        </w:tc>
        <w:tc>
          <w:tcPr>
            <w:tcW w:w="1842" w:type="dxa"/>
          </w:tcPr>
          <w:p w14:paraId="1D07286B" w14:textId="77777777" w:rsidR="00184569" w:rsidRPr="00184569" w:rsidRDefault="00184569" w:rsidP="00184569">
            <w:pPr>
              <w:widowControl w:val="0"/>
              <w:autoSpaceDE w:val="0"/>
              <w:autoSpaceDN w:val="0"/>
              <w:spacing w:after="0" w:line="240" w:lineRule="auto"/>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3060 (25,8)</w:t>
            </w:r>
          </w:p>
        </w:tc>
        <w:tc>
          <w:tcPr>
            <w:tcW w:w="1843" w:type="dxa"/>
          </w:tcPr>
          <w:p w14:paraId="36A65C8D" w14:textId="77777777" w:rsidR="00184569" w:rsidRPr="00184569" w:rsidRDefault="00184569" w:rsidP="00184569">
            <w:pPr>
              <w:widowControl w:val="0"/>
              <w:autoSpaceDE w:val="0"/>
              <w:autoSpaceDN w:val="0"/>
              <w:spacing w:after="0" w:line="240" w:lineRule="auto"/>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0,71 (0,68; 0,75)</w:t>
            </w:r>
          </w:p>
        </w:tc>
        <w:tc>
          <w:tcPr>
            <w:tcW w:w="1326" w:type="dxa"/>
          </w:tcPr>
          <w:p w14:paraId="2739523C" w14:textId="77777777" w:rsidR="00184569" w:rsidRPr="00184569" w:rsidRDefault="00184569" w:rsidP="00184569">
            <w:pPr>
              <w:widowControl w:val="0"/>
              <w:autoSpaceDE w:val="0"/>
              <w:autoSpaceDN w:val="0"/>
              <w:spacing w:after="0" w:line="240" w:lineRule="auto"/>
              <w:ind w:left="2"/>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&lt; 0,0001</w:t>
            </w:r>
          </w:p>
        </w:tc>
      </w:tr>
      <w:tr w:rsidR="00184569" w:rsidRPr="00184569" w14:paraId="1021A68C" w14:textId="77777777" w:rsidTr="00E16EC6">
        <w:trPr>
          <w:trHeight w:val="246"/>
        </w:trPr>
        <w:tc>
          <w:tcPr>
            <w:tcW w:w="9416" w:type="dxa"/>
            <w:gridSpan w:val="6"/>
          </w:tcPr>
          <w:p w14:paraId="77764AD4" w14:textId="77777777" w:rsidR="00184569" w:rsidRPr="00184569" w:rsidRDefault="00184569" w:rsidP="00184569">
            <w:pPr>
              <w:widowControl w:val="0"/>
              <w:autoSpaceDE w:val="0"/>
              <w:autoSpaceDN w:val="0"/>
              <w:spacing w:after="0" w:line="240" w:lineRule="auto"/>
              <w:ind w:left="107"/>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Egyéb végpontok</w:t>
            </w:r>
          </w:p>
        </w:tc>
      </w:tr>
      <w:tr w:rsidR="00184569" w:rsidRPr="00184569" w14:paraId="5ABC418B" w14:textId="77777777" w:rsidTr="00E16EC6">
        <w:trPr>
          <w:gridAfter w:val="1"/>
          <w:wAfter w:w="10" w:type="dxa"/>
          <w:trHeight w:val="264"/>
        </w:trPr>
        <w:tc>
          <w:tcPr>
            <w:tcW w:w="2694" w:type="dxa"/>
          </w:tcPr>
          <w:p w14:paraId="75FF0254" w14:textId="77777777" w:rsidR="00184569" w:rsidRPr="00184569" w:rsidRDefault="00184569" w:rsidP="00184569">
            <w:pPr>
              <w:widowControl w:val="0"/>
              <w:autoSpaceDE w:val="0"/>
              <w:autoSpaceDN w:val="0"/>
              <w:spacing w:after="0" w:line="240" w:lineRule="auto"/>
              <w:ind w:left="284"/>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Összmortalitás</w:t>
            </w:r>
          </w:p>
        </w:tc>
        <w:tc>
          <w:tcPr>
            <w:tcW w:w="1701" w:type="dxa"/>
          </w:tcPr>
          <w:p w14:paraId="53093691" w14:textId="77777777" w:rsidR="00184569" w:rsidRPr="00184569" w:rsidRDefault="00184569" w:rsidP="00184569">
            <w:pPr>
              <w:widowControl w:val="0"/>
              <w:autoSpaceDE w:val="0"/>
              <w:autoSpaceDN w:val="0"/>
              <w:spacing w:after="0" w:line="240" w:lineRule="auto"/>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603 (3,52)</w:t>
            </w:r>
          </w:p>
        </w:tc>
        <w:tc>
          <w:tcPr>
            <w:tcW w:w="1842" w:type="dxa"/>
          </w:tcPr>
          <w:p w14:paraId="237F41CD" w14:textId="77777777" w:rsidR="00184569" w:rsidRPr="00184569" w:rsidRDefault="00184569" w:rsidP="00184569">
            <w:pPr>
              <w:widowControl w:val="0"/>
              <w:autoSpaceDE w:val="0"/>
              <w:autoSpaceDN w:val="0"/>
              <w:spacing w:after="0" w:line="240" w:lineRule="auto"/>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669 (3,94)</w:t>
            </w:r>
          </w:p>
        </w:tc>
        <w:tc>
          <w:tcPr>
            <w:tcW w:w="1843" w:type="dxa"/>
          </w:tcPr>
          <w:p w14:paraId="640C293E" w14:textId="77777777" w:rsidR="00184569" w:rsidRPr="00184569" w:rsidRDefault="00184569" w:rsidP="00184569">
            <w:pPr>
              <w:widowControl w:val="0"/>
              <w:autoSpaceDE w:val="0"/>
              <w:autoSpaceDN w:val="0"/>
              <w:spacing w:after="0" w:line="240" w:lineRule="auto"/>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0,89 (0,80; 1,00)</w:t>
            </w:r>
          </w:p>
        </w:tc>
        <w:tc>
          <w:tcPr>
            <w:tcW w:w="1326" w:type="dxa"/>
          </w:tcPr>
          <w:p w14:paraId="41970C36" w14:textId="77777777" w:rsidR="00184569" w:rsidRPr="00184569" w:rsidRDefault="00184569" w:rsidP="00184569">
            <w:pPr>
              <w:widowControl w:val="0"/>
              <w:autoSpaceDE w:val="0"/>
              <w:autoSpaceDN w:val="0"/>
              <w:spacing w:after="0" w:line="240" w:lineRule="auto"/>
              <w:ind w:left="2"/>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0,0465</w:t>
            </w:r>
          </w:p>
        </w:tc>
      </w:tr>
      <w:tr w:rsidR="00184569" w:rsidRPr="00184569" w14:paraId="4D7F2C6B" w14:textId="77777777" w:rsidTr="00E16EC6">
        <w:trPr>
          <w:gridAfter w:val="1"/>
          <w:wAfter w:w="10" w:type="dxa"/>
          <w:trHeight w:val="268"/>
        </w:trPr>
        <w:tc>
          <w:tcPr>
            <w:tcW w:w="2694" w:type="dxa"/>
          </w:tcPr>
          <w:p w14:paraId="032B47BE" w14:textId="77777777" w:rsidR="00184569" w:rsidRPr="00184569" w:rsidRDefault="00184569" w:rsidP="00184569">
            <w:pPr>
              <w:widowControl w:val="0"/>
              <w:autoSpaceDE w:val="0"/>
              <w:autoSpaceDN w:val="0"/>
              <w:spacing w:after="0" w:line="240" w:lineRule="auto"/>
              <w:ind w:left="284"/>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Myocardialis infarctus</w:t>
            </w:r>
          </w:p>
        </w:tc>
        <w:tc>
          <w:tcPr>
            <w:tcW w:w="1701" w:type="dxa"/>
          </w:tcPr>
          <w:p w14:paraId="2E6BFA20" w14:textId="77777777" w:rsidR="00184569" w:rsidRPr="00184569" w:rsidRDefault="00184569" w:rsidP="00184569">
            <w:pPr>
              <w:widowControl w:val="0"/>
              <w:autoSpaceDE w:val="0"/>
              <w:autoSpaceDN w:val="0"/>
              <w:spacing w:after="0" w:line="240" w:lineRule="auto"/>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90 (0,53)</w:t>
            </w:r>
          </w:p>
        </w:tc>
        <w:tc>
          <w:tcPr>
            <w:tcW w:w="1842" w:type="dxa"/>
          </w:tcPr>
          <w:p w14:paraId="7F6756A5" w14:textId="77777777" w:rsidR="00184569" w:rsidRPr="00184569" w:rsidRDefault="00184569" w:rsidP="00184569">
            <w:pPr>
              <w:widowControl w:val="0"/>
              <w:autoSpaceDE w:val="0"/>
              <w:autoSpaceDN w:val="0"/>
              <w:spacing w:after="0" w:line="240" w:lineRule="auto"/>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102 (0,61)</w:t>
            </w:r>
          </w:p>
        </w:tc>
        <w:tc>
          <w:tcPr>
            <w:tcW w:w="1843" w:type="dxa"/>
          </w:tcPr>
          <w:p w14:paraId="3A73F18D" w14:textId="77777777" w:rsidR="00184569" w:rsidRPr="00184569" w:rsidRDefault="00184569" w:rsidP="00184569">
            <w:pPr>
              <w:widowControl w:val="0"/>
              <w:autoSpaceDE w:val="0"/>
              <w:autoSpaceDN w:val="0"/>
              <w:spacing w:after="0" w:line="240" w:lineRule="auto"/>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0,88 (0,66; 1,17)</w:t>
            </w:r>
          </w:p>
        </w:tc>
        <w:tc>
          <w:tcPr>
            <w:tcW w:w="1326" w:type="dxa"/>
          </w:tcPr>
          <w:p w14:paraId="0D068093" w14:textId="77777777" w:rsidR="00184569" w:rsidRPr="00184569" w:rsidRDefault="00184569" w:rsidP="00184569">
            <w:pPr>
              <w:widowControl w:val="0"/>
              <w:autoSpaceDE w:val="0"/>
              <w:autoSpaceDN w:val="0"/>
              <w:spacing w:after="0" w:line="240" w:lineRule="auto"/>
              <w:ind w:left="2"/>
              <w:jc w:val="center"/>
              <w:rPr>
                <w:rFonts w:ascii="Times New Roman" w:eastAsia="Times New Roman" w:hAnsi="Times New Roman" w:cs="Times New Roman"/>
                <w:kern w:val="0"/>
                <w14:ligatures w14:val="none"/>
              </w:rPr>
            </w:pPr>
          </w:p>
        </w:tc>
      </w:tr>
    </w:tbl>
    <w:p w14:paraId="22D7D45F" w14:textId="77777777" w:rsidR="00184569" w:rsidRPr="00184569" w:rsidRDefault="00184569" w:rsidP="00184569">
      <w:pPr>
        <w:widowControl w:val="0"/>
        <w:autoSpaceDE w:val="0"/>
        <w:autoSpaceDN w:val="0"/>
        <w:spacing w:after="0" w:line="240" w:lineRule="auto"/>
        <w:ind w:left="142" w:hanging="142"/>
        <w:rPr>
          <w:rFonts w:ascii="Times New Roman" w:eastAsia="Times New Roman" w:hAnsi="Times New Roman" w:cs="Times New Roman"/>
          <w:kern w:val="0"/>
          <w:sz w:val="18"/>
          <w:szCs w:val="18"/>
          <w14:ligatures w14:val="none"/>
        </w:rPr>
      </w:pPr>
      <w:r w:rsidRPr="00184569">
        <w:rPr>
          <w:rFonts w:ascii="Times New Roman" w:eastAsia="Times New Roman" w:hAnsi="Times New Roman" w:cs="Times New Roman"/>
          <w:kern w:val="0"/>
          <w:sz w:val="18"/>
          <w:szCs w:val="18"/>
          <w14:ligatures w14:val="none"/>
        </w:rPr>
        <w:t>*A nagyfokú vérzést az International Society on Thrombosis and Haemostasis (ISTH – Nemzetközi Thrombosis és Haemostasis Társaság) kritériumai szerint definiálták.</w:t>
      </w:r>
    </w:p>
    <w:p w14:paraId="4CFB0FA3" w14:textId="77777777" w:rsidR="00184569" w:rsidRPr="00184569" w:rsidRDefault="00184569" w:rsidP="00184569">
      <w:pPr>
        <w:widowControl w:val="0"/>
        <w:autoSpaceDE w:val="0"/>
        <w:autoSpaceDN w:val="0"/>
        <w:spacing w:after="0" w:line="240" w:lineRule="auto"/>
        <w:ind w:left="142" w:hanging="142"/>
        <w:rPr>
          <w:rFonts w:ascii="Times New Roman" w:eastAsia="Times New Roman" w:hAnsi="Times New Roman" w:cs="Times New Roman"/>
          <w:kern w:val="0"/>
          <w:sz w:val="18"/>
          <w:szCs w:val="18"/>
          <w14:ligatures w14:val="none"/>
        </w:rPr>
      </w:pPr>
      <w:r w:rsidRPr="00184569">
        <w:rPr>
          <w:rFonts w:ascii="Times New Roman" w:eastAsia="Times New Roman" w:hAnsi="Times New Roman" w:cs="Times New Roman"/>
          <w:kern w:val="0"/>
          <w:sz w:val="18"/>
          <w:szCs w:val="18"/>
          <w14:ligatures w14:val="none"/>
        </w:rPr>
        <w:t>† Klinikailag jelentős, nem súlyos vérzés</w:t>
      </w:r>
      <w:r w:rsidRPr="00184569">
        <w:rPr>
          <w:rFonts w:ascii="Times New Roman" w:eastAsia="Times New Roman" w:hAnsi="Times New Roman" w:cs="Times New Roman"/>
          <w:kern w:val="0"/>
          <w14:ligatures w14:val="none"/>
        </w:rPr>
        <w:t xml:space="preserve"> </w:t>
      </w:r>
      <w:r w:rsidRPr="00184569">
        <w:rPr>
          <w:rFonts w:ascii="Times New Roman" w:eastAsia="Times New Roman" w:hAnsi="Times New Roman" w:cs="Times New Roman"/>
          <w:kern w:val="0"/>
          <w:sz w:val="18"/>
          <w:szCs w:val="18"/>
          <w14:ligatures w14:val="none"/>
        </w:rPr>
        <w:t>(Clinically Relevant Non-Major).</w:t>
      </w:r>
    </w:p>
    <w:p w14:paraId="5693B2DC"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
    <w:p w14:paraId="7B41892B"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i/>
          <w:kern w:val="0"/>
          <w14:ligatures w14:val="none"/>
        </w:rPr>
      </w:pPr>
      <w:r w:rsidRPr="00184569">
        <w:rPr>
          <w:rFonts w:ascii="Times New Roman" w:eastAsia="Times New Roman" w:hAnsi="Times New Roman" w:cs="Times New Roman"/>
          <w:iCs/>
          <w:kern w:val="0"/>
          <w14:ligatures w14:val="none"/>
        </w:rPr>
        <w:t>Az ARISTOTLE vizsgálatban a kezelés mellékhatások miatt történő abbahagyásának összesített aránya az apixabán esetében 1,8%, a warfarin esetében pedig 2,6% volt.</w:t>
      </w:r>
    </w:p>
    <w:p w14:paraId="1C38425D"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position w:val="2"/>
          <w14:ligatures w14:val="none"/>
        </w:rPr>
      </w:pPr>
    </w:p>
    <w:p w14:paraId="3556BA7C"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Az előre meghatározott alcsoportok, köztük a CHADS</w:t>
      </w:r>
      <w:r w:rsidRPr="00184569">
        <w:rPr>
          <w:rFonts w:ascii="Times New Roman" w:eastAsia="Times New Roman" w:hAnsi="Times New Roman" w:cs="Times New Roman"/>
          <w:kern w:val="0"/>
          <w:vertAlign w:val="subscript"/>
          <w14:ligatures w14:val="none"/>
        </w:rPr>
        <w:t>2</w:t>
      </w:r>
      <w:r w:rsidRPr="00184569">
        <w:rPr>
          <w:rFonts w:ascii="Times New Roman" w:eastAsia="Times New Roman" w:hAnsi="Times New Roman" w:cs="Times New Roman"/>
          <w:kern w:val="0"/>
          <w14:ligatures w14:val="none"/>
        </w:rPr>
        <w:t>-pontszám, az életkor, a testtömeg, a nem, a vesefunkció, a korábbi stroke vagy TIA és a diabetes esetében a hatásossági eredmények összhangban voltak a vizsgálatban értékelt összpopuláció esetén kapott elsődleges hatásossági eredményekkel.</w:t>
      </w:r>
    </w:p>
    <w:p w14:paraId="5B3CF293"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
    <w:p w14:paraId="4C32CED6"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Az ISTH definíciója szerinti súlyos gastrointestinalis vérzések (beleértve a tápcsatorna felső, a tápcsatorna alsó részéről kiinduló, valamint a rectalis vérzést is) előfordulási gyakorisága 0,76%/év volt az apixabán és 0,86%/év volt a warfarin-kezelés mellett.</w:t>
      </w:r>
    </w:p>
    <w:p w14:paraId="5435D4FD"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position w:val="2"/>
          <w14:ligatures w14:val="none"/>
        </w:rPr>
      </w:pPr>
    </w:p>
    <w:p w14:paraId="3038C14E"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Az előre meghatározott alcsoportok, köztük a CHADS</w:t>
      </w:r>
      <w:r w:rsidRPr="00184569">
        <w:rPr>
          <w:rFonts w:ascii="Times New Roman" w:eastAsia="Times New Roman" w:hAnsi="Times New Roman" w:cs="Times New Roman"/>
          <w:kern w:val="0"/>
          <w:vertAlign w:val="subscript"/>
          <w14:ligatures w14:val="none"/>
        </w:rPr>
        <w:t>2</w:t>
      </w:r>
      <w:r w:rsidRPr="00184569">
        <w:rPr>
          <w:rFonts w:ascii="Times New Roman" w:eastAsia="Times New Roman" w:hAnsi="Times New Roman" w:cs="Times New Roman"/>
          <w:kern w:val="0"/>
          <w14:ligatures w14:val="none"/>
        </w:rPr>
        <w:t>-pontszám, az életkor, a testtömeg, a nem, a vesefunkció, a korábbi stroke vagy TIA és a diabetes esetén a súlyos vérzések összhangban voltak a vizsgálatban értékelt összpopuláció esetén kapott eredményekkel.</w:t>
      </w:r>
    </w:p>
    <w:p w14:paraId="0C5CAD8C"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i/>
          <w:kern w:val="0"/>
          <w:u w:val="single"/>
          <w14:ligatures w14:val="none"/>
        </w:rPr>
      </w:pPr>
    </w:p>
    <w:p w14:paraId="5A7A9007"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r w:rsidRPr="00184569">
        <w:rPr>
          <w:rFonts w:ascii="Times New Roman" w:eastAsia="Times New Roman" w:hAnsi="Times New Roman" w:cs="Times New Roman"/>
          <w:i/>
          <w:kern w:val="0"/>
          <w:u w:val="single"/>
          <w14:ligatures w14:val="none"/>
        </w:rPr>
        <w:t>AVERROES vizsgálat</w:t>
      </w:r>
    </w:p>
    <w:p w14:paraId="2AF430EA"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Az AVERROES vizsgálatba összesen 5598 felnőtt beteget randomizáltak, akiket a vizsgálatot végzők nem tartottak alkalmasnak K-vitamin-antagonista-kezelésre, naponta kétszer 5 mg (vagy a kiválasztott betegeknél naponta kétszer 2,5 mg [6,4%], lásd 4.2 pont) apixabán- vagy acetilszalicilsav-kezelésre. Az acetilszalicilsavat a vizsgálatot végző megítélése szerint naponta egyszeri 81 mg-os (64%), 162 mg-os (26,9%), 243 mg-os (2,1%) vagy 324 mg-os (6,6%) dózisban adták. A betegek átlagosan 14 hónapig kapták a vizsgált hatóanyagot. Az átlagéletkor 69,9 év, az átlagos CHADS</w:t>
      </w:r>
      <w:r w:rsidRPr="00184569">
        <w:rPr>
          <w:rFonts w:ascii="Times New Roman" w:eastAsia="Times New Roman" w:hAnsi="Times New Roman" w:cs="Times New Roman"/>
          <w:kern w:val="0"/>
          <w:vertAlign w:val="subscript"/>
          <w14:ligatures w14:val="none"/>
        </w:rPr>
        <w:t>2</w:t>
      </w:r>
      <w:r w:rsidRPr="00184569">
        <w:rPr>
          <w:rFonts w:ascii="Times New Roman" w:eastAsia="Times New Roman" w:hAnsi="Times New Roman" w:cs="Times New Roman"/>
          <w:kern w:val="0"/>
          <w14:ligatures w14:val="none"/>
        </w:rPr>
        <w:t>-pontszám 2,0</w:t>
      </w:r>
      <w:r w:rsidRPr="00184569">
        <w:rPr>
          <w:rFonts w:ascii="Times New Roman" w:eastAsia="Times New Roman" w:hAnsi="Times New Roman" w:cs="Times New Roman"/>
          <w:kern w:val="0"/>
          <w:position w:val="2"/>
          <w14:ligatures w14:val="none"/>
        </w:rPr>
        <w:t xml:space="preserve"> volt, és a betegek 13,6%-ának volt korábban stroke-ja vagy TIA-ja.</w:t>
      </w:r>
    </w:p>
    <w:p w14:paraId="750548B6"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roofErr w:type="gramStart"/>
      <w:r w:rsidRPr="00184569">
        <w:rPr>
          <w:rFonts w:ascii="Times New Roman" w:eastAsia="Times New Roman" w:hAnsi="Times New Roman" w:cs="Times New Roman"/>
          <w:kern w:val="0"/>
          <w14:ligatures w14:val="none"/>
        </w:rPr>
        <w:t>Az AVERROES vizsgálatban a K-vitamin-antagonista-kezelésre való alkalmatlanság gyakori okai közé tartozott az INR-értékek kívánt intervallumban való tartásának képtelensége, vagy annak valószínűleg nem lehetséges elérése (42,6%), az, hogy a beteg visszautasította a K-vitamin-antagonistával végzett kezelést (37,4%), a CHADS</w:t>
      </w:r>
      <w:r w:rsidRPr="00184569">
        <w:rPr>
          <w:rFonts w:ascii="Times New Roman" w:eastAsia="Times New Roman" w:hAnsi="Times New Roman" w:cs="Times New Roman"/>
          <w:kern w:val="0"/>
          <w:vertAlign w:val="subscript"/>
          <w14:ligatures w14:val="none"/>
        </w:rPr>
        <w:t>2</w:t>
      </w:r>
      <w:r w:rsidRPr="00184569">
        <w:rPr>
          <w:rFonts w:ascii="Times New Roman" w:eastAsia="Times New Roman" w:hAnsi="Times New Roman" w:cs="Times New Roman"/>
          <w:kern w:val="0"/>
          <w14:ligatures w14:val="none"/>
        </w:rPr>
        <w:t>-pontszám = 1 és az orvos nem javasolta a K</w:t>
      </w:r>
      <w:r w:rsidRPr="00184569">
        <w:rPr>
          <w:rFonts w:ascii="Times New Roman" w:eastAsia="Times New Roman" w:hAnsi="Times New Roman" w:cs="Times New Roman"/>
          <w:kern w:val="0"/>
          <w14:ligatures w14:val="none"/>
        </w:rPr>
        <w:noBreakHyphen/>
        <w:t xml:space="preserve">vitamin-antagonista-kezelést (21,3%), nem lehetett megbízni abban, hogy a beteg betartja a </w:t>
      </w:r>
      <w:bookmarkStart w:id="3" w:name="_Hlk79405367"/>
      <w:r w:rsidRPr="00184569">
        <w:rPr>
          <w:rFonts w:ascii="Times New Roman" w:eastAsia="Times New Roman" w:hAnsi="Times New Roman" w:cs="Times New Roman"/>
          <w:kern w:val="0"/>
          <w14:ligatures w14:val="none"/>
        </w:rPr>
        <w:t>K</w:t>
      </w:r>
      <w:r w:rsidRPr="00184569">
        <w:rPr>
          <w:rFonts w:ascii="Times New Roman" w:eastAsia="Times New Roman" w:hAnsi="Times New Roman" w:cs="Times New Roman"/>
          <w:kern w:val="0"/>
          <w14:ligatures w14:val="none"/>
        </w:rPr>
        <w:noBreakHyphen/>
        <w:t xml:space="preserve">vitamin-antagonista </w:t>
      </w:r>
      <w:bookmarkEnd w:id="3"/>
      <w:r w:rsidRPr="00184569">
        <w:rPr>
          <w:rFonts w:ascii="Times New Roman" w:eastAsia="Times New Roman" w:hAnsi="Times New Roman" w:cs="Times New Roman"/>
          <w:kern w:val="0"/>
          <w14:ligatures w14:val="none"/>
        </w:rPr>
        <w:t>mellé kapott gyógyszerekre vonatkozó utasításokat (15,0%), valamint, hogy a dózis sürgős megváltoztatása esetén nehéz</w:t>
      </w:r>
      <w:proofErr w:type="gramEnd"/>
      <w:r w:rsidRPr="00184569">
        <w:rPr>
          <w:rFonts w:ascii="Times New Roman" w:eastAsia="Times New Roman" w:hAnsi="Times New Roman" w:cs="Times New Roman"/>
          <w:kern w:val="0"/>
          <w14:ligatures w14:val="none"/>
        </w:rPr>
        <w:t xml:space="preserve"> </w:t>
      </w:r>
      <w:proofErr w:type="gramStart"/>
      <w:r w:rsidRPr="00184569">
        <w:rPr>
          <w:rFonts w:ascii="Times New Roman" w:eastAsia="Times New Roman" w:hAnsi="Times New Roman" w:cs="Times New Roman"/>
          <w:kern w:val="0"/>
          <w14:ligatures w14:val="none"/>
        </w:rPr>
        <w:t>vagy</w:t>
      </w:r>
      <w:proofErr w:type="gramEnd"/>
      <w:r w:rsidRPr="00184569">
        <w:rPr>
          <w:rFonts w:ascii="Times New Roman" w:eastAsia="Times New Roman" w:hAnsi="Times New Roman" w:cs="Times New Roman"/>
          <w:kern w:val="0"/>
          <w14:ligatures w14:val="none"/>
        </w:rPr>
        <w:t xml:space="preserve"> várhatóan nehéz elérni a beteget (11,7%).</w:t>
      </w:r>
    </w:p>
    <w:p w14:paraId="66C367CC"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
    <w:p w14:paraId="7171FCB6"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A független Adatfigyelő Bizottság ajánlása alapján az AVERROES vizsgálatot idő előtt leállították, mert elfogadható biztonságossági profil mellett egyértelmű bizonyíték volt a stroke és a szisztémás embolizáció csökkenésére.</w:t>
      </w:r>
    </w:p>
    <w:p w14:paraId="3CF8B8C5"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
    <w:p w14:paraId="2CD531B6"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Az AVERROES vizsgálatban a kezelés mellékhatások miatt történő leállításának összesített aránya 1,5% volt az apixabán és 1,3% volt az acetilszalicilsav esetén.</w:t>
      </w:r>
    </w:p>
    <w:p w14:paraId="09E0EC49"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
    <w:p w14:paraId="14D565D8" w14:textId="77777777" w:rsidR="00184569" w:rsidRPr="00184569" w:rsidRDefault="00184569" w:rsidP="00184569">
      <w:pPr>
        <w:keepNext/>
        <w:autoSpaceDE w:val="0"/>
        <w:autoSpaceDN w:val="0"/>
        <w:spacing w:after="0" w:line="240" w:lineRule="auto"/>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A vizsgálatban az apixabán az acetilszalicilsavhoz képest statisztikailag szignifikáns szuperioritást mutatott a stroke (haemorrhagiás, ischaemiás vagy nem meghatározott) vagy szisztémás embolizáció prevenciója elsődleges végpontban (lásd 7. táblázat).</w:t>
      </w:r>
    </w:p>
    <w:p w14:paraId="59B0C138"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
    <w:p w14:paraId="6CF1728F" w14:textId="77777777" w:rsidR="00184569" w:rsidRPr="00184569" w:rsidRDefault="00184569" w:rsidP="00184569">
      <w:pPr>
        <w:widowControl w:val="0"/>
        <w:autoSpaceDE w:val="0"/>
        <w:autoSpaceDN w:val="0"/>
        <w:spacing w:after="0" w:line="240" w:lineRule="auto"/>
        <w:outlineLvl w:val="1"/>
        <w:rPr>
          <w:rFonts w:ascii="Times New Roman" w:eastAsia="Times New Roman" w:hAnsi="Times New Roman" w:cs="Times New Roman"/>
          <w:b/>
          <w:bCs/>
          <w:kern w:val="0"/>
          <w14:ligatures w14:val="none"/>
        </w:rPr>
      </w:pPr>
      <w:r w:rsidRPr="00184569">
        <w:rPr>
          <w:rFonts w:ascii="Times New Roman" w:eastAsia="Times New Roman" w:hAnsi="Times New Roman" w:cs="Times New Roman"/>
          <w:b/>
          <w:bCs/>
          <w:kern w:val="0"/>
          <w14:ligatures w14:val="none"/>
        </w:rPr>
        <w:t>7. táblázat: Legfontosabb hatásossági végpontok pitvarfibrilláló betegeknél az AVERROES vizsgálatban</w:t>
      </w:r>
    </w:p>
    <w:tbl>
      <w:tblPr>
        <w:tblW w:w="907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544"/>
        <w:gridCol w:w="1276"/>
        <w:gridCol w:w="1559"/>
        <w:gridCol w:w="1701"/>
        <w:gridCol w:w="994"/>
      </w:tblGrid>
      <w:tr w:rsidR="00184569" w:rsidRPr="00184569" w14:paraId="7BD24D3B" w14:textId="77777777" w:rsidTr="00E16EC6">
        <w:trPr>
          <w:trHeight w:val="693"/>
        </w:trPr>
        <w:tc>
          <w:tcPr>
            <w:tcW w:w="3544" w:type="dxa"/>
          </w:tcPr>
          <w:p w14:paraId="05C4C366"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
        </w:tc>
        <w:tc>
          <w:tcPr>
            <w:tcW w:w="1276" w:type="dxa"/>
          </w:tcPr>
          <w:p w14:paraId="6888E5D0" w14:textId="77777777" w:rsidR="00184569" w:rsidRPr="00184569" w:rsidRDefault="00184569" w:rsidP="00184569">
            <w:pPr>
              <w:widowControl w:val="0"/>
              <w:autoSpaceDE w:val="0"/>
              <w:autoSpaceDN w:val="0"/>
              <w:spacing w:after="0" w:line="240" w:lineRule="auto"/>
              <w:ind w:hanging="12"/>
              <w:jc w:val="center"/>
              <w:rPr>
                <w:rFonts w:ascii="Times New Roman" w:eastAsia="Times New Roman" w:hAnsi="Times New Roman" w:cs="Times New Roman"/>
                <w:b/>
                <w:kern w:val="0"/>
                <w14:ligatures w14:val="none"/>
              </w:rPr>
            </w:pPr>
            <w:r w:rsidRPr="00184569">
              <w:rPr>
                <w:rFonts w:ascii="Times New Roman" w:eastAsia="Times New Roman" w:hAnsi="Times New Roman" w:cs="Times New Roman"/>
                <w:b/>
                <w:kern w:val="0"/>
                <w14:ligatures w14:val="none"/>
              </w:rPr>
              <w:t>apixabán n = 2807</w:t>
            </w:r>
          </w:p>
          <w:p w14:paraId="66E53A85" w14:textId="77777777" w:rsidR="00184569" w:rsidRPr="00184569" w:rsidRDefault="00184569" w:rsidP="00184569">
            <w:pPr>
              <w:widowControl w:val="0"/>
              <w:autoSpaceDE w:val="0"/>
              <w:autoSpaceDN w:val="0"/>
              <w:spacing w:after="0" w:line="240" w:lineRule="auto"/>
              <w:jc w:val="center"/>
              <w:rPr>
                <w:rFonts w:ascii="Times New Roman" w:eastAsia="Times New Roman" w:hAnsi="Times New Roman" w:cs="Times New Roman"/>
                <w:b/>
                <w:kern w:val="0"/>
                <w14:ligatures w14:val="none"/>
              </w:rPr>
            </w:pPr>
            <w:r w:rsidRPr="00184569">
              <w:rPr>
                <w:rFonts w:ascii="Times New Roman" w:eastAsia="Times New Roman" w:hAnsi="Times New Roman" w:cs="Times New Roman"/>
                <w:b/>
                <w:kern w:val="0"/>
                <w14:ligatures w14:val="none"/>
              </w:rPr>
              <w:t>n (%/év)</w:t>
            </w:r>
          </w:p>
        </w:tc>
        <w:tc>
          <w:tcPr>
            <w:tcW w:w="1559" w:type="dxa"/>
          </w:tcPr>
          <w:p w14:paraId="0302F7FB" w14:textId="77777777" w:rsidR="00184569" w:rsidRPr="00184569" w:rsidRDefault="00184569" w:rsidP="00184569">
            <w:pPr>
              <w:widowControl w:val="0"/>
              <w:autoSpaceDE w:val="0"/>
              <w:autoSpaceDN w:val="0"/>
              <w:spacing w:after="0" w:line="240" w:lineRule="auto"/>
              <w:jc w:val="center"/>
              <w:rPr>
                <w:rFonts w:ascii="Times New Roman" w:eastAsia="Times New Roman" w:hAnsi="Times New Roman" w:cs="Times New Roman"/>
                <w:b/>
                <w:kern w:val="0"/>
                <w14:ligatures w14:val="none"/>
              </w:rPr>
            </w:pPr>
            <w:r w:rsidRPr="00184569">
              <w:rPr>
                <w:rFonts w:ascii="Times New Roman" w:eastAsia="Times New Roman" w:hAnsi="Times New Roman" w:cs="Times New Roman"/>
                <w:b/>
                <w:kern w:val="0"/>
                <w14:ligatures w14:val="none"/>
              </w:rPr>
              <w:t>acetilszalicilsav n = 2791</w:t>
            </w:r>
          </w:p>
          <w:p w14:paraId="23F00EBC" w14:textId="77777777" w:rsidR="00184569" w:rsidRPr="00184569" w:rsidRDefault="00184569" w:rsidP="00184569">
            <w:pPr>
              <w:widowControl w:val="0"/>
              <w:autoSpaceDE w:val="0"/>
              <w:autoSpaceDN w:val="0"/>
              <w:spacing w:after="0" w:line="240" w:lineRule="auto"/>
              <w:jc w:val="center"/>
              <w:rPr>
                <w:rFonts w:ascii="Times New Roman" w:eastAsia="Times New Roman" w:hAnsi="Times New Roman" w:cs="Times New Roman"/>
                <w:b/>
                <w:kern w:val="0"/>
                <w14:ligatures w14:val="none"/>
              </w:rPr>
            </w:pPr>
            <w:r w:rsidRPr="00184569">
              <w:rPr>
                <w:rFonts w:ascii="Times New Roman" w:eastAsia="Times New Roman" w:hAnsi="Times New Roman" w:cs="Times New Roman"/>
                <w:b/>
                <w:kern w:val="0"/>
                <w14:ligatures w14:val="none"/>
              </w:rPr>
              <w:t>n (%/év)</w:t>
            </w:r>
          </w:p>
        </w:tc>
        <w:tc>
          <w:tcPr>
            <w:tcW w:w="1701" w:type="dxa"/>
          </w:tcPr>
          <w:p w14:paraId="4B71FEC4" w14:textId="77777777" w:rsidR="00184569" w:rsidRPr="00184569" w:rsidRDefault="00184569" w:rsidP="00184569">
            <w:pPr>
              <w:widowControl w:val="0"/>
              <w:autoSpaceDE w:val="0"/>
              <w:autoSpaceDN w:val="0"/>
              <w:spacing w:after="0" w:line="240" w:lineRule="auto"/>
              <w:ind w:left="53"/>
              <w:jc w:val="center"/>
              <w:rPr>
                <w:rFonts w:ascii="Times New Roman" w:eastAsia="Times New Roman" w:hAnsi="Times New Roman" w:cs="Times New Roman"/>
                <w:b/>
                <w:kern w:val="0"/>
                <w14:ligatures w14:val="none"/>
              </w:rPr>
            </w:pPr>
            <w:r w:rsidRPr="00184569">
              <w:rPr>
                <w:rFonts w:ascii="Times New Roman" w:eastAsia="Times New Roman" w:hAnsi="Times New Roman" w:cs="Times New Roman"/>
                <w:b/>
                <w:kern w:val="0"/>
                <w14:ligatures w14:val="none"/>
              </w:rPr>
              <w:t>relatív hazárd (95%-os CI)</w:t>
            </w:r>
          </w:p>
        </w:tc>
        <w:tc>
          <w:tcPr>
            <w:tcW w:w="994" w:type="dxa"/>
          </w:tcPr>
          <w:p w14:paraId="6F478615" w14:textId="77777777" w:rsidR="00184569" w:rsidRPr="00184569" w:rsidRDefault="00184569" w:rsidP="00184569">
            <w:pPr>
              <w:widowControl w:val="0"/>
              <w:autoSpaceDE w:val="0"/>
              <w:autoSpaceDN w:val="0"/>
              <w:spacing w:after="0" w:line="240" w:lineRule="auto"/>
              <w:jc w:val="center"/>
              <w:rPr>
                <w:rFonts w:ascii="Times New Roman" w:eastAsia="Times New Roman" w:hAnsi="Times New Roman" w:cs="Times New Roman"/>
                <w:b/>
                <w:kern w:val="0"/>
                <w14:ligatures w14:val="none"/>
              </w:rPr>
            </w:pPr>
          </w:p>
          <w:p w14:paraId="25EFCE83" w14:textId="77777777" w:rsidR="00184569" w:rsidRPr="00184569" w:rsidRDefault="00184569" w:rsidP="00184569">
            <w:pPr>
              <w:widowControl w:val="0"/>
              <w:autoSpaceDE w:val="0"/>
              <w:autoSpaceDN w:val="0"/>
              <w:spacing w:after="0" w:line="240" w:lineRule="auto"/>
              <w:ind w:left="92"/>
              <w:jc w:val="center"/>
              <w:rPr>
                <w:rFonts w:ascii="Times New Roman" w:eastAsia="Times New Roman" w:hAnsi="Times New Roman" w:cs="Times New Roman"/>
                <w:b/>
                <w:kern w:val="0"/>
                <w14:ligatures w14:val="none"/>
              </w:rPr>
            </w:pPr>
            <w:r w:rsidRPr="00184569">
              <w:rPr>
                <w:rFonts w:ascii="Times New Roman" w:eastAsia="Times New Roman" w:hAnsi="Times New Roman" w:cs="Times New Roman"/>
                <w:b/>
                <w:kern w:val="0"/>
                <w14:ligatures w14:val="none"/>
              </w:rPr>
              <w:t>p-érték</w:t>
            </w:r>
          </w:p>
        </w:tc>
      </w:tr>
      <w:tr w:rsidR="00184569" w:rsidRPr="00184569" w14:paraId="3C640214" w14:textId="77777777" w:rsidTr="00E16EC6">
        <w:trPr>
          <w:trHeight w:val="207"/>
        </w:trPr>
        <w:tc>
          <w:tcPr>
            <w:tcW w:w="3544" w:type="dxa"/>
          </w:tcPr>
          <w:p w14:paraId="4DE9C1E0" w14:textId="77777777" w:rsidR="00184569" w:rsidRPr="00184569" w:rsidRDefault="00184569" w:rsidP="00184569">
            <w:pPr>
              <w:widowControl w:val="0"/>
              <w:autoSpaceDE w:val="0"/>
              <w:autoSpaceDN w:val="0"/>
              <w:spacing w:after="0" w:line="240" w:lineRule="auto"/>
              <w:ind w:left="107"/>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Stroke vagy szisztémás embolizáció*</w:t>
            </w:r>
          </w:p>
        </w:tc>
        <w:tc>
          <w:tcPr>
            <w:tcW w:w="1276" w:type="dxa"/>
          </w:tcPr>
          <w:p w14:paraId="1BBF8884" w14:textId="77777777" w:rsidR="00184569" w:rsidRPr="00184569" w:rsidRDefault="00184569" w:rsidP="00184569">
            <w:pPr>
              <w:widowControl w:val="0"/>
              <w:autoSpaceDE w:val="0"/>
              <w:autoSpaceDN w:val="0"/>
              <w:spacing w:after="0" w:line="240" w:lineRule="auto"/>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51 (1,62)</w:t>
            </w:r>
          </w:p>
        </w:tc>
        <w:tc>
          <w:tcPr>
            <w:tcW w:w="1559" w:type="dxa"/>
          </w:tcPr>
          <w:p w14:paraId="1DE4F723" w14:textId="77777777" w:rsidR="00184569" w:rsidRPr="00184569" w:rsidRDefault="00184569" w:rsidP="00184569">
            <w:pPr>
              <w:widowControl w:val="0"/>
              <w:autoSpaceDE w:val="0"/>
              <w:autoSpaceDN w:val="0"/>
              <w:spacing w:after="0" w:line="240" w:lineRule="auto"/>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113 (3,63)</w:t>
            </w:r>
          </w:p>
        </w:tc>
        <w:tc>
          <w:tcPr>
            <w:tcW w:w="1701" w:type="dxa"/>
          </w:tcPr>
          <w:p w14:paraId="73E9C29E" w14:textId="77777777" w:rsidR="00184569" w:rsidRPr="00184569" w:rsidRDefault="00184569" w:rsidP="00184569">
            <w:pPr>
              <w:widowControl w:val="0"/>
              <w:autoSpaceDE w:val="0"/>
              <w:autoSpaceDN w:val="0"/>
              <w:spacing w:after="0" w:line="240" w:lineRule="auto"/>
              <w:ind w:left="53"/>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0,45 (0,32; 0,62)</w:t>
            </w:r>
          </w:p>
        </w:tc>
        <w:tc>
          <w:tcPr>
            <w:tcW w:w="994" w:type="dxa"/>
          </w:tcPr>
          <w:p w14:paraId="69DC1D7C" w14:textId="77777777" w:rsidR="00184569" w:rsidRPr="00184569" w:rsidRDefault="00184569" w:rsidP="00184569">
            <w:pPr>
              <w:widowControl w:val="0"/>
              <w:autoSpaceDE w:val="0"/>
              <w:autoSpaceDN w:val="0"/>
              <w:spacing w:after="0" w:line="240" w:lineRule="auto"/>
              <w:ind w:left="94"/>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&lt; 0,0001</w:t>
            </w:r>
          </w:p>
        </w:tc>
      </w:tr>
      <w:tr w:rsidR="00184569" w:rsidRPr="00184569" w14:paraId="5AF3C26B" w14:textId="77777777" w:rsidTr="00E16EC6">
        <w:trPr>
          <w:trHeight w:val="244"/>
        </w:trPr>
        <w:tc>
          <w:tcPr>
            <w:tcW w:w="3544" w:type="dxa"/>
          </w:tcPr>
          <w:p w14:paraId="63B07F8C" w14:textId="77777777" w:rsidR="00184569" w:rsidRPr="00184569" w:rsidRDefault="00184569" w:rsidP="00184569">
            <w:pPr>
              <w:widowControl w:val="0"/>
              <w:autoSpaceDE w:val="0"/>
              <w:autoSpaceDN w:val="0"/>
              <w:spacing w:after="0" w:line="240" w:lineRule="auto"/>
              <w:ind w:left="284"/>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Stroke</w:t>
            </w:r>
          </w:p>
        </w:tc>
        <w:tc>
          <w:tcPr>
            <w:tcW w:w="1276" w:type="dxa"/>
          </w:tcPr>
          <w:p w14:paraId="051A063D" w14:textId="77777777" w:rsidR="00184569" w:rsidRPr="00184569" w:rsidRDefault="00184569" w:rsidP="00184569">
            <w:pPr>
              <w:widowControl w:val="0"/>
              <w:autoSpaceDE w:val="0"/>
              <w:autoSpaceDN w:val="0"/>
              <w:spacing w:after="0" w:line="240" w:lineRule="auto"/>
              <w:jc w:val="center"/>
              <w:rPr>
                <w:rFonts w:ascii="Times New Roman" w:eastAsia="Times New Roman" w:hAnsi="Times New Roman" w:cs="Times New Roman"/>
                <w:kern w:val="0"/>
                <w14:ligatures w14:val="none"/>
              </w:rPr>
            </w:pPr>
          </w:p>
        </w:tc>
        <w:tc>
          <w:tcPr>
            <w:tcW w:w="1559" w:type="dxa"/>
          </w:tcPr>
          <w:p w14:paraId="526E069C" w14:textId="77777777" w:rsidR="00184569" w:rsidRPr="00184569" w:rsidRDefault="00184569" w:rsidP="00184569">
            <w:pPr>
              <w:widowControl w:val="0"/>
              <w:autoSpaceDE w:val="0"/>
              <w:autoSpaceDN w:val="0"/>
              <w:spacing w:after="0" w:line="240" w:lineRule="auto"/>
              <w:jc w:val="center"/>
              <w:rPr>
                <w:rFonts w:ascii="Times New Roman" w:eastAsia="Times New Roman" w:hAnsi="Times New Roman" w:cs="Times New Roman"/>
                <w:kern w:val="0"/>
                <w14:ligatures w14:val="none"/>
              </w:rPr>
            </w:pPr>
          </w:p>
        </w:tc>
        <w:tc>
          <w:tcPr>
            <w:tcW w:w="1701" w:type="dxa"/>
          </w:tcPr>
          <w:p w14:paraId="62006E34" w14:textId="77777777" w:rsidR="00184569" w:rsidRPr="00184569" w:rsidRDefault="00184569" w:rsidP="00184569">
            <w:pPr>
              <w:widowControl w:val="0"/>
              <w:autoSpaceDE w:val="0"/>
              <w:autoSpaceDN w:val="0"/>
              <w:spacing w:after="0" w:line="240" w:lineRule="auto"/>
              <w:ind w:left="53"/>
              <w:jc w:val="center"/>
              <w:rPr>
                <w:rFonts w:ascii="Times New Roman" w:eastAsia="Times New Roman" w:hAnsi="Times New Roman" w:cs="Times New Roman"/>
                <w:kern w:val="0"/>
                <w14:ligatures w14:val="none"/>
              </w:rPr>
            </w:pPr>
          </w:p>
        </w:tc>
        <w:tc>
          <w:tcPr>
            <w:tcW w:w="994" w:type="dxa"/>
          </w:tcPr>
          <w:p w14:paraId="4590B16F" w14:textId="77777777" w:rsidR="00184569" w:rsidRPr="00184569" w:rsidRDefault="00184569" w:rsidP="00184569">
            <w:pPr>
              <w:widowControl w:val="0"/>
              <w:autoSpaceDE w:val="0"/>
              <w:autoSpaceDN w:val="0"/>
              <w:spacing w:after="0" w:line="240" w:lineRule="auto"/>
              <w:jc w:val="center"/>
              <w:rPr>
                <w:rFonts w:ascii="Times New Roman" w:eastAsia="Times New Roman" w:hAnsi="Times New Roman" w:cs="Times New Roman"/>
                <w:kern w:val="0"/>
                <w14:ligatures w14:val="none"/>
              </w:rPr>
            </w:pPr>
          </w:p>
        </w:tc>
      </w:tr>
      <w:tr w:rsidR="00184569" w:rsidRPr="00184569" w14:paraId="569A3F72" w14:textId="77777777" w:rsidTr="00E16EC6">
        <w:trPr>
          <w:trHeight w:val="486"/>
        </w:trPr>
        <w:tc>
          <w:tcPr>
            <w:tcW w:w="3544" w:type="dxa"/>
          </w:tcPr>
          <w:p w14:paraId="54766D91" w14:textId="77777777" w:rsidR="00184569" w:rsidRPr="00184569" w:rsidRDefault="00184569" w:rsidP="00184569">
            <w:pPr>
              <w:widowControl w:val="0"/>
              <w:autoSpaceDE w:val="0"/>
              <w:autoSpaceDN w:val="0"/>
              <w:spacing w:after="0" w:line="240" w:lineRule="auto"/>
              <w:ind w:left="567"/>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Ischaemiás vagy nem meghatározott</w:t>
            </w:r>
          </w:p>
        </w:tc>
        <w:tc>
          <w:tcPr>
            <w:tcW w:w="1276" w:type="dxa"/>
          </w:tcPr>
          <w:p w14:paraId="5E5646B0" w14:textId="77777777" w:rsidR="00184569" w:rsidRPr="00184569" w:rsidRDefault="00184569" w:rsidP="00184569">
            <w:pPr>
              <w:widowControl w:val="0"/>
              <w:autoSpaceDE w:val="0"/>
              <w:autoSpaceDN w:val="0"/>
              <w:spacing w:after="0" w:line="240" w:lineRule="auto"/>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43 (1,37)</w:t>
            </w:r>
          </w:p>
        </w:tc>
        <w:tc>
          <w:tcPr>
            <w:tcW w:w="1559" w:type="dxa"/>
          </w:tcPr>
          <w:p w14:paraId="2EE2C72C" w14:textId="77777777" w:rsidR="00184569" w:rsidRPr="00184569" w:rsidRDefault="00184569" w:rsidP="00184569">
            <w:pPr>
              <w:widowControl w:val="0"/>
              <w:autoSpaceDE w:val="0"/>
              <w:autoSpaceDN w:val="0"/>
              <w:spacing w:after="0" w:line="240" w:lineRule="auto"/>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97 (3,11)</w:t>
            </w:r>
          </w:p>
        </w:tc>
        <w:tc>
          <w:tcPr>
            <w:tcW w:w="1701" w:type="dxa"/>
          </w:tcPr>
          <w:p w14:paraId="4CFFB8C7" w14:textId="77777777" w:rsidR="00184569" w:rsidRPr="00184569" w:rsidRDefault="00184569" w:rsidP="00184569">
            <w:pPr>
              <w:widowControl w:val="0"/>
              <w:autoSpaceDE w:val="0"/>
              <w:autoSpaceDN w:val="0"/>
              <w:spacing w:after="0" w:line="240" w:lineRule="auto"/>
              <w:ind w:left="53"/>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0,44 (0,31; 0,63)</w:t>
            </w:r>
          </w:p>
        </w:tc>
        <w:tc>
          <w:tcPr>
            <w:tcW w:w="994" w:type="dxa"/>
          </w:tcPr>
          <w:p w14:paraId="09608350" w14:textId="77777777" w:rsidR="00184569" w:rsidRPr="00184569" w:rsidRDefault="00184569" w:rsidP="00184569">
            <w:pPr>
              <w:widowControl w:val="0"/>
              <w:autoSpaceDE w:val="0"/>
              <w:autoSpaceDN w:val="0"/>
              <w:spacing w:after="0" w:line="240" w:lineRule="auto"/>
              <w:jc w:val="center"/>
              <w:rPr>
                <w:rFonts w:ascii="Times New Roman" w:eastAsia="Times New Roman" w:hAnsi="Times New Roman" w:cs="Times New Roman"/>
                <w:kern w:val="0"/>
                <w14:ligatures w14:val="none"/>
              </w:rPr>
            </w:pPr>
          </w:p>
        </w:tc>
      </w:tr>
      <w:tr w:rsidR="00184569" w:rsidRPr="00184569" w14:paraId="3441643F" w14:textId="77777777" w:rsidTr="00E16EC6">
        <w:trPr>
          <w:trHeight w:val="244"/>
        </w:trPr>
        <w:tc>
          <w:tcPr>
            <w:tcW w:w="3544" w:type="dxa"/>
          </w:tcPr>
          <w:p w14:paraId="7680D8C5" w14:textId="77777777" w:rsidR="00184569" w:rsidRPr="00184569" w:rsidRDefault="00184569" w:rsidP="00184569">
            <w:pPr>
              <w:widowControl w:val="0"/>
              <w:autoSpaceDE w:val="0"/>
              <w:autoSpaceDN w:val="0"/>
              <w:spacing w:after="0" w:line="240" w:lineRule="auto"/>
              <w:ind w:left="567"/>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Haemorrhagiás</w:t>
            </w:r>
          </w:p>
        </w:tc>
        <w:tc>
          <w:tcPr>
            <w:tcW w:w="1276" w:type="dxa"/>
          </w:tcPr>
          <w:p w14:paraId="4808EE09" w14:textId="77777777" w:rsidR="00184569" w:rsidRPr="00184569" w:rsidRDefault="00184569" w:rsidP="00184569">
            <w:pPr>
              <w:widowControl w:val="0"/>
              <w:autoSpaceDE w:val="0"/>
              <w:autoSpaceDN w:val="0"/>
              <w:spacing w:after="0" w:line="240" w:lineRule="auto"/>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6 (0,19)</w:t>
            </w:r>
          </w:p>
        </w:tc>
        <w:tc>
          <w:tcPr>
            <w:tcW w:w="1559" w:type="dxa"/>
          </w:tcPr>
          <w:p w14:paraId="19A09B79" w14:textId="77777777" w:rsidR="00184569" w:rsidRPr="00184569" w:rsidRDefault="00184569" w:rsidP="00184569">
            <w:pPr>
              <w:widowControl w:val="0"/>
              <w:autoSpaceDE w:val="0"/>
              <w:autoSpaceDN w:val="0"/>
              <w:spacing w:after="0" w:line="240" w:lineRule="auto"/>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9 (0,28)</w:t>
            </w:r>
          </w:p>
        </w:tc>
        <w:tc>
          <w:tcPr>
            <w:tcW w:w="1701" w:type="dxa"/>
          </w:tcPr>
          <w:p w14:paraId="41794062" w14:textId="77777777" w:rsidR="00184569" w:rsidRPr="00184569" w:rsidRDefault="00184569" w:rsidP="00184569">
            <w:pPr>
              <w:widowControl w:val="0"/>
              <w:autoSpaceDE w:val="0"/>
              <w:autoSpaceDN w:val="0"/>
              <w:spacing w:after="0" w:line="240" w:lineRule="auto"/>
              <w:ind w:left="53"/>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0,67 (0,24; 1,88)</w:t>
            </w:r>
          </w:p>
        </w:tc>
        <w:tc>
          <w:tcPr>
            <w:tcW w:w="994" w:type="dxa"/>
          </w:tcPr>
          <w:p w14:paraId="63A7B7C1" w14:textId="77777777" w:rsidR="00184569" w:rsidRPr="00184569" w:rsidRDefault="00184569" w:rsidP="00184569">
            <w:pPr>
              <w:widowControl w:val="0"/>
              <w:autoSpaceDE w:val="0"/>
              <w:autoSpaceDN w:val="0"/>
              <w:spacing w:after="0" w:line="240" w:lineRule="auto"/>
              <w:jc w:val="center"/>
              <w:rPr>
                <w:rFonts w:ascii="Times New Roman" w:eastAsia="Times New Roman" w:hAnsi="Times New Roman" w:cs="Times New Roman"/>
                <w:kern w:val="0"/>
                <w14:ligatures w14:val="none"/>
              </w:rPr>
            </w:pPr>
          </w:p>
        </w:tc>
      </w:tr>
      <w:tr w:rsidR="00184569" w:rsidRPr="00184569" w14:paraId="6CEA28D2" w14:textId="77777777" w:rsidTr="00E16EC6">
        <w:trPr>
          <w:trHeight w:val="244"/>
        </w:trPr>
        <w:tc>
          <w:tcPr>
            <w:tcW w:w="3544" w:type="dxa"/>
          </w:tcPr>
          <w:p w14:paraId="4BAF8566" w14:textId="77777777" w:rsidR="00184569" w:rsidRPr="00184569" w:rsidRDefault="00184569" w:rsidP="00184569">
            <w:pPr>
              <w:widowControl w:val="0"/>
              <w:autoSpaceDE w:val="0"/>
              <w:autoSpaceDN w:val="0"/>
              <w:spacing w:after="0" w:line="240" w:lineRule="auto"/>
              <w:ind w:left="284"/>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Szisztémás embolizáció</w:t>
            </w:r>
          </w:p>
        </w:tc>
        <w:tc>
          <w:tcPr>
            <w:tcW w:w="1276" w:type="dxa"/>
          </w:tcPr>
          <w:p w14:paraId="279D82F5" w14:textId="77777777" w:rsidR="00184569" w:rsidRPr="00184569" w:rsidRDefault="00184569" w:rsidP="00184569">
            <w:pPr>
              <w:widowControl w:val="0"/>
              <w:autoSpaceDE w:val="0"/>
              <w:autoSpaceDN w:val="0"/>
              <w:spacing w:after="0" w:line="240" w:lineRule="auto"/>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2 (0,06)</w:t>
            </w:r>
          </w:p>
        </w:tc>
        <w:tc>
          <w:tcPr>
            <w:tcW w:w="1559" w:type="dxa"/>
          </w:tcPr>
          <w:p w14:paraId="60B5AFDE" w14:textId="77777777" w:rsidR="00184569" w:rsidRPr="00184569" w:rsidRDefault="00184569" w:rsidP="00184569">
            <w:pPr>
              <w:widowControl w:val="0"/>
              <w:autoSpaceDE w:val="0"/>
              <w:autoSpaceDN w:val="0"/>
              <w:spacing w:after="0" w:line="240" w:lineRule="auto"/>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13 (0,41)</w:t>
            </w:r>
          </w:p>
        </w:tc>
        <w:tc>
          <w:tcPr>
            <w:tcW w:w="1701" w:type="dxa"/>
          </w:tcPr>
          <w:p w14:paraId="3528C0B3" w14:textId="77777777" w:rsidR="00184569" w:rsidRPr="00184569" w:rsidRDefault="00184569" w:rsidP="00184569">
            <w:pPr>
              <w:widowControl w:val="0"/>
              <w:autoSpaceDE w:val="0"/>
              <w:autoSpaceDN w:val="0"/>
              <w:spacing w:after="0" w:line="240" w:lineRule="auto"/>
              <w:ind w:left="53"/>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0,15 (0,03; 0,68)</w:t>
            </w:r>
          </w:p>
        </w:tc>
        <w:tc>
          <w:tcPr>
            <w:tcW w:w="994" w:type="dxa"/>
          </w:tcPr>
          <w:p w14:paraId="77755FD3" w14:textId="77777777" w:rsidR="00184569" w:rsidRPr="00184569" w:rsidRDefault="00184569" w:rsidP="00184569">
            <w:pPr>
              <w:widowControl w:val="0"/>
              <w:autoSpaceDE w:val="0"/>
              <w:autoSpaceDN w:val="0"/>
              <w:spacing w:after="0" w:line="240" w:lineRule="auto"/>
              <w:jc w:val="center"/>
              <w:rPr>
                <w:rFonts w:ascii="Times New Roman" w:eastAsia="Times New Roman" w:hAnsi="Times New Roman" w:cs="Times New Roman"/>
                <w:kern w:val="0"/>
                <w14:ligatures w14:val="none"/>
              </w:rPr>
            </w:pPr>
          </w:p>
        </w:tc>
      </w:tr>
      <w:tr w:rsidR="00184569" w:rsidRPr="00184569" w14:paraId="65703C91" w14:textId="77777777" w:rsidTr="00E16EC6">
        <w:trPr>
          <w:trHeight w:val="485"/>
        </w:trPr>
        <w:tc>
          <w:tcPr>
            <w:tcW w:w="3544" w:type="dxa"/>
          </w:tcPr>
          <w:p w14:paraId="6E2CF433"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Stroke, szisztémás embolizáció, MI vagy vascularis eredetű halál</w:t>
            </w:r>
            <w:r w:rsidRPr="00184569">
              <w:rPr>
                <w:rFonts w:ascii="Times New Roman" w:eastAsia="Times New Roman" w:hAnsi="Times New Roman" w:cs="Times New Roman"/>
                <w:b/>
                <w:kern w:val="0"/>
                <w14:ligatures w14:val="none"/>
              </w:rPr>
              <w:t>*</w:t>
            </w:r>
            <w:proofErr w:type="gramStart"/>
            <w:r w:rsidRPr="00184569">
              <w:rPr>
                <w:rFonts w:ascii="Times New Roman" w:eastAsia="Times New Roman" w:hAnsi="Times New Roman" w:cs="Times New Roman"/>
                <w:kern w:val="0"/>
                <w:sz w:val="18"/>
                <w:szCs w:val="18"/>
                <w14:ligatures w14:val="none"/>
              </w:rPr>
              <w:t>†</w:t>
            </w:r>
            <w:proofErr w:type="gramEnd"/>
          </w:p>
        </w:tc>
        <w:tc>
          <w:tcPr>
            <w:tcW w:w="1276" w:type="dxa"/>
          </w:tcPr>
          <w:p w14:paraId="4DA148BB" w14:textId="77777777" w:rsidR="00184569" w:rsidRPr="00184569" w:rsidRDefault="00184569" w:rsidP="00184569">
            <w:pPr>
              <w:widowControl w:val="0"/>
              <w:autoSpaceDE w:val="0"/>
              <w:autoSpaceDN w:val="0"/>
              <w:spacing w:after="0" w:line="240" w:lineRule="auto"/>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132 (4,21)</w:t>
            </w:r>
          </w:p>
        </w:tc>
        <w:tc>
          <w:tcPr>
            <w:tcW w:w="1559" w:type="dxa"/>
          </w:tcPr>
          <w:p w14:paraId="3F6FFFAE" w14:textId="77777777" w:rsidR="00184569" w:rsidRPr="00184569" w:rsidRDefault="00184569" w:rsidP="00184569">
            <w:pPr>
              <w:widowControl w:val="0"/>
              <w:autoSpaceDE w:val="0"/>
              <w:autoSpaceDN w:val="0"/>
              <w:spacing w:after="0" w:line="240" w:lineRule="auto"/>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197 (6,35)</w:t>
            </w:r>
          </w:p>
        </w:tc>
        <w:tc>
          <w:tcPr>
            <w:tcW w:w="1701" w:type="dxa"/>
          </w:tcPr>
          <w:p w14:paraId="46B09692" w14:textId="77777777" w:rsidR="00184569" w:rsidRPr="00184569" w:rsidRDefault="00184569" w:rsidP="00184569">
            <w:pPr>
              <w:widowControl w:val="0"/>
              <w:autoSpaceDE w:val="0"/>
              <w:autoSpaceDN w:val="0"/>
              <w:spacing w:after="0" w:line="240" w:lineRule="auto"/>
              <w:ind w:left="53"/>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0,66 (0,53; 0,83)</w:t>
            </w:r>
          </w:p>
        </w:tc>
        <w:tc>
          <w:tcPr>
            <w:tcW w:w="994" w:type="dxa"/>
          </w:tcPr>
          <w:p w14:paraId="7F8D2924" w14:textId="77777777" w:rsidR="00184569" w:rsidRPr="00184569" w:rsidRDefault="00184569" w:rsidP="00184569">
            <w:pPr>
              <w:widowControl w:val="0"/>
              <w:autoSpaceDE w:val="0"/>
              <w:autoSpaceDN w:val="0"/>
              <w:spacing w:after="0" w:line="240" w:lineRule="auto"/>
              <w:ind w:left="94"/>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0,003</w:t>
            </w:r>
          </w:p>
        </w:tc>
      </w:tr>
      <w:tr w:rsidR="00184569" w:rsidRPr="00184569" w14:paraId="4BB76D03" w14:textId="77777777" w:rsidTr="00E16EC6">
        <w:trPr>
          <w:trHeight w:val="244"/>
        </w:trPr>
        <w:tc>
          <w:tcPr>
            <w:tcW w:w="3544" w:type="dxa"/>
          </w:tcPr>
          <w:p w14:paraId="1DD0757F" w14:textId="77777777" w:rsidR="00184569" w:rsidRPr="00184569" w:rsidRDefault="00184569" w:rsidP="00184569">
            <w:pPr>
              <w:widowControl w:val="0"/>
              <w:autoSpaceDE w:val="0"/>
              <w:autoSpaceDN w:val="0"/>
              <w:spacing w:after="0" w:line="240" w:lineRule="auto"/>
              <w:ind w:left="284"/>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Myocardialis infarctus</w:t>
            </w:r>
          </w:p>
        </w:tc>
        <w:tc>
          <w:tcPr>
            <w:tcW w:w="1276" w:type="dxa"/>
          </w:tcPr>
          <w:p w14:paraId="61385569" w14:textId="77777777" w:rsidR="00184569" w:rsidRPr="00184569" w:rsidRDefault="00184569" w:rsidP="00184569">
            <w:pPr>
              <w:widowControl w:val="0"/>
              <w:autoSpaceDE w:val="0"/>
              <w:autoSpaceDN w:val="0"/>
              <w:spacing w:after="0" w:line="240" w:lineRule="auto"/>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24 (0,76)</w:t>
            </w:r>
          </w:p>
        </w:tc>
        <w:tc>
          <w:tcPr>
            <w:tcW w:w="1559" w:type="dxa"/>
          </w:tcPr>
          <w:p w14:paraId="493199E6" w14:textId="77777777" w:rsidR="00184569" w:rsidRPr="00184569" w:rsidRDefault="00184569" w:rsidP="00184569">
            <w:pPr>
              <w:widowControl w:val="0"/>
              <w:autoSpaceDE w:val="0"/>
              <w:autoSpaceDN w:val="0"/>
              <w:spacing w:after="0" w:line="240" w:lineRule="auto"/>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28 (0,89)</w:t>
            </w:r>
          </w:p>
        </w:tc>
        <w:tc>
          <w:tcPr>
            <w:tcW w:w="1701" w:type="dxa"/>
          </w:tcPr>
          <w:p w14:paraId="0EE9F6F5" w14:textId="77777777" w:rsidR="00184569" w:rsidRPr="00184569" w:rsidRDefault="00184569" w:rsidP="00184569">
            <w:pPr>
              <w:widowControl w:val="0"/>
              <w:autoSpaceDE w:val="0"/>
              <w:autoSpaceDN w:val="0"/>
              <w:spacing w:after="0" w:line="240" w:lineRule="auto"/>
              <w:ind w:left="53"/>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0,86 (0,50; 1,48)</w:t>
            </w:r>
          </w:p>
        </w:tc>
        <w:tc>
          <w:tcPr>
            <w:tcW w:w="994" w:type="dxa"/>
          </w:tcPr>
          <w:p w14:paraId="40B3C5C8" w14:textId="77777777" w:rsidR="00184569" w:rsidRPr="00184569" w:rsidRDefault="00184569" w:rsidP="00184569">
            <w:pPr>
              <w:widowControl w:val="0"/>
              <w:autoSpaceDE w:val="0"/>
              <w:autoSpaceDN w:val="0"/>
              <w:spacing w:after="0" w:line="240" w:lineRule="auto"/>
              <w:jc w:val="center"/>
              <w:rPr>
                <w:rFonts w:ascii="Times New Roman" w:eastAsia="Times New Roman" w:hAnsi="Times New Roman" w:cs="Times New Roman"/>
                <w:kern w:val="0"/>
                <w14:ligatures w14:val="none"/>
              </w:rPr>
            </w:pPr>
          </w:p>
        </w:tc>
      </w:tr>
      <w:tr w:rsidR="00184569" w:rsidRPr="00184569" w14:paraId="05D94345" w14:textId="77777777" w:rsidTr="00E16EC6">
        <w:trPr>
          <w:trHeight w:val="244"/>
        </w:trPr>
        <w:tc>
          <w:tcPr>
            <w:tcW w:w="3544" w:type="dxa"/>
          </w:tcPr>
          <w:p w14:paraId="56DDE062" w14:textId="77777777" w:rsidR="00184569" w:rsidRPr="00184569" w:rsidRDefault="00184569" w:rsidP="00184569">
            <w:pPr>
              <w:widowControl w:val="0"/>
              <w:autoSpaceDE w:val="0"/>
              <w:autoSpaceDN w:val="0"/>
              <w:spacing w:after="0" w:line="240" w:lineRule="auto"/>
              <w:ind w:left="284"/>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Vascularis eredetű halál</w:t>
            </w:r>
          </w:p>
        </w:tc>
        <w:tc>
          <w:tcPr>
            <w:tcW w:w="1276" w:type="dxa"/>
          </w:tcPr>
          <w:p w14:paraId="18F5F6B5" w14:textId="77777777" w:rsidR="00184569" w:rsidRPr="00184569" w:rsidRDefault="00184569" w:rsidP="00184569">
            <w:pPr>
              <w:widowControl w:val="0"/>
              <w:autoSpaceDE w:val="0"/>
              <w:autoSpaceDN w:val="0"/>
              <w:spacing w:after="0" w:line="240" w:lineRule="auto"/>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84 (2,65)</w:t>
            </w:r>
          </w:p>
        </w:tc>
        <w:tc>
          <w:tcPr>
            <w:tcW w:w="1559" w:type="dxa"/>
          </w:tcPr>
          <w:p w14:paraId="2F062ED5" w14:textId="77777777" w:rsidR="00184569" w:rsidRPr="00184569" w:rsidRDefault="00184569" w:rsidP="00184569">
            <w:pPr>
              <w:widowControl w:val="0"/>
              <w:autoSpaceDE w:val="0"/>
              <w:autoSpaceDN w:val="0"/>
              <w:spacing w:after="0" w:line="240" w:lineRule="auto"/>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96 (3,03)</w:t>
            </w:r>
          </w:p>
        </w:tc>
        <w:tc>
          <w:tcPr>
            <w:tcW w:w="1701" w:type="dxa"/>
          </w:tcPr>
          <w:p w14:paraId="1B3F7A3F" w14:textId="77777777" w:rsidR="00184569" w:rsidRPr="00184569" w:rsidRDefault="00184569" w:rsidP="00184569">
            <w:pPr>
              <w:widowControl w:val="0"/>
              <w:autoSpaceDE w:val="0"/>
              <w:autoSpaceDN w:val="0"/>
              <w:spacing w:after="0" w:line="240" w:lineRule="auto"/>
              <w:ind w:left="53"/>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0,87 (0,65; 1,17)</w:t>
            </w:r>
          </w:p>
        </w:tc>
        <w:tc>
          <w:tcPr>
            <w:tcW w:w="994" w:type="dxa"/>
          </w:tcPr>
          <w:p w14:paraId="6D4186B2" w14:textId="77777777" w:rsidR="00184569" w:rsidRPr="00184569" w:rsidRDefault="00184569" w:rsidP="00184569">
            <w:pPr>
              <w:widowControl w:val="0"/>
              <w:autoSpaceDE w:val="0"/>
              <w:autoSpaceDN w:val="0"/>
              <w:spacing w:after="0" w:line="240" w:lineRule="auto"/>
              <w:jc w:val="center"/>
              <w:rPr>
                <w:rFonts w:ascii="Times New Roman" w:eastAsia="Times New Roman" w:hAnsi="Times New Roman" w:cs="Times New Roman"/>
                <w:kern w:val="0"/>
                <w14:ligatures w14:val="none"/>
              </w:rPr>
            </w:pPr>
          </w:p>
        </w:tc>
      </w:tr>
      <w:tr w:rsidR="00184569" w:rsidRPr="00184569" w14:paraId="09478325" w14:textId="77777777" w:rsidTr="00E16EC6">
        <w:trPr>
          <w:trHeight w:val="160"/>
        </w:trPr>
        <w:tc>
          <w:tcPr>
            <w:tcW w:w="3544" w:type="dxa"/>
          </w:tcPr>
          <w:p w14:paraId="7AF6510E" w14:textId="77777777" w:rsidR="00184569" w:rsidRPr="00184569" w:rsidRDefault="00184569" w:rsidP="00184569">
            <w:pPr>
              <w:widowControl w:val="0"/>
              <w:autoSpaceDE w:val="0"/>
              <w:autoSpaceDN w:val="0"/>
              <w:spacing w:after="0" w:line="240" w:lineRule="auto"/>
              <w:ind w:left="107"/>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Összmortalitás</w:t>
            </w:r>
            <w:proofErr w:type="gramStart"/>
            <w:r w:rsidRPr="00184569">
              <w:rPr>
                <w:rFonts w:ascii="Times New Roman" w:eastAsia="Times New Roman" w:hAnsi="Times New Roman" w:cs="Times New Roman"/>
                <w:kern w:val="0"/>
                <w:sz w:val="18"/>
                <w:szCs w:val="18"/>
                <w14:ligatures w14:val="none"/>
              </w:rPr>
              <w:t>†</w:t>
            </w:r>
            <w:proofErr w:type="gramEnd"/>
          </w:p>
        </w:tc>
        <w:tc>
          <w:tcPr>
            <w:tcW w:w="1276" w:type="dxa"/>
          </w:tcPr>
          <w:p w14:paraId="56907F9E" w14:textId="77777777" w:rsidR="00184569" w:rsidRPr="00184569" w:rsidRDefault="00184569" w:rsidP="00184569">
            <w:pPr>
              <w:widowControl w:val="0"/>
              <w:autoSpaceDE w:val="0"/>
              <w:autoSpaceDN w:val="0"/>
              <w:spacing w:after="0" w:line="240" w:lineRule="auto"/>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111 (3,51)</w:t>
            </w:r>
          </w:p>
        </w:tc>
        <w:tc>
          <w:tcPr>
            <w:tcW w:w="1559" w:type="dxa"/>
          </w:tcPr>
          <w:p w14:paraId="007CC238" w14:textId="77777777" w:rsidR="00184569" w:rsidRPr="00184569" w:rsidRDefault="00184569" w:rsidP="00184569">
            <w:pPr>
              <w:widowControl w:val="0"/>
              <w:autoSpaceDE w:val="0"/>
              <w:autoSpaceDN w:val="0"/>
              <w:spacing w:after="0" w:line="240" w:lineRule="auto"/>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140 (4,42)</w:t>
            </w:r>
          </w:p>
        </w:tc>
        <w:tc>
          <w:tcPr>
            <w:tcW w:w="1701" w:type="dxa"/>
          </w:tcPr>
          <w:p w14:paraId="4D338E72" w14:textId="77777777" w:rsidR="00184569" w:rsidRPr="00184569" w:rsidRDefault="00184569" w:rsidP="00184569">
            <w:pPr>
              <w:widowControl w:val="0"/>
              <w:autoSpaceDE w:val="0"/>
              <w:autoSpaceDN w:val="0"/>
              <w:spacing w:after="0" w:line="240" w:lineRule="auto"/>
              <w:ind w:left="53"/>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0,79 (0,62; 1,02)</w:t>
            </w:r>
          </w:p>
        </w:tc>
        <w:tc>
          <w:tcPr>
            <w:tcW w:w="994" w:type="dxa"/>
          </w:tcPr>
          <w:p w14:paraId="4DEC9CC8" w14:textId="77777777" w:rsidR="00184569" w:rsidRPr="00184569" w:rsidRDefault="00184569" w:rsidP="00184569">
            <w:pPr>
              <w:widowControl w:val="0"/>
              <w:autoSpaceDE w:val="0"/>
              <w:autoSpaceDN w:val="0"/>
              <w:spacing w:after="0" w:line="240" w:lineRule="auto"/>
              <w:ind w:left="94"/>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0,068</w:t>
            </w:r>
          </w:p>
        </w:tc>
      </w:tr>
    </w:tbl>
    <w:p w14:paraId="177ED7CB" w14:textId="77777777" w:rsidR="00184569" w:rsidRPr="00184569" w:rsidRDefault="00184569" w:rsidP="00184569">
      <w:pPr>
        <w:widowControl w:val="0"/>
        <w:tabs>
          <w:tab w:val="left" w:pos="402"/>
        </w:tabs>
        <w:autoSpaceDE w:val="0"/>
        <w:autoSpaceDN w:val="0"/>
        <w:spacing w:after="0" w:line="240" w:lineRule="auto"/>
        <w:rPr>
          <w:rFonts w:ascii="Times New Roman" w:eastAsia="Times New Roman" w:hAnsi="Times New Roman" w:cs="Times New Roman"/>
          <w:kern w:val="0"/>
          <w:sz w:val="18"/>
          <w:szCs w:val="18"/>
          <w14:ligatures w14:val="none"/>
        </w:rPr>
      </w:pPr>
      <w:r w:rsidRPr="00184569">
        <w:rPr>
          <w:rFonts w:ascii="Times New Roman" w:eastAsia="Times New Roman" w:hAnsi="Times New Roman" w:cs="Times New Roman"/>
          <w:kern w:val="0"/>
          <w14:ligatures w14:val="none"/>
        </w:rPr>
        <w:t>*</w:t>
      </w:r>
      <w:r w:rsidRPr="00184569">
        <w:rPr>
          <w:rFonts w:ascii="Times New Roman" w:eastAsia="Times New Roman" w:hAnsi="Times New Roman" w:cs="Times New Roman"/>
          <w:kern w:val="0"/>
          <w:sz w:val="18"/>
          <w:szCs w:val="18"/>
          <w14:ligatures w14:val="none"/>
        </w:rPr>
        <w:t>A vizsgálatban előforduló általános I-es típusú hiba kiküszöbölése érdekében egy szekvenciális vizsgálati stratégia szerint értékelték.</w:t>
      </w:r>
    </w:p>
    <w:p w14:paraId="782946CF" w14:textId="77777777" w:rsidR="00184569" w:rsidRPr="00184569" w:rsidRDefault="00184569" w:rsidP="00184569">
      <w:pPr>
        <w:widowControl w:val="0"/>
        <w:autoSpaceDE w:val="0"/>
        <w:autoSpaceDN w:val="0"/>
        <w:spacing w:after="0" w:line="240" w:lineRule="auto"/>
        <w:ind w:left="235" w:hanging="235"/>
        <w:rPr>
          <w:rFonts w:ascii="Times New Roman" w:eastAsia="Times New Roman" w:hAnsi="Times New Roman" w:cs="Times New Roman"/>
          <w:kern w:val="0"/>
          <w:sz w:val="18"/>
          <w:szCs w:val="18"/>
          <w14:ligatures w14:val="none"/>
        </w:rPr>
      </w:pPr>
      <w:r w:rsidRPr="00184569">
        <w:rPr>
          <w:rFonts w:ascii="Times New Roman" w:eastAsia="Times New Roman" w:hAnsi="Times New Roman" w:cs="Times New Roman"/>
          <w:kern w:val="0"/>
          <w:sz w:val="18"/>
          <w:szCs w:val="18"/>
          <w14:ligatures w14:val="none"/>
        </w:rPr>
        <w:t>†Másodlagos végpont.</w:t>
      </w:r>
    </w:p>
    <w:p w14:paraId="628E58A6"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sz w:val="18"/>
          <w:szCs w:val="18"/>
          <w14:ligatures w14:val="none"/>
        </w:rPr>
      </w:pPr>
    </w:p>
    <w:p w14:paraId="09EBD66A"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A nagyfokú vérzés előfordulási gyakoriságában nem volt statisztikailag szignifikáns különbség az apixabán és az acetilszalicilsav között (lásd 8. táblázat).</w:t>
      </w:r>
    </w:p>
    <w:p w14:paraId="378D4885"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
    <w:p w14:paraId="4223F001" w14:textId="77777777" w:rsidR="00184569" w:rsidRPr="00184569" w:rsidRDefault="00184569" w:rsidP="00184569">
      <w:pPr>
        <w:widowControl w:val="0"/>
        <w:autoSpaceDE w:val="0"/>
        <w:autoSpaceDN w:val="0"/>
        <w:spacing w:after="0" w:line="240" w:lineRule="auto"/>
        <w:outlineLvl w:val="1"/>
        <w:rPr>
          <w:rFonts w:ascii="Times New Roman" w:eastAsia="Times New Roman" w:hAnsi="Times New Roman" w:cs="Times New Roman"/>
          <w:b/>
          <w:bCs/>
          <w:kern w:val="0"/>
          <w14:ligatures w14:val="none"/>
        </w:rPr>
      </w:pPr>
      <w:r w:rsidRPr="00184569">
        <w:rPr>
          <w:rFonts w:ascii="Times New Roman" w:eastAsia="Times New Roman" w:hAnsi="Times New Roman" w:cs="Times New Roman"/>
          <w:b/>
          <w:bCs/>
          <w:kern w:val="0"/>
          <w14:ligatures w14:val="none"/>
        </w:rPr>
        <w:t>8. táblázat: Vérzése</w:t>
      </w:r>
      <w:bookmarkStart w:id="4" w:name="_Hlk181104893"/>
      <w:r w:rsidRPr="00184569">
        <w:rPr>
          <w:rFonts w:ascii="Times New Roman" w:eastAsia="Times New Roman" w:hAnsi="Times New Roman" w:cs="Times New Roman"/>
          <w:b/>
          <w:bCs/>
          <w:kern w:val="0"/>
          <w14:ligatures w14:val="none"/>
        </w:rPr>
        <w:t>s események</w:t>
      </w:r>
      <w:bookmarkEnd w:id="4"/>
      <w:r w:rsidRPr="00184569">
        <w:rPr>
          <w:rFonts w:ascii="Times New Roman" w:eastAsia="Times New Roman" w:hAnsi="Times New Roman" w:cs="Times New Roman"/>
          <w:b/>
          <w:bCs/>
          <w:kern w:val="0"/>
          <w14:ligatures w14:val="none"/>
        </w:rPr>
        <w:t xml:space="preserve"> pitvarfibrillációban szenvedő betegeknél az AVERROES vizsgálatban</w:t>
      </w: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37"/>
        <w:gridCol w:w="1980"/>
        <w:gridCol w:w="1709"/>
        <w:gridCol w:w="2071"/>
        <w:gridCol w:w="989"/>
      </w:tblGrid>
      <w:tr w:rsidR="00184569" w:rsidRPr="00184569" w14:paraId="3B18449B" w14:textId="77777777" w:rsidTr="00E16EC6">
        <w:trPr>
          <w:trHeight w:val="731"/>
        </w:trPr>
        <w:tc>
          <w:tcPr>
            <w:tcW w:w="2137" w:type="dxa"/>
          </w:tcPr>
          <w:p w14:paraId="77BB4075"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
        </w:tc>
        <w:tc>
          <w:tcPr>
            <w:tcW w:w="1980" w:type="dxa"/>
          </w:tcPr>
          <w:p w14:paraId="65A4D07F" w14:textId="77777777" w:rsidR="00184569" w:rsidRPr="00184569" w:rsidRDefault="00184569" w:rsidP="00184569">
            <w:pPr>
              <w:widowControl w:val="0"/>
              <w:autoSpaceDE w:val="0"/>
              <w:autoSpaceDN w:val="0"/>
              <w:spacing w:after="0" w:line="240" w:lineRule="auto"/>
              <w:ind w:hanging="15"/>
              <w:jc w:val="center"/>
              <w:rPr>
                <w:rFonts w:ascii="Times New Roman" w:eastAsia="Times New Roman" w:hAnsi="Times New Roman" w:cs="Times New Roman"/>
                <w:b/>
                <w:kern w:val="0"/>
                <w14:ligatures w14:val="none"/>
              </w:rPr>
            </w:pPr>
            <w:r w:rsidRPr="00184569">
              <w:rPr>
                <w:rFonts w:ascii="Times New Roman" w:eastAsia="Times New Roman" w:hAnsi="Times New Roman" w:cs="Times New Roman"/>
                <w:b/>
                <w:kern w:val="0"/>
                <w14:ligatures w14:val="none"/>
              </w:rPr>
              <w:t>apixabán</w:t>
            </w:r>
          </w:p>
          <w:p w14:paraId="7EDF8C0C" w14:textId="77777777" w:rsidR="00184569" w:rsidRPr="00184569" w:rsidRDefault="00184569" w:rsidP="00184569">
            <w:pPr>
              <w:widowControl w:val="0"/>
              <w:autoSpaceDE w:val="0"/>
              <w:autoSpaceDN w:val="0"/>
              <w:spacing w:after="0" w:line="240" w:lineRule="auto"/>
              <w:ind w:hanging="15"/>
              <w:jc w:val="center"/>
              <w:rPr>
                <w:rFonts w:ascii="Times New Roman" w:eastAsia="Times New Roman" w:hAnsi="Times New Roman" w:cs="Times New Roman"/>
                <w:b/>
                <w:kern w:val="0"/>
                <w14:ligatures w14:val="none"/>
              </w:rPr>
            </w:pPr>
            <w:r w:rsidRPr="00184569">
              <w:rPr>
                <w:rFonts w:ascii="Times New Roman" w:eastAsia="Times New Roman" w:hAnsi="Times New Roman" w:cs="Times New Roman"/>
                <w:b/>
                <w:kern w:val="0"/>
                <w14:ligatures w14:val="none"/>
              </w:rPr>
              <w:t>n = 2798</w:t>
            </w:r>
          </w:p>
          <w:p w14:paraId="610CA87C" w14:textId="77777777" w:rsidR="00184569" w:rsidRPr="00184569" w:rsidRDefault="00184569" w:rsidP="00184569">
            <w:pPr>
              <w:widowControl w:val="0"/>
              <w:autoSpaceDE w:val="0"/>
              <w:autoSpaceDN w:val="0"/>
              <w:spacing w:after="0" w:line="240" w:lineRule="auto"/>
              <w:jc w:val="center"/>
              <w:rPr>
                <w:rFonts w:ascii="Times New Roman" w:eastAsia="Times New Roman" w:hAnsi="Times New Roman" w:cs="Times New Roman"/>
                <w:b/>
                <w:kern w:val="0"/>
                <w14:ligatures w14:val="none"/>
              </w:rPr>
            </w:pPr>
            <w:r w:rsidRPr="00184569">
              <w:rPr>
                <w:rFonts w:ascii="Times New Roman" w:eastAsia="Times New Roman" w:hAnsi="Times New Roman" w:cs="Times New Roman"/>
                <w:b/>
                <w:kern w:val="0"/>
                <w14:ligatures w14:val="none"/>
              </w:rPr>
              <w:t>n (%/év)</w:t>
            </w:r>
          </w:p>
        </w:tc>
        <w:tc>
          <w:tcPr>
            <w:tcW w:w="1709" w:type="dxa"/>
          </w:tcPr>
          <w:p w14:paraId="3DA88E44" w14:textId="77777777" w:rsidR="00184569" w:rsidRPr="00184569" w:rsidRDefault="00184569" w:rsidP="00184569">
            <w:pPr>
              <w:widowControl w:val="0"/>
              <w:autoSpaceDE w:val="0"/>
              <w:autoSpaceDN w:val="0"/>
              <w:spacing w:after="0" w:line="240" w:lineRule="auto"/>
              <w:jc w:val="center"/>
              <w:rPr>
                <w:rFonts w:ascii="Times New Roman" w:eastAsia="Times New Roman" w:hAnsi="Times New Roman" w:cs="Times New Roman"/>
                <w:b/>
                <w:kern w:val="0"/>
                <w14:ligatures w14:val="none"/>
              </w:rPr>
            </w:pPr>
            <w:r w:rsidRPr="00184569">
              <w:rPr>
                <w:rFonts w:ascii="Times New Roman" w:eastAsia="Times New Roman" w:hAnsi="Times New Roman" w:cs="Times New Roman"/>
                <w:b/>
                <w:kern w:val="0"/>
                <w14:ligatures w14:val="none"/>
              </w:rPr>
              <w:t>acetilszalicilsav</w:t>
            </w:r>
          </w:p>
          <w:p w14:paraId="06668BCA" w14:textId="77777777" w:rsidR="00184569" w:rsidRPr="00184569" w:rsidRDefault="00184569" w:rsidP="00184569">
            <w:pPr>
              <w:widowControl w:val="0"/>
              <w:autoSpaceDE w:val="0"/>
              <w:autoSpaceDN w:val="0"/>
              <w:spacing w:after="0" w:line="240" w:lineRule="auto"/>
              <w:jc w:val="center"/>
              <w:rPr>
                <w:rFonts w:ascii="Times New Roman" w:eastAsia="Times New Roman" w:hAnsi="Times New Roman" w:cs="Times New Roman"/>
                <w:b/>
                <w:kern w:val="0"/>
                <w14:ligatures w14:val="none"/>
              </w:rPr>
            </w:pPr>
            <w:r w:rsidRPr="00184569">
              <w:rPr>
                <w:rFonts w:ascii="Times New Roman" w:eastAsia="Times New Roman" w:hAnsi="Times New Roman" w:cs="Times New Roman"/>
                <w:b/>
                <w:kern w:val="0"/>
                <w14:ligatures w14:val="none"/>
              </w:rPr>
              <w:t>n = 2780</w:t>
            </w:r>
          </w:p>
          <w:p w14:paraId="270D89FE" w14:textId="77777777" w:rsidR="00184569" w:rsidRPr="00184569" w:rsidRDefault="00184569" w:rsidP="00184569">
            <w:pPr>
              <w:widowControl w:val="0"/>
              <w:autoSpaceDE w:val="0"/>
              <w:autoSpaceDN w:val="0"/>
              <w:spacing w:after="0" w:line="240" w:lineRule="auto"/>
              <w:jc w:val="center"/>
              <w:rPr>
                <w:rFonts w:ascii="Times New Roman" w:eastAsia="Times New Roman" w:hAnsi="Times New Roman" w:cs="Times New Roman"/>
                <w:b/>
                <w:kern w:val="0"/>
                <w14:ligatures w14:val="none"/>
              </w:rPr>
            </w:pPr>
            <w:r w:rsidRPr="00184569">
              <w:rPr>
                <w:rFonts w:ascii="Times New Roman" w:eastAsia="Times New Roman" w:hAnsi="Times New Roman" w:cs="Times New Roman"/>
                <w:b/>
                <w:kern w:val="0"/>
                <w14:ligatures w14:val="none"/>
              </w:rPr>
              <w:t>n (%/év)</w:t>
            </w:r>
          </w:p>
        </w:tc>
        <w:tc>
          <w:tcPr>
            <w:tcW w:w="2071" w:type="dxa"/>
          </w:tcPr>
          <w:p w14:paraId="4D73A54C" w14:textId="77777777" w:rsidR="00184569" w:rsidRPr="00184569" w:rsidRDefault="00184569" w:rsidP="00184569">
            <w:pPr>
              <w:widowControl w:val="0"/>
              <w:autoSpaceDE w:val="0"/>
              <w:autoSpaceDN w:val="0"/>
              <w:spacing w:after="0" w:line="240" w:lineRule="auto"/>
              <w:ind w:left="126" w:hanging="46"/>
              <w:jc w:val="center"/>
              <w:rPr>
                <w:rFonts w:ascii="Times New Roman" w:eastAsia="Times New Roman" w:hAnsi="Times New Roman" w:cs="Times New Roman"/>
                <w:b/>
                <w:kern w:val="0"/>
                <w14:ligatures w14:val="none"/>
              </w:rPr>
            </w:pPr>
            <w:r w:rsidRPr="00184569">
              <w:rPr>
                <w:rFonts w:ascii="Times New Roman" w:eastAsia="Times New Roman" w:hAnsi="Times New Roman" w:cs="Times New Roman"/>
                <w:b/>
                <w:kern w:val="0"/>
                <w14:ligatures w14:val="none"/>
              </w:rPr>
              <w:t>relatív hazárd</w:t>
            </w:r>
          </w:p>
          <w:p w14:paraId="68992E26" w14:textId="77777777" w:rsidR="00184569" w:rsidRPr="00184569" w:rsidRDefault="00184569" w:rsidP="00184569">
            <w:pPr>
              <w:widowControl w:val="0"/>
              <w:autoSpaceDE w:val="0"/>
              <w:autoSpaceDN w:val="0"/>
              <w:spacing w:after="0" w:line="240" w:lineRule="auto"/>
              <w:ind w:left="126" w:hanging="46"/>
              <w:jc w:val="center"/>
              <w:rPr>
                <w:rFonts w:ascii="Times New Roman" w:eastAsia="Times New Roman" w:hAnsi="Times New Roman" w:cs="Times New Roman"/>
                <w:b/>
                <w:kern w:val="0"/>
                <w14:ligatures w14:val="none"/>
              </w:rPr>
            </w:pPr>
            <w:r w:rsidRPr="00184569">
              <w:rPr>
                <w:rFonts w:ascii="Times New Roman" w:eastAsia="Times New Roman" w:hAnsi="Times New Roman" w:cs="Times New Roman"/>
                <w:b/>
                <w:kern w:val="0"/>
                <w14:ligatures w14:val="none"/>
              </w:rPr>
              <w:t>(95%-os CI)</w:t>
            </w:r>
          </w:p>
        </w:tc>
        <w:tc>
          <w:tcPr>
            <w:tcW w:w="989" w:type="dxa"/>
          </w:tcPr>
          <w:p w14:paraId="578C43F7" w14:textId="77777777" w:rsidR="00184569" w:rsidRPr="00184569" w:rsidRDefault="00184569" w:rsidP="00184569">
            <w:pPr>
              <w:widowControl w:val="0"/>
              <w:autoSpaceDE w:val="0"/>
              <w:autoSpaceDN w:val="0"/>
              <w:spacing w:after="0" w:line="240" w:lineRule="auto"/>
              <w:ind w:left="40"/>
              <w:jc w:val="center"/>
              <w:rPr>
                <w:rFonts w:ascii="Times New Roman" w:eastAsia="Times New Roman" w:hAnsi="Times New Roman" w:cs="Times New Roman"/>
                <w:b/>
                <w:kern w:val="0"/>
                <w14:ligatures w14:val="none"/>
              </w:rPr>
            </w:pPr>
            <w:r w:rsidRPr="00184569">
              <w:rPr>
                <w:rFonts w:ascii="Times New Roman" w:eastAsia="Times New Roman" w:hAnsi="Times New Roman" w:cs="Times New Roman"/>
                <w:b/>
                <w:kern w:val="0"/>
                <w14:ligatures w14:val="none"/>
              </w:rPr>
              <w:t>p-érték</w:t>
            </w:r>
          </w:p>
        </w:tc>
      </w:tr>
      <w:tr w:rsidR="00184569" w:rsidRPr="00184569" w14:paraId="27196B8F" w14:textId="77777777" w:rsidTr="00E16EC6">
        <w:trPr>
          <w:trHeight w:val="277"/>
        </w:trPr>
        <w:tc>
          <w:tcPr>
            <w:tcW w:w="2137" w:type="dxa"/>
          </w:tcPr>
          <w:p w14:paraId="2D0CBB09" w14:textId="77777777" w:rsidR="00184569" w:rsidRPr="00184569" w:rsidRDefault="00184569" w:rsidP="00184569">
            <w:pPr>
              <w:widowControl w:val="0"/>
              <w:autoSpaceDE w:val="0"/>
              <w:autoSpaceDN w:val="0"/>
              <w:spacing w:after="0" w:line="240" w:lineRule="auto"/>
              <w:ind w:left="107"/>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Nagyfokú*</w:t>
            </w:r>
          </w:p>
        </w:tc>
        <w:tc>
          <w:tcPr>
            <w:tcW w:w="1980" w:type="dxa"/>
          </w:tcPr>
          <w:p w14:paraId="5C70221B" w14:textId="77777777" w:rsidR="00184569" w:rsidRPr="00184569" w:rsidRDefault="00184569" w:rsidP="00184569">
            <w:pPr>
              <w:widowControl w:val="0"/>
              <w:autoSpaceDE w:val="0"/>
              <w:autoSpaceDN w:val="0"/>
              <w:spacing w:after="0" w:line="240" w:lineRule="auto"/>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45 (1,41)</w:t>
            </w:r>
          </w:p>
        </w:tc>
        <w:tc>
          <w:tcPr>
            <w:tcW w:w="1709" w:type="dxa"/>
          </w:tcPr>
          <w:p w14:paraId="54D95DD8" w14:textId="77777777" w:rsidR="00184569" w:rsidRPr="00184569" w:rsidRDefault="00184569" w:rsidP="00184569">
            <w:pPr>
              <w:widowControl w:val="0"/>
              <w:autoSpaceDE w:val="0"/>
              <w:autoSpaceDN w:val="0"/>
              <w:spacing w:after="0" w:line="240" w:lineRule="auto"/>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29 (0,92)</w:t>
            </w:r>
          </w:p>
        </w:tc>
        <w:tc>
          <w:tcPr>
            <w:tcW w:w="2071" w:type="dxa"/>
          </w:tcPr>
          <w:p w14:paraId="31F200DC" w14:textId="77777777" w:rsidR="00184569" w:rsidRPr="00184569" w:rsidRDefault="00184569" w:rsidP="00184569">
            <w:pPr>
              <w:widowControl w:val="0"/>
              <w:autoSpaceDE w:val="0"/>
              <w:autoSpaceDN w:val="0"/>
              <w:spacing w:after="0" w:line="240" w:lineRule="auto"/>
              <w:ind w:left="126" w:hanging="46"/>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1,54 (0,96; 2,45)</w:t>
            </w:r>
          </w:p>
        </w:tc>
        <w:tc>
          <w:tcPr>
            <w:tcW w:w="989" w:type="dxa"/>
          </w:tcPr>
          <w:p w14:paraId="2C17C626" w14:textId="77777777" w:rsidR="00184569" w:rsidRPr="00184569" w:rsidRDefault="00184569" w:rsidP="00184569">
            <w:pPr>
              <w:widowControl w:val="0"/>
              <w:autoSpaceDE w:val="0"/>
              <w:autoSpaceDN w:val="0"/>
              <w:spacing w:after="0" w:line="240" w:lineRule="auto"/>
              <w:ind w:left="40"/>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0,0716</w:t>
            </w:r>
          </w:p>
        </w:tc>
      </w:tr>
      <w:tr w:rsidR="00184569" w:rsidRPr="00184569" w14:paraId="7BA1DC78" w14:textId="77777777" w:rsidTr="00E16EC6">
        <w:trPr>
          <w:trHeight w:val="486"/>
        </w:trPr>
        <w:tc>
          <w:tcPr>
            <w:tcW w:w="2137" w:type="dxa"/>
          </w:tcPr>
          <w:p w14:paraId="154018EE" w14:textId="77777777" w:rsidR="00184569" w:rsidRPr="00184569" w:rsidRDefault="00184569" w:rsidP="00184569">
            <w:pPr>
              <w:widowControl w:val="0"/>
              <w:autoSpaceDE w:val="0"/>
              <w:autoSpaceDN w:val="0"/>
              <w:spacing w:after="0" w:line="240" w:lineRule="auto"/>
              <w:ind w:left="467"/>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Végzetes kimenetelű, n</w:t>
            </w:r>
          </w:p>
        </w:tc>
        <w:tc>
          <w:tcPr>
            <w:tcW w:w="1980" w:type="dxa"/>
          </w:tcPr>
          <w:p w14:paraId="57091CFB" w14:textId="77777777" w:rsidR="00184569" w:rsidRPr="00184569" w:rsidRDefault="00184569" w:rsidP="00184569">
            <w:pPr>
              <w:widowControl w:val="0"/>
              <w:autoSpaceDE w:val="0"/>
              <w:autoSpaceDN w:val="0"/>
              <w:spacing w:after="0" w:line="240" w:lineRule="auto"/>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5 (0,16)</w:t>
            </w:r>
          </w:p>
        </w:tc>
        <w:tc>
          <w:tcPr>
            <w:tcW w:w="1709" w:type="dxa"/>
          </w:tcPr>
          <w:p w14:paraId="13A99DB5" w14:textId="77777777" w:rsidR="00184569" w:rsidRPr="00184569" w:rsidRDefault="00184569" w:rsidP="00184569">
            <w:pPr>
              <w:widowControl w:val="0"/>
              <w:autoSpaceDE w:val="0"/>
              <w:autoSpaceDN w:val="0"/>
              <w:spacing w:after="0" w:line="240" w:lineRule="auto"/>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5 (0,16)</w:t>
            </w:r>
          </w:p>
        </w:tc>
        <w:tc>
          <w:tcPr>
            <w:tcW w:w="2071" w:type="dxa"/>
          </w:tcPr>
          <w:p w14:paraId="6D13D808" w14:textId="77777777" w:rsidR="00184569" w:rsidRPr="00184569" w:rsidRDefault="00184569" w:rsidP="00184569">
            <w:pPr>
              <w:widowControl w:val="0"/>
              <w:autoSpaceDE w:val="0"/>
              <w:autoSpaceDN w:val="0"/>
              <w:spacing w:after="0" w:line="240" w:lineRule="auto"/>
              <w:ind w:left="126" w:hanging="46"/>
              <w:jc w:val="center"/>
              <w:rPr>
                <w:rFonts w:ascii="Times New Roman" w:eastAsia="Times New Roman" w:hAnsi="Times New Roman" w:cs="Times New Roman"/>
                <w:kern w:val="0"/>
                <w14:ligatures w14:val="none"/>
              </w:rPr>
            </w:pPr>
          </w:p>
        </w:tc>
        <w:tc>
          <w:tcPr>
            <w:tcW w:w="989" w:type="dxa"/>
          </w:tcPr>
          <w:p w14:paraId="2D539C59" w14:textId="77777777" w:rsidR="00184569" w:rsidRPr="00184569" w:rsidRDefault="00184569" w:rsidP="00184569">
            <w:pPr>
              <w:widowControl w:val="0"/>
              <w:autoSpaceDE w:val="0"/>
              <w:autoSpaceDN w:val="0"/>
              <w:spacing w:after="0" w:line="240" w:lineRule="auto"/>
              <w:ind w:left="40"/>
              <w:jc w:val="center"/>
              <w:rPr>
                <w:rFonts w:ascii="Times New Roman" w:eastAsia="Times New Roman" w:hAnsi="Times New Roman" w:cs="Times New Roman"/>
                <w:kern w:val="0"/>
                <w14:ligatures w14:val="none"/>
              </w:rPr>
            </w:pPr>
          </w:p>
        </w:tc>
      </w:tr>
      <w:tr w:rsidR="00184569" w:rsidRPr="00184569" w14:paraId="2DF5F7E6" w14:textId="77777777" w:rsidTr="00E16EC6">
        <w:trPr>
          <w:trHeight w:val="249"/>
        </w:trPr>
        <w:tc>
          <w:tcPr>
            <w:tcW w:w="2137" w:type="dxa"/>
          </w:tcPr>
          <w:p w14:paraId="0B93D524" w14:textId="77777777" w:rsidR="00184569" w:rsidRPr="00184569" w:rsidRDefault="00184569" w:rsidP="00184569">
            <w:pPr>
              <w:widowControl w:val="0"/>
              <w:autoSpaceDE w:val="0"/>
              <w:autoSpaceDN w:val="0"/>
              <w:spacing w:after="0" w:line="240" w:lineRule="auto"/>
              <w:ind w:left="467"/>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Intracranialis, n</w:t>
            </w:r>
          </w:p>
        </w:tc>
        <w:tc>
          <w:tcPr>
            <w:tcW w:w="1980" w:type="dxa"/>
          </w:tcPr>
          <w:p w14:paraId="41648F22" w14:textId="77777777" w:rsidR="00184569" w:rsidRPr="00184569" w:rsidRDefault="00184569" w:rsidP="00184569">
            <w:pPr>
              <w:widowControl w:val="0"/>
              <w:autoSpaceDE w:val="0"/>
              <w:autoSpaceDN w:val="0"/>
              <w:spacing w:after="0" w:line="240" w:lineRule="auto"/>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11 (0,34)</w:t>
            </w:r>
          </w:p>
        </w:tc>
        <w:tc>
          <w:tcPr>
            <w:tcW w:w="1709" w:type="dxa"/>
          </w:tcPr>
          <w:p w14:paraId="49D3E903" w14:textId="77777777" w:rsidR="00184569" w:rsidRPr="00184569" w:rsidRDefault="00184569" w:rsidP="00184569">
            <w:pPr>
              <w:widowControl w:val="0"/>
              <w:autoSpaceDE w:val="0"/>
              <w:autoSpaceDN w:val="0"/>
              <w:spacing w:after="0" w:line="240" w:lineRule="auto"/>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11 (0,35)</w:t>
            </w:r>
          </w:p>
        </w:tc>
        <w:tc>
          <w:tcPr>
            <w:tcW w:w="2071" w:type="dxa"/>
          </w:tcPr>
          <w:p w14:paraId="619EF3E0" w14:textId="77777777" w:rsidR="00184569" w:rsidRPr="00184569" w:rsidRDefault="00184569" w:rsidP="00184569">
            <w:pPr>
              <w:widowControl w:val="0"/>
              <w:autoSpaceDE w:val="0"/>
              <w:autoSpaceDN w:val="0"/>
              <w:spacing w:after="0" w:line="240" w:lineRule="auto"/>
              <w:ind w:left="126" w:hanging="46"/>
              <w:jc w:val="center"/>
              <w:rPr>
                <w:rFonts w:ascii="Times New Roman" w:eastAsia="Times New Roman" w:hAnsi="Times New Roman" w:cs="Times New Roman"/>
                <w:kern w:val="0"/>
                <w14:ligatures w14:val="none"/>
              </w:rPr>
            </w:pPr>
          </w:p>
        </w:tc>
        <w:tc>
          <w:tcPr>
            <w:tcW w:w="989" w:type="dxa"/>
          </w:tcPr>
          <w:p w14:paraId="29FEC5C6" w14:textId="77777777" w:rsidR="00184569" w:rsidRPr="00184569" w:rsidRDefault="00184569" w:rsidP="00184569">
            <w:pPr>
              <w:widowControl w:val="0"/>
              <w:autoSpaceDE w:val="0"/>
              <w:autoSpaceDN w:val="0"/>
              <w:spacing w:after="0" w:line="240" w:lineRule="auto"/>
              <w:ind w:left="40"/>
              <w:jc w:val="center"/>
              <w:rPr>
                <w:rFonts w:ascii="Times New Roman" w:eastAsia="Times New Roman" w:hAnsi="Times New Roman" w:cs="Times New Roman"/>
                <w:kern w:val="0"/>
                <w14:ligatures w14:val="none"/>
              </w:rPr>
            </w:pPr>
          </w:p>
        </w:tc>
      </w:tr>
      <w:tr w:rsidR="00184569" w:rsidRPr="00184569" w14:paraId="564F11D9" w14:textId="77777777" w:rsidTr="00E16EC6">
        <w:trPr>
          <w:trHeight w:val="486"/>
        </w:trPr>
        <w:tc>
          <w:tcPr>
            <w:tcW w:w="2137" w:type="dxa"/>
          </w:tcPr>
          <w:p w14:paraId="50340A85" w14:textId="77777777" w:rsidR="00184569" w:rsidRPr="00184569" w:rsidRDefault="00184569" w:rsidP="00184569">
            <w:pPr>
              <w:widowControl w:val="0"/>
              <w:autoSpaceDE w:val="0"/>
              <w:autoSpaceDN w:val="0"/>
              <w:spacing w:after="0" w:line="240" w:lineRule="auto"/>
              <w:ind w:left="107"/>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Nagyfokú + CRNM</w:t>
            </w:r>
            <w:proofErr w:type="gramStart"/>
            <w:r w:rsidRPr="00184569">
              <w:rPr>
                <w:rFonts w:ascii="Times New Roman" w:eastAsia="Times New Roman" w:hAnsi="Times New Roman" w:cs="Times New Roman"/>
                <w:kern w:val="0"/>
                <w:vertAlign w:val="superscript"/>
                <w14:ligatures w14:val="none"/>
              </w:rPr>
              <w:t>†</w:t>
            </w:r>
            <w:proofErr w:type="gramEnd"/>
          </w:p>
        </w:tc>
        <w:tc>
          <w:tcPr>
            <w:tcW w:w="1980" w:type="dxa"/>
          </w:tcPr>
          <w:p w14:paraId="77847398" w14:textId="77777777" w:rsidR="00184569" w:rsidRPr="00184569" w:rsidRDefault="00184569" w:rsidP="00184569">
            <w:pPr>
              <w:widowControl w:val="0"/>
              <w:autoSpaceDE w:val="0"/>
              <w:autoSpaceDN w:val="0"/>
              <w:spacing w:after="0" w:line="240" w:lineRule="auto"/>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140 (4,46)</w:t>
            </w:r>
          </w:p>
        </w:tc>
        <w:tc>
          <w:tcPr>
            <w:tcW w:w="1709" w:type="dxa"/>
          </w:tcPr>
          <w:p w14:paraId="2F5381E9" w14:textId="77777777" w:rsidR="00184569" w:rsidRPr="00184569" w:rsidRDefault="00184569" w:rsidP="00184569">
            <w:pPr>
              <w:widowControl w:val="0"/>
              <w:autoSpaceDE w:val="0"/>
              <w:autoSpaceDN w:val="0"/>
              <w:spacing w:after="0" w:line="240" w:lineRule="auto"/>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101 (3,24)</w:t>
            </w:r>
          </w:p>
        </w:tc>
        <w:tc>
          <w:tcPr>
            <w:tcW w:w="2071" w:type="dxa"/>
          </w:tcPr>
          <w:p w14:paraId="31AB8C81" w14:textId="77777777" w:rsidR="00184569" w:rsidRPr="00184569" w:rsidRDefault="00184569" w:rsidP="00184569">
            <w:pPr>
              <w:widowControl w:val="0"/>
              <w:autoSpaceDE w:val="0"/>
              <w:autoSpaceDN w:val="0"/>
              <w:spacing w:after="0" w:line="240" w:lineRule="auto"/>
              <w:ind w:left="126" w:hanging="46"/>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1,38 (1,07; 1,78)</w:t>
            </w:r>
          </w:p>
        </w:tc>
        <w:tc>
          <w:tcPr>
            <w:tcW w:w="989" w:type="dxa"/>
          </w:tcPr>
          <w:p w14:paraId="1D3A07EF" w14:textId="77777777" w:rsidR="00184569" w:rsidRPr="00184569" w:rsidRDefault="00184569" w:rsidP="00184569">
            <w:pPr>
              <w:widowControl w:val="0"/>
              <w:autoSpaceDE w:val="0"/>
              <w:autoSpaceDN w:val="0"/>
              <w:spacing w:after="0" w:line="240" w:lineRule="auto"/>
              <w:ind w:left="40"/>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0,0144</w:t>
            </w:r>
          </w:p>
        </w:tc>
      </w:tr>
      <w:tr w:rsidR="00184569" w:rsidRPr="00184569" w14:paraId="7DBF7BE2" w14:textId="77777777" w:rsidTr="00E16EC6">
        <w:trPr>
          <w:trHeight w:val="340"/>
        </w:trPr>
        <w:tc>
          <w:tcPr>
            <w:tcW w:w="2137" w:type="dxa"/>
          </w:tcPr>
          <w:p w14:paraId="326C8A40" w14:textId="77777777" w:rsidR="00184569" w:rsidRPr="00184569" w:rsidRDefault="00184569" w:rsidP="00184569">
            <w:pPr>
              <w:widowControl w:val="0"/>
              <w:autoSpaceDE w:val="0"/>
              <w:autoSpaceDN w:val="0"/>
              <w:spacing w:after="0" w:line="240" w:lineRule="auto"/>
              <w:ind w:left="107"/>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Összes</w:t>
            </w:r>
          </w:p>
        </w:tc>
        <w:tc>
          <w:tcPr>
            <w:tcW w:w="1980" w:type="dxa"/>
          </w:tcPr>
          <w:p w14:paraId="0900799E" w14:textId="77777777" w:rsidR="00184569" w:rsidRPr="00184569" w:rsidRDefault="00184569" w:rsidP="00184569">
            <w:pPr>
              <w:widowControl w:val="0"/>
              <w:autoSpaceDE w:val="0"/>
              <w:autoSpaceDN w:val="0"/>
              <w:spacing w:after="0" w:line="240" w:lineRule="auto"/>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325 (10,85)</w:t>
            </w:r>
          </w:p>
        </w:tc>
        <w:tc>
          <w:tcPr>
            <w:tcW w:w="1709" w:type="dxa"/>
          </w:tcPr>
          <w:p w14:paraId="724656FF" w14:textId="77777777" w:rsidR="00184569" w:rsidRPr="00184569" w:rsidRDefault="00184569" w:rsidP="00184569">
            <w:pPr>
              <w:widowControl w:val="0"/>
              <w:autoSpaceDE w:val="0"/>
              <w:autoSpaceDN w:val="0"/>
              <w:spacing w:after="0" w:line="240" w:lineRule="auto"/>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250 (8,32)</w:t>
            </w:r>
          </w:p>
        </w:tc>
        <w:tc>
          <w:tcPr>
            <w:tcW w:w="2071" w:type="dxa"/>
          </w:tcPr>
          <w:p w14:paraId="0F84621C" w14:textId="77777777" w:rsidR="00184569" w:rsidRPr="00184569" w:rsidRDefault="00184569" w:rsidP="00184569">
            <w:pPr>
              <w:widowControl w:val="0"/>
              <w:autoSpaceDE w:val="0"/>
              <w:autoSpaceDN w:val="0"/>
              <w:spacing w:after="0" w:line="240" w:lineRule="auto"/>
              <w:ind w:left="126" w:hanging="46"/>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1,30 (1,10; 1,53)</w:t>
            </w:r>
          </w:p>
        </w:tc>
        <w:tc>
          <w:tcPr>
            <w:tcW w:w="989" w:type="dxa"/>
          </w:tcPr>
          <w:p w14:paraId="64B48E2F" w14:textId="77777777" w:rsidR="00184569" w:rsidRPr="00184569" w:rsidRDefault="00184569" w:rsidP="00184569">
            <w:pPr>
              <w:widowControl w:val="0"/>
              <w:autoSpaceDE w:val="0"/>
              <w:autoSpaceDN w:val="0"/>
              <w:spacing w:after="0" w:line="240" w:lineRule="auto"/>
              <w:ind w:left="40"/>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0,0017</w:t>
            </w:r>
          </w:p>
        </w:tc>
      </w:tr>
    </w:tbl>
    <w:p w14:paraId="36009300" w14:textId="77777777" w:rsidR="00184569" w:rsidRPr="00184569" w:rsidRDefault="00184569" w:rsidP="00184569">
      <w:pPr>
        <w:widowControl w:val="0"/>
        <w:autoSpaceDE w:val="0"/>
        <w:autoSpaceDN w:val="0"/>
        <w:spacing w:after="0" w:line="240" w:lineRule="auto"/>
        <w:ind w:left="235" w:hanging="235"/>
        <w:rPr>
          <w:rFonts w:ascii="Times New Roman" w:eastAsia="Times New Roman" w:hAnsi="Times New Roman" w:cs="Times New Roman"/>
          <w:kern w:val="0"/>
          <w:sz w:val="18"/>
          <w:szCs w:val="18"/>
          <w14:ligatures w14:val="none"/>
        </w:rPr>
      </w:pPr>
      <w:r w:rsidRPr="00184569">
        <w:rPr>
          <w:rFonts w:ascii="Times New Roman" w:eastAsia="Times New Roman" w:hAnsi="Times New Roman" w:cs="Times New Roman"/>
          <w:kern w:val="0"/>
          <w:sz w:val="18"/>
          <w:szCs w:val="18"/>
          <w14:ligatures w14:val="none"/>
        </w:rPr>
        <w:t>*A nagyfokú vérzést az International Society on Thrombosis and Haemostasis (ISTH – Nemzetközi Thrombosis és Haemostasis Társaság) kritériumai szerint definiálták.</w:t>
      </w:r>
    </w:p>
    <w:p w14:paraId="4F143141" w14:textId="77777777" w:rsidR="00184569" w:rsidRPr="00184569" w:rsidRDefault="00184569" w:rsidP="00184569">
      <w:pPr>
        <w:widowControl w:val="0"/>
        <w:autoSpaceDE w:val="0"/>
        <w:autoSpaceDN w:val="0"/>
        <w:spacing w:after="0" w:line="240" w:lineRule="auto"/>
        <w:ind w:left="235" w:hanging="235"/>
        <w:rPr>
          <w:rFonts w:ascii="Times New Roman" w:eastAsia="Times New Roman" w:hAnsi="Times New Roman" w:cs="Times New Roman"/>
          <w:kern w:val="0"/>
          <w:sz w:val="18"/>
          <w:szCs w:val="18"/>
          <w14:ligatures w14:val="none"/>
        </w:rPr>
      </w:pPr>
      <w:r w:rsidRPr="00184569">
        <w:rPr>
          <w:rFonts w:ascii="Times New Roman" w:eastAsia="Times New Roman" w:hAnsi="Times New Roman" w:cs="Times New Roman"/>
          <w:kern w:val="0"/>
          <w:sz w:val="18"/>
          <w:szCs w:val="18"/>
          <w:vertAlign w:val="superscript"/>
          <w14:ligatures w14:val="none"/>
        </w:rPr>
        <w:t>†</w:t>
      </w:r>
      <w:r w:rsidRPr="00184569">
        <w:rPr>
          <w:rFonts w:ascii="Times New Roman" w:eastAsia="Times New Roman" w:hAnsi="Times New Roman" w:cs="Times New Roman"/>
          <w:kern w:val="0"/>
          <w:sz w:val="18"/>
          <w:szCs w:val="18"/>
          <w14:ligatures w14:val="none"/>
        </w:rPr>
        <w:t>Klinikailag jelentős, nem súlyos vérzés.</w:t>
      </w:r>
    </w:p>
    <w:p w14:paraId="54B264AD"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
    <w:p w14:paraId="5ACD276C"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r w:rsidRPr="00184569">
        <w:rPr>
          <w:rFonts w:ascii="Times New Roman" w:eastAsia="Times New Roman" w:hAnsi="Times New Roman" w:cs="Times New Roman"/>
          <w:i/>
          <w:kern w:val="0"/>
          <w:u w:val="single"/>
          <w14:ligatures w14:val="none"/>
        </w:rPr>
        <w:t>NVPF-betegek ACS-sel és/vagy PCI beavatkozással</w:t>
      </w:r>
    </w:p>
    <w:p w14:paraId="0B6E4DA1"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Az AUGUSTUS egy nyílt, randomizált, kontrollos, 2 × 2 faktoriális elrendezésű vizsgálat volt, amelybe 4614 felnőtt NVPF-beteget vontak be, akik ACS-ben szenvedtek (43%) és/vagy akiknél PCI</w:t>
      </w:r>
      <w:r w:rsidRPr="00184569">
        <w:rPr>
          <w:rFonts w:ascii="Times New Roman" w:eastAsia="Times New Roman" w:hAnsi="Times New Roman" w:cs="Times New Roman"/>
          <w:kern w:val="0"/>
          <w14:ligatures w14:val="none"/>
        </w:rPr>
        <w:noBreakHyphen/>
        <w:t>t végeztek (56%). Minden beteg háttérkezelésként P2Y12-gátló-kezelésben (klopidogrel: 90,3%) részesült a helyi szokásos ellátásnak megfelelően.</w:t>
      </w:r>
    </w:p>
    <w:p w14:paraId="21A4C27A"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
    <w:p w14:paraId="48C58382"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 xml:space="preserve">A betegeket az ACS és/vagy PCI után legfeljebb 14 nappal randomizálták napi kétszer 5 mg apixabánra (vagy naponta kétszer 2,5 mg-ra, ha kettő vagy több dóziscsökkentési feltétel is teljesült; 4,2% kapott alacsonyabb dózist) vagy K-vitamin-antagonistára, valamint acetilszalicilsavra (napi egyszer 81 mg) vagy placebóra. Az átlagéletkor 69,9 év volt, a randomizált betegek 94%-ánál a </w:t>
      </w:r>
      <w:proofErr w:type="gramStart"/>
      <w:r w:rsidRPr="00184569">
        <w:rPr>
          <w:rFonts w:ascii="Times New Roman" w:eastAsia="Times New Roman" w:hAnsi="Times New Roman" w:cs="Times New Roman"/>
          <w:kern w:val="0"/>
          <w14:ligatures w14:val="none"/>
        </w:rPr>
        <w:t>CHA</w:t>
      </w:r>
      <w:r w:rsidRPr="00184569">
        <w:rPr>
          <w:rFonts w:ascii="Times New Roman" w:eastAsia="Times New Roman" w:hAnsi="Times New Roman" w:cs="Times New Roman"/>
          <w:kern w:val="0"/>
          <w:vertAlign w:val="subscript"/>
          <w14:ligatures w14:val="none"/>
        </w:rPr>
        <w:t>2</w:t>
      </w:r>
      <w:r w:rsidRPr="00184569">
        <w:rPr>
          <w:rFonts w:ascii="Times New Roman" w:eastAsia="Times New Roman" w:hAnsi="Times New Roman" w:cs="Times New Roman"/>
          <w:kern w:val="0"/>
          <w14:ligatures w14:val="none"/>
        </w:rPr>
        <w:t>DS</w:t>
      </w:r>
      <w:r w:rsidRPr="00184569">
        <w:rPr>
          <w:rFonts w:ascii="Times New Roman" w:eastAsia="Times New Roman" w:hAnsi="Times New Roman" w:cs="Times New Roman"/>
          <w:kern w:val="0"/>
          <w:vertAlign w:val="subscript"/>
          <w14:ligatures w14:val="none"/>
        </w:rPr>
        <w:t>2</w:t>
      </w:r>
      <w:r w:rsidRPr="00184569">
        <w:rPr>
          <w:rFonts w:ascii="Times New Roman" w:eastAsia="Times New Roman" w:hAnsi="Times New Roman" w:cs="Times New Roman"/>
          <w:kern w:val="0"/>
          <w14:ligatures w14:val="none"/>
        </w:rPr>
        <w:t>-VAS</w:t>
      </w:r>
      <w:r w:rsidRPr="00184569">
        <w:rPr>
          <w:rFonts w:ascii="Times New Roman" w:eastAsia="Times New Roman" w:hAnsi="Times New Roman" w:cs="Times New Roman"/>
          <w:kern w:val="0"/>
          <w:vertAlign w:val="subscript"/>
          <w14:ligatures w14:val="none"/>
        </w:rPr>
        <w:t>c</w:t>
      </w:r>
      <w:r w:rsidRPr="00184569">
        <w:rPr>
          <w:rFonts w:ascii="Times New Roman" w:eastAsia="Times New Roman" w:hAnsi="Times New Roman" w:cs="Times New Roman"/>
          <w:kern w:val="0"/>
          <w14:ligatures w14:val="none"/>
        </w:rPr>
        <w:t>-pontszám &gt;</w:t>
      </w:r>
      <w:proofErr w:type="gramEnd"/>
      <w:r w:rsidRPr="00184569">
        <w:rPr>
          <w:rFonts w:ascii="Times New Roman" w:eastAsia="Times New Roman" w:hAnsi="Times New Roman" w:cs="Times New Roman"/>
          <w:kern w:val="0"/>
          <w14:ligatures w14:val="none"/>
        </w:rPr>
        <w:t> 2 volt, és 47%-ánál a HAS-BLED pontszám &gt; 3 volt. A K-vitamin-antagonistára randomizált betegek esetében a terápiás tartományban (INR 2–3) eltöltött időtartam 56% volt, a TTR (time in therapeutic range) alatt eltöltött idő 32% és a TTR feletti idő 12% volt.</w:t>
      </w:r>
    </w:p>
    <w:p w14:paraId="5C52ED1D"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
    <w:p w14:paraId="745F5809"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 xml:space="preserve">Az AUGUSTUS vizsgálat elsődleges célja a biztonságosság felmérése volt, és az elsődleges végpont az ISTH szerinti súlyos vagy CRNM vérzés volt. </w:t>
      </w:r>
      <w:proofErr w:type="gramStart"/>
      <w:r w:rsidRPr="00184569">
        <w:rPr>
          <w:rFonts w:ascii="Times New Roman" w:eastAsia="Times New Roman" w:hAnsi="Times New Roman" w:cs="Times New Roman"/>
          <w:kern w:val="0"/>
          <w14:ligatures w14:val="none"/>
        </w:rPr>
        <w:t>Az apixabán és a K-vitamin-antagonista összehasonlításában az elsődleges biztonságossági végpont az ISTH szerinti súlyos vagy CRNM vérzés a 6. hónapra 241 (10,5%) betegnél következett be az apixabán-karon, illetve 332 (14,7%) betegnél a K-vitamin-antagonista karon (relatív hazárd 0,69, 95%-os CI: 0,580,82; 2-oldalas p &lt; 0,0001 a non-inferioritás és p &lt; 0,0001 a szuperioritás tekintetében).</w:t>
      </w:r>
      <w:proofErr w:type="gramEnd"/>
      <w:r w:rsidRPr="00184569">
        <w:rPr>
          <w:rFonts w:ascii="Times New Roman" w:eastAsia="Times New Roman" w:hAnsi="Times New Roman" w:cs="Times New Roman"/>
          <w:kern w:val="0"/>
          <w14:ligatures w14:val="none"/>
        </w:rPr>
        <w:t xml:space="preserve"> A K-vitamin-antagonista esetén a TTR szerinti alcsoportok azt mutatták, hogy a legmagasabb vérzési arány a TTR legalacsonyabb kvartilisére volt jellemző. A vérzés aránya hasonló volt az apixabán és a TTR legmagasabb kvartilise esetében.</w:t>
      </w:r>
    </w:p>
    <w:p w14:paraId="08C13DB2"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Az acetilszalicilsav és a placebo összehasonlításában a 6. hónapban az ISTH szerinti súlyos vagy CRNM vérzés elsődleges biztonságossági végpontja 367 (16,1%) betegnél következett be az acetilszalicilsav-karon és 204 (9,0%) betegnél a placebokaron (relatív hazárd 1,88; 95%-os CI: 1,58</w:t>
      </w:r>
      <w:r w:rsidRPr="00184569">
        <w:rPr>
          <w:rFonts w:ascii="Times New Roman" w:eastAsia="Times New Roman" w:hAnsi="Times New Roman" w:cs="Times New Roman"/>
          <w:kern w:val="0"/>
          <w14:ligatures w14:val="none"/>
        </w:rPr>
        <w:noBreakHyphen/>
        <w:t>2,23; 2-oldalas p &lt; 0,0001).</w:t>
      </w:r>
    </w:p>
    <w:p w14:paraId="786882D8"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
    <w:p w14:paraId="5C70869D"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Számszerűsítve, az apixabánnal kezelt betegek közül 157-nél (13,7%) fordult elő súlyos vagy CRNM vérzés az acetilszalicilsav-karon és 84 (7,4%) betegnél a placebokaron. A K-vitamin-antagonistával kezelt betegek közül 208-nál (18,5%) fordult elő súlyos vagy CRNM vérzés az acetilszalicilsav-karon és 122 (10,8%) betegnél a placebokaron.</w:t>
      </w:r>
    </w:p>
    <w:p w14:paraId="63E90F79"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
    <w:p w14:paraId="7F037802"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Az egyéb kezelési hatásokat a vizsgálat másodlagos célkitűzéseként értékelték, összetett végpontokkal.</w:t>
      </w:r>
    </w:p>
    <w:p w14:paraId="431FE9E0"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
    <w:p w14:paraId="3A5C07AC"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Az apixabán és a K-vitamin-antagonista összehasonlításában a halálozás és az ismételt hospitalizáció összetett végpontja az apixabánnal kezelt betegek közül 541-nél (23,5%), míg a K-vitamin-antagonistával kezeltek közül 632-nél (27,4%) fordult elő. A halálozás és az ischaemiás esemény (stroke, myocardialis infarctus, stent thrombosis vagy sürgős revascularisatio) összetett végpontja az apixabánnal kezelt betegek közül 170-nél (7,4%), míg a K-vitamin-antagonistával kezeltek közül 182</w:t>
      </w:r>
      <w:r w:rsidRPr="00184569">
        <w:rPr>
          <w:rFonts w:ascii="Times New Roman" w:eastAsia="Times New Roman" w:hAnsi="Times New Roman" w:cs="Times New Roman"/>
          <w:kern w:val="0"/>
          <w14:ligatures w14:val="none"/>
        </w:rPr>
        <w:noBreakHyphen/>
        <w:t>nél (7,9%) fordult elő.</w:t>
      </w:r>
    </w:p>
    <w:p w14:paraId="779F2E64"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
    <w:p w14:paraId="30C3BB86"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Az acetilszalicilsav és a placebo összehasonlításában a halálozás és az ismételt hospitalizáció összetett végpontja az acetilszalicilsavval kezelt betegek közül 604-nél (26,2%), míg a placebóval kezeltek közül 569-nél (24,7%) fordult elő. A halálozás és az ischaemiás esemény (stroke, myocardialis infarctus, stent thrombosis vagy sürgős revascularisatio) összetett végpontja az acetilszalicilsavval kezelt betegek közül 163-nál (7,1%), míg az placebóval kezeltek közül 189-nél (8,2%) fordult elő.</w:t>
      </w:r>
    </w:p>
    <w:p w14:paraId="5FFDCDA2"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
    <w:p w14:paraId="26C6A468"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r w:rsidRPr="00184569">
        <w:rPr>
          <w:rFonts w:ascii="Times New Roman" w:eastAsia="Times New Roman" w:hAnsi="Times New Roman" w:cs="Times New Roman"/>
          <w:i/>
          <w:kern w:val="0"/>
          <w:u w:val="single"/>
          <w14:ligatures w14:val="none"/>
        </w:rPr>
        <w:t>Kardioverzióban részesülő betegek</w:t>
      </w:r>
    </w:p>
    <w:p w14:paraId="2D9DFA7B"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 xml:space="preserve">Az EMANATE egy nyílt, multicentrikus vizsgálat volt, amelybe 1500 felnőtt beteget vontak be, akik nem kaptak korábban oralis antikoagulánst vagy </w:t>
      </w:r>
      <w:proofErr w:type="gramStart"/>
      <w:r w:rsidRPr="00184569">
        <w:rPr>
          <w:rFonts w:ascii="Times New Roman" w:eastAsia="Times New Roman" w:hAnsi="Times New Roman" w:cs="Times New Roman"/>
          <w:kern w:val="0"/>
          <w14:ligatures w14:val="none"/>
        </w:rPr>
        <w:t>kevesebb</w:t>
      </w:r>
      <w:proofErr w:type="gramEnd"/>
      <w:r w:rsidRPr="00184569">
        <w:rPr>
          <w:rFonts w:ascii="Times New Roman" w:eastAsia="Times New Roman" w:hAnsi="Times New Roman" w:cs="Times New Roman"/>
          <w:kern w:val="0"/>
          <w14:ligatures w14:val="none"/>
        </w:rPr>
        <w:t xml:space="preserve"> mint 48 órája kaptak előkezelést, és akiket NVPF miatt kardioverzióra jegyeztek elő. A betegeket 1:1 arányban randomizálták apixabánra vagy heparinra és/vagy K-vitamin-antagonistára a cardiovascularis események megelőzése érdekében.</w:t>
      </w:r>
    </w:p>
    <w:p w14:paraId="209F0C37"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roofErr w:type="gramStart"/>
      <w:r w:rsidRPr="00184569">
        <w:rPr>
          <w:rFonts w:ascii="Times New Roman" w:eastAsia="Times New Roman" w:hAnsi="Times New Roman" w:cs="Times New Roman"/>
          <w:kern w:val="0"/>
          <w14:ligatures w14:val="none"/>
        </w:rPr>
        <w:t>Elektromos és/vagy gyógyszeres kardioverziót végeztek legalább 5 dózis, napi kétszeri 5 mg-os apixabán után (vagy napi kétszeri 2,5 mg után a kiválasztott betegeknél [lásd 4.2 pont]), illetve legalább 2 órával egy 10 mg-os telítő dózist követően (vagy 5 mg telítő dózis után a kiválasztott betegeknél [lásd 4.2 pont]), amennyiben hamarabb szükség volt a kardioverzió elvégzésére.</w:t>
      </w:r>
      <w:proofErr w:type="gramEnd"/>
      <w:r w:rsidRPr="00184569">
        <w:rPr>
          <w:rFonts w:ascii="Times New Roman" w:eastAsia="Times New Roman" w:hAnsi="Times New Roman" w:cs="Times New Roman"/>
          <w:kern w:val="0"/>
          <w14:ligatures w14:val="none"/>
        </w:rPr>
        <w:t xml:space="preserve"> Az apixabán-csoportban 342 beteg kapott telítő dózist (331 beteg kapott 10 mg-os dózist és 11 beteg kapott 5 mg-os dózist).</w:t>
      </w:r>
    </w:p>
    <w:p w14:paraId="10A4510E"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
    <w:p w14:paraId="0AC64CF9"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Nem fordult elő stroke (0%) az apixabán-csoportban (n = 753), és 6 (0,80%) stroke fordult elő a heparin és/vagy K-vitamin-antagonista-csoportban (n = 747; relatív kockázat 0,00; 95%-os CI: 0,00, 0,64). Bármilyen okból bekövetkező elhalálozás az apixabán-csoportban 2 betegnél (0,27%) fordult elő, a heparin és/vagy K-vitamin-antagonista-csoportban pedig 1 betegnél (0,13%). Nem jelentettek szisztémás embóliás eseményt.</w:t>
      </w:r>
    </w:p>
    <w:p w14:paraId="7483997C"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
    <w:p w14:paraId="77A4309D"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Az apixabán-csoportban 3 betegnél (0,41%) fordult elő súlyos vérzés, és 11 betegnél (1,50%) klinikailag jelentős, nem súlyos vérzési esemény, a heparin és/vagy K-vitamin-antagonista-csoportban pedig ezek sorrendben 6 betegnél (0,83%) és 13 betegnél (1,80%) fordultak elő.</w:t>
      </w:r>
    </w:p>
    <w:p w14:paraId="70E9FFED"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
    <w:p w14:paraId="5C0C21E7"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Ez a feltáró vizsgálat összemérhető hatásosságot és biztonságosságot mutatott az apixabán és a heparin és/vagy K-vitamin-antagonista csoportban kardioverzió esetén.</w:t>
      </w:r>
    </w:p>
    <w:p w14:paraId="587D9008"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
    <w:p w14:paraId="640B5912"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r w:rsidRPr="00184569">
        <w:rPr>
          <w:rFonts w:ascii="Times New Roman" w:eastAsia="Times New Roman" w:hAnsi="Times New Roman" w:cs="Times New Roman"/>
          <w:i/>
          <w:kern w:val="0"/>
          <w:u w:val="single"/>
          <w14:ligatures w14:val="none"/>
        </w:rPr>
        <w:t>MVT kezelése, PE kezelése, valamint MVT és PE kiújulásának megelőzése (VTEt)</w:t>
      </w:r>
    </w:p>
    <w:p w14:paraId="22650366"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A felnőttekre vonatkozó klinikai programot (AMPLIFY: apixabán versus enoxaparin/warfarin, AMPLIFY-EXT: apixabán versus placebo) úgy tervezték, hogy igazolja az MVT és/vagy PE kezelésére adott apixabán hatásosságát és biztonságosságát (AMPLIFY), illetve az MVT és/vagy PE 6–12 hónapig tartó antikoaguláns kezelése után, az MVT és/vagy a PE kiújulásának megelőzésére adott, kiterjesztett kezelés hatásosságát és biztonságosságát (AMPLIFY-EXT). Mindkét vizsgálat randomizált, párhuzamos csoportú, kettős vak, nemzetközi vizsgálat volt, melyet tünetekkel járó, proximalis típusú mélyvénás thrombosisos vagy tünetekkel járó pulmonalis emboliás betegek bevonásával végeztek. Az összes fontosabb biztonságossági és hatásossági végpontot egy független bíráló bizottság, a kapott kezelést nem ismerve ítélte meg.</w:t>
      </w:r>
    </w:p>
    <w:p w14:paraId="18401D33"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
    <w:p w14:paraId="6EACE964"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r w:rsidRPr="00184569">
        <w:rPr>
          <w:rFonts w:ascii="Times New Roman" w:eastAsia="Times New Roman" w:hAnsi="Times New Roman" w:cs="Times New Roman"/>
          <w:i/>
          <w:kern w:val="0"/>
          <w:u w:val="single"/>
          <w14:ligatures w14:val="none"/>
        </w:rPr>
        <w:t>AMPLIFY vizsgálat</w:t>
      </w:r>
    </w:p>
    <w:p w14:paraId="7A82A68C" w14:textId="77777777" w:rsidR="00184569" w:rsidRPr="00184569" w:rsidRDefault="00184569" w:rsidP="00184569">
      <w:pPr>
        <w:widowControl w:val="0"/>
        <w:autoSpaceDE w:val="0"/>
        <w:autoSpaceDN w:val="0"/>
        <w:spacing w:after="0" w:line="240" w:lineRule="auto"/>
        <w:jc w:val="both"/>
        <w:rPr>
          <w:rFonts w:ascii="Times New Roman" w:eastAsia="Times New Roman" w:hAnsi="Times New Roman" w:cs="Times New Roman"/>
          <w:kern w:val="0"/>
          <w14:ligatures w14:val="none"/>
        </w:rPr>
      </w:pPr>
      <w:proofErr w:type="gramStart"/>
      <w:r w:rsidRPr="00184569">
        <w:rPr>
          <w:rFonts w:ascii="Times New Roman" w:eastAsia="Times New Roman" w:hAnsi="Times New Roman" w:cs="Times New Roman"/>
          <w:kern w:val="0"/>
          <w14:ligatures w14:val="none"/>
        </w:rPr>
        <w:t xml:space="preserve">Az AMPLIFY vizsgálatba összesen 5395 felnőtt beteget randomizáltak 7 napig tartó, naponta kétszer 10 mg </w:t>
      </w:r>
      <w:r w:rsidRPr="00184569">
        <w:rPr>
          <w:rFonts w:ascii="Times New Roman" w:eastAsia="Times New Roman" w:hAnsi="Times New Roman" w:cs="Times New Roman"/>
          <w:i/>
          <w:iCs/>
          <w:kern w:val="0"/>
          <w14:ligatures w14:val="none"/>
        </w:rPr>
        <w:t>per os</w:t>
      </w:r>
      <w:r w:rsidRPr="00184569">
        <w:rPr>
          <w:rFonts w:ascii="Times New Roman" w:eastAsia="Times New Roman" w:hAnsi="Times New Roman" w:cs="Times New Roman"/>
          <w:kern w:val="0"/>
          <w14:ligatures w14:val="none"/>
        </w:rPr>
        <w:t xml:space="preserve"> apixabán kezelésre, amit 6 hónapig naponta kétszer 5 mg </w:t>
      </w:r>
      <w:r w:rsidRPr="00184569">
        <w:rPr>
          <w:rFonts w:ascii="Times New Roman" w:eastAsia="Times New Roman" w:hAnsi="Times New Roman" w:cs="Times New Roman"/>
          <w:i/>
          <w:iCs/>
          <w:kern w:val="0"/>
          <w14:ligatures w14:val="none"/>
        </w:rPr>
        <w:t>per os</w:t>
      </w:r>
      <w:r w:rsidRPr="00184569">
        <w:rPr>
          <w:rFonts w:ascii="Times New Roman" w:eastAsia="Times New Roman" w:hAnsi="Times New Roman" w:cs="Times New Roman"/>
          <w:kern w:val="0"/>
          <w14:ligatures w14:val="none"/>
        </w:rPr>
        <w:t xml:space="preserve"> apixabán követett, vagy pedig legalább 5 napig tartó (amíg az INR ≥ 2), naponta kétszer 1 mg/ttkg subcutan enoxaparinnal és 6 hónapig tartó </w:t>
      </w:r>
      <w:r w:rsidRPr="00184569">
        <w:rPr>
          <w:rFonts w:ascii="Times New Roman" w:eastAsia="Times New Roman" w:hAnsi="Times New Roman" w:cs="Times New Roman"/>
          <w:i/>
          <w:iCs/>
          <w:kern w:val="0"/>
          <w14:ligatures w14:val="none"/>
        </w:rPr>
        <w:t>per os</w:t>
      </w:r>
      <w:r w:rsidRPr="00184569">
        <w:rPr>
          <w:rFonts w:ascii="Times New Roman" w:eastAsia="Times New Roman" w:hAnsi="Times New Roman" w:cs="Times New Roman"/>
          <w:kern w:val="0"/>
          <w14:ligatures w14:val="none"/>
        </w:rPr>
        <w:t xml:space="preserve"> warfarinnal (elérendő INR-tartomány 2,0–3,0) végzett kezelésre.</w:t>
      </w:r>
      <w:proofErr w:type="gramEnd"/>
    </w:p>
    <w:p w14:paraId="013C4791" w14:textId="77777777" w:rsidR="00184569" w:rsidRPr="00184569" w:rsidRDefault="00184569" w:rsidP="00184569">
      <w:pPr>
        <w:widowControl w:val="0"/>
        <w:autoSpaceDE w:val="0"/>
        <w:autoSpaceDN w:val="0"/>
        <w:spacing w:after="0" w:line="240" w:lineRule="auto"/>
        <w:jc w:val="both"/>
        <w:rPr>
          <w:rFonts w:ascii="Times New Roman" w:eastAsia="Times New Roman" w:hAnsi="Times New Roman" w:cs="Times New Roman"/>
          <w:kern w:val="0"/>
          <w14:ligatures w14:val="none"/>
        </w:rPr>
      </w:pPr>
    </w:p>
    <w:p w14:paraId="00923F26" w14:textId="77777777" w:rsidR="00184569" w:rsidRPr="00184569" w:rsidRDefault="00184569" w:rsidP="00184569">
      <w:pPr>
        <w:widowControl w:val="0"/>
        <w:autoSpaceDE w:val="0"/>
        <w:autoSpaceDN w:val="0"/>
        <w:spacing w:after="0" w:line="240" w:lineRule="auto"/>
        <w:jc w:val="both"/>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Az átlagéletkor 56,9 év volt, és a randomizált betegek 89,8%-ának volt ok nélküli VTE-eseménye.</w:t>
      </w:r>
    </w:p>
    <w:p w14:paraId="058D5480"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A warfarinra randomizált betegeknél a terápiás tartományban (INR 2,0–3,0) eltöltött időtartam (time in therapeutic range – TTR) átlagos aránya 60,9% volt. Az apixabánnal a vizsgálati centrumra jellemző, különböző TTR-szintektől függetlenül csökkent a szimptomatikus VTE-események kiújulása és a VTE-vel összefüggő halálozás. A centrumnak megfelelő legfelső TTR kvartilisben az apixabánnal 0,79 (95%-os CI: 0,39–1,61) volt a relatív kockázat az enoxaparin/warfarin kezeléshez képest.</w:t>
      </w:r>
    </w:p>
    <w:p w14:paraId="19EF5A40"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
    <w:p w14:paraId="0E6606BE"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A vizsgálatban kimutatták, hogy az apixabán non-inferior volt az enoxaparin/warfarin kezeléshez képest a kombinált elsődleges végpontban, melynek összetevői: az igazolt, recidív szimptomatikus VTE (nem halálos MVT vagy nem halálos PE) és a VTE-vel összefüggő halálozás (lásd 9. táblázat).</w:t>
      </w:r>
    </w:p>
    <w:p w14:paraId="7B1D57F3"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
    <w:p w14:paraId="2FC3F692" w14:textId="77777777" w:rsidR="00184569" w:rsidRPr="00184569" w:rsidRDefault="00184569" w:rsidP="00184569">
      <w:pPr>
        <w:widowControl w:val="0"/>
        <w:autoSpaceDE w:val="0"/>
        <w:autoSpaceDN w:val="0"/>
        <w:spacing w:after="0" w:line="240" w:lineRule="auto"/>
        <w:outlineLvl w:val="1"/>
        <w:rPr>
          <w:rFonts w:ascii="Times New Roman" w:eastAsia="Times New Roman" w:hAnsi="Times New Roman" w:cs="Times New Roman"/>
          <w:b/>
          <w:bCs/>
          <w:kern w:val="0"/>
          <w14:ligatures w14:val="none"/>
        </w:rPr>
      </w:pPr>
      <w:r w:rsidRPr="00184569">
        <w:rPr>
          <w:rFonts w:ascii="Times New Roman" w:eastAsia="Times New Roman" w:hAnsi="Times New Roman" w:cs="Times New Roman"/>
          <w:b/>
          <w:bCs/>
          <w:kern w:val="0"/>
          <w14:ligatures w14:val="none"/>
        </w:rPr>
        <w:t>9. táblázat: Az AMPLIFY vizsgálat hatásossági eredményei</w:t>
      </w:r>
    </w:p>
    <w:tbl>
      <w:tblPr>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317"/>
        <w:gridCol w:w="1651"/>
        <w:gridCol w:w="2553"/>
        <w:gridCol w:w="2551"/>
      </w:tblGrid>
      <w:tr w:rsidR="00184569" w:rsidRPr="00184569" w14:paraId="3A5B1B10" w14:textId="77777777" w:rsidTr="00E16EC6">
        <w:trPr>
          <w:trHeight w:val="724"/>
        </w:trPr>
        <w:tc>
          <w:tcPr>
            <w:tcW w:w="2317" w:type="dxa"/>
          </w:tcPr>
          <w:p w14:paraId="0BD70B18"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
        </w:tc>
        <w:tc>
          <w:tcPr>
            <w:tcW w:w="1651" w:type="dxa"/>
            <w:tcBorders>
              <w:bottom w:val="nil"/>
            </w:tcBorders>
          </w:tcPr>
          <w:p w14:paraId="53D15935" w14:textId="77777777" w:rsidR="00184569" w:rsidRPr="00184569" w:rsidRDefault="00184569" w:rsidP="00184569">
            <w:pPr>
              <w:widowControl w:val="0"/>
              <w:autoSpaceDE w:val="0"/>
              <w:autoSpaceDN w:val="0"/>
              <w:spacing w:after="0" w:line="240" w:lineRule="auto"/>
              <w:ind w:left="92" w:hanging="31"/>
              <w:jc w:val="center"/>
              <w:rPr>
                <w:rFonts w:ascii="Times New Roman" w:eastAsia="Times New Roman" w:hAnsi="Times New Roman" w:cs="Times New Roman"/>
                <w:b/>
                <w:kern w:val="0"/>
                <w14:ligatures w14:val="none"/>
              </w:rPr>
            </w:pPr>
            <w:r w:rsidRPr="00184569">
              <w:rPr>
                <w:rFonts w:ascii="Times New Roman" w:eastAsia="Times New Roman" w:hAnsi="Times New Roman" w:cs="Times New Roman"/>
                <w:b/>
                <w:kern w:val="0"/>
                <w14:ligatures w14:val="none"/>
              </w:rPr>
              <w:t>apixabán</w:t>
            </w:r>
          </w:p>
          <w:p w14:paraId="215816A7" w14:textId="77777777" w:rsidR="00184569" w:rsidRPr="00184569" w:rsidRDefault="00184569" w:rsidP="00184569">
            <w:pPr>
              <w:widowControl w:val="0"/>
              <w:autoSpaceDE w:val="0"/>
              <w:autoSpaceDN w:val="0"/>
              <w:spacing w:after="0" w:line="240" w:lineRule="auto"/>
              <w:ind w:left="92" w:hanging="31"/>
              <w:jc w:val="center"/>
              <w:rPr>
                <w:rFonts w:ascii="Times New Roman" w:eastAsia="Times New Roman" w:hAnsi="Times New Roman" w:cs="Times New Roman"/>
                <w:b/>
                <w:kern w:val="0"/>
                <w14:ligatures w14:val="none"/>
              </w:rPr>
            </w:pPr>
            <w:r w:rsidRPr="00184569">
              <w:rPr>
                <w:rFonts w:ascii="Times New Roman" w:eastAsia="Times New Roman" w:hAnsi="Times New Roman" w:cs="Times New Roman"/>
                <w:b/>
                <w:kern w:val="0"/>
                <w14:ligatures w14:val="none"/>
              </w:rPr>
              <w:t>n = 2609</w:t>
            </w:r>
          </w:p>
          <w:p w14:paraId="4B69DAAF" w14:textId="77777777" w:rsidR="00184569" w:rsidRPr="00184569" w:rsidRDefault="00184569" w:rsidP="00184569">
            <w:pPr>
              <w:widowControl w:val="0"/>
              <w:autoSpaceDE w:val="0"/>
              <w:autoSpaceDN w:val="0"/>
              <w:spacing w:after="0" w:line="240" w:lineRule="auto"/>
              <w:ind w:left="92" w:hanging="31"/>
              <w:jc w:val="center"/>
              <w:rPr>
                <w:rFonts w:ascii="Times New Roman" w:eastAsia="Times New Roman" w:hAnsi="Times New Roman" w:cs="Times New Roman"/>
                <w:b/>
                <w:kern w:val="0"/>
                <w14:ligatures w14:val="none"/>
              </w:rPr>
            </w:pPr>
            <w:r w:rsidRPr="00184569">
              <w:rPr>
                <w:rFonts w:ascii="Times New Roman" w:eastAsia="Times New Roman" w:hAnsi="Times New Roman" w:cs="Times New Roman"/>
                <w:b/>
                <w:kern w:val="0"/>
                <w14:ligatures w14:val="none"/>
              </w:rPr>
              <w:t>n (%)</w:t>
            </w:r>
          </w:p>
        </w:tc>
        <w:tc>
          <w:tcPr>
            <w:tcW w:w="2553" w:type="dxa"/>
            <w:tcBorders>
              <w:bottom w:val="nil"/>
            </w:tcBorders>
          </w:tcPr>
          <w:p w14:paraId="36F7597F" w14:textId="77777777" w:rsidR="00184569" w:rsidRPr="00184569" w:rsidRDefault="00184569" w:rsidP="00184569">
            <w:pPr>
              <w:widowControl w:val="0"/>
              <w:autoSpaceDE w:val="0"/>
              <w:autoSpaceDN w:val="0"/>
              <w:spacing w:after="0" w:line="240" w:lineRule="auto"/>
              <w:ind w:left="1"/>
              <w:jc w:val="center"/>
              <w:rPr>
                <w:rFonts w:ascii="Times New Roman" w:eastAsia="Times New Roman" w:hAnsi="Times New Roman" w:cs="Times New Roman"/>
                <w:b/>
                <w:kern w:val="0"/>
                <w14:ligatures w14:val="none"/>
              </w:rPr>
            </w:pPr>
            <w:r w:rsidRPr="00184569">
              <w:rPr>
                <w:rFonts w:ascii="Times New Roman" w:eastAsia="Times New Roman" w:hAnsi="Times New Roman" w:cs="Times New Roman"/>
                <w:b/>
                <w:kern w:val="0"/>
                <w14:ligatures w14:val="none"/>
              </w:rPr>
              <w:t>enoxaparin/warfarin</w:t>
            </w:r>
          </w:p>
          <w:p w14:paraId="4A312285" w14:textId="77777777" w:rsidR="00184569" w:rsidRPr="00184569" w:rsidRDefault="00184569" w:rsidP="00184569">
            <w:pPr>
              <w:widowControl w:val="0"/>
              <w:autoSpaceDE w:val="0"/>
              <w:autoSpaceDN w:val="0"/>
              <w:spacing w:after="0" w:line="240" w:lineRule="auto"/>
              <w:ind w:left="1"/>
              <w:jc w:val="center"/>
              <w:rPr>
                <w:rFonts w:ascii="Times New Roman" w:eastAsia="Times New Roman" w:hAnsi="Times New Roman" w:cs="Times New Roman"/>
                <w:b/>
                <w:kern w:val="0"/>
                <w14:ligatures w14:val="none"/>
              </w:rPr>
            </w:pPr>
            <w:r w:rsidRPr="00184569">
              <w:rPr>
                <w:rFonts w:ascii="Times New Roman" w:eastAsia="Times New Roman" w:hAnsi="Times New Roman" w:cs="Times New Roman"/>
                <w:b/>
                <w:kern w:val="0"/>
                <w14:ligatures w14:val="none"/>
              </w:rPr>
              <w:t>n = 2635</w:t>
            </w:r>
          </w:p>
          <w:p w14:paraId="5A0629CC" w14:textId="77777777" w:rsidR="00184569" w:rsidRPr="00184569" w:rsidRDefault="00184569" w:rsidP="00184569">
            <w:pPr>
              <w:widowControl w:val="0"/>
              <w:autoSpaceDE w:val="0"/>
              <w:autoSpaceDN w:val="0"/>
              <w:spacing w:after="0" w:line="240" w:lineRule="auto"/>
              <w:ind w:left="1"/>
              <w:jc w:val="center"/>
              <w:rPr>
                <w:rFonts w:ascii="Times New Roman" w:eastAsia="Times New Roman" w:hAnsi="Times New Roman" w:cs="Times New Roman"/>
                <w:b/>
                <w:kern w:val="0"/>
                <w14:ligatures w14:val="none"/>
              </w:rPr>
            </w:pPr>
            <w:r w:rsidRPr="00184569">
              <w:rPr>
                <w:rFonts w:ascii="Times New Roman" w:eastAsia="Times New Roman" w:hAnsi="Times New Roman" w:cs="Times New Roman"/>
                <w:b/>
                <w:kern w:val="0"/>
                <w14:ligatures w14:val="none"/>
              </w:rPr>
              <w:t>n (%)</w:t>
            </w:r>
          </w:p>
        </w:tc>
        <w:tc>
          <w:tcPr>
            <w:tcW w:w="2551" w:type="dxa"/>
            <w:tcBorders>
              <w:bottom w:val="nil"/>
            </w:tcBorders>
          </w:tcPr>
          <w:p w14:paraId="397E5D03" w14:textId="77777777" w:rsidR="00184569" w:rsidRPr="00184569" w:rsidRDefault="00184569" w:rsidP="00184569">
            <w:pPr>
              <w:widowControl w:val="0"/>
              <w:autoSpaceDE w:val="0"/>
              <w:autoSpaceDN w:val="0"/>
              <w:spacing w:after="0" w:line="240" w:lineRule="auto"/>
              <w:ind w:left="3"/>
              <w:jc w:val="center"/>
              <w:rPr>
                <w:rFonts w:ascii="Times New Roman" w:eastAsia="Times New Roman" w:hAnsi="Times New Roman" w:cs="Times New Roman"/>
                <w:b/>
                <w:kern w:val="0"/>
                <w14:ligatures w14:val="none"/>
              </w:rPr>
            </w:pPr>
            <w:r w:rsidRPr="00184569">
              <w:rPr>
                <w:rFonts w:ascii="Times New Roman" w:eastAsia="Times New Roman" w:hAnsi="Times New Roman" w:cs="Times New Roman"/>
                <w:b/>
                <w:kern w:val="0"/>
                <w14:ligatures w14:val="none"/>
              </w:rPr>
              <w:t>relatív kockázat</w:t>
            </w:r>
          </w:p>
          <w:p w14:paraId="3FC31721" w14:textId="77777777" w:rsidR="00184569" w:rsidRPr="00184569" w:rsidRDefault="00184569" w:rsidP="00184569">
            <w:pPr>
              <w:widowControl w:val="0"/>
              <w:autoSpaceDE w:val="0"/>
              <w:autoSpaceDN w:val="0"/>
              <w:spacing w:after="0" w:line="240" w:lineRule="auto"/>
              <w:ind w:left="3"/>
              <w:jc w:val="center"/>
              <w:rPr>
                <w:rFonts w:ascii="Times New Roman" w:eastAsia="Times New Roman" w:hAnsi="Times New Roman" w:cs="Times New Roman"/>
                <w:b/>
                <w:kern w:val="0"/>
                <w14:ligatures w14:val="none"/>
              </w:rPr>
            </w:pPr>
            <w:r w:rsidRPr="00184569">
              <w:rPr>
                <w:rFonts w:ascii="Times New Roman" w:eastAsia="Times New Roman" w:hAnsi="Times New Roman" w:cs="Times New Roman"/>
                <w:b/>
                <w:kern w:val="0"/>
                <w14:ligatures w14:val="none"/>
              </w:rPr>
              <w:t>(95%-os CI)</w:t>
            </w:r>
          </w:p>
        </w:tc>
      </w:tr>
      <w:tr w:rsidR="00184569" w:rsidRPr="00184569" w14:paraId="25A66ED5" w14:textId="77777777" w:rsidTr="00E16EC6">
        <w:trPr>
          <w:trHeight w:val="521"/>
        </w:trPr>
        <w:tc>
          <w:tcPr>
            <w:tcW w:w="2317" w:type="dxa"/>
          </w:tcPr>
          <w:p w14:paraId="542A18FE" w14:textId="77777777" w:rsidR="00184569" w:rsidRPr="00184569" w:rsidRDefault="00184569" w:rsidP="00184569">
            <w:pPr>
              <w:widowControl w:val="0"/>
              <w:autoSpaceDE w:val="0"/>
              <w:autoSpaceDN w:val="0"/>
              <w:spacing w:after="0" w:line="240" w:lineRule="auto"/>
              <w:ind w:left="113"/>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VTE vagy VTE-vel összefüggő halálozás</w:t>
            </w:r>
          </w:p>
        </w:tc>
        <w:tc>
          <w:tcPr>
            <w:tcW w:w="1651" w:type="dxa"/>
          </w:tcPr>
          <w:p w14:paraId="6E0D9C7E" w14:textId="77777777" w:rsidR="00184569" w:rsidRPr="00184569" w:rsidRDefault="00184569" w:rsidP="00184569">
            <w:pPr>
              <w:widowControl w:val="0"/>
              <w:autoSpaceDE w:val="0"/>
              <w:autoSpaceDN w:val="0"/>
              <w:spacing w:after="0" w:line="240" w:lineRule="auto"/>
              <w:ind w:left="92" w:hanging="31"/>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59 (2,3)</w:t>
            </w:r>
          </w:p>
        </w:tc>
        <w:tc>
          <w:tcPr>
            <w:tcW w:w="2553" w:type="dxa"/>
          </w:tcPr>
          <w:p w14:paraId="1B396DE9" w14:textId="77777777" w:rsidR="00184569" w:rsidRPr="00184569" w:rsidRDefault="00184569" w:rsidP="00184569">
            <w:pPr>
              <w:widowControl w:val="0"/>
              <w:autoSpaceDE w:val="0"/>
              <w:autoSpaceDN w:val="0"/>
              <w:spacing w:after="0" w:line="240" w:lineRule="auto"/>
              <w:ind w:left="1"/>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71 (2,7)</w:t>
            </w:r>
          </w:p>
        </w:tc>
        <w:tc>
          <w:tcPr>
            <w:tcW w:w="2551" w:type="dxa"/>
          </w:tcPr>
          <w:p w14:paraId="053A38EC" w14:textId="77777777" w:rsidR="00184569" w:rsidRPr="00184569" w:rsidRDefault="00184569" w:rsidP="00184569">
            <w:pPr>
              <w:widowControl w:val="0"/>
              <w:autoSpaceDE w:val="0"/>
              <w:autoSpaceDN w:val="0"/>
              <w:spacing w:after="0" w:line="240" w:lineRule="auto"/>
              <w:ind w:left="3"/>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0,84 (0,60; 1,18)*</w:t>
            </w:r>
          </w:p>
        </w:tc>
      </w:tr>
      <w:tr w:rsidR="00184569" w:rsidRPr="00184569" w14:paraId="5C589DFA" w14:textId="77777777" w:rsidTr="00E16EC6">
        <w:trPr>
          <w:trHeight w:val="273"/>
        </w:trPr>
        <w:tc>
          <w:tcPr>
            <w:tcW w:w="2317" w:type="dxa"/>
          </w:tcPr>
          <w:p w14:paraId="7CF6A496" w14:textId="77777777" w:rsidR="00184569" w:rsidRPr="00184569" w:rsidRDefault="00184569" w:rsidP="00184569">
            <w:pPr>
              <w:widowControl w:val="0"/>
              <w:autoSpaceDE w:val="0"/>
              <w:autoSpaceDN w:val="0"/>
              <w:spacing w:after="0" w:line="240" w:lineRule="auto"/>
              <w:ind w:left="284"/>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MVT</w:t>
            </w:r>
          </w:p>
        </w:tc>
        <w:tc>
          <w:tcPr>
            <w:tcW w:w="1651" w:type="dxa"/>
          </w:tcPr>
          <w:p w14:paraId="1D150C13" w14:textId="77777777" w:rsidR="00184569" w:rsidRPr="00184569" w:rsidRDefault="00184569" w:rsidP="00184569">
            <w:pPr>
              <w:widowControl w:val="0"/>
              <w:autoSpaceDE w:val="0"/>
              <w:autoSpaceDN w:val="0"/>
              <w:spacing w:after="0" w:line="240" w:lineRule="auto"/>
              <w:ind w:left="92" w:hanging="31"/>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20 (0,7)</w:t>
            </w:r>
          </w:p>
        </w:tc>
        <w:tc>
          <w:tcPr>
            <w:tcW w:w="2553" w:type="dxa"/>
          </w:tcPr>
          <w:p w14:paraId="4B7CF8DD" w14:textId="77777777" w:rsidR="00184569" w:rsidRPr="00184569" w:rsidRDefault="00184569" w:rsidP="00184569">
            <w:pPr>
              <w:widowControl w:val="0"/>
              <w:autoSpaceDE w:val="0"/>
              <w:autoSpaceDN w:val="0"/>
              <w:spacing w:after="0" w:line="240" w:lineRule="auto"/>
              <w:ind w:left="1"/>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33 (1,2)</w:t>
            </w:r>
          </w:p>
        </w:tc>
        <w:tc>
          <w:tcPr>
            <w:tcW w:w="2551" w:type="dxa"/>
          </w:tcPr>
          <w:p w14:paraId="14640676" w14:textId="77777777" w:rsidR="00184569" w:rsidRPr="00184569" w:rsidRDefault="00184569" w:rsidP="00184569">
            <w:pPr>
              <w:widowControl w:val="0"/>
              <w:autoSpaceDE w:val="0"/>
              <w:autoSpaceDN w:val="0"/>
              <w:spacing w:after="0" w:line="240" w:lineRule="auto"/>
              <w:ind w:left="3"/>
              <w:jc w:val="center"/>
              <w:rPr>
                <w:rFonts w:ascii="Times New Roman" w:eastAsia="Times New Roman" w:hAnsi="Times New Roman" w:cs="Times New Roman"/>
                <w:kern w:val="0"/>
                <w14:ligatures w14:val="none"/>
              </w:rPr>
            </w:pPr>
          </w:p>
        </w:tc>
      </w:tr>
      <w:tr w:rsidR="00184569" w:rsidRPr="00184569" w14:paraId="51DDC772" w14:textId="77777777" w:rsidTr="00E16EC6">
        <w:trPr>
          <w:trHeight w:val="278"/>
        </w:trPr>
        <w:tc>
          <w:tcPr>
            <w:tcW w:w="2317" w:type="dxa"/>
          </w:tcPr>
          <w:p w14:paraId="4EB17A1A" w14:textId="77777777" w:rsidR="00184569" w:rsidRPr="00184569" w:rsidRDefault="00184569" w:rsidP="00184569">
            <w:pPr>
              <w:widowControl w:val="0"/>
              <w:autoSpaceDE w:val="0"/>
              <w:autoSpaceDN w:val="0"/>
              <w:spacing w:after="0" w:line="240" w:lineRule="auto"/>
              <w:ind w:left="284"/>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PE</w:t>
            </w:r>
          </w:p>
        </w:tc>
        <w:tc>
          <w:tcPr>
            <w:tcW w:w="1651" w:type="dxa"/>
          </w:tcPr>
          <w:p w14:paraId="09A62212" w14:textId="77777777" w:rsidR="00184569" w:rsidRPr="00184569" w:rsidRDefault="00184569" w:rsidP="00184569">
            <w:pPr>
              <w:widowControl w:val="0"/>
              <w:autoSpaceDE w:val="0"/>
              <w:autoSpaceDN w:val="0"/>
              <w:spacing w:after="0" w:line="240" w:lineRule="auto"/>
              <w:ind w:left="92" w:hanging="31"/>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27 (1,0)</w:t>
            </w:r>
          </w:p>
        </w:tc>
        <w:tc>
          <w:tcPr>
            <w:tcW w:w="2553" w:type="dxa"/>
          </w:tcPr>
          <w:p w14:paraId="4575D239" w14:textId="77777777" w:rsidR="00184569" w:rsidRPr="00184569" w:rsidRDefault="00184569" w:rsidP="00184569">
            <w:pPr>
              <w:widowControl w:val="0"/>
              <w:autoSpaceDE w:val="0"/>
              <w:autoSpaceDN w:val="0"/>
              <w:spacing w:after="0" w:line="240" w:lineRule="auto"/>
              <w:ind w:left="1"/>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23 (0,9)</w:t>
            </w:r>
          </w:p>
        </w:tc>
        <w:tc>
          <w:tcPr>
            <w:tcW w:w="2551" w:type="dxa"/>
          </w:tcPr>
          <w:p w14:paraId="540EABB3" w14:textId="77777777" w:rsidR="00184569" w:rsidRPr="00184569" w:rsidRDefault="00184569" w:rsidP="00184569">
            <w:pPr>
              <w:widowControl w:val="0"/>
              <w:autoSpaceDE w:val="0"/>
              <w:autoSpaceDN w:val="0"/>
              <w:spacing w:after="0" w:line="240" w:lineRule="auto"/>
              <w:ind w:left="3"/>
              <w:jc w:val="center"/>
              <w:rPr>
                <w:rFonts w:ascii="Times New Roman" w:eastAsia="Times New Roman" w:hAnsi="Times New Roman" w:cs="Times New Roman"/>
                <w:kern w:val="0"/>
                <w14:ligatures w14:val="none"/>
              </w:rPr>
            </w:pPr>
          </w:p>
        </w:tc>
      </w:tr>
      <w:tr w:rsidR="00184569" w:rsidRPr="00184569" w14:paraId="48BB4E0C" w14:textId="77777777" w:rsidTr="00E16EC6">
        <w:trPr>
          <w:trHeight w:val="423"/>
        </w:trPr>
        <w:tc>
          <w:tcPr>
            <w:tcW w:w="2317" w:type="dxa"/>
          </w:tcPr>
          <w:p w14:paraId="44393CF3" w14:textId="77777777" w:rsidR="00184569" w:rsidRPr="00184569" w:rsidRDefault="00184569" w:rsidP="00184569">
            <w:pPr>
              <w:widowControl w:val="0"/>
              <w:autoSpaceDE w:val="0"/>
              <w:autoSpaceDN w:val="0"/>
              <w:spacing w:after="0" w:line="240" w:lineRule="auto"/>
              <w:ind w:left="284"/>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VTE-vel összefüggő halálozás</w:t>
            </w:r>
          </w:p>
        </w:tc>
        <w:tc>
          <w:tcPr>
            <w:tcW w:w="1651" w:type="dxa"/>
          </w:tcPr>
          <w:p w14:paraId="62E41CA1" w14:textId="77777777" w:rsidR="00184569" w:rsidRPr="00184569" w:rsidRDefault="00184569" w:rsidP="00184569">
            <w:pPr>
              <w:widowControl w:val="0"/>
              <w:autoSpaceDE w:val="0"/>
              <w:autoSpaceDN w:val="0"/>
              <w:spacing w:after="0" w:line="240" w:lineRule="auto"/>
              <w:ind w:left="92" w:hanging="31"/>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12 (0,4)</w:t>
            </w:r>
          </w:p>
        </w:tc>
        <w:tc>
          <w:tcPr>
            <w:tcW w:w="2553" w:type="dxa"/>
          </w:tcPr>
          <w:p w14:paraId="642B2AF9" w14:textId="77777777" w:rsidR="00184569" w:rsidRPr="00184569" w:rsidRDefault="00184569" w:rsidP="00184569">
            <w:pPr>
              <w:widowControl w:val="0"/>
              <w:autoSpaceDE w:val="0"/>
              <w:autoSpaceDN w:val="0"/>
              <w:spacing w:after="0" w:line="240" w:lineRule="auto"/>
              <w:ind w:left="1"/>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15 (0,6)</w:t>
            </w:r>
          </w:p>
        </w:tc>
        <w:tc>
          <w:tcPr>
            <w:tcW w:w="2551" w:type="dxa"/>
          </w:tcPr>
          <w:p w14:paraId="671C6E2B" w14:textId="77777777" w:rsidR="00184569" w:rsidRPr="00184569" w:rsidRDefault="00184569" w:rsidP="00184569">
            <w:pPr>
              <w:widowControl w:val="0"/>
              <w:autoSpaceDE w:val="0"/>
              <w:autoSpaceDN w:val="0"/>
              <w:spacing w:after="0" w:line="240" w:lineRule="auto"/>
              <w:ind w:left="3"/>
              <w:jc w:val="center"/>
              <w:rPr>
                <w:rFonts w:ascii="Times New Roman" w:eastAsia="Times New Roman" w:hAnsi="Times New Roman" w:cs="Times New Roman"/>
                <w:kern w:val="0"/>
                <w14:ligatures w14:val="none"/>
              </w:rPr>
            </w:pPr>
          </w:p>
        </w:tc>
      </w:tr>
      <w:tr w:rsidR="00184569" w:rsidRPr="00184569" w14:paraId="2E1A1F88" w14:textId="77777777" w:rsidTr="00E16EC6">
        <w:trPr>
          <w:trHeight w:val="473"/>
        </w:trPr>
        <w:tc>
          <w:tcPr>
            <w:tcW w:w="2317" w:type="dxa"/>
          </w:tcPr>
          <w:p w14:paraId="54AE07D0" w14:textId="77777777" w:rsidR="00184569" w:rsidRPr="00184569" w:rsidRDefault="00184569" w:rsidP="00184569">
            <w:pPr>
              <w:widowControl w:val="0"/>
              <w:autoSpaceDE w:val="0"/>
              <w:autoSpaceDN w:val="0"/>
              <w:spacing w:after="0" w:line="240" w:lineRule="auto"/>
              <w:ind w:left="113"/>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VTE vagy összmortalitás</w:t>
            </w:r>
          </w:p>
        </w:tc>
        <w:tc>
          <w:tcPr>
            <w:tcW w:w="1651" w:type="dxa"/>
          </w:tcPr>
          <w:p w14:paraId="336E8E28" w14:textId="77777777" w:rsidR="00184569" w:rsidRPr="00184569" w:rsidRDefault="00184569" w:rsidP="00184569">
            <w:pPr>
              <w:widowControl w:val="0"/>
              <w:autoSpaceDE w:val="0"/>
              <w:autoSpaceDN w:val="0"/>
              <w:spacing w:after="0" w:line="240" w:lineRule="auto"/>
              <w:ind w:left="92" w:hanging="31"/>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84 (3,2)</w:t>
            </w:r>
          </w:p>
        </w:tc>
        <w:tc>
          <w:tcPr>
            <w:tcW w:w="2553" w:type="dxa"/>
          </w:tcPr>
          <w:p w14:paraId="335054F8" w14:textId="77777777" w:rsidR="00184569" w:rsidRPr="00184569" w:rsidRDefault="00184569" w:rsidP="00184569">
            <w:pPr>
              <w:widowControl w:val="0"/>
              <w:autoSpaceDE w:val="0"/>
              <w:autoSpaceDN w:val="0"/>
              <w:spacing w:after="0" w:line="240" w:lineRule="auto"/>
              <w:ind w:left="1"/>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104 (4,0)</w:t>
            </w:r>
          </w:p>
        </w:tc>
        <w:tc>
          <w:tcPr>
            <w:tcW w:w="2551" w:type="dxa"/>
          </w:tcPr>
          <w:p w14:paraId="2BD89007" w14:textId="77777777" w:rsidR="00184569" w:rsidRPr="00184569" w:rsidRDefault="00184569" w:rsidP="00184569">
            <w:pPr>
              <w:widowControl w:val="0"/>
              <w:autoSpaceDE w:val="0"/>
              <w:autoSpaceDN w:val="0"/>
              <w:spacing w:after="0" w:line="240" w:lineRule="auto"/>
              <w:ind w:left="3"/>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0,82 (0,61; 1,08)</w:t>
            </w:r>
          </w:p>
        </w:tc>
      </w:tr>
      <w:tr w:rsidR="00184569" w:rsidRPr="00184569" w14:paraId="62596F23" w14:textId="77777777" w:rsidTr="00E16EC6">
        <w:trPr>
          <w:trHeight w:val="523"/>
        </w:trPr>
        <w:tc>
          <w:tcPr>
            <w:tcW w:w="2317" w:type="dxa"/>
          </w:tcPr>
          <w:p w14:paraId="3B3866B8" w14:textId="77777777" w:rsidR="00184569" w:rsidRPr="00184569" w:rsidRDefault="00184569" w:rsidP="00184569">
            <w:pPr>
              <w:widowControl w:val="0"/>
              <w:autoSpaceDE w:val="0"/>
              <w:autoSpaceDN w:val="0"/>
              <w:spacing w:after="0" w:line="240" w:lineRule="auto"/>
              <w:ind w:left="113"/>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VTE vagy CV eredetű halálozás</w:t>
            </w:r>
          </w:p>
        </w:tc>
        <w:tc>
          <w:tcPr>
            <w:tcW w:w="1651" w:type="dxa"/>
          </w:tcPr>
          <w:p w14:paraId="7DC9712A" w14:textId="77777777" w:rsidR="00184569" w:rsidRPr="00184569" w:rsidRDefault="00184569" w:rsidP="00184569">
            <w:pPr>
              <w:widowControl w:val="0"/>
              <w:autoSpaceDE w:val="0"/>
              <w:autoSpaceDN w:val="0"/>
              <w:spacing w:after="0" w:line="240" w:lineRule="auto"/>
              <w:ind w:left="92" w:hanging="31"/>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61 (2,3)</w:t>
            </w:r>
          </w:p>
        </w:tc>
        <w:tc>
          <w:tcPr>
            <w:tcW w:w="2553" w:type="dxa"/>
          </w:tcPr>
          <w:p w14:paraId="34074DAC" w14:textId="77777777" w:rsidR="00184569" w:rsidRPr="00184569" w:rsidRDefault="00184569" w:rsidP="00184569">
            <w:pPr>
              <w:widowControl w:val="0"/>
              <w:autoSpaceDE w:val="0"/>
              <w:autoSpaceDN w:val="0"/>
              <w:spacing w:after="0" w:line="240" w:lineRule="auto"/>
              <w:ind w:left="1"/>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77 (2,9)</w:t>
            </w:r>
          </w:p>
        </w:tc>
        <w:tc>
          <w:tcPr>
            <w:tcW w:w="2551" w:type="dxa"/>
          </w:tcPr>
          <w:p w14:paraId="173B8B3D" w14:textId="77777777" w:rsidR="00184569" w:rsidRPr="00184569" w:rsidRDefault="00184569" w:rsidP="00184569">
            <w:pPr>
              <w:widowControl w:val="0"/>
              <w:autoSpaceDE w:val="0"/>
              <w:autoSpaceDN w:val="0"/>
              <w:spacing w:after="0" w:line="240" w:lineRule="auto"/>
              <w:ind w:left="3"/>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0,80 (0,57; 1,11)</w:t>
            </w:r>
          </w:p>
        </w:tc>
      </w:tr>
      <w:tr w:rsidR="00184569" w:rsidRPr="00184569" w14:paraId="461A5450" w14:textId="77777777" w:rsidTr="00E16EC6">
        <w:trPr>
          <w:trHeight w:val="687"/>
        </w:trPr>
        <w:tc>
          <w:tcPr>
            <w:tcW w:w="2317" w:type="dxa"/>
          </w:tcPr>
          <w:p w14:paraId="1C09729A" w14:textId="77777777" w:rsidR="00184569" w:rsidRPr="00184569" w:rsidRDefault="00184569" w:rsidP="00184569">
            <w:pPr>
              <w:widowControl w:val="0"/>
              <w:autoSpaceDE w:val="0"/>
              <w:autoSpaceDN w:val="0"/>
              <w:spacing w:after="0" w:line="240" w:lineRule="auto"/>
              <w:ind w:left="113"/>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VTE, VTE-vel összefüggő halálozás vagy nagyfokú vérzés</w:t>
            </w:r>
          </w:p>
        </w:tc>
        <w:tc>
          <w:tcPr>
            <w:tcW w:w="1651" w:type="dxa"/>
          </w:tcPr>
          <w:p w14:paraId="317E2C1A" w14:textId="77777777" w:rsidR="00184569" w:rsidRPr="00184569" w:rsidRDefault="00184569" w:rsidP="00184569">
            <w:pPr>
              <w:widowControl w:val="0"/>
              <w:autoSpaceDE w:val="0"/>
              <w:autoSpaceDN w:val="0"/>
              <w:spacing w:after="0" w:line="240" w:lineRule="auto"/>
              <w:ind w:left="92" w:hanging="31"/>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73 (2,8)</w:t>
            </w:r>
          </w:p>
        </w:tc>
        <w:tc>
          <w:tcPr>
            <w:tcW w:w="2553" w:type="dxa"/>
          </w:tcPr>
          <w:p w14:paraId="506EB716" w14:textId="77777777" w:rsidR="00184569" w:rsidRPr="00184569" w:rsidRDefault="00184569" w:rsidP="00184569">
            <w:pPr>
              <w:widowControl w:val="0"/>
              <w:autoSpaceDE w:val="0"/>
              <w:autoSpaceDN w:val="0"/>
              <w:spacing w:after="0" w:line="240" w:lineRule="auto"/>
              <w:ind w:left="1"/>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118 (4,5)</w:t>
            </w:r>
          </w:p>
        </w:tc>
        <w:tc>
          <w:tcPr>
            <w:tcW w:w="2551" w:type="dxa"/>
          </w:tcPr>
          <w:p w14:paraId="4272B86F" w14:textId="77777777" w:rsidR="00184569" w:rsidRPr="00184569" w:rsidRDefault="00184569" w:rsidP="00184569">
            <w:pPr>
              <w:widowControl w:val="0"/>
              <w:autoSpaceDE w:val="0"/>
              <w:autoSpaceDN w:val="0"/>
              <w:spacing w:after="0" w:line="240" w:lineRule="auto"/>
              <w:ind w:left="3"/>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0,62 (0,47; 0,83)</w:t>
            </w:r>
          </w:p>
        </w:tc>
      </w:tr>
    </w:tbl>
    <w:p w14:paraId="7B2160AB" w14:textId="77777777" w:rsidR="00184569" w:rsidRPr="00184569" w:rsidRDefault="00184569" w:rsidP="008B021B">
      <w:pPr>
        <w:widowControl w:val="0"/>
        <w:numPr>
          <w:ilvl w:val="0"/>
          <w:numId w:val="3"/>
        </w:numPr>
        <w:autoSpaceDE w:val="0"/>
        <w:autoSpaceDN w:val="0"/>
        <w:spacing w:after="0" w:line="240" w:lineRule="auto"/>
        <w:ind w:left="142" w:hanging="142"/>
        <w:rPr>
          <w:rFonts w:ascii="Times New Roman" w:eastAsia="Times New Roman" w:hAnsi="Times New Roman" w:cs="Times New Roman"/>
          <w:kern w:val="0"/>
          <w:sz w:val="18"/>
          <w:szCs w:val="18"/>
          <w14:ligatures w14:val="none"/>
        </w:rPr>
      </w:pPr>
      <w:r w:rsidRPr="00184569">
        <w:rPr>
          <w:rFonts w:ascii="Times New Roman" w:eastAsia="Times New Roman" w:hAnsi="Times New Roman" w:cs="Times New Roman"/>
          <w:kern w:val="0"/>
          <w:sz w:val="18"/>
          <w:szCs w:val="18"/>
          <w14:ligatures w14:val="none"/>
        </w:rPr>
        <w:t>Non-inferior az enoxaparin/warfarin kezeléshez képest (p-érték &lt; 0,0001).</w:t>
      </w:r>
    </w:p>
    <w:p w14:paraId="4A8677A2"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
    <w:p w14:paraId="23A850E7"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Az apixabánnak a VTE kezdeti kezelésében mutatott hatásossága egybehangzó volt a PE (relatív kockázat 0,9; 95%-os CI [0,5; 1,6]) vagy MVT (relatív kockázat 0,8; 95%-os CI F0,5; 1,3]) miatt kezelt betegeknél. Az egyes alcsoportokban mutatott hatásossága – így az életkor, a nem, a testtömegindex (BMI), a vesefunkció, a kezelt PE-index nagysága, a mélyvénás thrombosist okozó thrombus lokalizációja vagy a korábbi parenterális heparinkezelés szerint – általában konzisztens volt.</w:t>
      </w:r>
    </w:p>
    <w:p w14:paraId="0B347999"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
    <w:p w14:paraId="7729A797"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Az elsődleges biztonságossági végpont a nagyfokú vérzés volt. A vizsgálatban az apixabán statisztikailag jobbnak bizonyult az elsődleges biztonságossági végpontban, mint az enoxaparin/warfarin (relatív kockázat 0,31; 95%-os konfidencia intervallum [0,17; 0,55], p</w:t>
      </w:r>
      <w:r w:rsidRPr="00184569">
        <w:rPr>
          <w:rFonts w:ascii="Times New Roman" w:eastAsia="Times New Roman" w:hAnsi="Times New Roman" w:cs="Times New Roman"/>
          <w:kern w:val="0"/>
          <w14:ligatures w14:val="none"/>
        </w:rPr>
        <w:noBreakHyphen/>
        <w:t>érték &lt; 0,0001) (lásd 10. táblázat).</w:t>
      </w:r>
    </w:p>
    <w:p w14:paraId="140F30DD"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
    <w:p w14:paraId="25D23C11" w14:textId="77777777" w:rsidR="00184569" w:rsidRPr="00184569" w:rsidRDefault="00184569" w:rsidP="00184569">
      <w:pPr>
        <w:widowControl w:val="0"/>
        <w:autoSpaceDE w:val="0"/>
        <w:autoSpaceDN w:val="0"/>
        <w:spacing w:after="0" w:line="240" w:lineRule="auto"/>
        <w:outlineLvl w:val="1"/>
        <w:rPr>
          <w:rFonts w:ascii="Times New Roman" w:eastAsia="Times New Roman" w:hAnsi="Times New Roman" w:cs="Times New Roman"/>
          <w:b/>
          <w:bCs/>
          <w:kern w:val="0"/>
          <w14:ligatures w14:val="none"/>
        </w:rPr>
      </w:pPr>
      <w:r w:rsidRPr="00184569">
        <w:rPr>
          <w:rFonts w:ascii="Times New Roman" w:eastAsia="Times New Roman" w:hAnsi="Times New Roman" w:cs="Times New Roman"/>
          <w:b/>
          <w:bCs/>
          <w:kern w:val="0"/>
          <w14:ligatures w14:val="none"/>
        </w:rPr>
        <w:t>10. táblázat: Az AMPLIFY vizsgálat vérzéskre vonatkozó eredményei</w:t>
      </w: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985"/>
        <w:gridCol w:w="1984"/>
        <w:gridCol w:w="2452"/>
        <w:gridCol w:w="2189"/>
      </w:tblGrid>
      <w:tr w:rsidR="00184569" w:rsidRPr="00184569" w14:paraId="29EB39A0" w14:textId="77777777" w:rsidTr="00E16EC6">
        <w:trPr>
          <w:trHeight w:val="947"/>
        </w:trPr>
        <w:tc>
          <w:tcPr>
            <w:tcW w:w="1985" w:type="dxa"/>
          </w:tcPr>
          <w:p w14:paraId="0D573158" w14:textId="77777777" w:rsidR="00184569" w:rsidRPr="00184569" w:rsidRDefault="00184569" w:rsidP="00184569">
            <w:pPr>
              <w:widowControl w:val="0"/>
              <w:autoSpaceDE w:val="0"/>
              <w:autoSpaceDN w:val="0"/>
              <w:spacing w:after="0" w:line="240" w:lineRule="auto"/>
              <w:jc w:val="center"/>
              <w:rPr>
                <w:rFonts w:ascii="Times New Roman" w:eastAsia="Times New Roman" w:hAnsi="Times New Roman" w:cs="Times New Roman"/>
                <w:b/>
                <w:bCs/>
                <w:kern w:val="0"/>
                <w14:ligatures w14:val="none"/>
              </w:rPr>
            </w:pPr>
          </w:p>
        </w:tc>
        <w:tc>
          <w:tcPr>
            <w:tcW w:w="1984" w:type="dxa"/>
          </w:tcPr>
          <w:p w14:paraId="650CB649" w14:textId="77777777" w:rsidR="00184569" w:rsidRPr="00184569" w:rsidRDefault="00184569" w:rsidP="00184569">
            <w:pPr>
              <w:widowControl w:val="0"/>
              <w:autoSpaceDE w:val="0"/>
              <w:autoSpaceDN w:val="0"/>
              <w:spacing w:after="0" w:line="240" w:lineRule="auto"/>
              <w:jc w:val="center"/>
              <w:rPr>
                <w:rFonts w:ascii="Times New Roman" w:eastAsia="Times New Roman" w:hAnsi="Times New Roman" w:cs="Times New Roman"/>
                <w:b/>
                <w:kern w:val="0"/>
                <w14:ligatures w14:val="none"/>
              </w:rPr>
            </w:pPr>
            <w:r w:rsidRPr="00184569">
              <w:rPr>
                <w:rFonts w:ascii="Times New Roman" w:eastAsia="Times New Roman" w:hAnsi="Times New Roman" w:cs="Times New Roman"/>
                <w:b/>
                <w:kern w:val="0"/>
                <w14:ligatures w14:val="none"/>
              </w:rPr>
              <w:t>Apixabán</w:t>
            </w:r>
          </w:p>
          <w:p w14:paraId="33BA0D00" w14:textId="77777777" w:rsidR="00184569" w:rsidRPr="00184569" w:rsidRDefault="00184569" w:rsidP="00184569">
            <w:pPr>
              <w:widowControl w:val="0"/>
              <w:autoSpaceDE w:val="0"/>
              <w:autoSpaceDN w:val="0"/>
              <w:spacing w:after="0" w:line="240" w:lineRule="auto"/>
              <w:jc w:val="center"/>
              <w:rPr>
                <w:rFonts w:ascii="Times New Roman" w:eastAsia="Times New Roman" w:hAnsi="Times New Roman" w:cs="Times New Roman"/>
                <w:b/>
                <w:kern w:val="0"/>
                <w14:ligatures w14:val="none"/>
              </w:rPr>
            </w:pPr>
            <w:r w:rsidRPr="00184569">
              <w:rPr>
                <w:rFonts w:ascii="Times New Roman" w:eastAsia="Times New Roman" w:hAnsi="Times New Roman" w:cs="Times New Roman"/>
                <w:b/>
                <w:kern w:val="0"/>
                <w14:ligatures w14:val="none"/>
              </w:rPr>
              <w:t>n = 2676</w:t>
            </w:r>
          </w:p>
          <w:p w14:paraId="039183DB" w14:textId="77777777" w:rsidR="00184569" w:rsidRPr="00184569" w:rsidRDefault="00184569" w:rsidP="00184569">
            <w:pPr>
              <w:widowControl w:val="0"/>
              <w:autoSpaceDE w:val="0"/>
              <w:autoSpaceDN w:val="0"/>
              <w:spacing w:after="0" w:line="240" w:lineRule="auto"/>
              <w:jc w:val="center"/>
              <w:rPr>
                <w:rFonts w:ascii="Times New Roman" w:eastAsia="Times New Roman" w:hAnsi="Times New Roman" w:cs="Times New Roman"/>
                <w:b/>
                <w:kern w:val="0"/>
                <w14:ligatures w14:val="none"/>
              </w:rPr>
            </w:pPr>
            <w:r w:rsidRPr="00184569">
              <w:rPr>
                <w:rFonts w:ascii="Times New Roman" w:eastAsia="Times New Roman" w:hAnsi="Times New Roman" w:cs="Times New Roman"/>
                <w:b/>
                <w:kern w:val="0"/>
                <w14:ligatures w14:val="none"/>
              </w:rPr>
              <w:t>n (%)</w:t>
            </w:r>
          </w:p>
        </w:tc>
        <w:tc>
          <w:tcPr>
            <w:tcW w:w="2452" w:type="dxa"/>
          </w:tcPr>
          <w:p w14:paraId="007C2DA6" w14:textId="77777777" w:rsidR="00184569" w:rsidRPr="00184569" w:rsidRDefault="00184569" w:rsidP="00184569">
            <w:pPr>
              <w:widowControl w:val="0"/>
              <w:autoSpaceDE w:val="0"/>
              <w:autoSpaceDN w:val="0"/>
              <w:spacing w:after="0" w:line="240" w:lineRule="auto"/>
              <w:jc w:val="center"/>
              <w:rPr>
                <w:rFonts w:ascii="Times New Roman" w:eastAsia="Times New Roman" w:hAnsi="Times New Roman" w:cs="Times New Roman"/>
                <w:b/>
                <w:kern w:val="0"/>
                <w14:ligatures w14:val="none"/>
              </w:rPr>
            </w:pPr>
            <w:r w:rsidRPr="00184569">
              <w:rPr>
                <w:rFonts w:ascii="Times New Roman" w:eastAsia="Times New Roman" w:hAnsi="Times New Roman" w:cs="Times New Roman"/>
                <w:b/>
                <w:kern w:val="0"/>
                <w14:ligatures w14:val="none"/>
              </w:rPr>
              <w:t>Enoxaparin/ Warfarin</w:t>
            </w:r>
          </w:p>
          <w:p w14:paraId="36EFD88D" w14:textId="77777777" w:rsidR="00184569" w:rsidRPr="00184569" w:rsidRDefault="00184569" w:rsidP="00184569">
            <w:pPr>
              <w:widowControl w:val="0"/>
              <w:autoSpaceDE w:val="0"/>
              <w:autoSpaceDN w:val="0"/>
              <w:spacing w:after="0" w:line="240" w:lineRule="auto"/>
              <w:jc w:val="center"/>
              <w:rPr>
                <w:rFonts w:ascii="Times New Roman" w:eastAsia="Times New Roman" w:hAnsi="Times New Roman" w:cs="Times New Roman"/>
                <w:b/>
                <w:kern w:val="0"/>
                <w14:ligatures w14:val="none"/>
              </w:rPr>
            </w:pPr>
            <w:r w:rsidRPr="00184569">
              <w:rPr>
                <w:rFonts w:ascii="Times New Roman" w:eastAsia="Times New Roman" w:hAnsi="Times New Roman" w:cs="Times New Roman"/>
                <w:b/>
                <w:kern w:val="0"/>
                <w14:ligatures w14:val="none"/>
              </w:rPr>
              <w:t>n = 2689</w:t>
            </w:r>
          </w:p>
          <w:p w14:paraId="2A536940" w14:textId="77777777" w:rsidR="00184569" w:rsidRPr="00184569" w:rsidRDefault="00184569" w:rsidP="00184569">
            <w:pPr>
              <w:widowControl w:val="0"/>
              <w:autoSpaceDE w:val="0"/>
              <w:autoSpaceDN w:val="0"/>
              <w:spacing w:after="0" w:line="240" w:lineRule="auto"/>
              <w:jc w:val="center"/>
              <w:rPr>
                <w:rFonts w:ascii="Times New Roman" w:eastAsia="Times New Roman" w:hAnsi="Times New Roman" w:cs="Times New Roman"/>
                <w:b/>
                <w:kern w:val="0"/>
                <w14:ligatures w14:val="none"/>
              </w:rPr>
            </w:pPr>
            <w:r w:rsidRPr="00184569">
              <w:rPr>
                <w:rFonts w:ascii="Times New Roman" w:eastAsia="Times New Roman" w:hAnsi="Times New Roman" w:cs="Times New Roman"/>
                <w:b/>
                <w:kern w:val="0"/>
                <w14:ligatures w14:val="none"/>
              </w:rPr>
              <w:t>n (%)</w:t>
            </w:r>
          </w:p>
        </w:tc>
        <w:tc>
          <w:tcPr>
            <w:tcW w:w="2189" w:type="dxa"/>
          </w:tcPr>
          <w:p w14:paraId="5CF97AE3" w14:textId="77777777" w:rsidR="00184569" w:rsidRPr="00184569" w:rsidRDefault="00184569" w:rsidP="00184569">
            <w:pPr>
              <w:widowControl w:val="0"/>
              <w:autoSpaceDE w:val="0"/>
              <w:autoSpaceDN w:val="0"/>
              <w:spacing w:after="0" w:line="240" w:lineRule="auto"/>
              <w:jc w:val="center"/>
              <w:rPr>
                <w:rFonts w:ascii="Times New Roman" w:eastAsia="Times New Roman" w:hAnsi="Times New Roman" w:cs="Times New Roman"/>
                <w:b/>
                <w:kern w:val="0"/>
                <w14:ligatures w14:val="none"/>
              </w:rPr>
            </w:pPr>
            <w:r w:rsidRPr="00184569">
              <w:rPr>
                <w:rFonts w:ascii="Times New Roman" w:eastAsia="Times New Roman" w:hAnsi="Times New Roman" w:cs="Times New Roman"/>
                <w:b/>
                <w:kern w:val="0"/>
                <w14:ligatures w14:val="none"/>
              </w:rPr>
              <w:t>Relatív kockázat</w:t>
            </w:r>
          </w:p>
          <w:p w14:paraId="69EC50F8" w14:textId="77777777" w:rsidR="00184569" w:rsidRPr="00184569" w:rsidRDefault="00184569" w:rsidP="00184569">
            <w:pPr>
              <w:widowControl w:val="0"/>
              <w:autoSpaceDE w:val="0"/>
              <w:autoSpaceDN w:val="0"/>
              <w:spacing w:after="0" w:line="240" w:lineRule="auto"/>
              <w:jc w:val="center"/>
              <w:rPr>
                <w:rFonts w:ascii="Times New Roman" w:eastAsia="Times New Roman" w:hAnsi="Times New Roman" w:cs="Times New Roman"/>
                <w:b/>
                <w:kern w:val="0"/>
                <w14:ligatures w14:val="none"/>
              </w:rPr>
            </w:pPr>
            <w:r w:rsidRPr="00184569">
              <w:rPr>
                <w:rFonts w:ascii="Times New Roman" w:eastAsia="Times New Roman" w:hAnsi="Times New Roman" w:cs="Times New Roman"/>
                <w:b/>
                <w:kern w:val="0"/>
                <w14:ligatures w14:val="none"/>
              </w:rPr>
              <w:t>(95%-os CI)</w:t>
            </w:r>
          </w:p>
        </w:tc>
      </w:tr>
      <w:tr w:rsidR="00184569" w:rsidRPr="00184569" w14:paraId="4B00635B" w14:textId="77777777" w:rsidTr="00E16EC6">
        <w:trPr>
          <w:trHeight w:val="223"/>
        </w:trPr>
        <w:tc>
          <w:tcPr>
            <w:tcW w:w="1985" w:type="dxa"/>
          </w:tcPr>
          <w:p w14:paraId="400E6872" w14:textId="77777777" w:rsidR="00184569" w:rsidRPr="00184569" w:rsidRDefault="00184569" w:rsidP="00184569">
            <w:pPr>
              <w:widowControl w:val="0"/>
              <w:autoSpaceDE w:val="0"/>
              <w:autoSpaceDN w:val="0"/>
              <w:spacing w:after="0" w:line="240" w:lineRule="auto"/>
              <w:ind w:left="107"/>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Nagyfokú</w:t>
            </w:r>
          </w:p>
        </w:tc>
        <w:tc>
          <w:tcPr>
            <w:tcW w:w="1984" w:type="dxa"/>
          </w:tcPr>
          <w:p w14:paraId="03C9B589" w14:textId="77777777" w:rsidR="00184569" w:rsidRPr="00184569" w:rsidRDefault="00184569" w:rsidP="00184569">
            <w:pPr>
              <w:widowControl w:val="0"/>
              <w:autoSpaceDE w:val="0"/>
              <w:autoSpaceDN w:val="0"/>
              <w:spacing w:after="0" w:line="240" w:lineRule="auto"/>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15 (0,6)</w:t>
            </w:r>
          </w:p>
        </w:tc>
        <w:tc>
          <w:tcPr>
            <w:tcW w:w="2452" w:type="dxa"/>
          </w:tcPr>
          <w:p w14:paraId="6C45ED42" w14:textId="77777777" w:rsidR="00184569" w:rsidRPr="00184569" w:rsidRDefault="00184569" w:rsidP="00184569">
            <w:pPr>
              <w:widowControl w:val="0"/>
              <w:autoSpaceDE w:val="0"/>
              <w:autoSpaceDN w:val="0"/>
              <w:spacing w:after="0" w:line="240" w:lineRule="auto"/>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49 (1,8)</w:t>
            </w:r>
          </w:p>
        </w:tc>
        <w:tc>
          <w:tcPr>
            <w:tcW w:w="2189" w:type="dxa"/>
          </w:tcPr>
          <w:p w14:paraId="51ABE86C" w14:textId="77777777" w:rsidR="00184569" w:rsidRPr="00184569" w:rsidRDefault="00184569" w:rsidP="00184569">
            <w:pPr>
              <w:widowControl w:val="0"/>
              <w:autoSpaceDE w:val="0"/>
              <w:autoSpaceDN w:val="0"/>
              <w:spacing w:after="0" w:line="240" w:lineRule="auto"/>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0,31 (0,17; 0,55)</w:t>
            </w:r>
          </w:p>
        </w:tc>
      </w:tr>
      <w:tr w:rsidR="00184569" w:rsidRPr="00184569" w14:paraId="7792BCC3" w14:textId="77777777" w:rsidTr="00E16EC6">
        <w:trPr>
          <w:trHeight w:val="242"/>
        </w:trPr>
        <w:tc>
          <w:tcPr>
            <w:tcW w:w="1985" w:type="dxa"/>
          </w:tcPr>
          <w:p w14:paraId="68F07804" w14:textId="77777777" w:rsidR="00184569" w:rsidRPr="00184569" w:rsidRDefault="00184569" w:rsidP="00184569">
            <w:pPr>
              <w:widowControl w:val="0"/>
              <w:autoSpaceDE w:val="0"/>
              <w:autoSpaceDN w:val="0"/>
              <w:spacing w:after="0" w:line="240" w:lineRule="auto"/>
              <w:ind w:left="107"/>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Nagyfokú + CRNM</w:t>
            </w:r>
          </w:p>
        </w:tc>
        <w:tc>
          <w:tcPr>
            <w:tcW w:w="1984" w:type="dxa"/>
          </w:tcPr>
          <w:p w14:paraId="6C39291C" w14:textId="77777777" w:rsidR="00184569" w:rsidRPr="00184569" w:rsidRDefault="00184569" w:rsidP="00184569">
            <w:pPr>
              <w:widowControl w:val="0"/>
              <w:autoSpaceDE w:val="0"/>
              <w:autoSpaceDN w:val="0"/>
              <w:spacing w:after="0" w:line="240" w:lineRule="auto"/>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115 (4,3)</w:t>
            </w:r>
          </w:p>
        </w:tc>
        <w:tc>
          <w:tcPr>
            <w:tcW w:w="2452" w:type="dxa"/>
          </w:tcPr>
          <w:p w14:paraId="67EB1A72" w14:textId="77777777" w:rsidR="00184569" w:rsidRPr="00184569" w:rsidRDefault="00184569" w:rsidP="00184569">
            <w:pPr>
              <w:widowControl w:val="0"/>
              <w:autoSpaceDE w:val="0"/>
              <w:autoSpaceDN w:val="0"/>
              <w:spacing w:after="0" w:line="240" w:lineRule="auto"/>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261 (9,7)</w:t>
            </w:r>
          </w:p>
        </w:tc>
        <w:tc>
          <w:tcPr>
            <w:tcW w:w="2189" w:type="dxa"/>
          </w:tcPr>
          <w:p w14:paraId="41626A3F" w14:textId="77777777" w:rsidR="00184569" w:rsidRPr="00184569" w:rsidRDefault="00184569" w:rsidP="00184569">
            <w:pPr>
              <w:widowControl w:val="0"/>
              <w:autoSpaceDE w:val="0"/>
              <w:autoSpaceDN w:val="0"/>
              <w:spacing w:after="0" w:line="240" w:lineRule="auto"/>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0,44 (0,36; 0,55)</w:t>
            </w:r>
          </w:p>
        </w:tc>
      </w:tr>
      <w:tr w:rsidR="00184569" w:rsidRPr="00184569" w14:paraId="053EBA56" w14:textId="77777777" w:rsidTr="00E16EC6">
        <w:trPr>
          <w:trHeight w:val="259"/>
        </w:trPr>
        <w:tc>
          <w:tcPr>
            <w:tcW w:w="1985" w:type="dxa"/>
          </w:tcPr>
          <w:p w14:paraId="536088CA" w14:textId="77777777" w:rsidR="00184569" w:rsidRPr="00184569" w:rsidRDefault="00184569" w:rsidP="00184569">
            <w:pPr>
              <w:widowControl w:val="0"/>
              <w:autoSpaceDE w:val="0"/>
              <w:autoSpaceDN w:val="0"/>
              <w:spacing w:after="0" w:line="240" w:lineRule="auto"/>
              <w:ind w:left="107"/>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Kisfokú</w:t>
            </w:r>
          </w:p>
        </w:tc>
        <w:tc>
          <w:tcPr>
            <w:tcW w:w="1984" w:type="dxa"/>
          </w:tcPr>
          <w:p w14:paraId="396C8247" w14:textId="77777777" w:rsidR="00184569" w:rsidRPr="00184569" w:rsidRDefault="00184569" w:rsidP="00184569">
            <w:pPr>
              <w:widowControl w:val="0"/>
              <w:autoSpaceDE w:val="0"/>
              <w:autoSpaceDN w:val="0"/>
              <w:spacing w:after="0" w:line="240" w:lineRule="auto"/>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313 (11,7)</w:t>
            </w:r>
          </w:p>
        </w:tc>
        <w:tc>
          <w:tcPr>
            <w:tcW w:w="2452" w:type="dxa"/>
          </w:tcPr>
          <w:p w14:paraId="12CEAFEB" w14:textId="77777777" w:rsidR="00184569" w:rsidRPr="00184569" w:rsidRDefault="00184569" w:rsidP="00184569">
            <w:pPr>
              <w:widowControl w:val="0"/>
              <w:autoSpaceDE w:val="0"/>
              <w:autoSpaceDN w:val="0"/>
              <w:spacing w:after="0" w:line="240" w:lineRule="auto"/>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505 (18,8)</w:t>
            </w:r>
          </w:p>
        </w:tc>
        <w:tc>
          <w:tcPr>
            <w:tcW w:w="2189" w:type="dxa"/>
          </w:tcPr>
          <w:p w14:paraId="1E3F80D9" w14:textId="77777777" w:rsidR="00184569" w:rsidRPr="00184569" w:rsidRDefault="00184569" w:rsidP="00184569">
            <w:pPr>
              <w:widowControl w:val="0"/>
              <w:autoSpaceDE w:val="0"/>
              <w:autoSpaceDN w:val="0"/>
              <w:spacing w:after="0" w:line="240" w:lineRule="auto"/>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0,62 (0,54; 0,70)</w:t>
            </w:r>
          </w:p>
        </w:tc>
      </w:tr>
      <w:tr w:rsidR="00184569" w:rsidRPr="00184569" w14:paraId="3F44887C" w14:textId="77777777" w:rsidTr="00E16EC6">
        <w:trPr>
          <w:trHeight w:val="136"/>
        </w:trPr>
        <w:tc>
          <w:tcPr>
            <w:tcW w:w="1985" w:type="dxa"/>
          </w:tcPr>
          <w:p w14:paraId="527F1CE1" w14:textId="77777777" w:rsidR="00184569" w:rsidRPr="00184569" w:rsidRDefault="00184569" w:rsidP="00184569">
            <w:pPr>
              <w:widowControl w:val="0"/>
              <w:autoSpaceDE w:val="0"/>
              <w:autoSpaceDN w:val="0"/>
              <w:spacing w:after="0" w:line="240" w:lineRule="auto"/>
              <w:ind w:left="107"/>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Összes</w:t>
            </w:r>
          </w:p>
        </w:tc>
        <w:tc>
          <w:tcPr>
            <w:tcW w:w="1984" w:type="dxa"/>
          </w:tcPr>
          <w:p w14:paraId="7183C0F2" w14:textId="77777777" w:rsidR="00184569" w:rsidRPr="00184569" w:rsidRDefault="00184569" w:rsidP="00184569">
            <w:pPr>
              <w:widowControl w:val="0"/>
              <w:autoSpaceDE w:val="0"/>
              <w:autoSpaceDN w:val="0"/>
              <w:spacing w:after="0" w:line="240" w:lineRule="auto"/>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402 (15,0)</w:t>
            </w:r>
          </w:p>
        </w:tc>
        <w:tc>
          <w:tcPr>
            <w:tcW w:w="2452" w:type="dxa"/>
          </w:tcPr>
          <w:p w14:paraId="668E029E" w14:textId="77777777" w:rsidR="00184569" w:rsidRPr="00184569" w:rsidRDefault="00184569" w:rsidP="00184569">
            <w:pPr>
              <w:widowControl w:val="0"/>
              <w:autoSpaceDE w:val="0"/>
              <w:autoSpaceDN w:val="0"/>
              <w:spacing w:after="0" w:line="240" w:lineRule="auto"/>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676 (25,1)</w:t>
            </w:r>
          </w:p>
        </w:tc>
        <w:tc>
          <w:tcPr>
            <w:tcW w:w="2189" w:type="dxa"/>
          </w:tcPr>
          <w:p w14:paraId="7107473B" w14:textId="77777777" w:rsidR="00184569" w:rsidRPr="00184569" w:rsidRDefault="00184569" w:rsidP="00184569">
            <w:pPr>
              <w:widowControl w:val="0"/>
              <w:autoSpaceDE w:val="0"/>
              <w:autoSpaceDN w:val="0"/>
              <w:spacing w:after="0" w:line="240" w:lineRule="auto"/>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0,59 (0,53; 0,66)</w:t>
            </w:r>
          </w:p>
        </w:tc>
      </w:tr>
    </w:tbl>
    <w:p w14:paraId="4334E62C"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b/>
          <w:kern w:val="0"/>
          <w14:ligatures w14:val="none"/>
        </w:rPr>
      </w:pPr>
    </w:p>
    <w:p w14:paraId="5F6EF9C1"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Bármilyen anatómiai lokalizációjú, igazolt, nagyfokú vérzés és a klinikailag jelentős, de nem nagyfokú (CRNM) vérzés kialakulása általában alacsonyabb volt az apixabán-csoportban, mint az enoxaparin/warfarin-csoportban. Igazolt, ISTH szerinti, nagyfokú gastrointestinalis vérzés az apixabánnal kezelt betegek közül 6-nál (0,2%), az enoxaparinnal/warfarinnal kezelt betegek közül 17</w:t>
      </w:r>
      <w:r w:rsidRPr="00184569">
        <w:rPr>
          <w:rFonts w:ascii="Times New Roman" w:eastAsia="Times New Roman" w:hAnsi="Times New Roman" w:cs="Times New Roman"/>
          <w:kern w:val="0"/>
          <w14:ligatures w14:val="none"/>
        </w:rPr>
        <w:noBreakHyphen/>
        <w:t>nél (0,6%) fordult elő.</w:t>
      </w:r>
    </w:p>
    <w:p w14:paraId="3F703DCD"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
    <w:p w14:paraId="4FFFAF66" w14:textId="77777777" w:rsidR="00184569" w:rsidRPr="00184569" w:rsidRDefault="00184569" w:rsidP="00184569">
      <w:pPr>
        <w:keepNext/>
        <w:autoSpaceDE w:val="0"/>
        <w:autoSpaceDN w:val="0"/>
        <w:spacing w:after="0" w:line="240" w:lineRule="auto"/>
        <w:rPr>
          <w:rFonts w:ascii="Times New Roman" w:eastAsia="Times New Roman" w:hAnsi="Times New Roman" w:cs="Times New Roman"/>
          <w:kern w:val="0"/>
          <w14:ligatures w14:val="none"/>
        </w:rPr>
      </w:pPr>
      <w:r w:rsidRPr="00184569">
        <w:rPr>
          <w:rFonts w:ascii="Times New Roman" w:eastAsia="Times New Roman" w:hAnsi="Times New Roman" w:cs="Times New Roman"/>
          <w:i/>
          <w:kern w:val="0"/>
          <w:u w:val="single"/>
          <w14:ligatures w14:val="none"/>
        </w:rPr>
        <w:t>AMPLIFY-EXT vizsgálat</w:t>
      </w:r>
    </w:p>
    <w:p w14:paraId="1EF8B24D" w14:textId="77777777" w:rsidR="00184569" w:rsidRPr="00184569" w:rsidRDefault="00184569" w:rsidP="00184569">
      <w:pPr>
        <w:keepNext/>
        <w:autoSpaceDE w:val="0"/>
        <w:autoSpaceDN w:val="0"/>
        <w:spacing w:after="0" w:line="240" w:lineRule="auto"/>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 xml:space="preserve">Az AMPLIFY-EXT vizsgálatba összesen 2482 felnőtt beteget randomizáltak 12 hónapig tartó, naponta kétszer 2,5 mg </w:t>
      </w:r>
      <w:r w:rsidRPr="00184569">
        <w:rPr>
          <w:rFonts w:ascii="Times New Roman" w:eastAsia="Times New Roman" w:hAnsi="Times New Roman" w:cs="Times New Roman"/>
          <w:i/>
          <w:iCs/>
          <w:kern w:val="0"/>
          <w14:ligatures w14:val="none"/>
        </w:rPr>
        <w:t>per os</w:t>
      </w:r>
      <w:r w:rsidRPr="00184569">
        <w:rPr>
          <w:rFonts w:ascii="Times New Roman" w:eastAsia="Times New Roman" w:hAnsi="Times New Roman" w:cs="Times New Roman"/>
          <w:kern w:val="0"/>
          <w14:ligatures w14:val="none"/>
        </w:rPr>
        <w:t xml:space="preserve"> apixabán kezelésre, naponta kétszer 5 mg </w:t>
      </w:r>
      <w:r w:rsidRPr="00184569">
        <w:rPr>
          <w:rFonts w:ascii="Times New Roman" w:eastAsia="Times New Roman" w:hAnsi="Times New Roman" w:cs="Times New Roman"/>
          <w:i/>
          <w:iCs/>
          <w:kern w:val="0"/>
          <w14:ligatures w14:val="none"/>
        </w:rPr>
        <w:t>per os</w:t>
      </w:r>
      <w:r w:rsidRPr="00184569">
        <w:rPr>
          <w:rFonts w:ascii="Times New Roman" w:eastAsia="Times New Roman" w:hAnsi="Times New Roman" w:cs="Times New Roman"/>
          <w:kern w:val="0"/>
          <w14:ligatures w14:val="none"/>
        </w:rPr>
        <w:t xml:space="preserve"> apixabán kezelésre vagy placebóra, a 6–12 hónapig tartó, kezdeti antikoaguláns kezelés befejezése után. Közülük 836 beteg (33,7%) vett részt az AMPLIFY vizsgálatban az AMPLIFY-EXT vizsgálatba történő beválogatás előtt.</w:t>
      </w:r>
    </w:p>
    <w:p w14:paraId="45DCEA12"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
    <w:p w14:paraId="470C93EC"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Az átlagéletkor 56,7 év volt, és a randomizált betegek 91,7%-ának volt ok nélküli VTE eseménye.</w:t>
      </w:r>
    </w:p>
    <w:p w14:paraId="4893A757"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
    <w:p w14:paraId="63878FF1"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A vizsgálatban az apixabán mindkét dózisa statisztikailag jobb volt a placebónál az elsődleges végpontban, melynek összetevői: az ismételt szimptomatikus VTE (nem halálos MVT vagy nem halálos PE) vagy az összmortalitás (lásd 11. táblázat).</w:t>
      </w:r>
    </w:p>
    <w:p w14:paraId="62A9FA7F"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
    <w:p w14:paraId="2DFBD432" w14:textId="77777777" w:rsidR="00184569" w:rsidRPr="00184569" w:rsidRDefault="00184569" w:rsidP="00184569">
      <w:pPr>
        <w:widowControl w:val="0"/>
        <w:autoSpaceDE w:val="0"/>
        <w:autoSpaceDN w:val="0"/>
        <w:spacing w:after="0" w:line="240" w:lineRule="auto"/>
        <w:outlineLvl w:val="1"/>
        <w:rPr>
          <w:rFonts w:ascii="Times New Roman" w:eastAsia="Times New Roman" w:hAnsi="Times New Roman" w:cs="Times New Roman"/>
          <w:b/>
          <w:bCs/>
          <w:kern w:val="0"/>
          <w14:ligatures w14:val="none"/>
        </w:rPr>
      </w:pPr>
      <w:r w:rsidRPr="00184569">
        <w:rPr>
          <w:rFonts w:ascii="Times New Roman" w:eastAsia="Times New Roman" w:hAnsi="Times New Roman" w:cs="Times New Roman"/>
          <w:b/>
          <w:bCs/>
          <w:kern w:val="0"/>
          <w14:ligatures w14:val="none"/>
        </w:rPr>
        <w:t>11. táblázat: Az AMPLIFY EXT vizsgálat hatásossági eredményei</w:t>
      </w:r>
    </w:p>
    <w:tbl>
      <w:tblPr>
        <w:tblW w:w="917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843"/>
        <w:gridCol w:w="1417"/>
        <w:gridCol w:w="1418"/>
        <w:gridCol w:w="1134"/>
        <w:gridCol w:w="1701"/>
        <w:gridCol w:w="1657"/>
      </w:tblGrid>
      <w:tr w:rsidR="00184569" w:rsidRPr="00184569" w14:paraId="21625E06" w14:textId="77777777" w:rsidTr="00E16EC6">
        <w:trPr>
          <w:trHeight w:val="361"/>
        </w:trPr>
        <w:tc>
          <w:tcPr>
            <w:tcW w:w="1843" w:type="dxa"/>
          </w:tcPr>
          <w:p w14:paraId="310857E2" w14:textId="77777777" w:rsidR="00184569" w:rsidRPr="00184569" w:rsidRDefault="00184569" w:rsidP="00184569">
            <w:pPr>
              <w:widowControl w:val="0"/>
              <w:autoSpaceDE w:val="0"/>
              <w:autoSpaceDN w:val="0"/>
              <w:spacing w:after="0" w:line="240" w:lineRule="auto"/>
              <w:jc w:val="center"/>
              <w:rPr>
                <w:rFonts w:ascii="Times New Roman" w:eastAsia="Times New Roman" w:hAnsi="Times New Roman" w:cs="Times New Roman"/>
                <w:kern w:val="0"/>
                <w14:ligatures w14:val="none"/>
              </w:rPr>
            </w:pPr>
          </w:p>
        </w:tc>
        <w:tc>
          <w:tcPr>
            <w:tcW w:w="1417" w:type="dxa"/>
          </w:tcPr>
          <w:p w14:paraId="28204B26" w14:textId="77777777" w:rsidR="00184569" w:rsidRPr="00184569" w:rsidRDefault="00184569" w:rsidP="00184569">
            <w:pPr>
              <w:widowControl w:val="0"/>
              <w:autoSpaceDE w:val="0"/>
              <w:autoSpaceDN w:val="0"/>
              <w:spacing w:after="0" w:line="240" w:lineRule="auto"/>
              <w:jc w:val="center"/>
              <w:rPr>
                <w:rFonts w:ascii="Times New Roman" w:eastAsia="Times New Roman" w:hAnsi="Times New Roman" w:cs="Times New Roman"/>
                <w:b/>
                <w:kern w:val="0"/>
                <w14:ligatures w14:val="none"/>
              </w:rPr>
            </w:pPr>
            <w:r w:rsidRPr="00184569">
              <w:rPr>
                <w:rFonts w:ascii="Times New Roman" w:eastAsia="Times New Roman" w:hAnsi="Times New Roman" w:cs="Times New Roman"/>
                <w:b/>
                <w:kern w:val="0"/>
                <w14:ligatures w14:val="none"/>
              </w:rPr>
              <w:t>apixabán</w:t>
            </w:r>
          </w:p>
        </w:tc>
        <w:tc>
          <w:tcPr>
            <w:tcW w:w="1418" w:type="dxa"/>
          </w:tcPr>
          <w:p w14:paraId="79EFC6AB" w14:textId="77777777" w:rsidR="00184569" w:rsidRPr="00184569" w:rsidRDefault="00184569" w:rsidP="00184569">
            <w:pPr>
              <w:widowControl w:val="0"/>
              <w:autoSpaceDE w:val="0"/>
              <w:autoSpaceDN w:val="0"/>
              <w:spacing w:after="0" w:line="240" w:lineRule="auto"/>
              <w:jc w:val="center"/>
              <w:rPr>
                <w:rFonts w:ascii="Times New Roman" w:eastAsia="Times New Roman" w:hAnsi="Times New Roman" w:cs="Times New Roman"/>
                <w:b/>
                <w:kern w:val="0"/>
                <w14:ligatures w14:val="none"/>
              </w:rPr>
            </w:pPr>
            <w:r w:rsidRPr="00184569">
              <w:rPr>
                <w:rFonts w:ascii="Times New Roman" w:eastAsia="Times New Roman" w:hAnsi="Times New Roman" w:cs="Times New Roman"/>
                <w:b/>
                <w:kern w:val="0"/>
                <w14:ligatures w14:val="none"/>
              </w:rPr>
              <w:t>apixabán</w:t>
            </w:r>
          </w:p>
        </w:tc>
        <w:tc>
          <w:tcPr>
            <w:tcW w:w="1134" w:type="dxa"/>
          </w:tcPr>
          <w:p w14:paraId="7EA59477" w14:textId="77777777" w:rsidR="00184569" w:rsidRPr="00184569" w:rsidRDefault="00184569" w:rsidP="00184569">
            <w:pPr>
              <w:widowControl w:val="0"/>
              <w:autoSpaceDE w:val="0"/>
              <w:autoSpaceDN w:val="0"/>
              <w:spacing w:after="0" w:line="240" w:lineRule="auto"/>
              <w:jc w:val="center"/>
              <w:rPr>
                <w:rFonts w:ascii="Times New Roman" w:eastAsia="Times New Roman" w:hAnsi="Times New Roman" w:cs="Times New Roman"/>
                <w:b/>
                <w:kern w:val="0"/>
                <w14:ligatures w14:val="none"/>
              </w:rPr>
            </w:pPr>
            <w:r w:rsidRPr="00184569">
              <w:rPr>
                <w:rFonts w:ascii="Times New Roman" w:eastAsia="Times New Roman" w:hAnsi="Times New Roman" w:cs="Times New Roman"/>
                <w:b/>
                <w:kern w:val="0"/>
                <w14:ligatures w14:val="none"/>
              </w:rPr>
              <w:t>placebo</w:t>
            </w:r>
          </w:p>
        </w:tc>
        <w:tc>
          <w:tcPr>
            <w:tcW w:w="3358" w:type="dxa"/>
            <w:gridSpan w:val="2"/>
          </w:tcPr>
          <w:p w14:paraId="313D8D4C" w14:textId="77777777" w:rsidR="00184569" w:rsidRPr="00184569" w:rsidRDefault="00184569" w:rsidP="00184569">
            <w:pPr>
              <w:widowControl w:val="0"/>
              <w:autoSpaceDE w:val="0"/>
              <w:autoSpaceDN w:val="0"/>
              <w:spacing w:after="0" w:line="240" w:lineRule="auto"/>
              <w:jc w:val="center"/>
              <w:rPr>
                <w:rFonts w:ascii="Times New Roman" w:eastAsia="Times New Roman" w:hAnsi="Times New Roman" w:cs="Times New Roman"/>
                <w:b/>
                <w:kern w:val="0"/>
                <w14:ligatures w14:val="none"/>
              </w:rPr>
            </w:pPr>
            <w:r w:rsidRPr="00184569">
              <w:rPr>
                <w:rFonts w:ascii="Times New Roman" w:eastAsia="Times New Roman" w:hAnsi="Times New Roman" w:cs="Times New Roman"/>
                <w:b/>
                <w:kern w:val="0"/>
                <w14:ligatures w14:val="none"/>
              </w:rPr>
              <w:t>relatív kockázat (95%-os CI)</w:t>
            </w:r>
          </w:p>
        </w:tc>
      </w:tr>
      <w:tr w:rsidR="00184569" w:rsidRPr="00184569" w14:paraId="4A479C30" w14:textId="77777777" w:rsidTr="00E16EC6">
        <w:trPr>
          <w:trHeight w:val="455"/>
        </w:trPr>
        <w:tc>
          <w:tcPr>
            <w:tcW w:w="1843" w:type="dxa"/>
          </w:tcPr>
          <w:p w14:paraId="55BDD59C" w14:textId="77777777" w:rsidR="00184569" w:rsidRPr="00184569" w:rsidRDefault="00184569" w:rsidP="00184569">
            <w:pPr>
              <w:widowControl w:val="0"/>
              <w:autoSpaceDE w:val="0"/>
              <w:autoSpaceDN w:val="0"/>
              <w:spacing w:after="0" w:line="240" w:lineRule="auto"/>
              <w:jc w:val="center"/>
              <w:rPr>
                <w:rFonts w:ascii="Times New Roman" w:eastAsia="Times New Roman" w:hAnsi="Times New Roman" w:cs="Times New Roman"/>
                <w:kern w:val="0"/>
                <w14:ligatures w14:val="none"/>
              </w:rPr>
            </w:pPr>
          </w:p>
        </w:tc>
        <w:tc>
          <w:tcPr>
            <w:tcW w:w="1417" w:type="dxa"/>
          </w:tcPr>
          <w:p w14:paraId="6EB89BCF" w14:textId="77777777" w:rsidR="00184569" w:rsidRPr="00184569" w:rsidRDefault="00184569" w:rsidP="00184569">
            <w:pPr>
              <w:widowControl w:val="0"/>
              <w:autoSpaceDE w:val="0"/>
              <w:autoSpaceDN w:val="0"/>
              <w:spacing w:after="0" w:line="240" w:lineRule="auto"/>
              <w:jc w:val="center"/>
              <w:rPr>
                <w:rFonts w:ascii="Times New Roman" w:eastAsia="Times New Roman" w:hAnsi="Times New Roman" w:cs="Times New Roman"/>
                <w:b/>
                <w:kern w:val="0"/>
                <w14:ligatures w14:val="none"/>
              </w:rPr>
            </w:pPr>
            <w:r w:rsidRPr="00184569">
              <w:rPr>
                <w:rFonts w:ascii="Times New Roman" w:eastAsia="Times New Roman" w:hAnsi="Times New Roman" w:cs="Times New Roman"/>
                <w:b/>
                <w:kern w:val="0"/>
                <w14:ligatures w14:val="none"/>
              </w:rPr>
              <w:t>2,5 mg</w:t>
            </w:r>
          </w:p>
          <w:p w14:paraId="3B3E41BF" w14:textId="77777777" w:rsidR="00184569" w:rsidRPr="00184569" w:rsidRDefault="00184569" w:rsidP="00184569">
            <w:pPr>
              <w:widowControl w:val="0"/>
              <w:autoSpaceDE w:val="0"/>
              <w:autoSpaceDN w:val="0"/>
              <w:spacing w:after="0" w:line="240" w:lineRule="auto"/>
              <w:jc w:val="center"/>
              <w:rPr>
                <w:rFonts w:ascii="Times New Roman" w:eastAsia="Times New Roman" w:hAnsi="Times New Roman" w:cs="Times New Roman"/>
                <w:b/>
                <w:kern w:val="0"/>
                <w14:ligatures w14:val="none"/>
              </w:rPr>
            </w:pPr>
            <w:r w:rsidRPr="00184569">
              <w:rPr>
                <w:rFonts w:ascii="Times New Roman" w:eastAsia="Times New Roman" w:hAnsi="Times New Roman" w:cs="Times New Roman"/>
                <w:b/>
                <w:kern w:val="0"/>
                <w14:ligatures w14:val="none"/>
              </w:rPr>
              <w:t>(n = 840)</w:t>
            </w:r>
          </w:p>
        </w:tc>
        <w:tc>
          <w:tcPr>
            <w:tcW w:w="1418" w:type="dxa"/>
          </w:tcPr>
          <w:p w14:paraId="5E6D0571" w14:textId="77777777" w:rsidR="00184569" w:rsidRPr="00184569" w:rsidRDefault="00184569" w:rsidP="00184569">
            <w:pPr>
              <w:widowControl w:val="0"/>
              <w:autoSpaceDE w:val="0"/>
              <w:autoSpaceDN w:val="0"/>
              <w:spacing w:after="0" w:line="240" w:lineRule="auto"/>
              <w:jc w:val="center"/>
              <w:rPr>
                <w:rFonts w:ascii="Times New Roman" w:eastAsia="Times New Roman" w:hAnsi="Times New Roman" w:cs="Times New Roman"/>
                <w:b/>
                <w:kern w:val="0"/>
                <w14:ligatures w14:val="none"/>
              </w:rPr>
            </w:pPr>
            <w:r w:rsidRPr="00184569">
              <w:rPr>
                <w:rFonts w:ascii="Times New Roman" w:eastAsia="Times New Roman" w:hAnsi="Times New Roman" w:cs="Times New Roman"/>
                <w:b/>
                <w:kern w:val="0"/>
                <w14:ligatures w14:val="none"/>
              </w:rPr>
              <w:t>5,0 mg</w:t>
            </w:r>
          </w:p>
          <w:p w14:paraId="17769DB7" w14:textId="77777777" w:rsidR="00184569" w:rsidRPr="00184569" w:rsidRDefault="00184569" w:rsidP="00184569">
            <w:pPr>
              <w:widowControl w:val="0"/>
              <w:autoSpaceDE w:val="0"/>
              <w:autoSpaceDN w:val="0"/>
              <w:spacing w:after="0" w:line="240" w:lineRule="auto"/>
              <w:jc w:val="center"/>
              <w:rPr>
                <w:rFonts w:ascii="Times New Roman" w:eastAsia="Times New Roman" w:hAnsi="Times New Roman" w:cs="Times New Roman"/>
                <w:b/>
                <w:kern w:val="0"/>
                <w14:ligatures w14:val="none"/>
              </w:rPr>
            </w:pPr>
            <w:r w:rsidRPr="00184569">
              <w:rPr>
                <w:rFonts w:ascii="Times New Roman" w:eastAsia="Times New Roman" w:hAnsi="Times New Roman" w:cs="Times New Roman"/>
                <w:b/>
                <w:kern w:val="0"/>
                <w14:ligatures w14:val="none"/>
              </w:rPr>
              <w:t>(n = 813)</w:t>
            </w:r>
          </w:p>
        </w:tc>
        <w:tc>
          <w:tcPr>
            <w:tcW w:w="1134" w:type="dxa"/>
          </w:tcPr>
          <w:p w14:paraId="3C8D2AE8" w14:textId="77777777" w:rsidR="00184569" w:rsidRPr="00184569" w:rsidRDefault="00184569" w:rsidP="00184569">
            <w:pPr>
              <w:widowControl w:val="0"/>
              <w:autoSpaceDE w:val="0"/>
              <w:autoSpaceDN w:val="0"/>
              <w:spacing w:after="0" w:line="240" w:lineRule="auto"/>
              <w:jc w:val="center"/>
              <w:rPr>
                <w:rFonts w:ascii="Times New Roman" w:eastAsia="Times New Roman" w:hAnsi="Times New Roman" w:cs="Times New Roman"/>
                <w:b/>
                <w:kern w:val="0"/>
                <w14:ligatures w14:val="none"/>
              </w:rPr>
            </w:pPr>
          </w:p>
          <w:p w14:paraId="0EB3CD51" w14:textId="77777777" w:rsidR="00184569" w:rsidRPr="00184569" w:rsidRDefault="00184569" w:rsidP="00184569">
            <w:pPr>
              <w:widowControl w:val="0"/>
              <w:autoSpaceDE w:val="0"/>
              <w:autoSpaceDN w:val="0"/>
              <w:spacing w:after="0" w:line="240" w:lineRule="auto"/>
              <w:jc w:val="center"/>
              <w:rPr>
                <w:rFonts w:ascii="Times New Roman" w:eastAsia="Times New Roman" w:hAnsi="Times New Roman" w:cs="Times New Roman"/>
                <w:b/>
                <w:kern w:val="0"/>
                <w14:ligatures w14:val="none"/>
              </w:rPr>
            </w:pPr>
            <w:r w:rsidRPr="00184569">
              <w:rPr>
                <w:rFonts w:ascii="Times New Roman" w:eastAsia="Times New Roman" w:hAnsi="Times New Roman" w:cs="Times New Roman"/>
                <w:b/>
                <w:kern w:val="0"/>
                <w14:ligatures w14:val="none"/>
              </w:rPr>
              <w:t>(n = 829)</w:t>
            </w:r>
          </w:p>
        </w:tc>
        <w:tc>
          <w:tcPr>
            <w:tcW w:w="1701" w:type="dxa"/>
          </w:tcPr>
          <w:p w14:paraId="22D85765" w14:textId="77777777" w:rsidR="00184569" w:rsidRPr="00184569" w:rsidRDefault="00184569" w:rsidP="00184569">
            <w:pPr>
              <w:widowControl w:val="0"/>
              <w:autoSpaceDE w:val="0"/>
              <w:autoSpaceDN w:val="0"/>
              <w:spacing w:after="0" w:line="240" w:lineRule="auto"/>
              <w:jc w:val="center"/>
              <w:rPr>
                <w:rFonts w:ascii="Times New Roman" w:eastAsia="Times New Roman" w:hAnsi="Times New Roman" w:cs="Times New Roman"/>
                <w:b/>
                <w:kern w:val="0"/>
                <w14:ligatures w14:val="none"/>
              </w:rPr>
            </w:pPr>
            <w:r w:rsidRPr="00184569">
              <w:rPr>
                <w:rFonts w:ascii="Times New Roman" w:eastAsia="Times New Roman" w:hAnsi="Times New Roman" w:cs="Times New Roman"/>
                <w:b/>
                <w:kern w:val="0"/>
                <w14:ligatures w14:val="none"/>
              </w:rPr>
              <w:t>apixabán 2,5 mg</w:t>
            </w:r>
          </w:p>
          <w:p w14:paraId="609D95A8" w14:textId="77777777" w:rsidR="00184569" w:rsidRPr="00184569" w:rsidRDefault="00184569" w:rsidP="00184569">
            <w:pPr>
              <w:widowControl w:val="0"/>
              <w:autoSpaceDE w:val="0"/>
              <w:autoSpaceDN w:val="0"/>
              <w:spacing w:after="0" w:line="240" w:lineRule="auto"/>
              <w:jc w:val="center"/>
              <w:rPr>
                <w:rFonts w:ascii="Times New Roman" w:eastAsia="Times New Roman" w:hAnsi="Times New Roman" w:cs="Times New Roman"/>
                <w:b/>
                <w:kern w:val="0"/>
                <w14:ligatures w14:val="none"/>
              </w:rPr>
            </w:pPr>
            <w:r w:rsidRPr="00184569">
              <w:rPr>
                <w:rFonts w:ascii="Times New Roman" w:eastAsia="Times New Roman" w:hAnsi="Times New Roman" w:cs="Times New Roman"/>
                <w:b/>
                <w:kern w:val="0"/>
                <w14:ligatures w14:val="none"/>
              </w:rPr>
              <w:t>vs. placebo</w:t>
            </w:r>
          </w:p>
        </w:tc>
        <w:tc>
          <w:tcPr>
            <w:tcW w:w="1657" w:type="dxa"/>
          </w:tcPr>
          <w:p w14:paraId="18833150" w14:textId="77777777" w:rsidR="00184569" w:rsidRPr="00184569" w:rsidRDefault="00184569" w:rsidP="00184569">
            <w:pPr>
              <w:widowControl w:val="0"/>
              <w:autoSpaceDE w:val="0"/>
              <w:autoSpaceDN w:val="0"/>
              <w:spacing w:after="0" w:line="240" w:lineRule="auto"/>
              <w:jc w:val="center"/>
              <w:rPr>
                <w:rFonts w:ascii="Times New Roman" w:eastAsia="Times New Roman" w:hAnsi="Times New Roman" w:cs="Times New Roman"/>
                <w:b/>
                <w:kern w:val="0"/>
                <w14:ligatures w14:val="none"/>
              </w:rPr>
            </w:pPr>
            <w:r w:rsidRPr="00184569">
              <w:rPr>
                <w:rFonts w:ascii="Times New Roman" w:eastAsia="Times New Roman" w:hAnsi="Times New Roman" w:cs="Times New Roman"/>
                <w:b/>
                <w:kern w:val="0"/>
                <w14:ligatures w14:val="none"/>
              </w:rPr>
              <w:t>apixabán 5,0 mg</w:t>
            </w:r>
          </w:p>
          <w:p w14:paraId="7C079763" w14:textId="77777777" w:rsidR="00184569" w:rsidRPr="00184569" w:rsidRDefault="00184569" w:rsidP="00184569">
            <w:pPr>
              <w:widowControl w:val="0"/>
              <w:autoSpaceDE w:val="0"/>
              <w:autoSpaceDN w:val="0"/>
              <w:spacing w:after="0" w:line="240" w:lineRule="auto"/>
              <w:jc w:val="center"/>
              <w:rPr>
                <w:rFonts w:ascii="Times New Roman" w:eastAsia="Times New Roman" w:hAnsi="Times New Roman" w:cs="Times New Roman"/>
                <w:b/>
                <w:kern w:val="0"/>
                <w14:ligatures w14:val="none"/>
              </w:rPr>
            </w:pPr>
            <w:r w:rsidRPr="00184569">
              <w:rPr>
                <w:rFonts w:ascii="Times New Roman" w:eastAsia="Times New Roman" w:hAnsi="Times New Roman" w:cs="Times New Roman"/>
                <w:b/>
                <w:kern w:val="0"/>
                <w14:ligatures w14:val="none"/>
              </w:rPr>
              <w:t>vs. placebo</w:t>
            </w:r>
          </w:p>
        </w:tc>
      </w:tr>
      <w:tr w:rsidR="00184569" w:rsidRPr="00184569" w14:paraId="74DB173F" w14:textId="77777777" w:rsidTr="00E16EC6">
        <w:trPr>
          <w:trHeight w:val="222"/>
        </w:trPr>
        <w:tc>
          <w:tcPr>
            <w:tcW w:w="1843" w:type="dxa"/>
          </w:tcPr>
          <w:p w14:paraId="383FB494"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
        </w:tc>
        <w:tc>
          <w:tcPr>
            <w:tcW w:w="3969" w:type="dxa"/>
            <w:gridSpan w:val="3"/>
          </w:tcPr>
          <w:p w14:paraId="7EFF751E" w14:textId="77777777" w:rsidR="00184569" w:rsidRPr="00184569" w:rsidRDefault="00184569" w:rsidP="00184569">
            <w:pPr>
              <w:widowControl w:val="0"/>
              <w:autoSpaceDE w:val="0"/>
              <w:autoSpaceDN w:val="0"/>
              <w:spacing w:after="0" w:line="240" w:lineRule="auto"/>
              <w:ind w:left="1707"/>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n (%)</w:t>
            </w:r>
          </w:p>
        </w:tc>
        <w:tc>
          <w:tcPr>
            <w:tcW w:w="1701" w:type="dxa"/>
          </w:tcPr>
          <w:p w14:paraId="293CFA8F"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
        </w:tc>
        <w:tc>
          <w:tcPr>
            <w:tcW w:w="1657" w:type="dxa"/>
          </w:tcPr>
          <w:p w14:paraId="236500C4"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
        </w:tc>
      </w:tr>
      <w:tr w:rsidR="00184569" w:rsidRPr="00184569" w14:paraId="4563AF73" w14:textId="77777777" w:rsidTr="00E16EC6">
        <w:trPr>
          <w:trHeight w:val="523"/>
        </w:trPr>
        <w:tc>
          <w:tcPr>
            <w:tcW w:w="1843" w:type="dxa"/>
          </w:tcPr>
          <w:p w14:paraId="1417C6FF"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Ismételt VTE vagy összmortalitás</w:t>
            </w:r>
          </w:p>
        </w:tc>
        <w:tc>
          <w:tcPr>
            <w:tcW w:w="1417" w:type="dxa"/>
          </w:tcPr>
          <w:p w14:paraId="6F39E8E5" w14:textId="77777777" w:rsidR="00184569" w:rsidRPr="00184569" w:rsidRDefault="00184569" w:rsidP="00184569">
            <w:pPr>
              <w:widowControl w:val="0"/>
              <w:autoSpaceDE w:val="0"/>
              <w:autoSpaceDN w:val="0"/>
              <w:spacing w:after="0" w:line="240" w:lineRule="auto"/>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19 (2,3)</w:t>
            </w:r>
          </w:p>
        </w:tc>
        <w:tc>
          <w:tcPr>
            <w:tcW w:w="1418" w:type="dxa"/>
          </w:tcPr>
          <w:p w14:paraId="1BA8853E" w14:textId="77777777" w:rsidR="00184569" w:rsidRPr="00184569" w:rsidRDefault="00184569" w:rsidP="00184569">
            <w:pPr>
              <w:widowControl w:val="0"/>
              <w:autoSpaceDE w:val="0"/>
              <w:autoSpaceDN w:val="0"/>
              <w:spacing w:after="0" w:line="240" w:lineRule="auto"/>
              <w:ind w:left="3"/>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14 (1,7)</w:t>
            </w:r>
          </w:p>
        </w:tc>
        <w:tc>
          <w:tcPr>
            <w:tcW w:w="1134" w:type="dxa"/>
          </w:tcPr>
          <w:p w14:paraId="2B0C4C4E" w14:textId="77777777" w:rsidR="00184569" w:rsidRPr="00184569" w:rsidRDefault="00184569" w:rsidP="00184569">
            <w:pPr>
              <w:widowControl w:val="0"/>
              <w:autoSpaceDE w:val="0"/>
              <w:autoSpaceDN w:val="0"/>
              <w:spacing w:after="0" w:line="240" w:lineRule="auto"/>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77 (9,3)</w:t>
            </w:r>
          </w:p>
        </w:tc>
        <w:tc>
          <w:tcPr>
            <w:tcW w:w="1701" w:type="dxa"/>
          </w:tcPr>
          <w:p w14:paraId="11D80955" w14:textId="77777777" w:rsidR="00184569" w:rsidRPr="00184569" w:rsidRDefault="00184569" w:rsidP="00184569">
            <w:pPr>
              <w:widowControl w:val="0"/>
              <w:autoSpaceDE w:val="0"/>
              <w:autoSpaceDN w:val="0"/>
              <w:spacing w:after="0" w:line="240" w:lineRule="auto"/>
              <w:ind w:left="4"/>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0,24</w:t>
            </w:r>
          </w:p>
          <w:p w14:paraId="27EAAFD0" w14:textId="77777777" w:rsidR="00184569" w:rsidRPr="00184569" w:rsidRDefault="00184569" w:rsidP="00184569">
            <w:pPr>
              <w:widowControl w:val="0"/>
              <w:autoSpaceDE w:val="0"/>
              <w:autoSpaceDN w:val="0"/>
              <w:spacing w:after="0" w:line="240" w:lineRule="auto"/>
              <w:ind w:left="4"/>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(0,15; 0,40)</w:t>
            </w:r>
            <w:r w:rsidRPr="00184569">
              <w:rPr>
                <w:rFonts w:ascii="Times New Roman" w:eastAsia="Times New Roman" w:hAnsi="Times New Roman" w:cs="Times New Roman"/>
                <w:kern w:val="0"/>
                <w:vertAlign w:val="superscript"/>
                <w14:ligatures w14:val="none"/>
              </w:rPr>
              <w:t>¥</w:t>
            </w:r>
          </w:p>
        </w:tc>
        <w:tc>
          <w:tcPr>
            <w:tcW w:w="1657" w:type="dxa"/>
          </w:tcPr>
          <w:p w14:paraId="71677F4C" w14:textId="77777777" w:rsidR="00184569" w:rsidRPr="00184569" w:rsidRDefault="00184569" w:rsidP="00184569">
            <w:pPr>
              <w:widowControl w:val="0"/>
              <w:autoSpaceDE w:val="0"/>
              <w:autoSpaceDN w:val="0"/>
              <w:spacing w:after="0" w:line="240" w:lineRule="auto"/>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0,19</w:t>
            </w:r>
          </w:p>
          <w:p w14:paraId="2A8B846A" w14:textId="77777777" w:rsidR="00184569" w:rsidRPr="00184569" w:rsidRDefault="00184569" w:rsidP="00184569">
            <w:pPr>
              <w:widowControl w:val="0"/>
              <w:autoSpaceDE w:val="0"/>
              <w:autoSpaceDN w:val="0"/>
              <w:spacing w:after="0" w:line="240" w:lineRule="auto"/>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(0,11; 0,33)</w:t>
            </w:r>
            <w:r w:rsidRPr="00184569">
              <w:rPr>
                <w:rFonts w:ascii="Times New Roman" w:eastAsia="Times New Roman" w:hAnsi="Times New Roman" w:cs="Times New Roman"/>
                <w:kern w:val="0"/>
                <w:vertAlign w:val="superscript"/>
                <w14:ligatures w14:val="none"/>
              </w:rPr>
              <w:t>¥</w:t>
            </w:r>
          </w:p>
        </w:tc>
      </w:tr>
      <w:tr w:rsidR="00184569" w:rsidRPr="00184569" w14:paraId="25936A86" w14:textId="77777777" w:rsidTr="00E16EC6">
        <w:trPr>
          <w:trHeight w:val="266"/>
        </w:trPr>
        <w:tc>
          <w:tcPr>
            <w:tcW w:w="1843" w:type="dxa"/>
          </w:tcPr>
          <w:p w14:paraId="1C4E998F"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MVT</w:t>
            </w:r>
            <w:r w:rsidRPr="00184569">
              <w:rPr>
                <w:rFonts w:ascii="Times New Roman" w:eastAsia="Times New Roman" w:hAnsi="Times New Roman" w:cs="Times New Roman"/>
                <w:kern w:val="0"/>
                <w:position w:val="7"/>
                <w14:ligatures w14:val="none"/>
              </w:rPr>
              <w:t>*</w:t>
            </w:r>
          </w:p>
        </w:tc>
        <w:tc>
          <w:tcPr>
            <w:tcW w:w="1417" w:type="dxa"/>
          </w:tcPr>
          <w:p w14:paraId="0E65C111" w14:textId="77777777" w:rsidR="00184569" w:rsidRPr="00184569" w:rsidRDefault="00184569" w:rsidP="00184569">
            <w:pPr>
              <w:widowControl w:val="0"/>
              <w:autoSpaceDE w:val="0"/>
              <w:autoSpaceDN w:val="0"/>
              <w:spacing w:after="0" w:line="240" w:lineRule="auto"/>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6 (0,7)</w:t>
            </w:r>
          </w:p>
        </w:tc>
        <w:tc>
          <w:tcPr>
            <w:tcW w:w="1418" w:type="dxa"/>
          </w:tcPr>
          <w:p w14:paraId="70AC72E7" w14:textId="77777777" w:rsidR="00184569" w:rsidRPr="00184569" w:rsidRDefault="00184569" w:rsidP="00184569">
            <w:pPr>
              <w:widowControl w:val="0"/>
              <w:autoSpaceDE w:val="0"/>
              <w:autoSpaceDN w:val="0"/>
              <w:spacing w:after="0" w:line="240" w:lineRule="auto"/>
              <w:ind w:left="3"/>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7 (0,9)</w:t>
            </w:r>
          </w:p>
        </w:tc>
        <w:tc>
          <w:tcPr>
            <w:tcW w:w="1134" w:type="dxa"/>
          </w:tcPr>
          <w:p w14:paraId="22C0FDEF" w14:textId="77777777" w:rsidR="00184569" w:rsidRPr="00184569" w:rsidRDefault="00184569" w:rsidP="00184569">
            <w:pPr>
              <w:widowControl w:val="0"/>
              <w:autoSpaceDE w:val="0"/>
              <w:autoSpaceDN w:val="0"/>
              <w:spacing w:after="0" w:line="240" w:lineRule="auto"/>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53 (6,4)</w:t>
            </w:r>
          </w:p>
        </w:tc>
        <w:tc>
          <w:tcPr>
            <w:tcW w:w="1701" w:type="dxa"/>
          </w:tcPr>
          <w:p w14:paraId="60DA7098" w14:textId="77777777" w:rsidR="00184569" w:rsidRPr="00184569" w:rsidRDefault="00184569" w:rsidP="00184569">
            <w:pPr>
              <w:widowControl w:val="0"/>
              <w:autoSpaceDE w:val="0"/>
              <w:autoSpaceDN w:val="0"/>
              <w:spacing w:after="0" w:line="240" w:lineRule="auto"/>
              <w:ind w:left="4"/>
              <w:jc w:val="center"/>
              <w:rPr>
                <w:rFonts w:ascii="Times New Roman" w:eastAsia="Times New Roman" w:hAnsi="Times New Roman" w:cs="Times New Roman"/>
                <w:kern w:val="0"/>
                <w14:ligatures w14:val="none"/>
              </w:rPr>
            </w:pPr>
          </w:p>
        </w:tc>
        <w:tc>
          <w:tcPr>
            <w:tcW w:w="1657" w:type="dxa"/>
          </w:tcPr>
          <w:p w14:paraId="371E6EF4" w14:textId="77777777" w:rsidR="00184569" w:rsidRPr="00184569" w:rsidRDefault="00184569" w:rsidP="00184569">
            <w:pPr>
              <w:widowControl w:val="0"/>
              <w:autoSpaceDE w:val="0"/>
              <w:autoSpaceDN w:val="0"/>
              <w:spacing w:after="0" w:line="240" w:lineRule="auto"/>
              <w:jc w:val="center"/>
              <w:rPr>
                <w:rFonts w:ascii="Times New Roman" w:eastAsia="Times New Roman" w:hAnsi="Times New Roman" w:cs="Times New Roman"/>
                <w:kern w:val="0"/>
                <w14:ligatures w14:val="none"/>
              </w:rPr>
            </w:pPr>
          </w:p>
        </w:tc>
      </w:tr>
      <w:tr w:rsidR="00184569" w:rsidRPr="00184569" w14:paraId="24819032" w14:textId="77777777" w:rsidTr="00E16EC6">
        <w:trPr>
          <w:trHeight w:val="227"/>
        </w:trPr>
        <w:tc>
          <w:tcPr>
            <w:tcW w:w="1843" w:type="dxa"/>
          </w:tcPr>
          <w:p w14:paraId="236A4F07"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PE</w:t>
            </w:r>
            <w:r w:rsidRPr="00184569">
              <w:rPr>
                <w:rFonts w:ascii="Times New Roman" w:eastAsia="Times New Roman" w:hAnsi="Times New Roman" w:cs="Times New Roman"/>
                <w:kern w:val="0"/>
                <w:position w:val="7"/>
                <w14:ligatures w14:val="none"/>
              </w:rPr>
              <w:t>*</w:t>
            </w:r>
          </w:p>
        </w:tc>
        <w:tc>
          <w:tcPr>
            <w:tcW w:w="1417" w:type="dxa"/>
          </w:tcPr>
          <w:p w14:paraId="406689CC" w14:textId="77777777" w:rsidR="00184569" w:rsidRPr="00184569" w:rsidRDefault="00184569" w:rsidP="00184569">
            <w:pPr>
              <w:widowControl w:val="0"/>
              <w:autoSpaceDE w:val="0"/>
              <w:autoSpaceDN w:val="0"/>
              <w:spacing w:after="0" w:line="240" w:lineRule="auto"/>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7 (0,8)</w:t>
            </w:r>
          </w:p>
        </w:tc>
        <w:tc>
          <w:tcPr>
            <w:tcW w:w="1418" w:type="dxa"/>
          </w:tcPr>
          <w:p w14:paraId="38C1312D" w14:textId="77777777" w:rsidR="00184569" w:rsidRPr="00184569" w:rsidRDefault="00184569" w:rsidP="00184569">
            <w:pPr>
              <w:widowControl w:val="0"/>
              <w:autoSpaceDE w:val="0"/>
              <w:autoSpaceDN w:val="0"/>
              <w:spacing w:after="0" w:line="240" w:lineRule="auto"/>
              <w:ind w:left="3"/>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4 (0,5)</w:t>
            </w:r>
          </w:p>
        </w:tc>
        <w:tc>
          <w:tcPr>
            <w:tcW w:w="1134" w:type="dxa"/>
          </w:tcPr>
          <w:p w14:paraId="66884B8F" w14:textId="77777777" w:rsidR="00184569" w:rsidRPr="00184569" w:rsidRDefault="00184569" w:rsidP="00184569">
            <w:pPr>
              <w:widowControl w:val="0"/>
              <w:autoSpaceDE w:val="0"/>
              <w:autoSpaceDN w:val="0"/>
              <w:spacing w:after="0" w:line="240" w:lineRule="auto"/>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13 (1,6)</w:t>
            </w:r>
          </w:p>
        </w:tc>
        <w:tc>
          <w:tcPr>
            <w:tcW w:w="1701" w:type="dxa"/>
          </w:tcPr>
          <w:p w14:paraId="15C7A057" w14:textId="77777777" w:rsidR="00184569" w:rsidRPr="00184569" w:rsidRDefault="00184569" w:rsidP="00184569">
            <w:pPr>
              <w:widowControl w:val="0"/>
              <w:autoSpaceDE w:val="0"/>
              <w:autoSpaceDN w:val="0"/>
              <w:spacing w:after="0" w:line="240" w:lineRule="auto"/>
              <w:ind w:left="4"/>
              <w:jc w:val="center"/>
              <w:rPr>
                <w:rFonts w:ascii="Times New Roman" w:eastAsia="Times New Roman" w:hAnsi="Times New Roman" w:cs="Times New Roman"/>
                <w:kern w:val="0"/>
                <w14:ligatures w14:val="none"/>
              </w:rPr>
            </w:pPr>
          </w:p>
        </w:tc>
        <w:tc>
          <w:tcPr>
            <w:tcW w:w="1657" w:type="dxa"/>
          </w:tcPr>
          <w:p w14:paraId="265EF8F5" w14:textId="77777777" w:rsidR="00184569" w:rsidRPr="00184569" w:rsidRDefault="00184569" w:rsidP="00184569">
            <w:pPr>
              <w:widowControl w:val="0"/>
              <w:autoSpaceDE w:val="0"/>
              <w:autoSpaceDN w:val="0"/>
              <w:spacing w:after="0" w:line="240" w:lineRule="auto"/>
              <w:jc w:val="center"/>
              <w:rPr>
                <w:rFonts w:ascii="Times New Roman" w:eastAsia="Times New Roman" w:hAnsi="Times New Roman" w:cs="Times New Roman"/>
                <w:kern w:val="0"/>
                <w14:ligatures w14:val="none"/>
              </w:rPr>
            </w:pPr>
          </w:p>
        </w:tc>
      </w:tr>
      <w:tr w:rsidR="00184569" w:rsidRPr="00184569" w14:paraId="6888736C" w14:textId="77777777" w:rsidTr="00E16EC6">
        <w:trPr>
          <w:trHeight w:val="176"/>
        </w:trPr>
        <w:tc>
          <w:tcPr>
            <w:tcW w:w="1843" w:type="dxa"/>
          </w:tcPr>
          <w:p w14:paraId="198582B1"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Összmortalitás</w:t>
            </w:r>
          </w:p>
        </w:tc>
        <w:tc>
          <w:tcPr>
            <w:tcW w:w="1417" w:type="dxa"/>
          </w:tcPr>
          <w:p w14:paraId="31F38071" w14:textId="77777777" w:rsidR="00184569" w:rsidRPr="00184569" w:rsidRDefault="00184569" w:rsidP="00184569">
            <w:pPr>
              <w:widowControl w:val="0"/>
              <w:autoSpaceDE w:val="0"/>
              <w:autoSpaceDN w:val="0"/>
              <w:spacing w:after="0" w:line="240" w:lineRule="auto"/>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6 (0,7)</w:t>
            </w:r>
          </w:p>
        </w:tc>
        <w:tc>
          <w:tcPr>
            <w:tcW w:w="1418" w:type="dxa"/>
          </w:tcPr>
          <w:p w14:paraId="6593351B" w14:textId="77777777" w:rsidR="00184569" w:rsidRPr="00184569" w:rsidRDefault="00184569" w:rsidP="00184569">
            <w:pPr>
              <w:widowControl w:val="0"/>
              <w:autoSpaceDE w:val="0"/>
              <w:autoSpaceDN w:val="0"/>
              <w:spacing w:after="0" w:line="240" w:lineRule="auto"/>
              <w:ind w:left="3"/>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3 (0,4)</w:t>
            </w:r>
          </w:p>
        </w:tc>
        <w:tc>
          <w:tcPr>
            <w:tcW w:w="1134" w:type="dxa"/>
          </w:tcPr>
          <w:p w14:paraId="5B6946A4" w14:textId="77777777" w:rsidR="00184569" w:rsidRPr="00184569" w:rsidRDefault="00184569" w:rsidP="00184569">
            <w:pPr>
              <w:widowControl w:val="0"/>
              <w:autoSpaceDE w:val="0"/>
              <w:autoSpaceDN w:val="0"/>
              <w:spacing w:after="0" w:line="240" w:lineRule="auto"/>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11 (1,3)</w:t>
            </w:r>
          </w:p>
        </w:tc>
        <w:tc>
          <w:tcPr>
            <w:tcW w:w="1701" w:type="dxa"/>
          </w:tcPr>
          <w:p w14:paraId="70C7E8C0" w14:textId="77777777" w:rsidR="00184569" w:rsidRPr="00184569" w:rsidRDefault="00184569" w:rsidP="00184569">
            <w:pPr>
              <w:widowControl w:val="0"/>
              <w:autoSpaceDE w:val="0"/>
              <w:autoSpaceDN w:val="0"/>
              <w:spacing w:after="0" w:line="240" w:lineRule="auto"/>
              <w:ind w:left="4"/>
              <w:jc w:val="center"/>
              <w:rPr>
                <w:rFonts w:ascii="Times New Roman" w:eastAsia="Times New Roman" w:hAnsi="Times New Roman" w:cs="Times New Roman"/>
                <w:kern w:val="0"/>
                <w14:ligatures w14:val="none"/>
              </w:rPr>
            </w:pPr>
          </w:p>
        </w:tc>
        <w:tc>
          <w:tcPr>
            <w:tcW w:w="1657" w:type="dxa"/>
          </w:tcPr>
          <w:p w14:paraId="40391286" w14:textId="77777777" w:rsidR="00184569" w:rsidRPr="00184569" w:rsidRDefault="00184569" w:rsidP="00184569">
            <w:pPr>
              <w:widowControl w:val="0"/>
              <w:autoSpaceDE w:val="0"/>
              <w:autoSpaceDN w:val="0"/>
              <w:spacing w:after="0" w:line="240" w:lineRule="auto"/>
              <w:jc w:val="center"/>
              <w:rPr>
                <w:rFonts w:ascii="Times New Roman" w:eastAsia="Times New Roman" w:hAnsi="Times New Roman" w:cs="Times New Roman"/>
                <w:kern w:val="0"/>
                <w14:ligatures w14:val="none"/>
              </w:rPr>
            </w:pPr>
          </w:p>
        </w:tc>
      </w:tr>
      <w:tr w:rsidR="00184569" w:rsidRPr="00184569" w14:paraId="6864D54A" w14:textId="77777777" w:rsidTr="00E16EC6">
        <w:trPr>
          <w:trHeight w:val="757"/>
        </w:trPr>
        <w:tc>
          <w:tcPr>
            <w:tcW w:w="1843" w:type="dxa"/>
          </w:tcPr>
          <w:p w14:paraId="55C0E0C8"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Ismételt VTE vagy VTE-vel összefüggő halálozás</w:t>
            </w:r>
          </w:p>
        </w:tc>
        <w:tc>
          <w:tcPr>
            <w:tcW w:w="1417" w:type="dxa"/>
          </w:tcPr>
          <w:p w14:paraId="637C3DBC" w14:textId="77777777" w:rsidR="00184569" w:rsidRPr="00184569" w:rsidRDefault="00184569" w:rsidP="00184569">
            <w:pPr>
              <w:widowControl w:val="0"/>
              <w:autoSpaceDE w:val="0"/>
              <w:autoSpaceDN w:val="0"/>
              <w:spacing w:after="0" w:line="240" w:lineRule="auto"/>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14 (1,7)</w:t>
            </w:r>
          </w:p>
        </w:tc>
        <w:tc>
          <w:tcPr>
            <w:tcW w:w="1418" w:type="dxa"/>
          </w:tcPr>
          <w:p w14:paraId="30593069" w14:textId="77777777" w:rsidR="00184569" w:rsidRPr="00184569" w:rsidRDefault="00184569" w:rsidP="00184569">
            <w:pPr>
              <w:widowControl w:val="0"/>
              <w:autoSpaceDE w:val="0"/>
              <w:autoSpaceDN w:val="0"/>
              <w:spacing w:after="0" w:line="240" w:lineRule="auto"/>
              <w:ind w:left="3"/>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14 (1,7)</w:t>
            </w:r>
          </w:p>
        </w:tc>
        <w:tc>
          <w:tcPr>
            <w:tcW w:w="1134" w:type="dxa"/>
          </w:tcPr>
          <w:p w14:paraId="68A30130" w14:textId="77777777" w:rsidR="00184569" w:rsidRPr="00184569" w:rsidRDefault="00184569" w:rsidP="00184569">
            <w:pPr>
              <w:widowControl w:val="0"/>
              <w:autoSpaceDE w:val="0"/>
              <w:autoSpaceDN w:val="0"/>
              <w:spacing w:after="0" w:line="240" w:lineRule="auto"/>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73 (8,8)</w:t>
            </w:r>
          </w:p>
        </w:tc>
        <w:tc>
          <w:tcPr>
            <w:tcW w:w="1701" w:type="dxa"/>
          </w:tcPr>
          <w:p w14:paraId="50716E7F" w14:textId="77777777" w:rsidR="00184569" w:rsidRPr="00184569" w:rsidRDefault="00184569" w:rsidP="00184569">
            <w:pPr>
              <w:widowControl w:val="0"/>
              <w:autoSpaceDE w:val="0"/>
              <w:autoSpaceDN w:val="0"/>
              <w:spacing w:after="0" w:line="240" w:lineRule="auto"/>
              <w:ind w:left="4"/>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0,19</w:t>
            </w:r>
          </w:p>
          <w:p w14:paraId="2AA8D2BB" w14:textId="77777777" w:rsidR="00184569" w:rsidRPr="00184569" w:rsidRDefault="00184569" w:rsidP="00184569">
            <w:pPr>
              <w:widowControl w:val="0"/>
              <w:autoSpaceDE w:val="0"/>
              <w:autoSpaceDN w:val="0"/>
              <w:spacing w:after="0" w:line="240" w:lineRule="auto"/>
              <w:ind w:left="4"/>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(0,11; 0,33)</w:t>
            </w:r>
          </w:p>
        </w:tc>
        <w:tc>
          <w:tcPr>
            <w:tcW w:w="1657" w:type="dxa"/>
          </w:tcPr>
          <w:p w14:paraId="29A92C8C" w14:textId="77777777" w:rsidR="00184569" w:rsidRPr="00184569" w:rsidRDefault="00184569" w:rsidP="00184569">
            <w:pPr>
              <w:widowControl w:val="0"/>
              <w:autoSpaceDE w:val="0"/>
              <w:autoSpaceDN w:val="0"/>
              <w:spacing w:after="0" w:line="240" w:lineRule="auto"/>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0,20</w:t>
            </w:r>
          </w:p>
          <w:p w14:paraId="5A1EBDD1" w14:textId="77777777" w:rsidR="00184569" w:rsidRPr="00184569" w:rsidRDefault="00184569" w:rsidP="00184569">
            <w:pPr>
              <w:widowControl w:val="0"/>
              <w:autoSpaceDE w:val="0"/>
              <w:autoSpaceDN w:val="0"/>
              <w:spacing w:after="0" w:line="240" w:lineRule="auto"/>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(0,11; 0,34)</w:t>
            </w:r>
          </w:p>
        </w:tc>
      </w:tr>
      <w:tr w:rsidR="00184569" w:rsidRPr="00184569" w14:paraId="4DAFE9CD" w14:textId="77777777" w:rsidTr="00E16EC6">
        <w:trPr>
          <w:trHeight w:val="303"/>
        </w:trPr>
        <w:tc>
          <w:tcPr>
            <w:tcW w:w="1843" w:type="dxa"/>
            <w:tcBorders>
              <w:bottom w:val="nil"/>
            </w:tcBorders>
          </w:tcPr>
          <w:p w14:paraId="7F5753F7"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Ismételt VTE vagy CV eredetű halálozás</w:t>
            </w:r>
          </w:p>
        </w:tc>
        <w:tc>
          <w:tcPr>
            <w:tcW w:w="1417" w:type="dxa"/>
            <w:tcBorders>
              <w:bottom w:val="nil"/>
            </w:tcBorders>
          </w:tcPr>
          <w:p w14:paraId="543D3400" w14:textId="77777777" w:rsidR="00184569" w:rsidRPr="00184569" w:rsidRDefault="00184569" w:rsidP="00184569">
            <w:pPr>
              <w:widowControl w:val="0"/>
              <w:autoSpaceDE w:val="0"/>
              <w:autoSpaceDN w:val="0"/>
              <w:spacing w:after="0" w:line="240" w:lineRule="auto"/>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14 (1,7)</w:t>
            </w:r>
          </w:p>
        </w:tc>
        <w:tc>
          <w:tcPr>
            <w:tcW w:w="1418" w:type="dxa"/>
            <w:tcBorders>
              <w:bottom w:val="nil"/>
            </w:tcBorders>
          </w:tcPr>
          <w:p w14:paraId="4B00B4D9" w14:textId="77777777" w:rsidR="00184569" w:rsidRPr="00184569" w:rsidRDefault="00184569" w:rsidP="00184569">
            <w:pPr>
              <w:widowControl w:val="0"/>
              <w:autoSpaceDE w:val="0"/>
              <w:autoSpaceDN w:val="0"/>
              <w:spacing w:after="0" w:line="240" w:lineRule="auto"/>
              <w:ind w:left="3"/>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14 (1,7)</w:t>
            </w:r>
          </w:p>
        </w:tc>
        <w:tc>
          <w:tcPr>
            <w:tcW w:w="1134" w:type="dxa"/>
            <w:tcBorders>
              <w:bottom w:val="nil"/>
            </w:tcBorders>
          </w:tcPr>
          <w:p w14:paraId="7526C24B" w14:textId="77777777" w:rsidR="00184569" w:rsidRPr="00184569" w:rsidRDefault="00184569" w:rsidP="00184569">
            <w:pPr>
              <w:widowControl w:val="0"/>
              <w:autoSpaceDE w:val="0"/>
              <w:autoSpaceDN w:val="0"/>
              <w:spacing w:after="0" w:line="240" w:lineRule="auto"/>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76 (9,2)</w:t>
            </w:r>
          </w:p>
        </w:tc>
        <w:tc>
          <w:tcPr>
            <w:tcW w:w="1701" w:type="dxa"/>
            <w:tcBorders>
              <w:bottom w:val="nil"/>
            </w:tcBorders>
          </w:tcPr>
          <w:p w14:paraId="6AF8B2CD" w14:textId="77777777" w:rsidR="00184569" w:rsidRPr="00184569" w:rsidRDefault="00184569" w:rsidP="00184569">
            <w:pPr>
              <w:widowControl w:val="0"/>
              <w:autoSpaceDE w:val="0"/>
              <w:autoSpaceDN w:val="0"/>
              <w:spacing w:after="0" w:line="240" w:lineRule="auto"/>
              <w:ind w:left="4"/>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0,18</w:t>
            </w:r>
          </w:p>
          <w:p w14:paraId="61F0508A" w14:textId="77777777" w:rsidR="00184569" w:rsidRPr="00184569" w:rsidRDefault="00184569" w:rsidP="00184569">
            <w:pPr>
              <w:widowControl w:val="0"/>
              <w:autoSpaceDE w:val="0"/>
              <w:autoSpaceDN w:val="0"/>
              <w:spacing w:after="0" w:line="240" w:lineRule="auto"/>
              <w:ind w:left="4"/>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(0,10; 0,32)</w:t>
            </w:r>
          </w:p>
        </w:tc>
        <w:tc>
          <w:tcPr>
            <w:tcW w:w="1657" w:type="dxa"/>
            <w:tcBorders>
              <w:bottom w:val="nil"/>
            </w:tcBorders>
          </w:tcPr>
          <w:p w14:paraId="5B4EB7E4" w14:textId="77777777" w:rsidR="00184569" w:rsidRPr="00184569" w:rsidRDefault="00184569" w:rsidP="00184569">
            <w:pPr>
              <w:widowControl w:val="0"/>
              <w:autoSpaceDE w:val="0"/>
              <w:autoSpaceDN w:val="0"/>
              <w:spacing w:after="0" w:line="240" w:lineRule="auto"/>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0,19</w:t>
            </w:r>
          </w:p>
          <w:p w14:paraId="75F18608" w14:textId="77777777" w:rsidR="00184569" w:rsidRPr="00184569" w:rsidRDefault="00184569" w:rsidP="00184569">
            <w:pPr>
              <w:widowControl w:val="0"/>
              <w:autoSpaceDE w:val="0"/>
              <w:autoSpaceDN w:val="0"/>
              <w:spacing w:after="0" w:line="240" w:lineRule="auto"/>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(0,11; 0,33)</w:t>
            </w:r>
          </w:p>
        </w:tc>
      </w:tr>
      <w:tr w:rsidR="00184569" w:rsidRPr="00184569" w14:paraId="15FAF81B" w14:textId="77777777" w:rsidTr="00E16EC6">
        <w:trPr>
          <w:trHeight w:val="495"/>
        </w:trPr>
        <w:tc>
          <w:tcPr>
            <w:tcW w:w="1843" w:type="dxa"/>
          </w:tcPr>
          <w:p w14:paraId="70A931EA"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Nem halálos MVT</w:t>
            </w:r>
            <w:proofErr w:type="gramStart"/>
            <w:r w:rsidRPr="00184569">
              <w:rPr>
                <w:rFonts w:ascii="Times New Roman" w:eastAsia="Times New Roman" w:hAnsi="Times New Roman" w:cs="Times New Roman"/>
                <w:kern w:val="0"/>
                <w:position w:val="7"/>
                <w14:ligatures w14:val="none"/>
              </w:rPr>
              <w:t>†</w:t>
            </w:r>
            <w:proofErr w:type="gramEnd"/>
          </w:p>
        </w:tc>
        <w:tc>
          <w:tcPr>
            <w:tcW w:w="1417" w:type="dxa"/>
          </w:tcPr>
          <w:p w14:paraId="25ECD30C" w14:textId="77777777" w:rsidR="00184569" w:rsidRPr="00184569" w:rsidRDefault="00184569" w:rsidP="00184569">
            <w:pPr>
              <w:widowControl w:val="0"/>
              <w:autoSpaceDE w:val="0"/>
              <w:autoSpaceDN w:val="0"/>
              <w:spacing w:after="0" w:line="240" w:lineRule="auto"/>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6 (0,7)</w:t>
            </w:r>
          </w:p>
        </w:tc>
        <w:tc>
          <w:tcPr>
            <w:tcW w:w="1418" w:type="dxa"/>
          </w:tcPr>
          <w:p w14:paraId="096942B6" w14:textId="77777777" w:rsidR="00184569" w:rsidRPr="00184569" w:rsidRDefault="00184569" w:rsidP="00184569">
            <w:pPr>
              <w:widowControl w:val="0"/>
              <w:autoSpaceDE w:val="0"/>
              <w:autoSpaceDN w:val="0"/>
              <w:spacing w:after="0" w:line="240" w:lineRule="auto"/>
              <w:ind w:left="3"/>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8 (1,0)</w:t>
            </w:r>
          </w:p>
        </w:tc>
        <w:tc>
          <w:tcPr>
            <w:tcW w:w="1134" w:type="dxa"/>
          </w:tcPr>
          <w:p w14:paraId="2631014F" w14:textId="77777777" w:rsidR="00184569" w:rsidRPr="00184569" w:rsidRDefault="00184569" w:rsidP="00184569">
            <w:pPr>
              <w:widowControl w:val="0"/>
              <w:autoSpaceDE w:val="0"/>
              <w:autoSpaceDN w:val="0"/>
              <w:spacing w:after="0" w:line="240" w:lineRule="auto"/>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53 (6,4)</w:t>
            </w:r>
          </w:p>
        </w:tc>
        <w:tc>
          <w:tcPr>
            <w:tcW w:w="1701" w:type="dxa"/>
          </w:tcPr>
          <w:p w14:paraId="410BE839" w14:textId="77777777" w:rsidR="00184569" w:rsidRPr="00184569" w:rsidRDefault="00184569" w:rsidP="00184569">
            <w:pPr>
              <w:widowControl w:val="0"/>
              <w:autoSpaceDE w:val="0"/>
              <w:autoSpaceDN w:val="0"/>
              <w:spacing w:after="0" w:line="240" w:lineRule="auto"/>
              <w:ind w:left="4"/>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0,11</w:t>
            </w:r>
          </w:p>
          <w:p w14:paraId="00D8B937" w14:textId="77777777" w:rsidR="00184569" w:rsidRPr="00184569" w:rsidRDefault="00184569" w:rsidP="00184569">
            <w:pPr>
              <w:widowControl w:val="0"/>
              <w:autoSpaceDE w:val="0"/>
              <w:autoSpaceDN w:val="0"/>
              <w:spacing w:after="0" w:line="240" w:lineRule="auto"/>
              <w:ind w:left="4"/>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(0,05; 0,26)</w:t>
            </w:r>
          </w:p>
        </w:tc>
        <w:tc>
          <w:tcPr>
            <w:tcW w:w="1657" w:type="dxa"/>
          </w:tcPr>
          <w:p w14:paraId="154612AE" w14:textId="77777777" w:rsidR="00184569" w:rsidRPr="00184569" w:rsidRDefault="00184569" w:rsidP="00184569">
            <w:pPr>
              <w:widowControl w:val="0"/>
              <w:autoSpaceDE w:val="0"/>
              <w:autoSpaceDN w:val="0"/>
              <w:spacing w:after="0" w:line="240" w:lineRule="auto"/>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0,15</w:t>
            </w:r>
          </w:p>
          <w:p w14:paraId="3C474A52" w14:textId="77777777" w:rsidR="00184569" w:rsidRPr="00184569" w:rsidRDefault="00184569" w:rsidP="00184569">
            <w:pPr>
              <w:widowControl w:val="0"/>
              <w:autoSpaceDE w:val="0"/>
              <w:autoSpaceDN w:val="0"/>
              <w:spacing w:after="0" w:line="240" w:lineRule="auto"/>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(0,07; 0,32)</w:t>
            </w:r>
          </w:p>
        </w:tc>
      </w:tr>
      <w:tr w:rsidR="00184569" w:rsidRPr="00184569" w14:paraId="3B49B9A9" w14:textId="77777777" w:rsidTr="00E16EC6">
        <w:trPr>
          <w:trHeight w:val="304"/>
        </w:trPr>
        <w:tc>
          <w:tcPr>
            <w:tcW w:w="1843" w:type="dxa"/>
            <w:tcBorders>
              <w:bottom w:val="nil"/>
            </w:tcBorders>
          </w:tcPr>
          <w:p w14:paraId="580CEA8A"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Nem halálos PE</w:t>
            </w:r>
            <w:proofErr w:type="gramStart"/>
            <w:r w:rsidRPr="00184569">
              <w:rPr>
                <w:rFonts w:ascii="Times New Roman" w:eastAsia="Times New Roman" w:hAnsi="Times New Roman" w:cs="Times New Roman"/>
                <w:kern w:val="0"/>
                <w:position w:val="7"/>
                <w14:ligatures w14:val="none"/>
              </w:rPr>
              <w:t>†</w:t>
            </w:r>
            <w:proofErr w:type="gramEnd"/>
          </w:p>
        </w:tc>
        <w:tc>
          <w:tcPr>
            <w:tcW w:w="1417" w:type="dxa"/>
            <w:tcBorders>
              <w:bottom w:val="nil"/>
            </w:tcBorders>
          </w:tcPr>
          <w:p w14:paraId="028E9BF5" w14:textId="77777777" w:rsidR="00184569" w:rsidRPr="00184569" w:rsidRDefault="00184569" w:rsidP="00184569">
            <w:pPr>
              <w:widowControl w:val="0"/>
              <w:autoSpaceDE w:val="0"/>
              <w:autoSpaceDN w:val="0"/>
              <w:spacing w:after="0" w:line="240" w:lineRule="auto"/>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8 (1,0)</w:t>
            </w:r>
          </w:p>
        </w:tc>
        <w:tc>
          <w:tcPr>
            <w:tcW w:w="1418" w:type="dxa"/>
            <w:tcBorders>
              <w:bottom w:val="nil"/>
            </w:tcBorders>
          </w:tcPr>
          <w:p w14:paraId="3401C817" w14:textId="77777777" w:rsidR="00184569" w:rsidRPr="00184569" w:rsidRDefault="00184569" w:rsidP="00184569">
            <w:pPr>
              <w:widowControl w:val="0"/>
              <w:autoSpaceDE w:val="0"/>
              <w:autoSpaceDN w:val="0"/>
              <w:spacing w:after="0" w:line="240" w:lineRule="auto"/>
              <w:ind w:left="3"/>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4 (0,5)</w:t>
            </w:r>
          </w:p>
        </w:tc>
        <w:tc>
          <w:tcPr>
            <w:tcW w:w="1134" w:type="dxa"/>
            <w:tcBorders>
              <w:bottom w:val="nil"/>
            </w:tcBorders>
          </w:tcPr>
          <w:p w14:paraId="4365FC24" w14:textId="77777777" w:rsidR="00184569" w:rsidRPr="00184569" w:rsidRDefault="00184569" w:rsidP="00184569">
            <w:pPr>
              <w:widowControl w:val="0"/>
              <w:autoSpaceDE w:val="0"/>
              <w:autoSpaceDN w:val="0"/>
              <w:spacing w:after="0" w:line="240" w:lineRule="auto"/>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15 (1,8)</w:t>
            </w:r>
          </w:p>
        </w:tc>
        <w:tc>
          <w:tcPr>
            <w:tcW w:w="1701" w:type="dxa"/>
            <w:tcBorders>
              <w:bottom w:val="nil"/>
            </w:tcBorders>
          </w:tcPr>
          <w:p w14:paraId="3A86BD22" w14:textId="77777777" w:rsidR="00184569" w:rsidRPr="00184569" w:rsidRDefault="00184569" w:rsidP="00184569">
            <w:pPr>
              <w:widowControl w:val="0"/>
              <w:autoSpaceDE w:val="0"/>
              <w:autoSpaceDN w:val="0"/>
              <w:spacing w:after="0" w:line="240" w:lineRule="auto"/>
              <w:ind w:left="4"/>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0,51</w:t>
            </w:r>
          </w:p>
          <w:p w14:paraId="5E1282D6" w14:textId="77777777" w:rsidR="00184569" w:rsidRPr="00184569" w:rsidRDefault="00184569" w:rsidP="00184569">
            <w:pPr>
              <w:widowControl w:val="0"/>
              <w:autoSpaceDE w:val="0"/>
              <w:autoSpaceDN w:val="0"/>
              <w:spacing w:after="0" w:line="240" w:lineRule="auto"/>
              <w:ind w:left="4"/>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(0,22; 1,21)</w:t>
            </w:r>
          </w:p>
        </w:tc>
        <w:tc>
          <w:tcPr>
            <w:tcW w:w="1657" w:type="dxa"/>
            <w:tcBorders>
              <w:bottom w:val="nil"/>
            </w:tcBorders>
          </w:tcPr>
          <w:p w14:paraId="07324282" w14:textId="77777777" w:rsidR="00184569" w:rsidRPr="00184569" w:rsidRDefault="00184569" w:rsidP="00184569">
            <w:pPr>
              <w:widowControl w:val="0"/>
              <w:autoSpaceDE w:val="0"/>
              <w:autoSpaceDN w:val="0"/>
              <w:spacing w:after="0" w:line="240" w:lineRule="auto"/>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0,27</w:t>
            </w:r>
          </w:p>
          <w:p w14:paraId="2E2E24E2" w14:textId="77777777" w:rsidR="00184569" w:rsidRPr="00184569" w:rsidRDefault="00184569" w:rsidP="00184569">
            <w:pPr>
              <w:widowControl w:val="0"/>
              <w:autoSpaceDE w:val="0"/>
              <w:autoSpaceDN w:val="0"/>
              <w:spacing w:after="0" w:line="240" w:lineRule="auto"/>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(0,09; 0,80)</w:t>
            </w:r>
          </w:p>
        </w:tc>
      </w:tr>
      <w:tr w:rsidR="00184569" w:rsidRPr="00184569" w14:paraId="2C72BDC2" w14:textId="77777777" w:rsidTr="00E16EC6">
        <w:trPr>
          <w:trHeight w:val="467"/>
        </w:trPr>
        <w:tc>
          <w:tcPr>
            <w:tcW w:w="1843" w:type="dxa"/>
          </w:tcPr>
          <w:p w14:paraId="16644DC8"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VTE-vel összefüggő halálozás</w:t>
            </w:r>
          </w:p>
        </w:tc>
        <w:tc>
          <w:tcPr>
            <w:tcW w:w="1417" w:type="dxa"/>
          </w:tcPr>
          <w:p w14:paraId="2108ACC7" w14:textId="77777777" w:rsidR="00184569" w:rsidRPr="00184569" w:rsidRDefault="00184569" w:rsidP="00184569">
            <w:pPr>
              <w:widowControl w:val="0"/>
              <w:autoSpaceDE w:val="0"/>
              <w:autoSpaceDN w:val="0"/>
              <w:spacing w:after="0" w:line="240" w:lineRule="auto"/>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2 (0,2)</w:t>
            </w:r>
          </w:p>
        </w:tc>
        <w:tc>
          <w:tcPr>
            <w:tcW w:w="1418" w:type="dxa"/>
          </w:tcPr>
          <w:p w14:paraId="64D90DD5" w14:textId="77777777" w:rsidR="00184569" w:rsidRPr="00184569" w:rsidRDefault="00184569" w:rsidP="00184569">
            <w:pPr>
              <w:widowControl w:val="0"/>
              <w:autoSpaceDE w:val="0"/>
              <w:autoSpaceDN w:val="0"/>
              <w:spacing w:after="0" w:line="240" w:lineRule="auto"/>
              <w:ind w:left="3"/>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3 (0,4)</w:t>
            </w:r>
          </w:p>
        </w:tc>
        <w:tc>
          <w:tcPr>
            <w:tcW w:w="1134" w:type="dxa"/>
          </w:tcPr>
          <w:p w14:paraId="75F47F6A" w14:textId="77777777" w:rsidR="00184569" w:rsidRPr="00184569" w:rsidRDefault="00184569" w:rsidP="00184569">
            <w:pPr>
              <w:widowControl w:val="0"/>
              <w:autoSpaceDE w:val="0"/>
              <w:autoSpaceDN w:val="0"/>
              <w:spacing w:after="0" w:line="240" w:lineRule="auto"/>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7 (0,8)</w:t>
            </w:r>
          </w:p>
        </w:tc>
        <w:tc>
          <w:tcPr>
            <w:tcW w:w="1701" w:type="dxa"/>
          </w:tcPr>
          <w:p w14:paraId="3FC8F9F2" w14:textId="77777777" w:rsidR="00184569" w:rsidRPr="00184569" w:rsidRDefault="00184569" w:rsidP="00184569">
            <w:pPr>
              <w:widowControl w:val="0"/>
              <w:autoSpaceDE w:val="0"/>
              <w:autoSpaceDN w:val="0"/>
              <w:spacing w:after="0" w:line="240" w:lineRule="auto"/>
              <w:ind w:left="4"/>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0,28</w:t>
            </w:r>
          </w:p>
          <w:p w14:paraId="1C299D3F" w14:textId="77777777" w:rsidR="00184569" w:rsidRPr="00184569" w:rsidRDefault="00184569" w:rsidP="00184569">
            <w:pPr>
              <w:widowControl w:val="0"/>
              <w:autoSpaceDE w:val="0"/>
              <w:autoSpaceDN w:val="0"/>
              <w:spacing w:after="0" w:line="240" w:lineRule="auto"/>
              <w:ind w:left="4"/>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(0,06; 1,37)</w:t>
            </w:r>
          </w:p>
        </w:tc>
        <w:tc>
          <w:tcPr>
            <w:tcW w:w="1657" w:type="dxa"/>
          </w:tcPr>
          <w:p w14:paraId="038235AF" w14:textId="77777777" w:rsidR="00184569" w:rsidRPr="00184569" w:rsidRDefault="00184569" w:rsidP="00184569">
            <w:pPr>
              <w:widowControl w:val="0"/>
              <w:autoSpaceDE w:val="0"/>
              <w:autoSpaceDN w:val="0"/>
              <w:spacing w:after="0" w:line="240" w:lineRule="auto"/>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0,45</w:t>
            </w:r>
          </w:p>
          <w:p w14:paraId="35522C1A" w14:textId="77777777" w:rsidR="00184569" w:rsidRPr="00184569" w:rsidRDefault="00184569" w:rsidP="00184569">
            <w:pPr>
              <w:widowControl w:val="0"/>
              <w:autoSpaceDE w:val="0"/>
              <w:autoSpaceDN w:val="0"/>
              <w:spacing w:after="0" w:line="240" w:lineRule="auto"/>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(0,12; 1,71)</w:t>
            </w:r>
          </w:p>
        </w:tc>
      </w:tr>
    </w:tbl>
    <w:p w14:paraId="48E68CEC" w14:textId="77777777" w:rsidR="00184569" w:rsidRPr="00184569" w:rsidRDefault="00184569" w:rsidP="00184569">
      <w:pPr>
        <w:widowControl w:val="0"/>
        <w:autoSpaceDE w:val="0"/>
        <w:autoSpaceDN w:val="0"/>
        <w:spacing w:after="0" w:line="240" w:lineRule="auto"/>
        <w:ind w:left="142" w:hanging="142"/>
        <w:rPr>
          <w:rFonts w:ascii="Times New Roman" w:eastAsia="Times New Roman" w:hAnsi="Times New Roman" w:cs="Times New Roman"/>
          <w:kern w:val="0"/>
          <w:sz w:val="18"/>
          <w:szCs w:val="18"/>
          <w14:ligatures w14:val="none"/>
        </w:rPr>
      </w:pPr>
      <w:r w:rsidRPr="00184569">
        <w:rPr>
          <w:rFonts w:ascii="Times New Roman" w:eastAsia="Times New Roman" w:hAnsi="Times New Roman" w:cs="Times New Roman"/>
          <w:kern w:val="0"/>
          <w:sz w:val="18"/>
          <w:szCs w:val="18"/>
          <w14:ligatures w14:val="none"/>
        </w:rPr>
        <w:t>¥ p-érték &lt; 0,0001</w:t>
      </w:r>
    </w:p>
    <w:p w14:paraId="4FB92495" w14:textId="77777777" w:rsidR="00184569" w:rsidRPr="00184569" w:rsidRDefault="00184569" w:rsidP="008B021B">
      <w:pPr>
        <w:widowControl w:val="0"/>
        <w:numPr>
          <w:ilvl w:val="0"/>
          <w:numId w:val="3"/>
        </w:numPr>
        <w:tabs>
          <w:tab w:val="left" w:pos="386"/>
        </w:tabs>
        <w:autoSpaceDE w:val="0"/>
        <w:autoSpaceDN w:val="0"/>
        <w:spacing w:after="0" w:line="240" w:lineRule="auto"/>
        <w:ind w:left="142" w:hanging="142"/>
        <w:rPr>
          <w:rFonts w:ascii="Times New Roman" w:eastAsia="Times New Roman" w:hAnsi="Times New Roman" w:cs="Times New Roman"/>
          <w:kern w:val="0"/>
          <w:sz w:val="18"/>
          <w:szCs w:val="18"/>
          <w14:ligatures w14:val="none"/>
        </w:rPr>
      </w:pPr>
      <w:r w:rsidRPr="00184569">
        <w:rPr>
          <w:rFonts w:ascii="Times New Roman" w:eastAsia="Times New Roman" w:hAnsi="Times New Roman" w:cs="Times New Roman"/>
          <w:kern w:val="0"/>
          <w:sz w:val="18"/>
          <w:szCs w:val="18"/>
          <w14:ligatures w14:val="none"/>
        </w:rPr>
        <w:t>Azoknál a betegeknél, akiknél az összetett végponthoz számított események közül több is előfordult, csak az első eseményt jelentették (ha például egy betegnél MVT, majd egy PE is előfordult, akkor csak az MVT-t jelentették).</w:t>
      </w:r>
    </w:p>
    <w:p w14:paraId="0CBD42B8" w14:textId="77777777" w:rsidR="00184569" w:rsidRPr="00184569" w:rsidRDefault="00184569" w:rsidP="00184569">
      <w:pPr>
        <w:widowControl w:val="0"/>
        <w:tabs>
          <w:tab w:val="left" w:pos="8280"/>
        </w:tabs>
        <w:autoSpaceDE w:val="0"/>
        <w:autoSpaceDN w:val="0"/>
        <w:spacing w:after="0" w:line="240" w:lineRule="auto"/>
        <w:ind w:left="142" w:hanging="142"/>
        <w:rPr>
          <w:rFonts w:ascii="Times New Roman" w:eastAsia="Times New Roman" w:hAnsi="Times New Roman" w:cs="Times New Roman"/>
          <w:kern w:val="0"/>
          <w:sz w:val="18"/>
          <w:szCs w:val="18"/>
          <w14:ligatures w14:val="none"/>
        </w:rPr>
      </w:pPr>
      <w:r w:rsidRPr="00184569">
        <w:rPr>
          <w:rFonts w:ascii="Times New Roman" w:eastAsia="Times New Roman" w:hAnsi="Times New Roman" w:cs="Times New Roman"/>
          <w:kern w:val="0"/>
          <w:sz w:val="18"/>
          <w:szCs w:val="18"/>
          <w14:ligatures w14:val="none"/>
        </w:rPr>
        <w:t>† Az egyes betegeknél több esemény is bekövetkezhetett, ezért mindkét kategóriába be lehetett sorolni őket.</w:t>
      </w:r>
    </w:p>
    <w:p w14:paraId="53B55779"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
    <w:p w14:paraId="6EE9937F"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Az apixabán megtartotta a kiújuló VTE prevenciójában mutatott hatásosságát az egyes alcsoportokban, így az életkor, a nem, a testtömegindex (BMI) vagy a vesefunkció szerinti alcsoportokban.</w:t>
      </w:r>
    </w:p>
    <w:p w14:paraId="11CC677A"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
    <w:p w14:paraId="69AA5C01"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Az elsődleges biztonságossági végpont a kezelési időszak alatti nagyfokú vérzés volt. A vizsgálatban a nagyfokú vérzés előfordulási gyakorisága egyik apixabán-dózis esetén sem különbözött statisztikailag a placebo esetén észlelttől. Nem volt statisztikailag szignifikáns különbség a nagyfokú + klinikailag jelentős, de nem nagyfokú (CRNM), továbbá a kisfokú és az összes vérzés előfordulási gyakorisága között a naponta kétszer 2,5 mg apixabán és a placebo terápiás csoportok között (lásd 12. táblázat).</w:t>
      </w:r>
    </w:p>
    <w:p w14:paraId="47988467"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
    <w:p w14:paraId="411C4ECA" w14:textId="77777777" w:rsidR="00184569" w:rsidRPr="00184569" w:rsidRDefault="00184569" w:rsidP="00184569">
      <w:pPr>
        <w:keepNext/>
        <w:autoSpaceDE w:val="0"/>
        <w:autoSpaceDN w:val="0"/>
        <w:spacing w:after="0" w:line="240" w:lineRule="auto"/>
        <w:outlineLvl w:val="1"/>
        <w:rPr>
          <w:rFonts w:ascii="Times New Roman" w:eastAsia="Times New Roman" w:hAnsi="Times New Roman" w:cs="Times New Roman"/>
          <w:b/>
          <w:bCs/>
          <w:kern w:val="0"/>
          <w14:ligatures w14:val="none"/>
        </w:rPr>
      </w:pPr>
      <w:r w:rsidRPr="00184569">
        <w:rPr>
          <w:rFonts w:ascii="Times New Roman" w:eastAsia="Times New Roman" w:hAnsi="Times New Roman" w:cs="Times New Roman"/>
          <w:b/>
          <w:bCs/>
          <w:kern w:val="0"/>
          <w14:ligatures w14:val="none"/>
        </w:rPr>
        <w:t>12. táblázat: Az AMPLIFY-EXT vizsgálat vérzésekre vonatkozó eredményei</w:t>
      </w:r>
    </w:p>
    <w:tbl>
      <w:tblPr>
        <w:tblW w:w="899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506"/>
        <w:gridCol w:w="1368"/>
        <w:gridCol w:w="1368"/>
        <w:gridCol w:w="1145"/>
        <w:gridCol w:w="1761"/>
        <w:gridCol w:w="1843"/>
      </w:tblGrid>
      <w:tr w:rsidR="00184569" w:rsidRPr="00184569" w14:paraId="68E89809" w14:textId="77777777" w:rsidTr="00E16EC6">
        <w:trPr>
          <w:trHeight w:val="280"/>
        </w:trPr>
        <w:tc>
          <w:tcPr>
            <w:tcW w:w="1506" w:type="dxa"/>
            <w:vMerge w:val="restart"/>
          </w:tcPr>
          <w:p w14:paraId="76078062" w14:textId="77777777" w:rsidR="00184569" w:rsidRPr="00184569" w:rsidRDefault="00184569" w:rsidP="00184569">
            <w:pPr>
              <w:keepNext/>
              <w:autoSpaceDE w:val="0"/>
              <w:autoSpaceDN w:val="0"/>
              <w:spacing w:after="0" w:line="240" w:lineRule="auto"/>
              <w:jc w:val="center"/>
              <w:rPr>
                <w:rFonts w:ascii="Times New Roman" w:eastAsia="Times New Roman" w:hAnsi="Times New Roman" w:cs="Times New Roman"/>
                <w:kern w:val="0"/>
                <w14:ligatures w14:val="none"/>
              </w:rPr>
            </w:pPr>
          </w:p>
        </w:tc>
        <w:tc>
          <w:tcPr>
            <w:tcW w:w="1368" w:type="dxa"/>
          </w:tcPr>
          <w:p w14:paraId="18D52A1D" w14:textId="77777777" w:rsidR="00184569" w:rsidRPr="00184569" w:rsidRDefault="00184569" w:rsidP="00184569">
            <w:pPr>
              <w:keepNext/>
              <w:autoSpaceDE w:val="0"/>
              <w:autoSpaceDN w:val="0"/>
              <w:spacing w:after="0" w:line="240" w:lineRule="auto"/>
              <w:ind w:left="56"/>
              <w:jc w:val="center"/>
              <w:rPr>
                <w:rFonts w:ascii="Times New Roman" w:eastAsia="Times New Roman" w:hAnsi="Times New Roman" w:cs="Times New Roman"/>
                <w:b/>
                <w:kern w:val="0"/>
                <w14:ligatures w14:val="none"/>
              </w:rPr>
            </w:pPr>
            <w:r w:rsidRPr="00184569">
              <w:rPr>
                <w:rFonts w:ascii="Times New Roman" w:eastAsia="Times New Roman" w:hAnsi="Times New Roman" w:cs="Times New Roman"/>
                <w:b/>
                <w:kern w:val="0"/>
                <w14:ligatures w14:val="none"/>
              </w:rPr>
              <w:t>apixabán</w:t>
            </w:r>
          </w:p>
        </w:tc>
        <w:tc>
          <w:tcPr>
            <w:tcW w:w="1368" w:type="dxa"/>
          </w:tcPr>
          <w:p w14:paraId="44BD4D69" w14:textId="77777777" w:rsidR="00184569" w:rsidRPr="00184569" w:rsidRDefault="00184569" w:rsidP="00184569">
            <w:pPr>
              <w:keepNext/>
              <w:autoSpaceDE w:val="0"/>
              <w:autoSpaceDN w:val="0"/>
              <w:spacing w:after="0" w:line="240" w:lineRule="auto"/>
              <w:jc w:val="center"/>
              <w:rPr>
                <w:rFonts w:ascii="Times New Roman" w:eastAsia="Times New Roman" w:hAnsi="Times New Roman" w:cs="Times New Roman"/>
                <w:b/>
                <w:kern w:val="0"/>
                <w14:ligatures w14:val="none"/>
              </w:rPr>
            </w:pPr>
            <w:r w:rsidRPr="00184569">
              <w:rPr>
                <w:rFonts w:ascii="Times New Roman" w:eastAsia="Times New Roman" w:hAnsi="Times New Roman" w:cs="Times New Roman"/>
                <w:b/>
                <w:kern w:val="0"/>
                <w14:ligatures w14:val="none"/>
              </w:rPr>
              <w:t>apixabán</w:t>
            </w:r>
          </w:p>
        </w:tc>
        <w:tc>
          <w:tcPr>
            <w:tcW w:w="1145" w:type="dxa"/>
          </w:tcPr>
          <w:p w14:paraId="2D4F9BCC" w14:textId="77777777" w:rsidR="00184569" w:rsidRPr="00184569" w:rsidRDefault="00184569" w:rsidP="00184569">
            <w:pPr>
              <w:keepNext/>
              <w:autoSpaceDE w:val="0"/>
              <w:autoSpaceDN w:val="0"/>
              <w:spacing w:after="0" w:line="240" w:lineRule="auto"/>
              <w:ind w:left="12"/>
              <w:jc w:val="center"/>
              <w:rPr>
                <w:rFonts w:ascii="Times New Roman" w:eastAsia="Times New Roman" w:hAnsi="Times New Roman" w:cs="Times New Roman"/>
                <w:b/>
                <w:kern w:val="0"/>
                <w14:ligatures w14:val="none"/>
              </w:rPr>
            </w:pPr>
            <w:r w:rsidRPr="00184569">
              <w:rPr>
                <w:rFonts w:ascii="Times New Roman" w:eastAsia="Times New Roman" w:hAnsi="Times New Roman" w:cs="Times New Roman"/>
                <w:b/>
                <w:kern w:val="0"/>
                <w14:ligatures w14:val="none"/>
              </w:rPr>
              <w:t>placebo</w:t>
            </w:r>
          </w:p>
        </w:tc>
        <w:tc>
          <w:tcPr>
            <w:tcW w:w="3604" w:type="dxa"/>
            <w:gridSpan w:val="2"/>
          </w:tcPr>
          <w:p w14:paraId="6218B51A" w14:textId="77777777" w:rsidR="00184569" w:rsidRPr="00184569" w:rsidRDefault="00184569" w:rsidP="00184569">
            <w:pPr>
              <w:keepNext/>
              <w:autoSpaceDE w:val="0"/>
              <w:autoSpaceDN w:val="0"/>
              <w:spacing w:after="0" w:line="240" w:lineRule="auto"/>
              <w:jc w:val="center"/>
              <w:rPr>
                <w:rFonts w:ascii="Times New Roman" w:eastAsia="Times New Roman" w:hAnsi="Times New Roman" w:cs="Times New Roman"/>
                <w:b/>
                <w:kern w:val="0"/>
                <w14:ligatures w14:val="none"/>
              </w:rPr>
            </w:pPr>
            <w:r w:rsidRPr="00184569">
              <w:rPr>
                <w:rFonts w:ascii="Times New Roman" w:eastAsia="Times New Roman" w:hAnsi="Times New Roman" w:cs="Times New Roman"/>
                <w:b/>
                <w:kern w:val="0"/>
                <w14:ligatures w14:val="none"/>
              </w:rPr>
              <w:t>relatív kockázat (95%-os CI)</w:t>
            </w:r>
          </w:p>
        </w:tc>
      </w:tr>
      <w:tr w:rsidR="00184569" w:rsidRPr="00184569" w14:paraId="262B5A1F" w14:textId="77777777" w:rsidTr="00E16EC6">
        <w:trPr>
          <w:trHeight w:val="554"/>
        </w:trPr>
        <w:tc>
          <w:tcPr>
            <w:tcW w:w="1506" w:type="dxa"/>
            <w:vMerge/>
          </w:tcPr>
          <w:p w14:paraId="3E1D7932" w14:textId="77777777" w:rsidR="00184569" w:rsidRPr="00184569" w:rsidRDefault="00184569" w:rsidP="00184569">
            <w:pPr>
              <w:keepNext/>
              <w:widowControl w:val="0"/>
              <w:autoSpaceDE w:val="0"/>
              <w:autoSpaceDN w:val="0"/>
              <w:spacing w:after="0" w:line="240" w:lineRule="auto"/>
              <w:rPr>
                <w:rFonts w:ascii="Times New Roman" w:eastAsia="Times New Roman" w:hAnsi="Times New Roman" w:cs="Times New Roman"/>
                <w:kern w:val="0"/>
                <w14:ligatures w14:val="none"/>
              </w:rPr>
            </w:pPr>
          </w:p>
        </w:tc>
        <w:tc>
          <w:tcPr>
            <w:tcW w:w="1368" w:type="dxa"/>
          </w:tcPr>
          <w:p w14:paraId="0BBF4A89" w14:textId="77777777" w:rsidR="00184569" w:rsidRPr="00184569" w:rsidRDefault="00184569" w:rsidP="00184569">
            <w:pPr>
              <w:keepNext/>
              <w:widowControl w:val="0"/>
              <w:autoSpaceDE w:val="0"/>
              <w:autoSpaceDN w:val="0"/>
              <w:spacing w:after="0" w:line="240" w:lineRule="auto"/>
              <w:ind w:left="56"/>
              <w:jc w:val="center"/>
              <w:rPr>
                <w:rFonts w:ascii="Times New Roman" w:eastAsia="Times New Roman" w:hAnsi="Times New Roman" w:cs="Times New Roman"/>
                <w:b/>
                <w:kern w:val="0"/>
                <w14:ligatures w14:val="none"/>
              </w:rPr>
            </w:pPr>
            <w:r w:rsidRPr="00184569">
              <w:rPr>
                <w:rFonts w:ascii="Times New Roman" w:eastAsia="Times New Roman" w:hAnsi="Times New Roman" w:cs="Times New Roman"/>
                <w:b/>
                <w:kern w:val="0"/>
                <w14:ligatures w14:val="none"/>
              </w:rPr>
              <w:t>2,5 mg</w:t>
            </w:r>
          </w:p>
          <w:p w14:paraId="449B154E" w14:textId="77777777" w:rsidR="00184569" w:rsidRPr="00184569" w:rsidRDefault="00184569" w:rsidP="00184569">
            <w:pPr>
              <w:keepNext/>
              <w:widowControl w:val="0"/>
              <w:autoSpaceDE w:val="0"/>
              <w:autoSpaceDN w:val="0"/>
              <w:spacing w:after="0" w:line="240" w:lineRule="auto"/>
              <w:ind w:left="56"/>
              <w:jc w:val="center"/>
              <w:rPr>
                <w:rFonts w:ascii="Times New Roman" w:eastAsia="Times New Roman" w:hAnsi="Times New Roman" w:cs="Times New Roman"/>
                <w:b/>
                <w:kern w:val="0"/>
                <w14:ligatures w14:val="none"/>
              </w:rPr>
            </w:pPr>
            <w:r w:rsidRPr="00184569">
              <w:rPr>
                <w:rFonts w:ascii="Times New Roman" w:eastAsia="Times New Roman" w:hAnsi="Times New Roman" w:cs="Times New Roman"/>
                <w:b/>
                <w:kern w:val="0"/>
                <w14:ligatures w14:val="none"/>
              </w:rPr>
              <w:t>(n = 840)</w:t>
            </w:r>
          </w:p>
        </w:tc>
        <w:tc>
          <w:tcPr>
            <w:tcW w:w="1368" w:type="dxa"/>
          </w:tcPr>
          <w:p w14:paraId="0C8D1945" w14:textId="77777777" w:rsidR="00184569" w:rsidRPr="00184569" w:rsidRDefault="00184569" w:rsidP="00184569">
            <w:pPr>
              <w:keepNext/>
              <w:widowControl w:val="0"/>
              <w:autoSpaceDE w:val="0"/>
              <w:autoSpaceDN w:val="0"/>
              <w:spacing w:after="0" w:line="240" w:lineRule="auto"/>
              <w:jc w:val="center"/>
              <w:rPr>
                <w:rFonts w:ascii="Times New Roman" w:eastAsia="Times New Roman" w:hAnsi="Times New Roman" w:cs="Times New Roman"/>
                <w:b/>
                <w:kern w:val="0"/>
                <w14:ligatures w14:val="none"/>
              </w:rPr>
            </w:pPr>
            <w:r w:rsidRPr="00184569">
              <w:rPr>
                <w:rFonts w:ascii="Times New Roman" w:eastAsia="Times New Roman" w:hAnsi="Times New Roman" w:cs="Times New Roman"/>
                <w:b/>
                <w:kern w:val="0"/>
                <w14:ligatures w14:val="none"/>
              </w:rPr>
              <w:t>5,0 mg</w:t>
            </w:r>
          </w:p>
          <w:p w14:paraId="1C0F2DEE" w14:textId="77777777" w:rsidR="00184569" w:rsidRPr="00184569" w:rsidRDefault="00184569" w:rsidP="00184569">
            <w:pPr>
              <w:keepNext/>
              <w:widowControl w:val="0"/>
              <w:autoSpaceDE w:val="0"/>
              <w:autoSpaceDN w:val="0"/>
              <w:spacing w:after="0" w:line="240" w:lineRule="auto"/>
              <w:jc w:val="center"/>
              <w:rPr>
                <w:rFonts w:ascii="Times New Roman" w:eastAsia="Times New Roman" w:hAnsi="Times New Roman" w:cs="Times New Roman"/>
                <w:b/>
                <w:kern w:val="0"/>
                <w14:ligatures w14:val="none"/>
              </w:rPr>
            </w:pPr>
            <w:r w:rsidRPr="00184569">
              <w:rPr>
                <w:rFonts w:ascii="Times New Roman" w:eastAsia="Times New Roman" w:hAnsi="Times New Roman" w:cs="Times New Roman"/>
                <w:b/>
                <w:kern w:val="0"/>
                <w14:ligatures w14:val="none"/>
              </w:rPr>
              <w:t>(n = 811)</w:t>
            </w:r>
          </w:p>
        </w:tc>
        <w:tc>
          <w:tcPr>
            <w:tcW w:w="1145" w:type="dxa"/>
          </w:tcPr>
          <w:p w14:paraId="0D61D057" w14:textId="77777777" w:rsidR="00184569" w:rsidRPr="00184569" w:rsidRDefault="00184569" w:rsidP="00184569">
            <w:pPr>
              <w:keepNext/>
              <w:widowControl w:val="0"/>
              <w:autoSpaceDE w:val="0"/>
              <w:autoSpaceDN w:val="0"/>
              <w:spacing w:after="0" w:line="240" w:lineRule="auto"/>
              <w:ind w:left="12"/>
              <w:jc w:val="center"/>
              <w:rPr>
                <w:rFonts w:ascii="Times New Roman" w:eastAsia="Times New Roman" w:hAnsi="Times New Roman" w:cs="Times New Roman"/>
                <w:b/>
                <w:kern w:val="0"/>
                <w14:ligatures w14:val="none"/>
              </w:rPr>
            </w:pPr>
          </w:p>
          <w:p w14:paraId="7C825B04" w14:textId="77777777" w:rsidR="00184569" w:rsidRPr="00184569" w:rsidRDefault="00184569" w:rsidP="00184569">
            <w:pPr>
              <w:keepNext/>
              <w:widowControl w:val="0"/>
              <w:autoSpaceDE w:val="0"/>
              <w:autoSpaceDN w:val="0"/>
              <w:spacing w:after="0" w:line="240" w:lineRule="auto"/>
              <w:ind w:left="12"/>
              <w:jc w:val="center"/>
              <w:rPr>
                <w:rFonts w:ascii="Times New Roman" w:eastAsia="Times New Roman" w:hAnsi="Times New Roman" w:cs="Times New Roman"/>
                <w:b/>
                <w:kern w:val="0"/>
                <w14:ligatures w14:val="none"/>
              </w:rPr>
            </w:pPr>
            <w:r w:rsidRPr="00184569">
              <w:rPr>
                <w:rFonts w:ascii="Times New Roman" w:eastAsia="Times New Roman" w:hAnsi="Times New Roman" w:cs="Times New Roman"/>
                <w:b/>
                <w:kern w:val="0"/>
                <w14:ligatures w14:val="none"/>
              </w:rPr>
              <w:t>(n = 826)</w:t>
            </w:r>
          </w:p>
        </w:tc>
        <w:tc>
          <w:tcPr>
            <w:tcW w:w="1761" w:type="dxa"/>
          </w:tcPr>
          <w:p w14:paraId="2FEA983F" w14:textId="77777777" w:rsidR="00184569" w:rsidRPr="00184569" w:rsidRDefault="00184569" w:rsidP="00184569">
            <w:pPr>
              <w:keepNext/>
              <w:widowControl w:val="0"/>
              <w:autoSpaceDE w:val="0"/>
              <w:autoSpaceDN w:val="0"/>
              <w:spacing w:after="0" w:line="240" w:lineRule="auto"/>
              <w:jc w:val="center"/>
              <w:rPr>
                <w:rFonts w:ascii="Times New Roman" w:eastAsia="Times New Roman" w:hAnsi="Times New Roman" w:cs="Times New Roman"/>
                <w:b/>
                <w:kern w:val="0"/>
                <w14:ligatures w14:val="none"/>
              </w:rPr>
            </w:pPr>
            <w:r w:rsidRPr="00184569">
              <w:rPr>
                <w:rFonts w:ascii="Times New Roman" w:eastAsia="Times New Roman" w:hAnsi="Times New Roman" w:cs="Times New Roman"/>
                <w:b/>
                <w:kern w:val="0"/>
                <w14:ligatures w14:val="none"/>
              </w:rPr>
              <w:t>apixapán 2,5 mg</w:t>
            </w:r>
          </w:p>
          <w:p w14:paraId="55DF8306" w14:textId="77777777" w:rsidR="00184569" w:rsidRPr="00184569" w:rsidRDefault="00184569" w:rsidP="00184569">
            <w:pPr>
              <w:keepNext/>
              <w:widowControl w:val="0"/>
              <w:autoSpaceDE w:val="0"/>
              <w:autoSpaceDN w:val="0"/>
              <w:spacing w:after="0" w:line="240" w:lineRule="auto"/>
              <w:jc w:val="center"/>
              <w:rPr>
                <w:rFonts w:ascii="Times New Roman" w:eastAsia="Times New Roman" w:hAnsi="Times New Roman" w:cs="Times New Roman"/>
                <w:b/>
                <w:kern w:val="0"/>
                <w14:ligatures w14:val="none"/>
              </w:rPr>
            </w:pPr>
            <w:r w:rsidRPr="00184569">
              <w:rPr>
                <w:rFonts w:ascii="Times New Roman" w:eastAsia="Times New Roman" w:hAnsi="Times New Roman" w:cs="Times New Roman"/>
                <w:b/>
                <w:kern w:val="0"/>
                <w14:ligatures w14:val="none"/>
              </w:rPr>
              <w:t>vs. placebo</w:t>
            </w:r>
          </w:p>
        </w:tc>
        <w:tc>
          <w:tcPr>
            <w:tcW w:w="1843" w:type="dxa"/>
          </w:tcPr>
          <w:p w14:paraId="7AB26AB9" w14:textId="77777777" w:rsidR="00184569" w:rsidRPr="00184569" w:rsidRDefault="00184569" w:rsidP="00184569">
            <w:pPr>
              <w:keepNext/>
              <w:widowControl w:val="0"/>
              <w:autoSpaceDE w:val="0"/>
              <w:autoSpaceDN w:val="0"/>
              <w:spacing w:after="0" w:line="240" w:lineRule="auto"/>
              <w:jc w:val="center"/>
              <w:rPr>
                <w:rFonts w:ascii="Times New Roman" w:eastAsia="Times New Roman" w:hAnsi="Times New Roman" w:cs="Times New Roman"/>
                <w:b/>
                <w:kern w:val="0"/>
                <w14:ligatures w14:val="none"/>
              </w:rPr>
            </w:pPr>
            <w:r w:rsidRPr="00184569">
              <w:rPr>
                <w:rFonts w:ascii="Times New Roman" w:eastAsia="Times New Roman" w:hAnsi="Times New Roman" w:cs="Times New Roman"/>
                <w:b/>
                <w:kern w:val="0"/>
                <w14:ligatures w14:val="none"/>
              </w:rPr>
              <w:t>apixabán 5,0 mg</w:t>
            </w:r>
          </w:p>
          <w:p w14:paraId="29B52A7A" w14:textId="77777777" w:rsidR="00184569" w:rsidRPr="00184569" w:rsidRDefault="00184569" w:rsidP="00184569">
            <w:pPr>
              <w:keepNext/>
              <w:widowControl w:val="0"/>
              <w:autoSpaceDE w:val="0"/>
              <w:autoSpaceDN w:val="0"/>
              <w:spacing w:after="0" w:line="240" w:lineRule="auto"/>
              <w:jc w:val="center"/>
              <w:rPr>
                <w:rFonts w:ascii="Times New Roman" w:eastAsia="Times New Roman" w:hAnsi="Times New Roman" w:cs="Times New Roman"/>
                <w:b/>
                <w:kern w:val="0"/>
                <w14:ligatures w14:val="none"/>
              </w:rPr>
            </w:pPr>
            <w:r w:rsidRPr="00184569">
              <w:rPr>
                <w:rFonts w:ascii="Times New Roman" w:eastAsia="Times New Roman" w:hAnsi="Times New Roman" w:cs="Times New Roman"/>
                <w:b/>
                <w:kern w:val="0"/>
                <w14:ligatures w14:val="none"/>
              </w:rPr>
              <w:t>vs. placebo</w:t>
            </w:r>
          </w:p>
        </w:tc>
      </w:tr>
      <w:tr w:rsidR="00184569" w:rsidRPr="00184569" w14:paraId="3AB38813" w14:textId="77777777" w:rsidTr="00E16EC6">
        <w:trPr>
          <w:trHeight w:val="264"/>
        </w:trPr>
        <w:tc>
          <w:tcPr>
            <w:tcW w:w="1506" w:type="dxa"/>
            <w:vMerge/>
          </w:tcPr>
          <w:p w14:paraId="682D1BE5" w14:textId="77777777" w:rsidR="00184569" w:rsidRPr="00184569" w:rsidRDefault="00184569" w:rsidP="00184569">
            <w:pPr>
              <w:keepNext/>
              <w:widowControl w:val="0"/>
              <w:autoSpaceDE w:val="0"/>
              <w:autoSpaceDN w:val="0"/>
              <w:spacing w:after="0" w:line="240" w:lineRule="auto"/>
              <w:rPr>
                <w:rFonts w:ascii="Times New Roman" w:eastAsia="Times New Roman" w:hAnsi="Times New Roman" w:cs="Times New Roman"/>
                <w:kern w:val="0"/>
                <w14:ligatures w14:val="none"/>
              </w:rPr>
            </w:pPr>
          </w:p>
        </w:tc>
        <w:tc>
          <w:tcPr>
            <w:tcW w:w="1368" w:type="dxa"/>
          </w:tcPr>
          <w:p w14:paraId="259408B8" w14:textId="77777777" w:rsidR="00184569" w:rsidRPr="00184569" w:rsidRDefault="00184569" w:rsidP="00184569">
            <w:pPr>
              <w:keepNext/>
              <w:widowControl w:val="0"/>
              <w:autoSpaceDE w:val="0"/>
              <w:autoSpaceDN w:val="0"/>
              <w:spacing w:after="0" w:line="240" w:lineRule="auto"/>
              <w:ind w:left="56"/>
              <w:jc w:val="center"/>
              <w:rPr>
                <w:rFonts w:ascii="Times New Roman" w:eastAsia="Times New Roman" w:hAnsi="Times New Roman" w:cs="Times New Roman"/>
                <w:kern w:val="0"/>
                <w14:ligatures w14:val="none"/>
              </w:rPr>
            </w:pPr>
          </w:p>
        </w:tc>
        <w:tc>
          <w:tcPr>
            <w:tcW w:w="1368" w:type="dxa"/>
          </w:tcPr>
          <w:p w14:paraId="3B1F3D3B" w14:textId="77777777" w:rsidR="00184569" w:rsidRPr="00184569" w:rsidRDefault="00184569" w:rsidP="00184569">
            <w:pPr>
              <w:keepNext/>
              <w:widowControl w:val="0"/>
              <w:autoSpaceDE w:val="0"/>
              <w:autoSpaceDN w:val="0"/>
              <w:spacing w:after="0" w:line="240" w:lineRule="auto"/>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n (%)</w:t>
            </w:r>
          </w:p>
        </w:tc>
        <w:tc>
          <w:tcPr>
            <w:tcW w:w="1145" w:type="dxa"/>
          </w:tcPr>
          <w:p w14:paraId="387CD7BA" w14:textId="77777777" w:rsidR="00184569" w:rsidRPr="00184569" w:rsidRDefault="00184569" w:rsidP="00184569">
            <w:pPr>
              <w:keepNext/>
              <w:widowControl w:val="0"/>
              <w:autoSpaceDE w:val="0"/>
              <w:autoSpaceDN w:val="0"/>
              <w:spacing w:after="0" w:line="240" w:lineRule="auto"/>
              <w:ind w:left="12"/>
              <w:jc w:val="center"/>
              <w:rPr>
                <w:rFonts w:ascii="Times New Roman" w:eastAsia="Times New Roman" w:hAnsi="Times New Roman" w:cs="Times New Roman"/>
                <w:kern w:val="0"/>
                <w14:ligatures w14:val="none"/>
              </w:rPr>
            </w:pPr>
          </w:p>
        </w:tc>
        <w:tc>
          <w:tcPr>
            <w:tcW w:w="1761" w:type="dxa"/>
          </w:tcPr>
          <w:p w14:paraId="286CC580" w14:textId="77777777" w:rsidR="00184569" w:rsidRPr="00184569" w:rsidRDefault="00184569" w:rsidP="00184569">
            <w:pPr>
              <w:keepNext/>
              <w:widowControl w:val="0"/>
              <w:autoSpaceDE w:val="0"/>
              <w:autoSpaceDN w:val="0"/>
              <w:spacing w:after="0" w:line="240" w:lineRule="auto"/>
              <w:jc w:val="center"/>
              <w:rPr>
                <w:rFonts w:ascii="Times New Roman" w:eastAsia="Times New Roman" w:hAnsi="Times New Roman" w:cs="Times New Roman"/>
                <w:kern w:val="0"/>
                <w14:ligatures w14:val="none"/>
              </w:rPr>
            </w:pPr>
          </w:p>
        </w:tc>
        <w:tc>
          <w:tcPr>
            <w:tcW w:w="1843" w:type="dxa"/>
          </w:tcPr>
          <w:p w14:paraId="6FE18B8D" w14:textId="77777777" w:rsidR="00184569" w:rsidRPr="00184569" w:rsidRDefault="00184569" w:rsidP="00184569">
            <w:pPr>
              <w:keepNext/>
              <w:widowControl w:val="0"/>
              <w:autoSpaceDE w:val="0"/>
              <w:autoSpaceDN w:val="0"/>
              <w:spacing w:after="0" w:line="240" w:lineRule="auto"/>
              <w:jc w:val="center"/>
              <w:rPr>
                <w:rFonts w:ascii="Times New Roman" w:eastAsia="Times New Roman" w:hAnsi="Times New Roman" w:cs="Times New Roman"/>
                <w:kern w:val="0"/>
                <w14:ligatures w14:val="none"/>
              </w:rPr>
            </w:pPr>
          </w:p>
        </w:tc>
      </w:tr>
      <w:tr w:rsidR="00184569" w:rsidRPr="00184569" w14:paraId="16C5513B" w14:textId="77777777" w:rsidTr="00E16EC6">
        <w:trPr>
          <w:trHeight w:val="423"/>
        </w:trPr>
        <w:tc>
          <w:tcPr>
            <w:tcW w:w="1506" w:type="dxa"/>
          </w:tcPr>
          <w:p w14:paraId="14781174" w14:textId="77777777" w:rsidR="00184569" w:rsidRPr="00184569" w:rsidRDefault="00184569" w:rsidP="00184569">
            <w:pPr>
              <w:keepNext/>
              <w:widowControl w:val="0"/>
              <w:autoSpaceDE w:val="0"/>
              <w:autoSpaceDN w:val="0"/>
              <w:spacing w:after="0" w:line="240" w:lineRule="auto"/>
              <w:ind w:left="107"/>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Nagyfokú</w:t>
            </w:r>
          </w:p>
        </w:tc>
        <w:tc>
          <w:tcPr>
            <w:tcW w:w="1368" w:type="dxa"/>
          </w:tcPr>
          <w:p w14:paraId="5D424CBB" w14:textId="77777777" w:rsidR="00184569" w:rsidRPr="00184569" w:rsidRDefault="00184569" w:rsidP="00184569">
            <w:pPr>
              <w:keepNext/>
              <w:widowControl w:val="0"/>
              <w:autoSpaceDE w:val="0"/>
              <w:autoSpaceDN w:val="0"/>
              <w:spacing w:after="0" w:line="240" w:lineRule="auto"/>
              <w:ind w:left="56"/>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2 (0,2)</w:t>
            </w:r>
          </w:p>
        </w:tc>
        <w:tc>
          <w:tcPr>
            <w:tcW w:w="1368" w:type="dxa"/>
          </w:tcPr>
          <w:p w14:paraId="5386879C" w14:textId="77777777" w:rsidR="00184569" w:rsidRPr="00184569" w:rsidRDefault="00184569" w:rsidP="00184569">
            <w:pPr>
              <w:keepNext/>
              <w:widowControl w:val="0"/>
              <w:autoSpaceDE w:val="0"/>
              <w:autoSpaceDN w:val="0"/>
              <w:spacing w:after="0" w:line="240" w:lineRule="auto"/>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1 (0,1)</w:t>
            </w:r>
          </w:p>
        </w:tc>
        <w:tc>
          <w:tcPr>
            <w:tcW w:w="1145" w:type="dxa"/>
          </w:tcPr>
          <w:p w14:paraId="6B0D582A" w14:textId="77777777" w:rsidR="00184569" w:rsidRPr="00184569" w:rsidRDefault="00184569" w:rsidP="00184569">
            <w:pPr>
              <w:keepNext/>
              <w:widowControl w:val="0"/>
              <w:autoSpaceDE w:val="0"/>
              <w:autoSpaceDN w:val="0"/>
              <w:spacing w:after="0" w:line="240" w:lineRule="auto"/>
              <w:ind w:left="12"/>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4 (0,5)</w:t>
            </w:r>
          </w:p>
        </w:tc>
        <w:tc>
          <w:tcPr>
            <w:tcW w:w="1761" w:type="dxa"/>
          </w:tcPr>
          <w:p w14:paraId="79FC440E" w14:textId="77777777" w:rsidR="00184569" w:rsidRPr="00184569" w:rsidRDefault="00184569" w:rsidP="00184569">
            <w:pPr>
              <w:keepNext/>
              <w:widowControl w:val="0"/>
              <w:autoSpaceDE w:val="0"/>
              <w:autoSpaceDN w:val="0"/>
              <w:spacing w:after="0" w:line="240" w:lineRule="auto"/>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0,49</w:t>
            </w:r>
          </w:p>
          <w:p w14:paraId="5DCBD694" w14:textId="77777777" w:rsidR="00184569" w:rsidRPr="00184569" w:rsidRDefault="00184569" w:rsidP="00184569">
            <w:pPr>
              <w:keepNext/>
              <w:widowControl w:val="0"/>
              <w:autoSpaceDE w:val="0"/>
              <w:autoSpaceDN w:val="0"/>
              <w:spacing w:after="0" w:line="240" w:lineRule="auto"/>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(0,09; 2,64)</w:t>
            </w:r>
          </w:p>
        </w:tc>
        <w:tc>
          <w:tcPr>
            <w:tcW w:w="1843" w:type="dxa"/>
          </w:tcPr>
          <w:p w14:paraId="6FF3D197" w14:textId="77777777" w:rsidR="00184569" w:rsidRPr="00184569" w:rsidRDefault="00184569" w:rsidP="00184569">
            <w:pPr>
              <w:keepNext/>
              <w:widowControl w:val="0"/>
              <w:autoSpaceDE w:val="0"/>
              <w:autoSpaceDN w:val="0"/>
              <w:spacing w:after="0" w:line="240" w:lineRule="auto"/>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0,25</w:t>
            </w:r>
          </w:p>
          <w:p w14:paraId="77BC8849" w14:textId="77777777" w:rsidR="00184569" w:rsidRPr="00184569" w:rsidRDefault="00184569" w:rsidP="00184569">
            <w:pPr>
              <w:keepNext/>
              <w:widowControl w:val="0"/>
              <w:autoSpaceDE w:val="0"/>
              <w:autoSpaceDN w:val="0"/>
              <w:spacing w:after="0" w:line="240" w:lineRule="auto"/>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(0,03; 2,24)</w:t>
            </w:r>
          </w:p>
        </w:tc>
      </w:tr>
      <w:tr w:rsidR="00184569" w:rsidRPr="00184569" w14:paraId="1B5F6523" w14:textId="77777777" w:rsidTr="00E16EC6">
        <w:trPr>
          <w:trHeight w:val="473"/>
        </w:trPr>
        <w:tc>
          <w:tcPr>
            <w:tcW w:w="1506" w:type="dxa"/>
          </w:tcPr>
          <w:p w14:paraId="2ACA0FE3" w14:textId="77777777" w:rsidR="00184569" w:rsidRPr="00184569" w:rsidRDefault="00184569" w:rsidP="00184569">
            <w:pPr>
              <w:keepNext/>
              <w:widowControl w:val="0"/>
              <w:autoSpaceDE w:val="0"/>
              <w:autoSpaceDN w:val="0"/>
              <w:spacing w:after="0" w:line="240" w:lineRule="auto"/>
              <w:ind w:left="107"/>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Nagyfokú + CRNM</w:t>
            </w:r>
          </w:p>
        </w:tc>
        <w:tc>
          <w:tcPr>
            <w:tcW w:w="1368" w:type="dxa"/>
          </w:tcPr>
          <w:p w14:paraId="24D04DEF" w14:textId="77777777" w:rsidR="00184569" w:rsidRPr="00184569" w:rsidRDefault="00184569" w:rsidP="00184569">
            <w:pPr>
              <w:keepNext/>
              <w:widowControl w:val="0"/>
              <w:autoSpaceDE w:val="0"/>
              <w:autoSpaceDN w:val="0"/>
              <w:spacing w:after="0" w:line="240" w:lineRule="auto"/>
              <w:ind w:left="56"/>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27 (3,2)</w:t>
            </w:r>
          </w:p>
        </w:tc>
        <w:tc>
          <w:tcPr>
            <w:tcW w:w="1368" w:type="dxa"/>
          </w:tcPr>
          <w:p w14:paraId="664A94D3" w14:textId="77777777" w:rsidR="00184569" w:rsidRPr="00184569" w:rsidRDefault="00184569" w:rsidP="00184569">
            <w:pPr>
              <w:keepNext/>
              <w:widowControl w:val="0"/>
              <w:autoSpaceDE w:val="0"/>
              <w:autoSpaceDN w:val="0"/>
              <w:spacing w:after="0" w:line="240" w:lineRule="auto"/>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35 (4,3)</w:t>
            </w:r>
          </w:p>
        </w:tc>
        <w:tc>
          <w:tcPr>
            <w:tcW w:w="1145" w:type="dxa"/>
          </w:tcPr>
          <w:p w14:paraId="563C5C09" w14:textId="77777777" w:rsidR="00184569" w:rsidRPr="00184569" w:rsidRDefault="00184569" w:rsidP="00184569">
            <w:pPr>
              <w:keepNext/>
              <w:widowControl w:val="0"/>
              <w:autoSpaceDE w:val="0"/>
              <w:autoSpaceDN w:val="0"/>
              <w:spacing w:after="0" w:line="240" w:lineRule="auto"/>
              <w:ind w:left="12"/>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22 (2,7)</w:t>
            </w:r>
          </w:p>
        </w:tc>
        <w:tc>
          <w:tcPr>
            <w:tcW w:w="1761" w:type="dxa"/>
          </w:tcPr>
          <w:p w14:paraId="64A3A8FF" w14:textId="77777777" w:rsidR="00184569" w:rsidRPr="00184569" w:rsidRDefault="00184569" w:rsidP="00184569">
            <w:pPr>
              <w:keepNext/>
              <w:widowControl w:val="0"/>
              <w:autoSpaceDE w:val="0"/>
              <w:autoSpaceDN w:val="0"/>
              <w:spacing w:after="0" w:line="240" w:lineRule="auto"/>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1,20</w:t>
            </w:r>
          </w:p>
          <w:p w14:paraId="759735C5" w14:textId="77777777" w:rsidR="00184569" w:rsidRPr="00184569" w:rsidRDefault="00184569" w:rsidP="00184569">
            <w:pPr>
              <w:keepNext/>
              <w:widowControl w:val="0"/>
              <w:autoSpaceDE w:val="0"/>
              <w:autoSpaceDN w:val="0"/>
              <w:spacing w:after="0" w:line="240" w:lineRule="auto"/>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(0,69; 2,10)</w:t>
            </w:r>
          </w:p>
        </w:tc>
        <w:tc>
          <w:tcPr>
            <w:tcW w:w="1843" w:type="dxa"/>
          </w:tcPr>
          <w:p w14:paraId="44F6BF6D" w14:textId="77777777" w:rsidR="00184569" w:rsidRPr="00184569" w:rsidRDefault="00184569" w:rsidP="00184569">
            <w:pPr>
              <w:keepNext/>
              <w:widowControl w:val="0"/>
              <w:autoSpaceDE w:val="0"/>
              <w:autoSpaceDN w:val="0"/>
              <w:spacing w:after="0" w:line="240" w:lineRule="auto"/>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1,62</w:t>
            </w:r>
          </w:p>
          <w:p w14:paraId="491A91FD" w14:textId="77777777" w:rsidR="00184569" w:rsidRPr="00184569" w:rsidRDefault="00184569" w:rsidP="00184569">
            <w:pPr>
              <w:keepNext/>
              <w:widowControl w:val="0"/>
              <w:autoSpaceDE w:val="0"/>
              <w:autoSpaceDN w:val="0"/>
              <w:spacing w:after="0" w:line="240" w:lineRule="auto"/>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(0,96; 2,73)</w:t>
            </w:r>
          </w:p>
        </w:tc>
      </w:tr>
      <w:tr w:rsidR="00184569" w:rsidRPr="00184569" w14:paraId="28D8749C" w14:textId="77777777" w:rsidTr="00E16EC6">
        <w:trPr>
          <w:trHeight w:val="523"/>
        </w:trPr>
        <w:tc>
          <w:tcPr>
            <w:tcW w:w="1506" w:type="dxa"/>
          </w:tcPr>
          <w:p w14:paraId="35B7BB78" w14:textId="77777777" w:rsidR="00184569" w:rsidRPr="00184569" w:rsidRDefault="00184569" w:rsidP="00184569">
            <w:pPr>
              <w:keepNext/>
              <w:widowControl w:val="0"/>
              <w:autoSpaceDE w:val="0"/>
              <w:autoSpaceDN w:val="0"/>
              <w:spacing w:after="0" w:line="240" w:lineRule="auto"/>
              <w:ind w:left="107"/>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Kisfokú</w:t>
            </w:r>
          </w:p>
        </w:tc>
        <w:tc>
          <w:tcPr>
            <w:tcW w:w="1368" w:type="dxa"/>
          </w:tcPr>
          <w:p w14:paraId="649FB692" w14:textId="77777777" w:rsidR="00184569" w:rsidRPr="00184569" w:rsidRDefault="00184569" w:rsidP="00184569">
            <w:pPr>
              <w:keepNext/>
              <w:widowControl w:val="0"/>
              <w:autoSpaceDE w:val="0"/>
              <w:autoSpaceDN w:val="0"/>
              <w:spacing w:after="0" w:line="240" w:lineRule="auto"/>
              <w:ind w:left="56"/>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75 (8,9)</w:t>
            </w:r>
          </w:p>
        </w:tc>
        <w:tc>
          <w:tcPr>
            <w:tcW w:w="1368" w:type="dxa"/>
          </w:tcPr>
          <w:p w14:paraId="5E2BDFEB" w14:textId="77777777" w:rsidR="00184569" w:rsidRPr="00184569" w:rsidRDefault="00184569" w:rsidP="00184569">
            <w:pPr>
              <w:keepNext/>
              <w:widowControl w:val="0"/>
              <w:autoSpaceDE w:val="0"/>
              <w:autoSpaceDN w:val="0"/>
              <w:spacing w:after="0" w:line="240" w:lineRule="auto"/>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98 (12,1)</w:t>
            </w:r>
          </w:p>
        </w:tc>
        <w:tc>
          <w:tcPr>
            <w:tcW w:w="1145" w:type="dxa"/>
          </w:tcPr>
          <w:p w14:paraId="543A3541" w14:textId="77777777" w:rsidR="00184569" w:rsidRPr="00184569" w:rsidRDefault="00184569" w:rsidP="00184569">
            <w:pPr>
              <w:keepNext/>
              <w:widowControl w:val="0"/>
              <w:autoSpaceDE w:val="0"/>
              <w:autoSpaceDN w:val="0"/>
              <w:spacing w:after="0" w:line="240" w:lineRule="auto"/>
              <w:ind w:left="12"/>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58 (7,0)</w:t>
            </w:r>
          </w:p>
        </w:tc>
        <w:tc>
          <w:tcPr>
            <w:tcW w:w="1761" w:type="dxa"/>
          </w:tcPr>
          <w:p w14:paraId="5819D441" w14:textId="77777777" w:rsidR="00184569" w:rsidRPr="00184569" w:rsidRDefault="00184569" w:rsidP="00184569">
            <w:pPr>
              <w:keepNext/>
              <w:widowControl w:val="0"/>
              <w:autoSpaceDE w:val="0"/>
              <w:autoSpaceDN w:val="0"/>
              <w:spacing w:after="0" w:line="240" w:lineRule="auto"/>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1,26</w:t>
            </w:r>
          </w:p>
          <w:p w14:paraId="71F0B30D" w14:textId="77777777" w:rsidR="00184569" w:rsidRPr="00184569" w:rsidRDefault="00184569" w:rsidP="00184569">
            <w:pPr>
              <w:keepNext/>
              <w:widowControl w:val="0"/>
              <w:autoSpaceDE w:val="0"/>
              <w:autoSpaceDN w:val="0"/>
              <w:spacing w:after="0" w:line="240" w:lineRule="auto"/>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(0,91; 1,75)</w:t>
            </w:r>
          </w:p>
        </w:tc>
        <w:tc>
          <w:tcPr>
            <w:tcW w:w="1843" w:type="dxa"/>
          </w:tcPr>
          <w:p w14:paraId="3A11FA13" w14:textId="77777777" w:rsidR="00184569" w:rsidRPr="00184569" w:rsidRDefault="00184569" w:rsidP="00184569">
            <w:pPr>
              <w:keepNext/>
              <w:widowControl w:val="0"/>
              <w:autoSpaceDE w:val="0"/>
              <w:autoSpaceDN w:val="0"/>
              <w:spacing w:after="0" w:line="240" w:lineRule="auto"/>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1,70</w:t>
            </w:r>
          </w:p>
          <w:p w14:paraId="5EB38A96" w14:textId="77777777" w:rsidR="00184569" w:rsidRPr="00184569" w:rsidRDefault="00184569" w:rsidP="00184569">
            <w:pPr>
              <w:keepNext/>
              <w:widowControl w:val="0"/>
              <w:autoSpaceDE w:val="0"/>
              <w:autoSpaceDN w:val="0"/>
              <w:spacing w:after="0" w:line="240" w:lineRule="auto"/>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(1,25; 2,31)</w:t>
            </w:r>
          </w:p>
        </w:tc>
      </w:tr>
      <w:tr w:rsidR="00184569" w:rsidRPr="00184569" w14:paraId="2FBA353F" w14:textId="77777777" w:rsidTr="00E16EC6">
        <w:trPr>
          <w:trHeight w:val="417"/>
        </w:trPr>
        <w:tc>
          <w:tcPr>
            <w:tcW w:w="1506" w:type="dxa"/>
          </w:tcPr>
          <w:p w14:paraId="12FE4F87" w14:textId="77777777" w:rsidR="00184569" w:rsidRPr="00184569" w:rsidRDefault="00184569" w:rsidP="00184569">
            <w:pPr>
              <w:keepNext/>
              <w:widowControl w:val="0"/>
              <w:autoSpaceDE w:val="0"/>
              <w:autoSpaceDN w:val="0"/>
              <w:spacing w:after="0" w:line="240" w:lineRule="auto"/>
              <w:ind w:left="107"/>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Összes</w:t>
            </w:r>
          </w:p>
        </w:tc>
        <w:tc>
          <w:tcPr>
            <w:tcW w:w="1368" w:type="dxa"/>
          </w:tcPr>
          <w:p w14:paraId="413DB321" w14:textId="77777777" w:rsidR="00184569" w:rsidRPr="00184569" w:rsidRDefault="00184569" w:rsidP="00184569">
            <w:pPr>
              <w:keepNext/>
              <w:widowControl w:val="0"/>
              <w:autoSpaceDE w:val="0"/>
              <w:autoSpaceDN w:val="0"/>
              <w:spacing w:after="0" w:line="240" w:lineRule="auto"/>
              <w:ind w:left="56"/>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94 (11,2)</w:t>
            </w:r>
          </w:p>
        </w:tc>
        <w:tc>
          <w:tcPr>
            <w:tcW w:w="1368" w:type="dxa"/>
          </w:tcPr>
          <w:p w14:paraId="770DBE98" w14:textId="77777777" w:rsidR="00184569" w:rsidRPr="00184569" w:rsidRDefault="00184569" w:rsidP="00184569">
            <w:pPr>
              <w:keepNext/>
              <w:widowControl w:val="0"/>
              <w:autoSpaceDE w:val="0"/>
              <w:autoSpaceDN w:val="0"/>
              <w:spacing w:after="0" w:line="240" w:lineRule="auto"/>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121 (14,9)</w:t>
            </w:r>
          </w:p>
        </w:tc>
        <w:tc>
          <w:tcPr>
            <w:tcW w:w="1145" w:type="dxa"/>
          </w:tcPr>
          <w:p w14:paraId="6555C39A" w14:textId="77777777" w:rsidR="00184569" w:rsidRPr="00184569" w:rsidRDefault="00184569" w:rsidP="00184569">
            <w:pPr>
              <w:keepNext/>
              <w:widowControl w:val="0"/>
              <w:autoSpaceDE w:val="0"/>
              <w:autoSpaceDN w:val="0"/>
              <w:spacing w:after="0" w:line="240" w:lineRule="auto"/>
              <w:ind w:left="12"/>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74 (9,0)</w:t>
            </w:r>
          </w:p>
        </w:tc>
        <w:tc>
          <w:tcPr>
            <w:tcW w:w="1761" w:type="dxa"/>
          </w:tcPr>
          <w:p w14:paraId="263DEADA" w14:textId="77777777" w:rsidR="00184569" w:rsidRPr="00184569" w:rsidRDefault="00184569" w:rsidP="00184569">
            <w:pPr>
              <w:keepNext/>
              <w:widowControl w:val="0"/>
              <w:autoSpaceDE w:val="0"/>
              <w:autoSpaceDN w:val="0"/>
              <w:spacing w:after="0" w:line="240" w:lineRule="auto"/>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1,24</w:t>
            </w:r>
          </w:p>
          <w:p w14:paraId="306762FF" w14:textId="77777777" w:rsidR="00184569" w:rsidRPr="00184569" w:rsidRDefault="00184569" w:rsidP="00184569">
            <w:pPr>
              <w:keepNext/>
              <w:widowControl w:val="0"/>
              <w:autoSpaceDE w:val="0"/>
              <w:autoSpaceDN w:val="0"/>
              <w:spacing w:after="0" w:line="240" w:lineRule="auto"/>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(0,93; 1,65)</w:t>
            </w:r>
          </w:p>
        </w:tc>
        <w:tc>
          <w:tcPr>
            <w:tcW w:w="1843" w:type="dxa"/>
          </w:tcPr>
          <w:p w14:paraId="094D9427" w14:textId="77777777" w:rsidR="00184569" w:rsidRPr="00184569" w:rsidRDefault="00184569" w:rsidP="00184569">
            <w:pPr>
              <w:keepNext/>
              <w:widowControl w:val="0"/>
              <w:autoSpaceDE w:val="0"/>
              <w:autoSpaceDN w:val="0"/>
              <w:spacing w:after="0" w:line="240" w:lineRule="auto"/>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1,65</w:t>
            </w:r>
          </w:p>
          <w:p w14:paraId="00394289" w14:textId="77777777" w:rsidR="00184569" w:rsidRPr="00184569" w:rsidRDefault="00184569" w:rsidP="00184569">
            <w:pPr>
              <w:keepNext/>
              <w:widowControl w:val="0"/>
              <w:autoSpaceDE w:val="0"/>
              <w:autoSpaceDN w:val="0"/>
              <w:spacing w:after="0" w:line="240" w:lineRule="auto"/>
              <w:jc w:val="center"/>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(1,26; 2,16)</w:t>
            </w:r>
          </w:p>
        </w:tc>
      </w:tr>
    </w:tbl>
    <w:p w14:paraId="15998390"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b/>
          <w:kern w:val="0"/>
          <w14:ligatures w14:val="none"/>
        </w:rPr>
      </w:pPr>
    </w:p>
    <w:p w14:paraId="3D58ECBA"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Igazolt, ISTH szerinti nagyfokú gastrointestinalis vérzés a naponta kétszer 5 mg apixabánnal kezelt betegek közül 1-nél (0,1%), a naponta kétszer 2,5 mg apixabánnal kezelt betegek közül egynél sem, a placebóval kezelt betegek közül pedig 1-nél (0,1%) fordult elő.</w:t>
      </w:r>
    </w:p>
    <w:p w14:paraId="177E6501" w14:textId="77777777" w:rsidR="00184569" w:rsidRPr="00184569" w:rsidRDefault="00184569" w:rsidP="00184569">
      <w:pPr>
        <w:widowControl w:val="0"/>
        <w:tabs>
          <w:tab w:val="left" w:pos="8364"/>
        </w:tabs>
        <w:autoSpaceDE w:val="0"/>
        <w:autoSpaceDN w:val="0"/>
        <w:spacing w:after="0" w:line="240" w:lineRule="auto"/>
        <w:rPr>
          <w:rFonts w:ascii="Times New Roman" w:eastAsia="Times New Roman" w:hAnsi="Times New Roman" w:cs="Times New Roman"/>
          <w:kern w:val="0"/>
          <w14:ligatures w14:val="none"/>
        </w:rPr>
      </w:pPr>
    </w:p>
    <w:p w14:paraId="66F58B23"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u w:val="single"/>
          <w14:ligatures w14:val="none"/>
        </w:rPr>
      </w:pPr>
      <w:r w:rsidRPr="00184569">
        <w:rPr>
          <w:rFonts w:ascii="Times New Roman" w:eastAsia="Times New Roman" w:hAnsi="Times New Roman" w:cs="Times New Roman"/>
          <w:kern w:val="0"/>
          <w:u w:val="single"/>
          <w14:ligatures w14:val="none"/>
        </w:rPr>
        <w:t>Gyermekek és serdülők</w:t>
      </w:r>
    </w:p>
    <w:p w14:paraId="74E7AB42"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u w:val="single"/>
          <w14:ligatures w14:val="none"/>
        </w:rPr>
      </w:pPr>
    </w:p>
    <w:p w14:paraId="76A1F23E"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i/>
          <w:kern w:val="0"/>
          <w:u w:val="single"/>
          <w14:ligatures w14:val="none"/>
        </w:rPr>
      </w:pPr>
      <w:r w:rsidRPr="00184569">
        <w:rPr>
          <w:rFonts w:ascii="Times New Roman" w:eastAsia="Times New Roman" w:hAnsi="Times New Roman" w:cs="Times New Roman"/>
          <w:i/>
          <w:kern w:val="0"/>
          <w:u w:val="single"/>
          <w14:ligatures w14:val="none"/>
        </w:rPr>
        <w:t>Vénás thromboembolia (VTE) kezelése és a VTE kiújulásának megelőzése gyermekeknél és serdülőknél (28 napos kortól betöltött 18 éves korig)</w:t>
      </w:r>
    </w:p>
    <w:p w14:paraId="3DD72AB0"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iCs/>
          <w:kern w:val="0"/>
          <w14:ligatures w14:val="none"/>
        </w:rPr>
      </w:pPr>
      <w:r w:rsidRPr="00184569">
        <w:rPr>
          <w:rFonts w:ascii="Times New Roman" w:eastAsia="Times New Roman" w:hAnsi="Times New Roman" w:cs="Times New Roman"/>
          <w:iCs/>
          <w:kern w:val="0"/>
          <w14:ligatures w14:val="none"/>
        </w:rPr>
        <w:t xml:space="preserve">A CV185325 az apixabán randomizált, aktív kontrollos, nyílt elrendezésű, multicentrikus vizsgálata volt a VTE kezelésére gyermekeknél és serdülőknél. </w:t>
      </w:r>
      <w:proofErr w:type="gramStart"/>
      <w:r w:rsidRPr="00184569">
        <w:rPr>
          <w:rFonts w:ascii="Times New Roman" w:eastAsia="Times New Roman" w:hAnsi="Times New Roman" w:cs="Times New Roman"/>
          <w:iCs/>
          <w:kern w:val="0"/>
          <w14:ligatures w14:val="none"/>
        </w:rPr>
        <w:t>Ebbe a leíró hatásossági és biztonságossági vizsgálatba 217</w:t>
      </w:r>
      <w:r w:rsidRPr="00F738D7">
        <w:rPr>
          <w:rFonts w:ascii="Times New Roman" w:eastAsia="Times New Roman" w:hAnsi="Times New Roman" w:cs="Times New Roman"/>
          <w:kern w:val="0"/>
          <w14:ligatures w14:val="none"/>
        </w:rPr>
        <w:t> </w:t>
      </w:r>
      <w:r w:rsidRPr="00184569">
        <w:rPr>
          <w:rFonts w:ascii="Times New Roman" w:eastAsia="Times New Roman" w:hAnsi="Times New Roman" w:cs="Times New Roman"/>
          <w:iCs/>
          <w:kern w:val="0"/>
          <w14:ligatures w14:val="none"/>
        </w:rPr>
        <w:t>gyermeket és serdülőt vontak be, akik véralvadásgátló kezelést igényeltek VTE kezelése vagy a VTE kiújulásának megelőzése céljából; 137 beteg az 1. korcsoportba (12–&lt; 18 év), 44 beteg a 2. korcsoportba (2–&lt; 12 év), 32 beteg a 3. korcsoportba (28 nap–&lt; 2 év) és 4 beteg a 4. korcsoportba (születés–&lt; 28 nap) tartozott.</w:t>
      </w:r>
      <w:proofErr w:type="gramEnd"/>
      <w:r w:rsidRPr="00184569">
        <w:rPr>
          <w:rFonts w:ascii="Times New Roman" w:eastAsia="Times New Roman" w:hAnsi="Times New Roman" w:cs="Times New Roman"/>
          <w:iCs/>
          <w:kern w:val="0"/>
          <w14:ligatures w14:val="none"/>
        </w:rPr>
        <w:t xml:space="preserve"> A beválasztást indokló VTE-t képalkotással igazolták és függetlenül értékelték. A randomizálás előtt a betegeket a szokásos ellátás szerinti véralvadásgátló kezelésben részesítették legfeljebb 14 napig (a vizsgálati gyógyszer alkalmazása előtt, a szokásos antikoaguláns kezelés átlagos időtartama (SD) 4,8 (2,5) nap volt, és a betegek 92,3%-a kezdte meg a kezelést ≤ 7 napon belül). A betegeket 2:1 arányban randomizálták, és az életkornak megfelelő gyógyszerformában kaptak apixabánt (testtömeg alapján korrigált dózisban, ami megfelelt a felnőtteknél alkalmazott napi kétszer 10 mg telítő dózisnak 7 napig, amit napi kétszer 5 mg követett), vagy a szokásos ellátás szerinti kezelést. A 2–&lt; 18 éves betegeknél a szokásos ellátás szerinti kezelés kis molekulatömegű heparinokból (LMWH), nem frakcionált heparinokból (UFH) vagy K-vitamin-antagonistákból (VKA) állt. A 28 napos–&lt; 2 éves betegeknél a szokásos ellátás csak heparinokból állt (UFH vagy LMWH). A fő kezelési időszak 42–84 napig tartott a &lt;</w:t>
      </w:r>
      <w:r w:rsidRPr="00184569">
        <w:rPr>
          <w:rFonts w:ascii="Times New Roman" w:eastAsia="Times New Roman" w:hAnsi="Times New Roman" w:cs="Times New Roman"/>
          <w:kern w:val="0"/>
          <w:lang w:val="en-US"/>
          <w14:ligatures w14:val="none"/>
        </w:rPr>
        <w:t> </w:t>
      </w:r>
      <w:r w:rsidRPr="00184569">
        <w:rPr>
          <w:rFonts w:ascii="Times New Roman" w:eastAsia="Times New Roman" w:hAnsi="Times New Roman" w:cs="Times New Roman"/>
          <w:iCs/>
          <w:kern w:val="0"/>
          <w14:ligatures w14:val="none"/>
        </w:rPr>
        <w:t xml:space="preserve">2 éves betegeknél, és 84 napig </w:t>
      </w:r>
      <w:proofErr w:type="gramStart"/>
      <w:r w:rsidRPr="00184569">
        <w:rPr>
          <w:rFonts w:ascii="Times New Roman" w:eastAsia="Times New Roman" w:hAnsi="Times New Roman" w:cs="Times New Roman"/>
          <w:iCs/>
          <w:kern w:val="0"/>
          <w14:ligatures w14:val="none"/>
        </w:rPr>
        <w:t>a &gt;</w:t>
      </w:r>
      <w:proofErr w:type="gramEnd"/>
      <w:r w:rsidRPr="00184569">
        <w:rPr>
          <w:rFonts w:ascii="Times New Roman" w:eastAsia="Times New Roman" w:hAnsi="Times New Roman" w:cs="Times New Roman"/>
          <w:iCs/>
          <w:kern w:val="0"/>
          <w14:ligatures w14:val="none"/>
        </w:rPr>
        <w:t> 2 éves betegeknél. A 28 napos–&lt; 18 éves, apixabán-kezelésre randomizált betegeknek lehetőségük volt az apixabán-kezelést további 6–12 hétig folytatni a kiterjesztett vizsgálati szakaszban.</w:t>
      </w:r>
    </w:p>
    <w:p w14:paraId="028D66A7"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iCs/>
          <w:kern w:val="0"/>
          <w14:ligatures w14:val="none"/>
        </w:rPr>
      </w:pPr>
    </w:p>
    <w:p w14:paraId="05A7B770" w14:textId="77777777" w:rsidR="00184569" w:rsidRPr="00184569" w:rsidRDefault="00184569" w:rsidP="00184569">
      <w:pPr>
        <w:keepNext/>
        <w:autoSpaceDE w:val="0"/>
        <w:autoSpaceDN w:val="0"/>
        <w:spacing w:after="0" w:line="240" w:lineRule="auto"/>
        <w:rPr>
          <w:rFonts w:ascii="Times New Roman" w:eastAsia="Times New Roman" w:hAnsi="Times New Roman" w:cs="Times New Roman"/>
          <w:iCs/>
          <w:kern w:val="0"/>
          <w14:ligatures w14:val="none"/>
        </w:rPr>
      </w:pPr>
      <w:r w:rsidRPr="00184569">
        <w:rPr>
          <w:rFonts w:ascii="Times New Roman" w:eastAsia="Times New Roman" w:hAnsi="Times New Roman" w:cs="Times New Roman"/>
          <w:iCs/>
          <w:kern w:val="0"/>
          <w14:ligatures w14:val="none"/>
        </w:rPr>
        <w:t>Az elsődleges hatásossági végpont a képalkotással megerősített és elbírált összes, tünetet okozó vagy tünetmentes, VTE kiújulásával és VTE-vel összefüggő halálozás összetett végpontja volt. Egyik kezelési csoportban sem fordult elő VTE-vel összefüggő halálozás egy betegnél sem. Összesen 4 (2,8%) beteg az apixabán-csoportban és 2 (2,8%) beteg a szokásos ellátás szerinti kezelést kapó csoportban tapasztalt legalább 1 elbírált, tünetet okozó vagy tünetmentes, kiújuló VTE eseményt.</w:t>
      </w:r>
    </w:p>
    <w:p w14:paraId="0E3501F5"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iCs/>
          <w:kern w:val="0"/>
          <w14:ligatures w14:val="none"/>
        </w:rPr>
      </w:pPr>
    </w:p>
    <w:p w14:paraId="2298DC4D"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bCs/>
          <w:kern w:val="0"/>
          <w14:ligatures w14:val="none"/>
        </w:rPr>
      </w:pPr>
      <w:r w:rsidRPr="00184569">
        <w:rPr>
          <w:rFonts w:ascii="Times New Roman" w:eastAsia="Times New Roman" w:hAnsi="Times New Roman" w:cs="Times New Roman"/>
          <w:bCs/>
          <w:kern w:val="0"/>
          <w14:ligatures w14:val="none"/>
        </w:rPr>
        <w:t xml:space="preserve">Az expozíció medián időtartama az apixabán-karon kezelt 143 betegnél 84,0 nap volt. </w:t>
      </w:r>
      <w:proofErr w:type="gramStart"/>
      <w:r w:rsidRPr="00184569">
        <w:rPr>
          <w:rFonts w:ascii="Times New Roman" w:eastAsia="Times New Roman" w:hAnsi="Times New Roman" w:cs="Times New Roman"/>
          <w:bCs/>
          <w:kern w:val="0"/>
          <w14:ligatures w14:val="none"/>
        </w:rPr>
        <w:t>Az expozíció 67 (46,9%) betegnél haladta meg a 84 napot. Az elsődleges biztonságossági végpontot, a major és a CRNM vérzést 2 (1,4%) betegnél tapasztalták az apixabán-karon és 1 (1,4%) betegnél a szokásos ellátás szerinti kezelést alkalmazó karon, a relatív kockázat 0,99 volt (95%-os CI: 0,1; 10,8).</w:t>
      </w:r>
      <w:proofErr w:type="gramEnd"/>
      <w:r w:rsidRPr="00184569">
        <w:rPr>
          <w:rFonts w:ascii="Times New Roman" w:eastAsia="Times New Roman" w:hAnsi="Times New Roman" w:cs="Times New Roman"/>
          <w:bCs/>
          <w:kern w:val="0"/>
          <w14:ligatures w14:val="none"/>
        </w:rPr>
        <w:t xml:space="preserve"> Ez minden esetben CRNM vérzést jelentett. Minor vérzést 51 (35,7%) betegnél jelentettek az apixabán-csoportban és 21 (29,6%) betegnél a szokásos ellátás szerinti kezelésben részesülő csoportban; a relatív kockázat 1,19 volt (95%-os CI: 0,8; 1,8).</w:t>
      </w:r>
    </w:p>
    <w:p w14:paraId="5D484B6D"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bCs/>
          <w:kern w:val="0"/>
          <w14:ligatures w14:val="none"/>
        </w:rPr>
      </w:pPr>
    </w:p>
    <w:p w14:paraId="398287CD" w14:textId="77777777" w:rsidR="00184569" w:rsidRPr="00184569" w:rsidRDefault="00184569" w:rsidP="00184569">
      <w:pPr>
        <w:keepNext/>
        <w:autoSpaceDE w:val="0"/>
        <w:autoSpaceDN w:val="0"/>
        <w:spacing w:after="0" w:line="240" w:lineRule="auto"/>
        <w:rPr>
          <w:rFonts w:ascii="Times New Roman" w:eastAsia="Times New Roman" w:hAnsi="Times New Roman" w:cs="Times New Roman"/>
          <w:bCs/>
          <w:kern w:val="0"/>
          <w14:ligatures w14:val="none"/>
        </w:rPr>
      </w:pPr>
      <w:proofErr w:type="gramStart"/>
      <w:r w:rsidRPr="00184569">
        <w:rPr>
          <w:rFonts w:ascii="Times New Roman" w:eastAsia="Times New Roman" w:hAnsi="Times New Roman" w:cs="Times New Roman"/>
          <w:bCs/>
          <w:kern w:val="0"/>
          <w14:ligatures w14:val="none"/>
        </w:rPr>
        <w:t>A major vérzést olyan vérzésként határozták meg, amely a következő kritériumok közül egynek vagy többnek megfelel: (1) halálos vérzés; (2) klinikailag nyilvánvaló vérzés, amely a Hgb-szint legalább 20 g/l-es (2 g/dl) csökkenésével jár 24 órás időszak alatt; (3) retroperitoneális, pulmonális, intrakraniális vagy más módon a központi idegrendszert érintő vérzés; valamint (4) műtőben végzett sebészi beavatkozást (beleértve az intervenciós radiológiát) igénylő vérzés.</w:t>
      </w:r>
      <w:proofErr w:type="gramEnd"/>
    </w:p>
    <w:p w14:paraId="5FA0948B"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bCs/>
          <w:kern w:val="0"/>
          <w14:ligatures w14:val="none"/>
        </w:rPr>
      </w:pPr>
    </w:p>
    <w:p w14:paraId="2E6F86DE"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bCs/>
          <w:kern w:val="0"/>
          <w14:ligatures w14:val="none"/>
        </w:rPr>
      </w:pPr>
      <w:r w:rsidRPr="00184569">
        <w:rPr>
          <w:rFonts w:ascii="Times New Roman" w:eastAsia="Times New Roman" w:hAnsi="Times New Roman" w:cs="Times New Roman"/>
          <w:bCs/>
          <w:kern w:val="0"/>
          <w14:ligatures w14:val="none"/>
        </w:rPr>
        <w:t>A CRNM vérzést olyan vérzésként határozták meg, amely a következő kritériumok egyikének vagy mind a kettőnek megfelel: (1) nyilvánvaló vérzés, amelynek kezelésére vérkészítményt adnak be, és amely nem közvetlenül az alany alapbetegségének tulajdonítható, valamint (2) olyan, nem műtét során jelentkező vérzés, amely a vérzéscsillapításhoz orvosi vagy sebészi beavatkozást igényel.</w:t>
      </w:r>
    </w:p>
    <w:p w14:paraId="0795BB7C"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
    <w:p w14:paraId="16462671"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Minor vérzésnek minősült a vérzés minden olyan nyilvánvaló vagy makroszkópos bizonyítéka, amely nem felel meg sem a súlyos, sem a klinikailag jelentős, nem súlyos vérzés fenti kritériumainak. A menstruációs vérzést minor vérzéses eseménynek minősítették, nem pedig klinikailag jelentős, nem major vérzésnek.</w:t>
      </w:r>
    </w:p>
    <w:p w14:paraId="1C3D7ED7"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
    <w:p w14:paraId="7E37C403"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Azon 53 beteg esetén, aki belépett a kiterjesztett szakaszba és apixabán-kezelést kapott, nem jelentkezett tünetet okozó vagy tünetmentes, VTE kiújulási esemény és nem jelentettek VTE-vel összefüggő halálozást. A kiterjesztett szakaszban egy betegnél sem jelentkezett súlyos vagy CRNM vérzésnek megítélt esemény. A kiterjesztett szakaszban 8 (8/53; 15,1%) beteg tapasztalt minor vérzéses eseményeket.</w:t>
      </w:r>
    </w:p>
    <w:p w14:paraId="3C6792FD"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
    <w:p w14:paraId="6C7EBCF6" w14:textId="77777777" w:rsidR="00184569" w:rsidRPr="00184569" w:rsidRDefault="00184569" w:rsidP="00184569">
      <w:pPr>
        <w:widowControl w:val="0"/>
        <w:tabs>
          <w:tab w:val="left" w:pos="8364"/>
        </w:tabs>
        <w:autoSpaceDE w:val="0"/>
        <w:autoSpaceDN w:val="0"/>
        <w:spacing w:after="0" w:line="240" w:lineRule="auto"/>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 xml:space="preserve">Az apixabán-csoportban 3 halálozás, a szokásos ellátás szerinti kezelést alkalmazó csoportban pedig 1 halálozás fordult elő, melyek mindegyikét a kezeléssel nem összefüggőnek ítélte meg a vizsgáló. A független eseményértékelő bizottság megítélése szerint </w:t>
      </w:r>
      <w:proofErr w:type="gramStart"/>
      <w:r w:rsidRPr="00184569">
        <w:rPr>
          <w:rFonts w:ascii="Times New Roman" w:eastAsia="Times New Roman" w:hAnsi="Times New Roman" w:cs="Times New Roman"/>
          <w:kern w:val="0"/>
          <w14:ligatures w14:val="none"/>
        </w:rPr>
        <w:t>ezen</w:t>
      </w:r>
      <w:proofErr w:type="gramEnd"/>
      <w:r w:rsidRPr="00184569">
        <w:rPr>
          <w:rFonts w:ascii="Times New Roman" w:eastAsia="Times New Roman" w:hAnsi="Times New Roman" w:cs="Times New Roman"/>
          <w:kern w:val="0"/>
          <w14:ligatures w14:val="none"/>
        </w:rPr>
        <w:t xml:space="preserve"> halálesetek egyike sem a VTE vagy vérzéses esemény miatt következett be.</w:t>
      </w:r>
    </w:p>
    <w:p w14:paraId="55242D64" w14:textId="77777777" w:rsidR="00184569" w:rsidRPr="00184569" w:rsidRDefault="00184569" w:rsidP="00184569">
      <w:pPr>
        <w:widowControl w:val="0"/>
        <w:tabs>
          <w:tab w:val="left" w:pos="8364"/>
        </w:tabs>
        <w:autoSpaceDE w:val="0"/>
        <w:autoSpaceDN w:val="0"/>
        <w:spacing w:after="0" w:line="240" w:lineRule="auto"/>
        <w:rPr>
          <w:rFonts w:ascii="Times New Roman" w:eastAsia="Times New Roman" w:hAnsi="Times New Roman" w:cs="Times New Roman"/>
          <w:kern w:val="0"/>
          <w14:ligatures w14:val="none"/>
        </w:rPr>
      </w:pPr>
    </w:p>
    <w:p w14:paraId="67EE3143" w14:textId="77777777" w:rsidR="00184569" w:rsidRPr="00184569" w:rsidRDefault="00184569" w:rsidP="00184569">
      <w:pPr>
        <w:widowControl w:val="0"/>
        <w:tabs>
          <w:tab w:val="left" w:pos="8364"/>
        </w:tabs>
        <w:autoSpaceDE w:val="0"/>
        <w:autoSpaceDN w:val="0"/>
        <w:spacing w:after="0" w:line="240" w:lineRule="auto"/>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Az apixabán gyermekekre és serdülőkre vonatkozó biztonságossági adatbázisa a VTE kezelésére és a VTE kiújulásának megelőzésére vonatkozó CV185325 vizsgálaton alapul, amit a PREVAPIX-ALL vizsgálat és a SAXOPHONE vizsgálat egészített ki a VTE elsődleges prophylaxisára vonatkozóan, valamint az egyetlen dózist vizsgáló CV185118 vizsgálat. 970 gyermeket és serdülőt vontak be, közülük 568 beteg kapott apixabánt.</w:t>
      </w:r>
    </w:p>
    <w:p w14:paraId="37E4D2AC" w14:textId="77777777" w:rsidR="00184569" w:rsidRPr="00184569" w:rsidRDefault="00184569" w:rsidP="00184569">
      <w:pPr>
        <w:widowControl w:val="0"/>
        <w:tabs>
          <w:tab w:val="left" w:pos="8364"/>
        </w:tabs>
        <w:autoSpaceDE w:val="0"/>
        <w:autoSpaceDN w:val="0"/>
        <w:spacing w:after="0" w:line="240" w:lineRule="auto"/>
        <w:rPr>
          <w:rFonts w:ascii="Times New Roman" w:eastAsia="Times New Roman" w:hAnsi="Times New Roman" w:cs="Times New Roman"/>
          <w:kern w:val="0"/>
          <w14:ligatures w14:val="none"/>
        </w:rPr>
      </w:pPr>
    </w:p>
    <w:p w14:paraId="6072E993" w14:textId="77777777" w:rsidR="00184569" w:rsidRPr="00184569" w:rsidRDefault="00184569" w:rsidP="00184569">
      <w:pPr>
        <w:widowControl w:val="0"/>
        <w:tabs>
          <w:tab w:val="left" w:pos="8364"/>
        </w:tabs>
        <w:autoSpaceDE w:val="0"/>
        <w:autoSpaceDN w:val="0"/>
        <w:spacing w:after="0" w:line="240" w:lineRule="auto"/>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Gyermekek és serdülők esetén nincs engedélyezett javallat VTE elsődleges prophylaxisában.</w:t>
      </w:r>
    </w:p>
    <w:p w14:paraId="3377851E" w14:textId="77777777" w:rsidR="00184569" w:rsidRPr="00184569" w:rsidRDefault="00184569" w:rsidP="00184569">
      <w:pPr>
        <w:widowControl w:val="0"/>
        <w:tabs>
          <w:tab w:val="left" w:pos="8364"/>
        </w:tabs>
        <w:autoSpaceDE w:val="0"/>
        <w:autoSpaceDN w:val="0"/>
        <w:spacing w:after="0" w:line="240" w:lineRule="auto"/>
        <w:rPr>
          <w:rFonts w:ascii="Times New Roman" w:eastAsia="Times New Roman" w:hAnsi="Times New Roman" w:cs="Times New Roman"/>
          <w:kern w:val="0"/>
          <w14:ligatures w14:val="none"/>
        </w:rPr>
      </w:pPr>
    </w:p>
    <w:p w14:paraId="0B3AAC24" w14:textId="77777777" w:rsidR="00184569" w:rsidRPr="00184569" w:rsidRDefault="00184569" w:rsidP="00184569">
      <w:pPr>
        <w:widowControl w:val="0"/>
        <w:tabs>
          <w:tab w:val="left" w:pos="8364"/>
        </w:tabs>
        <w:autoSpaceDE w:val="0"/>
        <w:autoSpaceDN w:val="0"/>
        <w:spacing w:after="0" w:line="240" w:lineRule="auto"/>
        <w:rPr>
          <w:rFonts w:ascii="Times New Roman" w:eastAsia="Times New Roman" w:hAnsi="Times New Roman" w:cs="Times New Roman"/>
          <w:i/>
          <w:iCs/>
          <w:kern w:val="0"/>
          <w:u w:val="single"/>
          <w14:ligatures w14:val="none"/>
        </w:rPr>
      </w:pPr>
      <w:r w:rsidRPr="00184569">
        <w:rPr>
          <w:rFonts w:ascii="Times New Roman" w:eastAsia="Times New Roman" w:hAnsi="Times New Roman" w:cs="Times New Roman"/>
          <w:i/>
          <w:iCs/>
          <w:kern w:val="0"/>
          <w:u w:val="single"/>
          <w14:ligatures w14:val="none"/>
        </w:rPr>
        <w:t>VTE megelőzése akut lymphoblastos leukaemiában (ALL) vagy lymphoblastos lymphomában (LL) szenvedő gyermekeknél és serdülőknél</w:t>
      </w:r>
    </w:p>
    <w:p w14:paraId="64EA8531" w14:textId="77777777" w:rsidR="00184569" w:rsidRPr="00184569" w:rsidRDefault="00184569" w:rsidP="00184569">
      <w:pPr>
        <w:widowControl w:val="0"/>
        <w:tabs>
          <w:tab w:val="left" w:pos="8364"/>
        </w:tabs>
        <w:autoSpaceDE w:val="0"/>
        <w:autoSpaceDN w:val="0"/>
        <w:spacing w:after="0" w:line="240" w:lineRule="auto"/>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A PREVAPIX-ALL vizsgálatban összesen 512, ≥ 1 és &lt; 18 év közötti életkorú, ALL-lel vagy LL-lel újonnan diagnosztizált, egy centrális vénás hozzáférést biztosító beültetett eszközön keresztül aszparaginázt tartalmazó indukciós kemoterápiában részesülő beteget randomizáltak 1:1 arányban, nyílt elrendezésben, thromboprofilaktikus kezelésre apixabánnal vagy a szokásos ellátás szerint (szisztémás antikoaguláns-kezelés nélkül). Az apixabánt fix dózisban, a testtömeghez igazított adagolási rend szerint kapták, amelyet úgy hoztak létre, hogy az a naponta kétszer 2,5 mg-ot kapó felnőtteknél megfigyelt expozícióval hasonló expozíciót eredményezzen (lásd 13. táblázat). A vizsgálatban 2,5 mg-os és 0,5 mg-os tablettát vagy 0,4 mg/ml-es belsőleges oldatot alkalmaztak. Az expozíció medián időtartama az apixabán-karon 25 nap volt.</w:t>
      </w:r>
    </w:p>
    <w:p w14:paraId="140497C6" w14:textId="77777777" w:rsidR="00184569" w:rsidRPr="00184569" w:rsidRDefault="00184569" w:rsidP="00184569">
      <w:pPr>
        <w:widowControl w:val="0"/>
        <w:tabs>
          <w:tab w:val="left" w:pos="8364"/>
        </w:tabs>
        <w:autoSpaceDE w:val="0"/>
        <w:autoSpaceDN w:val="0"/>
        <w:spacing w:after="0" w:line="240" w:lineRule="auto"/>
        <w:rPr>
          <w:rFonts w:ascii="Times New Roman" w:eastAsia="Times New Roman" w:hAnsi="Times New Roman" w:cs="Times New Roman"/>
          <w:kern w:val="0"/>
          <w14:ligatures w14:val="none"/>
        </w:rPr>
      </w:pPr>
    </w:p>
    <w:p w14:paraId="0F3F3AC9" w14:textId="77777777" w:rsidR="00184569" w:rsidRPr="00184569" w:rsidRDefault="00184569" w:rsidP="00184569">
      <w:pPr>
        <w:widowControl w:val="0"/>
        <w:tabs>
          <w:tab w:val="left" w:pos="8364"/>
        </w:tabs>
        <w:autoSpaceDE w:val="0"/>
        <w:autoSpaceDN w:val="0"/>
        <w:spacing w:after="0" w:line="240" w:lineRule="auto"/>
        <w:rPr>
          <w:rFonts w:ascii="Times New Roman" w:eastAsia="Times New Roman" w:hAnsi="Times New Roman" w:cs="Times New Roman"/>
          <w:b/>
          <w:bCs/>
          <w:kern w:val="0"/>
          <w14:ligatures w14:val="none"/>
        </w:rPr>
      </w:pPr>
      <w:r w:rsidRPr="00184569">
        <w:rPr>
          <w:rFonts w:ascii="Times New Roman" w:eastAsia="Times New Roman" w:hAnsi="Times New Roman" w:cs="Times New Roman"/>
          <w:b/>
          <w:bCs/>
          <w:kern w:val="0"/>
          <w14:ligatures w14:val="none"/>
        </w:rPr>
        <w:t>13. táblázat: Az apixabán adagolása a PREVAPIX-ALL vizsgálatban</w:t>
      </w:r>
    </w:p>
    <w:tbl>
      <w:tblPr>
        <w:tblStyle w:val="Rcsostblzat"/>
        <w:tblW w:w="0" w:type="auto"/>
        <w:tblInd w:w="137" w:type="dxa"/>
        <w:tblLook w:val="04A0" w:firstRow="1" w:lastRow="0" w:firstColumn="1" w:lastColumn="0" w:noHBand="0" w:noVBand="1"/>
      </w:tblPr>
      <w:tblGrid>
        <w:gridCol w:w="2700"/>
        <w:gridCol w:w="3330"/>
      </w:tblGrid>
      <w:tr w:rsidR="00184569" w:rsidRPr="00184569" w14:paraId="1C4030A6" w14:textId="77777777" w:rsidTr="00E16EC6">
        <w:tc>
          <w:tcPr>
            <w:tcW w:w="2700" w:type="dxa"/>
          </w:tcPr>
          <w:p w14:paraId="07BED8CF" w14:textId="77777777" w:rsidR="00184569" w:rsidRPr="00184569" w:rsidRDefault="00184569" w:rsidP="00184569">
            <w:pPr>
              <w:jc w:val="center"/>
              <w:rPr>
                <w:rFonts w:ascii="Times New Roman" w:eastAsia="Times New Roman" w:hAnsi="Times New Roman" w:cs="Times New Roman"/>
                <w:iCs/>
              </w:rPr>
            </w:pPr>
            <w:r w:rsidRPr="00184569">
              <w:rPr>
                <w:rFonts w:ascii="Times New Roman" w:eastAsia="Times New Roman" w:hAnsi="Times New Roman" w:cs="Times New Roman"/>
                <w:b/>
                <w:bCs/>
              </w:rPr>
              <w:t>Testtömegtartomány</w:t>
            </w:r>
          </w:p>
        </w:tc>
        <w:tc>
          <w:tcPr>
            <w:tcW w:w="3330" w:type="dxa"/>
          </w:tcPr>
          <w:p w14:paraId="3F9041FC" w14:textId="77777777" w:rsidR="00184569" w:rsidRPr="00184569" w:rsidRDefault="00184569" w:rsidP="00184569">
            <w:pPr>
              <w:jc w:val="center"/>
              <w:rPr>
                <w:rFonts w:ascii="Times New Roman" w:eastAsia="Times New Roman" w:hAnsi="Times New Roman" w:cs="Times New Roman"/>
                <w:iCs/>
              </w:rPr>
            </w:pPr>
            <w:r w:rsidRPr="00184569">
              <w:rPr>
                <w:rFonts w:ascii="Times New Roman" w:eastAsia="Times New Roman" w:hAnsi="Times New Roman" w:cs="Times New Roman"/>
                <w:b/>
                <w:bCs/>
              </w:rPr>
              <w:t>Adagolási rend</w:t>
            </w:r>
          </w:p>
        </w:tc>
      </w:tr>
      <w:tr w:rsidR="00184569" w:rsidRPr="00184569" w14:paraId="27E3FD2D" w14:textId="77777777" w:rsidTr="00E16EC6">
        <w:tc>
          <w:tcPr>
            <w:tcW w:w="2700" w:type="dxa"/>
          </w:tcPr>
          <w:p w14:paraId="65970A72" w14:textId="77777777" w:rsidR="00184569" w:rsidRPr="00184569" w:rsidRDefault="00184569" w:rsidP="00184569">
            <w:pPr>
              <w:jc w:val="center"/>
              <w:rPr>
                <w:rFonts w:ascii="Times New Roman" w:eastAsia="Times New Roman" w:hAnsi="Times New Roman" w:cs="Times New Roman"/>
                <w:iCs/>
              </w:rPr>
            </w:pPr>
            <w:r w:rsidRPr="00184569">
              <w:rPr>
                <w:rFonts w:ascii="Times New Roman" w:eastAsia="Times New Roman" w:hAnsi="Times New Roman" w:cs="Times New Roman"/>
              </w:rPr>
              <w:t>6 – &lt; 10,5 kg</w:t>
            </w:r>
          </w:p>
        </w:tc>
        <w:tc>
          <w:tcPr>
            <w:tcW w:w="3330" w:type="dxa"/>
          </w:tcPr>
          <w:p w14:paraId="6E78B5D1" w14:textId="77777777" w:rsidR="00184569" w:rsidRPr="00184569" w:rsidRDefault="00184569" w:rsidP="00184569">
            <w:pPr>
              <w:jc w:val="center"/>
              <w:rPr>
                <w:rFonts w:ascii="Times New Roman" w:eastAsia="Times New Roman" w:hAnsi="Times New Roman" w:cs="Times New Roman"/>
                <w:iCs/>
              </w:rPr>
            </w:pPr>
            <w:r w:rsidRPr="00184569">
              <w:rPr>
                <w:rFonts w:ascii="Times New Roman" w:eastAsia="Times New Roman" w:hAnsi="Times New Roman" w:cs="Times New Roman"/>
              </w:rPr>
              <w:t>0,5 mg naponta kétszer</w:t>
            </w:r>
          </w:p>
        </w:tc>
      </w:tr>
      <w:tr w:rsidR="00184569" w:rsidRPr="00184569" w14:paraId="32FB6BC4" w14:textId="77777777" w:rsidTr="00E16EC6">
        <w:tc>
          <w:tcPr>
            <w:tcW w:w="2700" w:type="dxa"/>
          </w:tcPr>
          <w:p w14:paraId="707470B3" w14:textId="77777777" w:rsidR="00184569" w:rsidRPr="00184569" w:rsidRDefault="00184569" w:rsidP="00184569">
            <w:pPr>
              <w:jc w:val="center"/>
              <w:rPr>
                <w:rFonts w:ascii="Times New Roman" w:eastAsia="Times New Roman" w:hAnsi="Times New Roman" w:cs="Times New Roman"/>
                <w:iCs/>
              </w:rPr>
            </w:pPr>
            <w:r w:rsidRPr="00184569">
              <w:rPr>
                <w:rFonts w:ascii="Times New Roman" w:eastAsia="Times New Roman" w:hAnsi="Times New Roman" w:cs="Times New Roman"/>
              </w:rPr>
              <w:t>10,5 – &lt; 18 kg</w:t>
            </w:r>
          </w:p>
        </w:tc>
        <w:tc>
          <w:tcPr>
            <w:tcW w:w="3330" w:type="dxa"/>
          </w:tcPr>
          <w:p w14:paraId="3E147C90" w14:textId="77777777" w:rsidR="00184569" w:rsidRPr="00184569" w:rsidRDefault="00184569" w:rsidP="00184569">
            <w:pPr>
              <w:jc w:val="center"/>
              <w:rPr>
                <w:rFonts w:ascii="Times New Roman" w:eastAsia="Times New Roman" w:hAnsi="Times New Roman" w:cs="Times New Roman"/>
                <w:iCs/>
              </w:rPr>
            </w:pPr>
            <w:r w:rsidRPr="00184569">
              <w:rPr>
                <w:rFonts w:ascii="Times New Roman" w:eastAsia="Times New Roman" w:hAnsi="Times New Roman" w:cs="Times New Roman"/>
              </w:rPr>
              <w:t>1 mg naponta kétszer</w:t>
            </w:r>
          </w:p>
        </w:tc>
      </w:tr>
      <w:tr w:rsidR="00184569" w:rsidRPr="00184569" w14:paraId="556DEF81" w14:textId="77777777" w:rsidTr="00E16EC6">
        <w:tc>
          <w:tcPr>
            <w:tcW w:w="2700" w:type="dxa"/>
          </w:tcPr>
          <w:p w14:paraId="726214AB" w14:textId="77777777" w:rsidR="00184569" w:rsidRPr="00184569" w:rsidRDefault="00184569" w:rsidP="00184569">
            <w:pPr>
              <w:jc w:val="center"/>
              <w:rPr>
                <w:rFonts w:ascii="Times New Roman" w:eastAsia="Times New Roman" w:hAnsi="Times New Roman" w:cs="Times New Roman"/>
                <w:iCs/>
              </w:rPr>
            </w:pPr>
            <w:r w:rsidRPr="00184569">
              <w:rPr>
                <w:rFonts w:ascii="Times New Roman" w:eastAsia="Times New Roman" w:hAnsi="Times New Roman" w:cs="Times New Roman"/>
              </w:rPr>
              <w:t>18 – &lt; 25 kg</w:t>
            </w:r>
          </w:p>
        </w:tc>
        <w:tc>
          <w:tcPr>
            <w:tcW w:w="3330" w:type="dxa"/>
          </w:tcPr>
          <w:p w14:paraId="37BFD57D" w14:textId="77777777" w:rsidR="00184569" w:rsidRPr="00184569" w:rsidRDefault="00184569" w:rsidP="00184569">
            <w:pPr>
              <w:jc w:val="center"/>
              <w:rPr>
                <w:rFonts w:ascii="Times New Roman" w:eastAsia="Times New Roman" w:hAnsi="Times New Roman" w:cs="Times New Roman"/>
                <w:iCs/>
              </w:rPr>
            </w:pPr>
            <w:r w:rsidRPr="00184569">
              <w:rPr>
                <w:rFonts w:ascii="Times New Roman" w:eastAsia="Times New Roman" w:hAnsi="Times New Roman" w:cs="Times New Roman"/>
              </w:rPr>
              <w:t>1,5 mg naponta kétszer</w:t>
            </w:r>
          </w:p>
        </w:tc>
      </w:tr>
      <w:tr w:rsidR="00184569" w:rsidRPr="00184569" w14:paraId="37A0D8AD" w14:textId="77777777" w:rsidTr="00E16EC6">
        <w:tc>
          <w:tcPr>
            <w:tcW w:w="2700" w:type="dxa"/>
          </w:tcPr>
          <w:p w14:paraId="758A128F" w14:textId="77777777" w:rsidR="00184569" w:rsidRPr="00184569" w:rsidRDefault="00184569" w:rsidP="00184569">
            <w:pPr>
              <w:jc w:val="center"/>
              <w:rPr>
                <w:rFonts w:ascii="Times New Roman" w:eastAsia="Times New Roman" w:hAnsi="Times New Roman" w:cs="Times New Roman"/>
                <w:iCs/>
              </w:rPr>
            </w:pPr>
            <w:r w:rsidRPr="00184569">
              <w:rPr>
                <w:rFonts w:ascii="Times New Roman" w:eastAsia="Times New Roman" w:hAnsi="Times New Roman" w:cs="Times New Roman"/>
              </w:rPr>
              <w:t>25 – &lt; 35 kg</w:t>
            </w:r>
          </w:p>
        </w:tc>
        <w:tc>
          <w:tcPr>
            <w:tcW w:w="3330" w:type="dxa"/>
          </w:tcPr>
          <w:p w14:paraId="4CF6EAF7" w14:textId="77777777" w:rsidR="00184569" w:rsidRPr="00184569" w:rsidRDefault="00184569" w:rsidP="00184569">
            <w:pPr>
              <w:jc w:val="center"/>
              <w:rPr>
                <w:rFonts w:ascii="Times New Roman" w:eastAsia="Times New Roman" w:hAnsi="Times New Roman" w:cs="Times New Roman"/>
                <w:iCs/>
              </w:rPr>
            </w:pPr>
            <w:r w:rsidRPr="00184569">
              <w:rPr>
                <w:rFonts w:ascii="Times New Roman" w:eastAsia="Times New Roman" w:hAnsi="Times New Roman" w:cs="Times New Roman"/>
              </w:rPr>
              <w:t>2 mg naponta kétszer</w:t>
            </w:r>
          </w:p>
        </w:tc>
      </w:tr>
      <w:tr w:rsidR="00184569" w:rsidRPr="00184569" w14:paraId="08E4D6CD" w14:textId="77777777" w:rsidTr="00E16EC6">
        <w:tc>
          <w:tcPr>
            <w:tcW w:w="2700" w:type="dxa"/>
          </w:tcPr>
          <w:p w14:paraId="30A5419C" w14:textId="77777777" w:rsidR="00184569" w:rsidRPr="00184569" w:rsidRDefault="00184569" w:rsidP="00184569">
            <w:pPr>
              <w:jc w:val="center"/>
              <w:rPr>
                <w:rFonts w:ascii="Times New Roman" w:eastAsia="Times New Roman" w:hAnsi="Times New Roman" w:cs="Times New Roman"/>
                <w:iCs/>
              </w:rPr>
            </w:pPr>
            <w:r w:rsidRPr="00184569">
              <w:rPr>
                <w:rFonts w:ascii="Times New Roman" w:eastAsia="Times New Roman" w:hAnsi="Times New Roman" w:cs="Times New Roman"/>
              </w:rPr>
              <w:t>≥ 35 kg</w:t>
            </w:r>
          </w:p>
        </w:tc>
        <w:tc>
          <w:tcPr>
            <w:tcW w:w="3330" w:type="dxa"/>
          </w:tcPr>
          <w:p w14:paraId="4ED2D291" w14:textId="77777777" w:rsidR="00184569" w:rsidRPr="00184569" w:rsidRDefault="00184569" w:rsidP="00184569">
            <w:pPr>
              <w:jc w:val="center"/>
              <w:rPr>
                <w:rFonts w:ascii="Times New Roman" w:eastAsia="Times New Roman" w:hAnsi="Times New Roman" w:cs="Times New Roman"/>
                <w:iCs/>
              </w:rPr>
            </w:pPr>
            <w:r w:rsidRPr="00184569">
              <w:rPr>
                <w:rFonts w:ascii="Times New Roman" w:eastAsia="Times New Roman" w:hAnsi="Times New Roman" w:cs="Times New Roman"/>
              </w:rPr>
              <w:t>2,5 mg naponta kétszer</w:t>
            </w:r>
          </w:p>
        </w:tc>
      </w:tr>
    </w:tbl>
    <w:p w14:paraId="4E112CF2" w14:textId="77777777" w:rsidR="00184569" w:rsidRPr="00184569" w:rsidRDefault="00184569" w:rsidP="00184569">
      <w:pPr>
        <w:widowControl w:val="0"/>
        <w:tabs>
          <w:tab w:val="left" w:pos="8364"/>
        </w:tabs>
        <w:autoSpaceDE w:val="0"/>
        <w:autoSpaceDN w:val="0"/>
        <w:spacing w:after="0" w:line="240" w:lineRule="auto"/>
        <w:rPr>
          <w:rFonts w:ascii="Times New Roman" w:eastAsia="Times New Roman" w:hAnsi="Times New Roman" w:cs="Times New Roman"/>
          <w:b/>
          <w:bCs/>
          <w:kern w:val="0"/>
          <w14:ligatures w14:val="none"/>
        </w:rPr>
      </w:pPr>
    </w:p>
    <w:p w14:paraId="03F61BC8" w14:textId="77777777" w:rsidR="00184569" w:rsidRPr="00184569" w:rsidRDefault="00184569" w:rsidP="00184569">
      <w:pPr>
        <w:widowControl w:val="0"/>
        <w:tabs>
          <w:tab w:val="left" w:pos="8364"/>
        </w:tabs>
        <w:autoSpaceDE w:val="0"/>
        <w:autoSpaceDN w:val="0"/>
        <w:spacing w:after="0" w:line="240" w:lineRule="auto"/>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Az elsődleges hatásossági végpont az igazolt, tünetekkel járó és tünetmentes, nem halálos mélyvénás thrombosis, tüdőembolia, cerebralis vénás sinus thrombosis és vénás thromboemboliával összefüggő halálozás összetett végpontja volt. Az elsődleges hatásossági végpont incidenciája 31 (12,1%) volt az apixabán-karon és 45 (17,6%) a szokásos ellátást alkalmazó karon. A relatív kockázatcsökkenés nem ért el szignifikáns szintet.</w:t>
      </w:r>
    </w:p>
    <w:p w14:paraId="13946F4C" w14:textId="77777777" w:rsidR="00184569" w:rsidRPr="00184569" w:rsidRDefault="00184569" w:rsidP="00184569">
      <w:pPr>
        <w:widowControl w:val="0"/>
        <w:tabs>
          <w:tab w:val="left" w:pos="8364"/>
        </w:tabs>
        <w:autoSpaceDE w:val="0"/>
        <w:autoSpaceDN w:val="0"/>
        <w:spacing w:after="0" w:line="240" w:lineRule="auto"/>
        <w:rPr>
          <w:rFonts w:ascii="Times New Roman" w:eastAsia="Times New Roman" w:hAnsi="Times New Roman" w:cs="Times New Roman"/>
          <w:kern w:val="0"/>
          <w14:ligatures w14:val="none"/>
        </w:rPr>
      </w:pPr>
    </w:p>
    <w:p w14:paraId="407E6D75" w14:textId="77777777" w:rsidR="00184569" w:rsidRPr="00184569" w:rsidRDefault="00184569" w:rsidP="00184569">
      <w:pPr>
        <w:widowControl w:val="0"/>
        <w:tabs>
          <w:tab w:val="left" w:pos="8364"/>
        </w:tabs>
        <w:autoSpaceDE w:val="0"/>
        <w:autoSpaceDN w:val="0"/>
        <w:spacing w:after="0" w:line="240" w:lineRule="auto"/>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A biztonságossági végpontokat az ISTH kritériumai szerint ítélték meg. Az elsődleges biztonságossági végpont, a nagyfokú vérzés az egyes kezelési karokon a betegek 0,8%-ánál jelentkezett. CRNM vérzés 11 betegnél (4,3%) jelentkezett az apixabán-karon és 3 betegnél (1,2%) a szokásos ellátást alkalmazó karon. A kezelési különbséghez hozzájáruló leggyakoribb CRNM vérzéses esemény az enyhe vagy mérsékelt intenzitású epistaxis volt. Kisfokú vérzéses események 37 betegnél (14,5%) fordultak elő az apixabán-karon és 20 betegnél (7,8%) a szokásos ellátást alkalmazó karon.</w:t>
      </w:r>
    </w:p>
    <w:p w14:paraId="4D39F9D8" w14:textId="77777777" w:rsidR="00184569" w:rsidRPr="00184569" w:rsidRDefault="00184569" w:rsidP="00184569">
      <w:pPr>
        <w:widowControl w:val="0"/>
        <w:tabs>
          <w:tab w:val="left" w:pos="8364"/>
        </w:tabs>
        <w:autoSpaceDE w:val="0"/>
        <w:autoSpaceDN w:val="0"/>
        <w:spacing w:after="0" w:line="240" w:lineRule="auto"/>
        <w:rPr>
          <w:rFonts w:ascii="Times New Roman" w:eastAsia="Times New Roman" w:hAnsi="Times New Roman" w:cs="Times New Roman"/>
          <w:kern w:val="0"/>
          <w14:ligatures w14:val="none"/>
        </w:rPr>
      </w:pPr>
    </w:p>
    <w:p w14:paraId="4432B33A" w14:textId="77777777" w:rsidR="00184569" w:rsidRPr="00184569" w:rsidRDefault="00184569" w:rsidP="00184569">
      <w:pPr>
        <w:widowControl w:val="0"/>
        <w:tabs>
          <w:tab w:val="left" w:pos="8364"/>
        </w:tabs>
        <w:autoSpaceDE w:val="0"/>
        <w:autoSpaceDN w:val="0"/>
        <w:spacing w:after="0" w:line="240" w:lineRule="auto"/>
        <w:rPr>
          <w:rFonts w:ascii="Times New Roman" w:eastAsia="Times New Roman" w:hAnsi="Times New Roman" w:cs="Times New Roman"/>
          <w:i/>
          <w:iCs/>
          <w:kern w:val="0"/>
          <w:u w:val="single"/>
          <w14:ligatures w14:val="none"/>
        </w:rPr>
      </w:pPr>
      <w:r w:rsidRPr="00184569">
        <w:rPr>
          <w:rFonts w:ascii="Times New Roman" w:eastAsia="Times New Roman" w:hAnsi="Times New Roman" w:cs="Times New Roman"/>
          <w:i/>
          <w:iCs/>
          <w:kern w:val="0"/>
          <w:u w:val="single"/>
          <w14:ligatures w14:val="none"/>
        </w:rPr>
        <w:t>A thromboembolia (TE) megelőzése veleszületett vagy szerzett szívbetegséggel élő gyermekeknél és serdülőknél</w:t>
      </w:r>
    </w:p>
    <w:p w14:paraId="68129727" w14:textId="77777777" w:rsidR="00184569" w:rsidRPr="00184569" w:rsidRDefault="00184569" w:rsidP="00184569">
      <w:pPr>
        <w:widowControl w:val="0"/>
        <w:tabs>
          <w:tab w:val="left" w:pos="8364"/>
        </w:tabs>
        <w:autoSpaceDE w:val="0"/>
        <w:autoSpaceDN w:val="0"/>
        <w:spacing w:after="0" w:line="240" w:lineRule="auto"/>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A SAXOPHONE egy 2:1 arányban randomizált, nyílt elrendezésű, multicentrikus, összehasonlító vizsgálat volt 28 napos–betöltött 18 éves közötti életkorú, veleszületett vagy szerzett szívbetegségben szenvedő, antikoagulálást igénylő betegeknél. A betegek apixabánt vagy a szokásos thromboprofilaktikus ellátást kapták egy K-vitamin-antagonistával vagy kis molekulatömegű heparinnal együtt. Az apixabánt fix dózisban, a testtömeghez igazított adagolási rend szerint kapták, amelyet úgy alakítottak, hogy az a naponta kétszer 5 mg-os dózist kapó felnőtteknél megfigyelt expozícióval hasonló expozíciót eredményezzen (lásd 14. táblázat). A vizsgálatban 5 mg-os és 0,5 mg</w:t>
      </w:r>
      <w:r w:rsidRPr="00184569">
        <w:rPr>
          <w:rFonts w:ascii="Times New Roman" w:eastAsia="Times New Roman" w:hAnsi="Times New Roman" w:cs="Times New Roman"/>
          <w:kern w:val="0"/>
          <w14:ligatures w14:val="none"/>
        </w:rPr>
        <w:noBreakHyphen/>
        <w:t>os tablettát vagy 0,4 mg/ml-es belsőleges oldatot alkalmaztak. Az expozíció átlagos időtartama az apixabán-karon 331 nap volt.</w:t>
      </w:r>
    </w:p>
    <w:p w14:paraId="2C3DA044" w14:textId="77777777" w:rsidR="00184569" w:rsidRPr="00184569" w:rsidRDefault="00184569" w:rsidP="00184569">
      <w:pPr>
        <w:widowControl w:val="0"/>
        <w:tabs>
          <w:tab w:val="left" w:pos="8364"/>
        </w:tabs>
        <w:autoSpaceDE w:val="0"/>
        <w:autoSpaceDN w:val="0"/>
        <w:spacing w:after="0" w:line="240" w:lineRule="auto"/>
        <w:rPr>
          <w:rFonts w:ascii="Times New Roman" w:eastAsia="Times New Roman" w:hAnsi="Times New Roman" w:cs="Times New Roman"/>
          <w:kern w:val="0"/>
          <w14:ligatures w14:val="none"/>
        </w:rPr>
      </w:pPr>
    </w:p>
    <w:p w14:paraId="533A1629" w14:textId="77777777" w:rsidR="00184569" w:rsidRPr="00184569" w:rsidRDefault="00184569" w:rsidP="00184569">
      <w:pPr>
        <w:widowControl w:val="0"/>
        <w:tabs>
          <w:tab w:val="left" w:pos="8364"/>
        </w:tabs>
        <w:autoSpaceDE w:val="0"/>
        <w:autoSpaceDN w:val="0"/>
        <w:spacing w:after="0" w:line="240" w:lineRule="auto"/>
        <w:rPr>
          <w:rFonts w:ascii="Times New Roman" w:eastAsia="Times New Roman" w:hAnsi="Times New Roman" w:cs="Times New Roman"/>
          <w:b/>
          <w:bCs/>
          <w:kern w:val="0"/>
          <w14:ligatures w14:val="none"/>
        </w:rPr>
      </w:pPr>
      <w:r w:rsidRPr="00184569">
        <w:rPr>
          <w:rFonts w:ascii="Times New Roman" w:eastAsia="Times New Roman" w:hAnsi="Times New Roman" w:cs="Times New Roman"/>
          <w:b/>
          <w:bCs/>
          <w:kern w:val="0"/>
          <w14:ligatures w14:val="none"/>
        </w:rPr>
        <w:t>14. táblázat: Az apixabán adagolása a SAXOPHONE vizsgálatban</w:t>
      </w:r>
    </w:p>
    <w:tbl>
      <w:tblPr>
        <w:tblStyle w:val="Rcsostblzat"/>
        <w:tblW w:w="0" w:type="auto"/>
        <w:tblInd w:w="137" w:type="dxa"/>
        <w:tblLook w:val="04A0" w:firstRow="1" w:lastRow="0" w:firstColumn="1" w:lastColumn="0" w:noHBand="0" w:noVBand="1"/>
      </w:tblPr>
      <w:tblGrid>
        <w:gridCol w:w="2790"/>
        <w:gridCol w:w="3240"/>
      </w:tblGrid>
      <w:tr w:rsidR="00184569" w:rsidRPr="00184569" w14:paraId="7B08713C" w14:textId="77777777" w:rsidTr="00E16EC6">
        <w:tc>
          <w:tcPr>
            <w:tcW w:w="2790" w:type="dxa"/>
          </w:tcPr>
          <w:p w14:paraId="76710B57" w14:textId="77777777" w:rsidR="00184569" w:rsidRPr="00184569" w:rsidRDefault="00184569" w:rsidP="00184569">
            <w:pPr>
              <w:jc w:val="center"/>
              <w:rPr>
                <w:rFonts w:ascii="Times New Roman" w:eastAsia="Times New Roman" w:hAnsi="Times New Roman" w:cs="Times New Roman"/>
                <w:iCs/>
              </w:rPr>
            </w:pPr>
            <w:r w:rsidRPr="00184569">
              <w:rPr>
                <w:rFonts w:ascii="Times New Roman" w:eastAsia="Times New Roman" w:hAnsi="Times New Roman" w:cs="Times New Roman"/>
                <w:b/>
                <w:bCs/>
              </w:rPr>
              <w:t>Testtömegtartomány</w:t>
            </w:r>
          </w:p>
        </w:tc>
        <w:tc>
          <w:tcPr>
            <w:tcW w:w="3240" w:type="dxa"/>
          </w:tcPr>
          <w:p w14:paraId="69CD10BF" w14:textId="77777777" w:rsidR="00184569" w:rsidRPr="00184569" w:rsidRDefault="00184569" w:rsidP="00184569">
            <w:pPr>
              <w:jc w:val="center"/>
              <w:rPr>
                <w:rFonts w:ascii="Times New Roman" w:eastAsia="Times New Roman" w:hAnsi="Times New Roman" w:cs="Times New Roman"/>
                <w:iCs/>
              </w:rPr>
            </w:pPr>
            <w:r w:rsidRPr="00184569">
              <w:rPr>
                <w:rFonts w:ascii="Times New Roman" w:eastAsia="Times New Roman" w:hAnsi="Times New Roman" w:cs="Times New Roman"/>
                <w:b/>
                <w:bCs/>
              </w:rPr>
              <w:t>Adagolási rend</w:t>
            </w:r>
          </w:p>
        </w:tc>
      </w:tr>
      <w:tr w:rsidR="00184569" w:rsidRPr="00184569" w14:paraId="2A894603" w14:textId="77777777" w:rsidTr="00E16EC6">
        <w:tc>
          <w:tcPr>
            <w:tcW w:w="2790" w:type="dxa"/>
          </w:tcPr>
          <w:p w14:paraId="0DED02AF" w14:textId="77777777" w:rsidR="00184569" w:rsidRPr="00184569" w:rsidRDefault="00184569" w:rsidP="00184569">
            <w:pPr>
              <w:jc w:val="center"/>
              <w:rPr>
                <w:rFonts w:ascii="Times New Roman" w:eastAsia="Times New Roman" w:hAnsi="Times New Roman" w:cs="Times New Roman"/>
                <w:iCs/>
              </w:rPr>
            </w:pPr>
            <w:r w:rsidRPr="00184569">
              <w:rPr>
                <w:rFonts w:ascii="Times New Roman" w:eastAsia="Times New Roman" w:hAnsi="Times New Roman" w:cs="Times New Roman"/>
              </w:rPr>
              <w:t>6 – &lt; 9 kg</w:t>
            </w:r>
          </w:p>
        </w:tc>
        <w:tc>
          <w:tcPr>
            <w:tcW w:w="3240" w:type="dxa"/>
          </w:tcPr>
          <w:p w14:paraId="588CBF07" w14:textId="77777777" w:rsidR="00184569" w:rsidRPr="00184569" w:rsidRDefault="00184569" w:rsidP="00184569">
            <w:pPr>
              <w:jc w:val="center"/>
              <w:rPr>
                <w:rFonts w:ascii="Times New Roman" w:eastAsia="Times New Roman" w:hAnsi="Times New Roman" w:cs="Times New Roman"/>
                <w:iCs/>
              </w:rPr>
            </w:pPr>
            <w:r w:rsidRPr="00184569">
              <w:rPr>
                <w:rFonts w:ascii="Times New Roman" w:eastAsia="Times New Roman" w:hAnsi="Times New Roman" w:cs="Times New Roman"/>
              </w:rPr>
              <w:t>1 mg naponta kétszer</w:t>
            </w:r>
          </w:p>
        </w:tc>
      </w:tr>
      <w:tr w:rsidR="00184569" w:rsidRPr="00184569" w14:paraId="6B8C2163" w14:textId="77777777" w:rsidTr="00E16EC6">
        <w:tc>
          <w:tcPr>
            <w:tcW w:w="2790" w:type="dxa"/>
          </w:tcPr>
          <w:p w14:paraId="6F4FAC17" w14:textId="77777777" w:rsidR="00184569" w:rsidRPr="00184569" w:rsidRDefault="00184569" w:rsidP="00184569">
            <w:pPr>
              <w:jc w:val="center"/>
              <w:rPr>
                <w:rFonts w:ascii="Times New Roman" w:eastAsia="Times New Roman" w:hAnsi="Times New Roman" w:cs="Times New Roman"/>
                <w:iCs/>
              </w:rPr>
            </w:pPr>
            <w:r w:rsidRPr="00184569">
              <w:rPr>
                <w:rFonts w:ascii="Times New Roman" w:eastAsia="Times New Roman" w:hAnsi="Times New Roman" w:cs="Times New Roman"/>
              </w:rPr>
              <w:t>9 – &lt; 12 kg</w:t>
            </w:r>
          </w:p>
        </w:tc>
        <w:tc>
          <w:tcPr>
            <w:tcW w:w="3240" w:type="dxa"/>
          </w:tcPr>
          <w:p w14:paraId="5E89E7BD" w14:textId="77777777" w:rsidR="00184569" w:rsidRPr="00184569" w:rsidRDefault="00184569" w:rsidP="00184569">
            <w:pPr>
              <w:jc w:val="center"/>
              <w:rPr>
                <w:rFonts w:ascii="Times New Roman" w:eastAsia="Times New Roman" w:hAnsi="Times New Roman" w:cs="Times New Roman"/>
                <w:iCs/>
              </w:rPr>
            </w:pPr>
            <w:r w:rsidRPr="00184569">
              <w:rPr>
                <w:rFonts w:ascii="Times New Roman" w:eastAsia="Times New Roman" w:hAnsi="Times New Roman" w:cs="Times New Roman"/>
              </w:rPr>
              <w:t>1,5 mg naponta kétszer</w:t>
            </w:r>
          </w:p>
        </w:tc>
      </w:tr>
      <w:tr w:rsidR="00184569" w:rsidRPr="00184569" w14:paraId="7424CBAE" w14:textId="77777777" w:rsidTr="00E16EC6">
        <w:tc>
          <w:tcPr>
            <w:tcW w:w="2790" w:type="dxa"/>
          </w:tcPr>
          <w:p w14:paraId="79E9CA19" w14:textId="77777777" w:rsidR="00184569" w:rsidRPr="00184569" w:rsidRDefault="00184569" w:rsidP="00184569">
            <w:pPr>
              <w:jc w:val="center"/>
              <w:rPr>
                <w:rFonts w:ascii="Times New Roman" w:eastAsia="Times New Roman" w:hAnsi="Times New Roman" w:cs="Times New Roman"/>
                <w:iCs/>
              </w:rPr>
            </w:pPr>
            <w:r w:rsidRPr="00184569">
              <w:rPr>
                <w:rFonts w:ascii="Times New Roman" w:eastAsia="Times New Roman" w:hAnsi="Times New Roman" w:cs="Times New Roman"/>
              </w:rPr>
              <w:t>12 – &lt; 18 kg</w:t>
            </w:r>
          </w:p>
        </w:tc>
        <w:tc>
          <w:tcPr>
            <w:tcW w:w="3240" w:type="dxa"/>
          </w:tcPr>
          <w:p w14:paraId="18FB1A18" w14:textId="77777777" w:rsidR="00184569" w:rsidRPr="00184569" w:rsidRDefault="00184569" w:rsidP="00184569">
            <w:pPr>
              <w:jc w:val="center"/>
              <w:rPr>
                <w:rFonts w:ascii="Times New Roman" w:eastAsia="Times New Roman" w:hAnsi="Times New Roman" w:cs="Times New Roman"/>
                <w:iCs/>
              </w:rPr>
            </w:pPr>
            <w:r w:rsidRPr="00184569">
              <w:rPr>
                <w:rFonts w:ascii="Times New Roman" w:eastAsia="Times New Roman" w:hAnsi="Times New Roman" w:cs="Times New Roman"/>
              </w:rPr>
              <w:t>2 mg naponta kétszer</w:t>
            </w:r>
          </w:p>
        </w:tc>
      </w:tr>
      <w:tr w:rsidR="00184569" w:rsidRPr="00184569" w14:paraId="3C6026D1" w14:textId="77777777" w:rsidTr="00E16EC6">
        <w:tc>
          <w:tcPr>
            <w:tcW w:w="2790" w:type="dxa"/>
          </w:tcPr>
          <w:p w14:paraId="42A6BE8F" w14:textId="77777777" w:rsidR="00184569" w:rsidRPr="00184569" w:rsidRDefault="00184569" w:rsidP="00184569">
            <w:pPr>
              <w:jc w:val="center"/>
              <w:rPr>
                <w:rFonts w:ascii="Times New Roman" w:eastAsia="Times New Roman" w:hAnsi="Times New Roman" w:cs="Times New Roman"/>
                <w:iCs/>
              </w:rPr>
            </w:pPr>
            <w:r w:rsidRPr="00184569">
              <w:rPr>
                <w:rFonts w:ascii="Times New Roman" w:eastAsia="Times New Roman" w:hAnsi="Times New Roman" w:cs="Times New Roman"/>
              </w:rPr>
              <w:t>18 – &lt; 25 kg</w:t>
            </w:r>
          </w:p>
        </w:tc>
        <w:tc>
          <w:tcPr>
            <w:tcW w:w="3240" w:type="dxa"/>
          </w:tcPr>
          <w:p w14:paraId="11E9409B" w14:textId="77777777" w:rsidR="00184569" w:rsidRPr="00184569" w:rsidRDefault="00184569" w:rsidP="00184569">
            <w:pPr>
              <w:jc w:val="center"/>
              <w:rPr>
                <w:rFonts w:ascii="Times New Roman" w:eastAsia="Times New Roman" w:hAnsi="Times New Roman" w:cs="Times New Roman"/>
                <w:iCs/>
              </w:rPr>
            </w:pPr>
            <w:r w:rsidRPr="00184569">
              <w:rPr>
                <w:rFonts w:ascii="Times New Roman" w:eastAsia="Times New Roman" w:hAnsi="Times New Roman" w:cs="Times New Roman"/>
              </w:rPr>
              <w:t>3 mg naponta kétszer</w:t>
            </w:r>
          </w:p>
        </w:tc>
      </w:tr>
      <w:tr w:rsidR="00184569" w:rsidRPr="00184569" w14:paraId="1DC505AC" w14:textId="77777777" w:rsidTr="00E16EC6">
        <w:tc>
          <w:tcPr>
            <w:tcW w:w="2790" w:type="dxa"/>
          </w:tcPr>
          <w:p w14:paraId="4FBDF5B8" w14:textId="77777777" w:rsidR="00184569" w:rsidRPr="00184569" w:rsidRDefault="00184569" w:rsidP="00184569">
            <w:pPr>
              <w:jc w:val="center"/>
              <w:rPr>
                <w:rFonts w:ascii="Times New Roman" w:eastAsia="Times New Roman" w:hAnsi="Times New Roman" w:cs="Times New Roman"/>
                <w:iCs/>
              </w:rPr>
            </w:pPr>
            <w:r w:rsidRPr="00184569">
              <w:rPr>
                <w:rFonts w:ascii="Times New Roman" w:eastAsia="Times New Roman" w:hAnsi="Times New Roman" w:cs="Times New Roman"/>
              </w:rPr>
              <w:t>25 – &lt; 35 kg</w:t>
            </w:r>
          </w:p>
        </w:tc>
        <w:tc>
          <w:tcPr>
            <w:tcW w:w="3240" w:type="dxa"/>
          </w:tcPr>
          <w:p w14:paraId="45886CDC" w14:textId="77777777" w:rsidR="00184569" w:rsidRPr="00184569" w:rsidRDefault="00184569" w:rsidP="00184569">
            <w:pPr>
              <w:jc w:val="center"/>
              <w:rPr>
                <w:rFonts w:ascii="Times New Roman" w:eastAsia="Times New Roman" w:hAnsi="Times New Roman" w:cs="Times New Roman"/>
                <w:iCs/>
              </w:rPr>
            </w:pPr>
            <w:r w:rsidRPr="00184569">
              <w:rPr>
                <w:rFonts w:ascii="Times New Roman" w:eastAsia="Times New Roman" w:hAnsi="Times New Roman" w:cs="Times New Roman"/>
              </w:rPr>
              <w:t>4 mg naponta kétszer</w:t>
            </w:r>
          </w:p>
        </w:tc>
      </w:tr>
      <w:tr w:rsidR="00184569" w:rsidRPr="00184569" w14:paraId="754E0282" w14:textId="77777777" w:rsidTr="00E16EC6">
        <w:tc>
          <w:tcPr>
            <w:tcW w:w="2790" w:type="dxa"/>
          </w:tcPr>
          <w:p w14:paraId="2A77517B" w14:textId="77777777" w:rsidR="00184569" w:rsidRPr="00184569" w:rsidRDefault="00184569" w:rsidP="00184569">
            <w:pPr>
              <w:jc w:val="center"/>
              <w:rPr>
                <w:rFonts w:ascii="Times New Roman" w:eastAsia="Times New Roman" w:hAnsi="Times New Roman" w:cs="Times New Roman"/>
                <w:iCs/>
              </w:rPr>
            </w:pPr>
            <w:r w:rsidRPr="00184569">
              <w:rPr>
                <w:rFonts w:ascii="Times New Roman" w:eastAsia="Times New Roman" w:hAnsi="Times New Roman" w:cs="Times New Roman"/>
              </w:rPr>
              <w:t>≥ 35 kg</w:t>
            </w:r>
          </w:p>
        </w:tc>
        <w:tc>
          <w:tcPr>
            <w:tcW w:w="3240" w:type="dxa"/>
          </w:tcPr>
          <w:p w14:paraId="3E7DA5CA" w14:textId="77777777" w:rsidR="00184569" w:rsidRPr="00184569" w:rsidRDefault="00184569" w:rsidP="00184569">
            <w:pPr>
              <w:jc w:val="center"/>
              <w:rPr>
                <w:rFonts w:ascii="Times New Roman" w:eastAsia="Times New Roman" w:hAnsi="Times New Roman" w:cs="Times New Roman"/>
                <w:iCs/>
              </w:rPr>
            </w:pPr>
            <w:r w:rsidRPr="00184569">
              <w:rPr>
                <w:rFonts w:ascii="Times New Roman" w:eastAsia="Times New Roman" w:hAnsi="Times New Roman" w:cs="Times New Roman"/>
              </w:rPr>
              <w:t>5 mg naponta kétszer</w:t>
            </w:r>
          </w:p>
        </w:tc>
      </w:tr>
    </w:tbl>
    <w:p w14:paraId="4CC3240C" w14:textId="77777777" w:rsidR="00184569" w:rsidRPr="00184569" w:rsidRDefault="00184569" w:rsidP="00184569">
      <w:pPr>
        <w:widowControl w:val="0"/>
        <w:tabs>
          <w:tab w:val="left" w:pos="8364"/>
        </w:tabs>
        <w:autoSpaceDE w:val="0"/>
        <w:autoSpaceDN w:val="0"/>
        <w:spacing w:after="0" w:line="240" w:lineRule="auto"/>
        <w:rPr>
          <w:rFonts w:ascii="Times New Roman" w:eastAsia="Times New Roman" w:hAnsi="Times New Roman" w:cs="Times New Roman"/>
          <w:b/>
          <w:bCs/>
          <w:kern w:val="0"/>
          <w14:ligatures w14:val="none"/>
        </w:rPr>
      </w:pPr>
    </w:p>
    <w:p w14:paraId="754AACB5" w14:textId="77777777" w:rsidR="00184569" w:rsidRPr="00184569" w:rsidRDefault="00184569" w:rsidP="00184569">
      <w:pPr>
        <w:widowControl w:val="0"/>
        <w:tabs>
          <w:tab w:val="left" w:pos="8364"/>
        </w:tabs>
        <w:autoSpaceDE w:val="0"/>
        <w:autoSpaceDN w:val="0"/>
        <w:spacing w:after="0" w:line="240" w:lineRule="auto"/>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Az elsődleges biztonságossági végpont, az ISTH által meghatározott, igazolt, súlyos és CRNM vérzés összetett végpontja 126 beteg közül 1-nél (0,8%) fordult elő az apixabán-karon és 62 beteg közül 3-nál (4,8%) a szokásos ellátást alkalmazó karon. A másodlagos biztonságossági végpontokat jelentő igazolt, súlyos, CRNM és összes vérzéses események incidenciája hasonló volt a két kezelési karon. A nemkívánatos esemény, intolerancia vagy vérzés miatti kezelésleállítás másodlagos biztonságossági végpontot 7 alanynál (5,6%) jelentették az apixabán-karon és 1 alanynál (1,6%) a szokásos ellátást alkalmazó karon. Egyik kar betegeinél sem tapasztaltak thromboemboliás eseményt. Egyik kezelési karon sem fordult elő halálozás.</w:t>
      </w:r>
    </w:p>
    <w:p w14:paraId="4CD09F7A" w14:textId="77777777" w:rsidR="00184569" w:rsidRPr="00184569" w:rsidRDefault="00184569" w:rsidP="00184569">
      <w:pPr>
        <w:widowControl w:val="0"/>
        <w:tabs>
          <w:tab w:val="left" w:pos="8364"/>
        </w:tabs>
        <w:autoSpaceDE w:val="0"/>
        <w:autoSpaceDN w:val="0"/>
        <w:spacing w:after="0" w:line="240" w:lineRule="auto"/>
        <w:rPr>
          <w:rFonts w:ascii="Times New Roman" w:eastAsia="Times New Roman" w:hAnsi="Times New Roman" w:cs="Times New Roman"/>
          <w:kern w:val="0"/>
          <w14:ligatures w14:val="none"/>
        </w:rPr>
      </w:pPr>
    </w:p>
    <w:p w14:paraId="7A82F1BE" w14:textId="77777777" w:rsidR="00184569" w:rsidRPr="00184569" w:rsidRDefault="00184569" w:rsidP="00184569">
      <w:pPr>
        <w:keepNext/>
        <w:tabs>
          <w:tab w:val="left" w:pos="8364"/>
        </w:tabs>
        <w:autoSpaceDE w:val="0"/>
        <w:autoSpaceDN w:val="0"/>
        <w:spacing w:after="0" w:line="240" w:lineRule="auto"/>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Ezt a vizsgálatot prospektíven tervezték meg a leíró hatásosság és biztonságosság tekintetében, mivel ebben a populációban a TE és vérzéses események incidenciája várhatóan alacsony. A TE események vizsgálatban megfigyelt alacsony incidenciája miatt végső előny/kockázat elemzést nem lehetett végezni.</w:t>
      </w:r>
    </w:p>
    <w:p w14:paraId="0C8111D8" w14:textId="77777777" w:rsidR="00184569" w:rsidRPr="00184569" w:rsidRDefault="00184569" w:rsidP="00184569">
      <w:pPr>
        <w:widowControl w:val="0"/>
        <w:tabs>
          <w:tab w:val="left" w:pos="8364"/>
        </w:tabs>
        <w:autoSpaceDE w:val="0"/>
        <w:autoSpaceDN w:val="0"/>
        <w:spacing w:after="0" w:line="240" w:lineRule="auto"/>
        <w:rPr>
          <w:rFonts w:ascii="Times New Roman" w:eastAsia="Times New Roman" w:hAnsi="Times New Roman" w:cs="Times New Roman"/>
          <w:kern w:val="0"/>
          <w14:ligatures w14:val="none"/>
        </w:rPr>
      </w:pPr>
    </w:p>
    <w:p w14:paraId="4E963CD9"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Az Európai Gyógyszerügynökség a gyermekek és serdülők esetén egy vagy több korosztálynál halasztást engedélyez a vizsgálati eredmények benyújtási kötelezettségét illetően az apixabánt tartalmazó referencia-gyógyszerrel kapcsolatban a vénás thromboembolia kezelése indikációban (lásd 4.2 pont, gyermekgyógyászati alkalmazásra vonatkozó információk).</w:t>
      </w:r>
    </w:p>
    <w:p w14:paraId="74A91F34" w14:textId="77777777" w:rsidR="00184569" w:rsidRPr="00184569" w:rsidRDefault="00184569" w:rsidP="00184569">
      <w:pPr>
        <w:widowControl w:val="0"/>
        <w:tabs>
          <w:tab w:val="left" w:pos="8364"/>
        </w:tabs>
        <w:autoSpaceDE w:val="0"/>
        <w:autoSpaceDN w:val="0"/>
        <w:spacing w:after="0" w:line="240" w:lineRule="auto"/>
        <w:rPr>
          <w:rFonts w:ascii="Times New Roman" w:eastAsia="Times New Roman" w:hAnsi="Times New Roman" w:cs="Times New Roman"/>
          <w:kern w:val="0"/>
          <w14:ligatures w14:val="none"/>
        </w:rPr>
      </w:pPr>
    </w:p>
    <w:p w14:paraId="171F0DF2" w14:textId="77777777" w:rsidR="00184569" w:rsidRPr="00184569" w:rsidRDefault="00184569" w:rsidP="008B021B">
      <w:pPr>
        <w:widowControl w:val="0"/>
        <w:numPr>
          <w:ilvl w:val="1"/>
          <w:numId w:val="2"/>
        </w:numPr>
        <w:tabs>
          <w:tab w:val="left" w:pos="8364"/>
        </w:tabs>
        <w:autoSpaceDE w:val="0"/>
        <w:autoSpaceDN w:val="0"/>
        <w:spacing w:after="0" w:line="240" w:lineRule="auto"/>
        <w:ind w:left="567"/>
        <w:outlineLvl w:val="1"/>
        <w:rPr>
          <w:rFonts w:ascii="Times New Roman" w:eastAsia="Times New Roman" w:hAnsi="Times New Roman" w:cs="Times New Roman"/>
          <w:b/>
          <w:bCs/>
          <w:kern w:val="0"/>
          <w14:ligatures w14:val="none"/>
        </w:rPr>
      </w:pPr>
      <w:r w:rsidRPr="00184569">
        <w:rPr>
          <w:rFonts w:ascii="Times New Roman" w:eastAsia="Times New Roman" w:hAnsi="Times New Roman" w:cs="Times New Roman"/>
          <w:b/>
          <w:bCs/>
          <w:kern w:val="0"/>
          <w14:ligatures w14:val="none"/>
        </w:rPr>
        <w:t>Farmakokinetikai tulajdonságok</w:t>
      </w:r>
    </w:p>
    <w:p w14:paraId="1D66C0BA" w14:textId="77777777" w:rsidR="00184569" w:rsidRPr="00184569" w:rsidRDefault="00184569" w:rsidP="00184569">
      <w:pPr>
        <w:widowControl w:val="0"/>
        <w:tabs>
          <w:tab w:val="left" w:pos="8364"/>
        </w:tabs>
        <w:autoSpaceDE w:val="0"/>
        <w:autoSpaceDN w:val="0"/>
        <w:spacing w:after="0" w:line="240" w:lineRule="auto"/>
        <w:rPr>
          <w:rFonts w:ascii="Times New Roman" w:eastAsia="Times New Roman" w:hAnsi="Times New Roman" w:cs="Times New Roman"/>
          <w:b/>
          <w:kern w:val="0"/>
          <w14:ligatures w14:val="none"/>
        </w:rPr>
      </w:pPr>
    </w:p>
    <w:p w14:paraId="09FC61D0" w14:textId="77777777" w:rsidR="00184569" w:rsidRPr="00184569" w:rsidRDefault="00184569" w:rsidP="00184569">
      <w:pPr>
        <w:widowControl w:val="0"/>
        <w:tabs>
          <w:tab w:val="left" w:pos="8364"/>
        </w:tabs>
        <w:autoSpaceDE w:val="0"/>
        <w:autoSpaceDN w:val="0"/>
        <w:spacing w:after="0" w:line="240" w:lineRule="auto"/>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u w:val="single"/>
          <w14:ligatures w14:val="none"/>
        </w:rPr>
        <w:t>Felszívódás</w:t>
      </w:r>
    </w:p>
    <w:p w14:paraId="32410B8E"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
    <w:p w14:paraId="046519C3"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Felnőtteknél az apixabán abszolút biohasznosulása 10 mg-os dózisig körülbelül 50%. Az apixabán gyorsan felszívódik, csúcskoncentrációját (C</w:t>
      </w:r>
      <w:r w:rsidRPr="00184569">
        <w:rPr>
          <w:rFonts w:ascii="Times New Roman" w:eastAsia="Times New Roman" w:hAnsi="Times New Roman" w:cs="Times New Roman"/>
          <w:kern w:val="0"/>
          <w:vertAlign w:val="subscript"/>
          <w14:ligatures w14:val="none"/>
        </w:rPr>
        <w:t>max</w:t>
      </w:r>
      <w:r w:rsidRPr="00184569">
        <w:rPr>
          <w:rFonts w:ascii="Times New Roman" w:eastAsia="Times New Roman" w:hAnsi="Times New Roman" w:cs="Times New Roman"/>
          <w:kern w:val="0"/>
          <w14:ligatures w14:val="none"/>
        </w:rPr>
        <w:t>) 3–4 órával a tabletta bevétele után éri el. Az étellel együtt történő bevétel 10 mg-os dózis alkalmazása mellett nem befolyásolja az apixabán AUC- vagy C</w:t>
      </w:r>
      <w:r w:rsidRPr="00184569">
        <w:rPr>
          <w:rFonts w:ascii="Times New Roman" w:eastAsia="Times New Roman" w:hAnsi="Times New Roman" w:cs="Times New Roman"/>
          <w:kern w:val="0"/>
          <w:vertAlign w:val="subscript"/>
          <w14:ligatures w14:val="none"/>
        </w:rPr>
        <w:t>max</w:t>
      </w:r>
      <w:r w:rsidRPr="00184569">
        <w:rPr>
          <w:rFonts w:ascii="Times New Roman" w:eastAsia="Times New Roman" w:hAnsi="Times New Roman" w:cs="Times New Roman"/>
          <w:kern w:val="0"/>
          <w14:ligatures w14:val="none"/>
        </w:rPr>
        <w:t>-értékeit. Az apixabán étkezés közben vagy étkezéstől függetlenül is bevehető.</w:t>
      </w:r>
    </w:p>
    <w:p w14:paraId="3599F2C8" w14:textId="77777777" w:rsidR="00184569" w:rsidRPr="00184569" w:rsidRDefault="00184569" w:rsidP="00184569">
      <w:pPr>
        <w:widowControl w:val="0"/>
        <w:tabs>
          <w:tab w:val="left" w:pos="8364"/>
        </w:tabs>
        <w:autoSpaceDE w:val="0"/>
        <w:autoSpaceDN w:val="0"/>
        <w:spacing w:after="0" w:line="240" w:lineRule="auto"/>
        <w:rPr>
          <w:rFonts w:ascii="Times New Roman" w:eastAsia="Times New Roman" w:hAnsi="Times New Roman" w:cs="Times New Roman"/>
          <w:kern w:val="0"/>
          <w14:ligatures w14:val="none"/>
        </w:rPr>
      </w:pPr>
    </w:p>
    <w:p w14:paraId="6E03AB2F" w14:textId="77777777" w:rsidR="00184569" w:rsidRPr="00184569" w:rsidRDefault="00184569" w:rsidP="00184569">
      <w:pPr>
        <w:widowControl w:val="0"/>
        <w:tabs>
          <w:tab w:val="left" w:pos="8364"/>
        </w:tabs>
        <w:autoSpaceDE w:val="0"/>
        <w:autoSpaceDN w:val="0"/>
        <w:spacing w:after="0" w:line="240" w:lineRule="auto"/>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Az apixabán naponta 10 mg-ig növekvő, szájon át történő adagolás mellett a dózissal arányos, lineáris farmakokinetikát mutat. A 25 mg-os vagy annál nagyobb dózisokban az apixabán az oldódás által korlátozott felszívódást mutat, csökkent biohasznosulással. Az apixabán-expozíciós paraméterek alacsony, illetve közepes mértékű variabilitást mutatnak, amit az egyénen belüli variabilitás kb. 20%</w:t>
      </w:r>
      <w:r w:rsidRPr="00184569">
        <w:rPr>
          <w:rFonts w:ascii="Times New Roman" w:eastAsia="Times New Roman" w:hAnsi="Times New Roman" w:cs="Times New Roman"/>
          <w:kern w:val="0"/>
          <w14:ligatures w14:val="none"/>
        </w:rPr>
        <w:noBreakHyphen/>
        <w:t>os variációs együtthatója, míg az egyének közötti variabilitás kb. 30%-os variációs együtthatója jelez.</w:t>
      </w:r>
    </w:p>
    <w:p w14:paraId="1DCB23AF" w14:textId="77777777" w:rsidR="00184569" w:rsidRPr="00184569" w:rsidRDefault="00184569" w:rsidP="00184569">
      <w:pPr>
        <w:widowControl w:val="0"/>
        <w:tabs>
          <w:tab w:val="left" w:pos="8364"/>
        </w:tabs>
        <w:autoSpaceDE w:val="0"/>
        <w:autoSpaceDN w:val="0"/>
        <w:spacing w:after="0" w:line="240" w:lineRule="auto"/>
        <w:rPr>
          <w:rFonts w:ascii="Times New Roman" w:eastAsia="Times New Roman" w:hAnsi="Times New Roman" w:cs="Times New Roman"/>
          <w:kern w:val="0"/>
          <w14:ligatures w14:val="none"/>
        </w:rPr>
      </w:pPr>
    </w:p>
    <w:p w14:paraId="1524C2EC"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10 mg apixabán 2 darab porrá tört, 30 ml vízben szuszpendált 5 mg-os tabletta formájában, szájon át történő bevétele után az expozíció összemérhető volt 2 darab 5 mg-os tabletta szájon át, egészben történő bevétele után mért expozícióval. 10 mg apixabán 2 darab porrá tört, 30 g almapüréhez kevert 5 mg-os tabletta formájában, szájon át történő beadása után a C</w:t>
      </w:r>
      <w:r w:rsidRPr="00184569">
        <w:rPr>
          <w:rFonts w:ascii="Times New Roman" w:eastAsia="Times New Roman" w:hAnsi="Times New Roman" w:cs="Times New Roman"/>
          <w:kern w:val="0"/>
          <w:vertAlign w:val="subscript"/>
          <w14:ligatures w14:val="none"/>
        </w:rPr>
        <w:t>max</w:t>
      </w:r>
      <w:r w:rsidRPr="00184569">
        <w:rPr>
          <w:rFonts w:ascii="Times New Roman" w:eastAsia="Times New Roman" w:hAnsi="Times New Roman" w:cs="Times New Roman"/>
          <w:kern w:val="0"/>
          <w14:ligatures w14:val="none"/>
        </w:rPr>
        <w:t xml:space="preserve"> 21%-kal, az AUC pedig 16%-kal alacsonyabb volt, mint amit 2 darab egészben bevett 5 mg-os tabletta után mértek. Az expozíció csökkenése nem minősül klinikailag jelentősnek.</w:t>
      </w:r>
    </w:p>
    <w:p w14:paraId="3E56A31D"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
    <w:p w14:paraId="1CBC5F09"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Egy porrá tört, 60 ml 5%-os glükózoldatban szuszpendált 5 mg-os apixabán tabletta nasogastricus szondán át történő beadása után az expozíció hasonló volt olyan, más klinikai vizsgálatokban mért expozícióhoz, ahol egészséges alanyok egy 5 mg-os apixabán tablettát kaptak szájon át.</w:t>
      </w:r>
    </w:p>
    <w:p w14:paraId="0196AB66"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
    <w:p w14:paraId="0C3A1457"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Az apixabán előre jelezhető, dózisarányos farmakokinetikai profilja miatt az elvégzett klinikai vizsgálatokból származó biohasznosulási eredmények alacsonyabb apixabán dózisokra is érvényesek.</w:t>
      </w:r>
    </w:p>
    <w:p w14:paraId="2B2B0E7F"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
    <w:p w14:paraId="2DD7E8A8"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u w:val="single"/>
          <w14:ligatures w14:val="none"/>
        </w:rPr>
      </w:pPr>
      <w:r w:rsidRPr="00184569">
        <w:rPr>
          <w:rFonts w:ascii="Times New Roman" w:eastAsia="Times New Roman" w:hAnsi="Times New Roman" w:cs="Times New Roman"/>
          <w:kern w:val="0"/>
          <w:u w:val="single"/>
          <w14:ligatures w14:val="none"/>
        </w:rPr>
        <w:t xml:space="preserve">Gyermekek és serdülők </w:t>
      </w:r>
    </w:p>
    <w:p w14:paraId="4F052DF0"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Az apixabán felszívódása gyors, egyetlen dózis alkalmazása után körülbelül 2 órával éri el a csúcskoncentrációját (C</w:t>
      </w:r>
      <w:r w:rsidRPr="00184569">
        <w:rPr>
          <w:rFonts w:ascii="Times New Roman" w:eastAsia="Times New Roman" w:hAnsi="Times New Roman" w:cs="Times New Roman"/>
          <w:kern w:val="0"/>
          <w:vertAlign w:val="subscript"/>
          <w14:ligatures w14:val="none"/>
        </w:rPr>
        <w:t>max</w:t>
      </w:r>
      <w:r w:rsidRPr="00184569">
        <w:rPr>
          <w:rFonts w:ascii="Times New Roman" w:eastAsia="Times New Roman" w:hAnsi="Times New Roman" w:cs="Times New Roman"/>
          <w:kern w:val="0"/>
          <w14:ligatures w14:val="none"/>
        </w:rPr>
        <w:t>).</w:t>
      </w:r>
    </w:p>
    <w:p w14:paraId="14C03B86"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
    <w:p w14:paraId="2DB8520E"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u w:val="single"/>
          <w14:ligatures w14:val="none"/>
        </w:rPr>
        <w:t>Eloszlás</w:t>
      </w:r>
    </w:p>
    <w:p w14:paraId="1330BCC7"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position w:val="2"/>
          <w14:ligatures w14:val="none"/>
        </w:rPr>
      </w:pPr>
    </w:p>
    <w:p w14:paraId="4FC6E207"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A plazmafehérjékhez való kötődése felnőtt embernél hozzávetőlegesen 87%. Eloszlási térfogata (V</w:t>
      </w:r>
      <w:r w:rsidRPr="00184569">
        <w:rPr>
          <w:rFonts w:ascii="Times New Roman" w:eastAsia="Times New Roman" w:hAnsi="Times New Roman" w:cs="Times New Roman"/>
          <w:kern w:val="0"/>
          <w:vertAlign w:val="subscript"/>
          <w14:ligatures w14:val="none"/>
        </w:rPr>
        <w:t>ss</w:t>
      </w:r>
      <w:r w:rsidRPr="00184569">
        <w:rPr>
          <w:rFonts w:ascii="Times New Roman" w:eastAsia="Times New Roman" w:hAnsi="Times New Roman" w:cs="Times New Roman"/>
          <w:kern w:val="0"/>
          <w14:ligatures w14:val="none"/>
        </w:rPr>
        <w:t>) hozzávetőlegesen 21 liter.</w:t>
      </w:r>
    </w:p>
    <w:p w14:paraId="1BDA082D"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
    <w:p w14:paraId="167873D4"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Nem állnak rendelkezésre az apixabán plazmaprotein-kötődésére vonatkozó adatok kifejezetten gyermekekre és serdülőkre vonatkozóan.</w:t>
      </w:r>
    </w:p>
    <w:p w14:paraId="26003873"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
    <w:p w14:paraId="71826299"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u w:val="single"/>
          <w14:ligatures w14:val="none"/>
        </w:rPr>
        <w:t>Biotranszformáció és elimináció</w:t>
      </w:r>
    </w:p>
    <w:p w14:paraId="320D8B15"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
    <w:p w14:paraId="4C9D7613"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Az apixabán több útvonalon keresztül eliminálódik. Embereknél a bejuttatott apixabán-dózis mintegy 25%-a volt visszanyerhető metabolitok formájában, aminek nagyobbik hányada a székletből volt visszanyerhető. Az apixabán renalis kiválasztódása a teljes clearance körülbelül 27%-át teszi ki felnőtteknél. Klinikai vizsgálatok során biliáris, illetve nem klinikai vizsgálatok során közvetlen intestinális kiválasztódást is megfigyeltek.</w:t>
      </w:r>
    </w:p>
    <w:p w14:paraId="4FC7A1C0"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
    <w:p w14:paraId="38951D57"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Felnőtteknél az apixabán teljes clearance-e 3,3 l/óra, felezési ideje körülbelül 12 óra. Gyermekeknél és serdülőknél az apixabán teljes látszólagos clearance-e körülbelül 3,0 l/óra.</w:t>
      </w:r>
    </w:p>
    <w:p w14:paraId="4B935D3C"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
    <w:p w14:paraId="6F6C9D56"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A biotranszformáció fő támadáspontjai a 3-oxopiperidinil csoport O-demetilációja és hidroxilációja. Az apixabán főként a CYP3A4/5 enzim útján metabolizálódik, a CYP1A2, 2C8, 2C9, 2C19 és 2J2 kisebb fokú részvételével. A változatlan formájú apixabán a legfontosabb, hatóanyaggal összefüggő vegyület a humán plazmában, aktív keringő metabolitok jelenléte nélkül. Az apixabán szubsztrátja a transzportfehérjéknek, a P-gp-nek és az emlőcarcinoma-rezisztencia-proteinnek (BCRP).</w:t>
      </w:r>
    </w:p>
    <w:p w14:paraId="34DCE494"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
    <w:p w14:paraId="1939D0D1"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u w:val="single"/>
          <w14:ligatures w14:val="none"/>
        </w:rPr>
        <w:t>Idősek</w:t>
      </w:r>
    </w:p>
    <w:p w14:paraId="5A0CAD9A"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
    <w:p w14:paraId="336CD852"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 xml:space="preserve">Idős betegeknél (65 év felett) magasabb plazmakoncentrációk fordultak elő, mint a fiatal betegeknél, </w:t>
      </w:r>
      <w:r w:rsidRPr="00184569">
        <w:rPr>
          <w:rFonts w:ascii="Times New Roman" w:eastAsia="Times New Roman" w:hAnsi="Times New Roman" w:cs="Times New Roman"/>
          <w:kern w:val="0"/>
          <w:position w:val="2"/>
          <w14:ligatures w14:val="none"/>
        </w:rPr>
        <w:t>az átlagos AUC-értékek körülbelül 32%-kal voltak magasabbak és nem volt különbség a C</w:t>
      </w:r>
      <w:r w:rsidRPr="00184569">
        <w:rPr>
          <w:rFonts w:ascii="Times New Roman" w:eastAsia="Times New Roman" w:hAnsi="Times New Roman" w:cs="Times New Roman"/>
          <w:kern w:val="0"/>
          <w:vertAlign w:val="subscript"/>
          <w14:ligatures w14:val="none"/>
        </w:rPr>
        <w:t>max</w:t>
      </w:r>
      <w:r w:rsidRPr="00184569">
        <w:rPr>
          <w:rFonts w:ascii="Times New Roman" w:eastAsia="Times New Roman" w:hAnsi="Times New Roman" w:cs="Times New Roman"/>
          <w:kern w:val="0"/>
          <w:position w:val="2"/>
          <w14:ligatures w14:val="none"/>
        </w:rPr>
        <w:t>-értékben.</w:t>
      </w:r>
    </w:p>
    <w:p w14:paraId="71B3806D"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
    <w:p w14:paraId="0E52D01C"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u w:val="single"/>
          <w14:ligatures w14:val="none"/>
        </w:rPr>
        <w:t>Vesekárosodás</w:t>
      </w:r>
    </w:p>
    <w:p w14:paraId="1A06750D"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
    <w:p w14:paraId="04C53404"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A vesekárosodás nem volt hatással az apixabán csúcskoncentrációjára. A vesefunkció kreatinin-clearance-szel mért csökkenésével összefüggő, megnövekedett apixabán-expozíciót figyeltek meg. A normál kreatinin-clearance-szel rendelkező betegekhez képest az apixabán plazmakoncentrációjának (AUC) növekedése enyhe fokú vesekárosodás (kreatinin-clearance 51–80 ml/perc) esetén 16%-os, közepes fokú vesekárosodás (kreatinin-clearance 30–50 ml/perc) esetén 29%-os, súlyos fokú vesekárosodás (kreatinin-clearance 15–29 ml/perc) esetén pedig 44%-os volt. A vesekárosodás nincs bizonyított hatással az apixabán plazmakoncentrációja és a Xa-faktor-ellenes aktivitás közti összefüggésre.</w:t>
      </w:r>
    </w:p>
    <w:p w14:paraId="1C692B16"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
    <w:p w14:paraId="09A6B639"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Végstádiumú vesebetegségben szenvedőknél az apixabán AUC-értéke a normál veseműködésű egyéneknél megfigyeltekhez képest 36%-kal nőtt, amikor közvetlenül hemodialízis után egyszeri 5 mg apixabán-dózist alkalmaztak. Az apixabán egyszeri, 5 mg-os dózisának alkalmazása után két órával megkezdett hemodialízis 14%-kal csökkentette az apixabán AUC-értékét ezeknél a végstádiumú vesebetegeknél, ami az apixabán esetében 18 ml/perc dialysis-clearance-nek felel meg. Ezért a hemodialízis valószínűleg nem hatékony módszer az apixabán-túladagolás kezelésére.</w:t>
      </w:r>
    </w:p>
    <w:p w14:paraId="5BA96A45"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
    <w:p w14:paraId="0D5EB070"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A ≥ 2 éves korú gyermekeknél és serdülőknél a súlyos fokú vesekárosodást 30 ml/perc/1,73 m</w:t>
      </w:r>
      <w:r w:rsidRPr="00184569">
        <w:rPr>
          <w:rFonts w:ascii="Times New Roman" w:eastAsia="Times New Roman" w:hAnsi="Times New Roman" w:cs="Times New Roman"/>
          <w:kern w:val="0"/>
          <w:vertAlign w:val="superscript"/>
          <w14:ligatures w14:val="none"/>
        </w:rPr>
        <w:t>2</w:t>
      </w:r>
      <w:r w:rsidRPr="00184569">
        <w:rPr>
          <w:rFonts w:ascii="Times New Roman" w:eastAsia="Times New Roman" w:hAnsi="Times New Roman" w:cs="Times New Roman"/>
          <w:kern w:val="0"/>
          <w14:ligatures w14:val="none"/>
        </w:rPr>
        <w:t xml:space="preserve"> testfelület (BSA, body surface area) alatti becsült glomerulusfiltrációs rátaként (eGFR) határozták meg. A CV185325 vizsgálatban a 2 </w:t>
      </w:r>
      <w:proofErr w:type="gramStart"/>
      <w:r w:rsidRPr="00184569">
        <w:rPr>
          <w:rFonts w:ascii="Times New Roman" w:eastAsia="Times New Roman" w:hAnsi="Times New Roman" w:cs="Times New Roman"/>
          <w:kern w:val="0"/>
          <w14:ligatures w14:val="none"/>
        </w:rPr>
        <w:t>évesnél</w:t>
      </w:r>
      <w:proofErr w:type="gramEnd"/>
      <w:r w:rsidRPr="00184569">
        <w:rPr>
          <w:rFonts w:ascii="Times New Roman" w:eastAsia="Times New Roman" w:hAnsi="Times New Roman" w:cs="Times New Roman"/>
          <w:kern w:val="0"/>
          <w14:ligatures w14:val="none"/>
        </w:rPr>
        <w:t xml:space="preserve"> fiatalabb betegeknél a súlyos fokú vesekárosodás küszöbértékének nemenkénti és születés utáni életkoronkénti meghatározása alább a 15. táblázatban található; mind megfelel a ≥ 2 éves korúak eGFR &lt; 30 ml/perc/1,73 m</w:t>
      </w:r>
      <w:r w:rsidRPr="00184569">
        <w:rPr>
          <w:rFonts w:ascii="Times New Roman" w:eastAsia="Times New Roman" w:hAnsi="Times New Roman" w:cs="Times New Roman"/>
          <w:kern w:val="0"/>
          <w:vertAlign w:val="superscript"/>
          <w14:ligatures w14:val="none"/>
        </w:rPr>
        <w:t>2</w:t>
      </w:r>
      <w:r w:rsidRPr="00184569">
        <w:rPr>
          <w:rFonts w:ascii="Times New Roman" w:eastAsia="Times New Roman" w:hAnsi="Times New Roman" w:cs="Times New Roman"/>
          <w:kern w:val="0"/>
          <w14:ligatures w14:val="none"/>
        </w:rPr>
        <w:t xml:space="preserve"> BSA értékének.</w:t>
      </w:r>
    </w:p>
    <w:p w14:paraId="04A3643A"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
    <w:p w14:paraId="0B48A6A4"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b/>
          <w:bCs/>
          <w:kern w:val="0"/>
          <w14:ligatures w14:val="none"/>
        </w:rPr>
      </w:pPr>
      <w:r w:rsidRPr="00184569">
        <w:rPr>
          <w:rFonts w:ascii="Times New Roman" w:eastAsia="Times New Roman" w:hAnsi="Times New Roman" w:cs="Times New Roman"/>
          <w:b/>
          <w:bCs/>
          <w:kern w:val="0"/>
          <w14:ligatures w14:val="none"/>
        </w:rPr>
        <w:t>15. táblázat: A CV185325 vizsgálat eGFR alkalmassági küszöbértékei</w:t>
      </w:r>
    </w:p>
    <w:tbl>
      <w:tblPr>
        <w:tblStyle w:val="Rcsostblzat"/>
        <w:tblW w:w="9256" w:type="dxa"/>
        <w:tblInd w:w="-5" w:type="dxa"/>
        <w:tblLook w:val="04A0" w:firstRow="1" w:lastRow="0" w:firstColumn="1" w:lastColumn="0" w:noHBand="0" w:noVBand="1"/>
      </w:tblPr>
      <w:tblGrid>
        <w:gridCol w:w="3544"/>
        <w:gridCol w:w="2890"/>
        <w:gridCol w:w="2822"/>
      </w:tblGrid>
      <w:tr w:rsidR="00184569" w:rsidRPr="00184569" w14:paraId="7771FBE7" w14:textId="77777777" w:rsidTr="00E16EC6">
        <w:tc>
          <w:tcPr>
            <w:tcW w:w="3544" w:type="dxa"/>
          </w:tcPr>
          <w:p w14:paraId="7D2DA370" w14:textId="77777777" w:rsidR="00184569" w:rsidRPr="00184569" w:rsidRDefault="00184569" w:rsidP="00184569">
            <w:pPr>
              <w:jc w:val="center"/>
              <w:rPr>
                <w:rFonts w:ascii="Times New Roman" w:eastAsia="Times New Roman" w:hAnsi="Times New Roman" w:cs="Times New Roman"/>
                <w:b/>
                <w:lang w:eastAsia="en-GB"/>
              </w:rPr>
            </w:pPr>
            <w:r w:rsidRPr="00184569">
              <w:rPr>
                <w:rFonts w:ascii="Times New Roman" w:eastAsia="Times New Roman" w:hAnsi="Times New Roman" w:cs="Times New Roman"/>
                <w:b/>
                <w:lang w:eastAsia="en-GB"/>
              </w:rPr>
              <w:t>Születés utáni életkor (nem)</w:t>
            </w:r>
          </w:p>
        </w:tc>
        <w:tc>
          <w:tcPr>
            <w:tcW w:w="2890" w:type="dxa"/>
          </w:tcPr>
          <w:p w14:paraId="5AE3F2ED" w14:textId="77777777" w:rsidR="00184569" w:rsidRPr="00184569" w:rsidRDefault="00184569" w:rsidP="00184569">
            <w:pPr>
              <w:jc w:val="center"/>
              <w:rPr>
                <w:rFonts w:ascii="Times New Roman" w:eastAsia="Times New Roman" w:hAnsi="Times New Roman" w:cs="Times New Roman"/>
                <w:b/>
                <w:lang w:eastAsia="en-GB"/>
              </w:rPr>
            </w:pPr>
            <w:r w:rsidRPr="00184569">
              <w:rPr>
                <w:rFonts w:ascii="Times New Roman" w:eastAsia="Times New Roman" w:hAnsi="Times New Roman" w:cs="Times New Roman"/>
                <w:b/>
                <w:lang w:eastAsia="en-GB"/>
              </w:rPr>
              <w:t>GFR</w:t>
            </w:r>
          </w:p>
          <w:p w14:paraId="75EB5605" w14:textId="77777777" w:rsidR="00184569" w:rsidRPr="00184569" w:rsidRDefault="00184569" w:rsidP="00184569">
            <w:pPr>
              <w:jc w:val="center"/>
              <w:rPr>
                <w:rFonts w:ascii="Times New Roman" w:eastAsia="Times New Roman" w:hAnsi="Times New Roman" w:cs="Times New Roman"/>
                <w:b/>
                <w:lang w:eastAsia="en-GB"/>
              </w:rPr>
            </w:pPr>
            <w:r w:rsidRPr="00184569">
              <w:rPr>
                <w:rFonts w:ascii="Times New Roman" w:eastAsia="Times New Roman" w:hAnsi="Times New Roman" w:cs="Times New Roman"/>
                <w:b/>
                <w:lang w:eastAsia="en-GB"/>
              </w:rPr>
              <w:t>referenciatartomány (ml/perc/1,73 m</w:t>
            </w:r>
            <w:r w:rsidRPr="00184569">
              <w:rPr>
                <w:rFonts w:ascii="Times New Roman" w:eastAsia="Times New Roman" w:hAnsi="Times New Roman" w:cs="Times New Roman"/>
                <w:b/>
                <w:vertAlign w:val="superscript"/>
                <w:lang w:eastAsia="en-GB"/>
              </w:rPr>
              <w:t>2</w:t>
            </w:r>
            <w:r w:rsidRPr="00184569">
              <w:rPr>
                <w:rFonts w:ascii="Times New Roman" w:eastAsia="Times New Roman" w:hAnsi="Times New Roman" w:cs="Times New Roman"/>
                <w:b/>
                <w:lang w:eastAsia="en-GB"/>
              </w:rPr>
              <w:t>)</w:t>
            </w:r>
          </w:p>
        </w:tc>
        <w:tc>
          <w:tcPr>
            <w:tcW w:w="2822" w:type="dxa"/>
          </w:tcPr>
          <w:p w14:paraId="604FFB8B" w14:textId="77777777" w:rsidR="00184569" w:rsidRPr="00184569" w:rsidRDefault="00184569" w:rsidP="00184569">
            <w:pPr>
              <w:jc w:val="center"/>
              <w:rPr>
                <w:rFonts w:ascii="Times New Roman" w:eastAsia="Times New Roman" w:hAnsi="Times New Roman" w:cs="Times New Roman"/>
                <w:b/>
                <w:lang w:eastAsia="en-GB"/>
              </w:rPr>
            </w:pPr>
            <w:r w:rsidRPr="00184569">
              <w:rPr>
                <w:rFonts w:ascii="Times New Roman" w:eastAsia="Times New Roman" w:hAnsi="Times New Roman" w:cs="Times New Roman"/>
                <w:b/>
                <w:lang w:eastAsia="en-GB"/>
              </w:rPr>
              <w:t>eGFR alkalmassági küszöbértéke*</w:t>
            </w:r>
          </w:p>
        </w:tc>
      </w:tr>
      <w:tr w:rsidR="00184569" w:rsidRPr="00184569" w14:paraId="46FE8E1C" w14:textId="77777777" w:rsidTr="00E16EC6">
        <w:tc>
          <w:tcPr>
            <w:tcW w:w="3544" w:type="dxa"/>
          </w:tcPr>
          <w:p w14:paraId="6AD9C926" w14:textId="77777777" w:rsidR="00184569" w:rsidRPr="00184569" w:rsidRDefault="00184569" w:rsidP="00184569">
            <w:pPr>
              <w:rPr>
                <w:rFonts w:ascii="Times New Roman" w:eastAsia="Times New Roman" w:hAnsi="Times New Roman" w:cs="Times New Roman"/>
                <w:lang w:eastAsia="en-GB"/>
              </w:rPr>
            </w:pPr>
            <w:r w:rsidRPr="00184569">
              <w:rPr>
                <w:rFonts w:ascii="Times New Roman" w:eastAsia="Times New Roman" w:hAnsi="Times New Roman" w:cs="Times New Roman"/>
                <w:lang w:eastAsia="en-GB"/>
              </w:rPr>
              <w:t>1 hét (fiúk és lányok)</w:t>
            </w:r>
          </w:p>
        </w:tc>
        <w:tc>
          <w:tcPr>
            <w:tcW w:w="2890" w:type="dxa"/>
          </w:tcPr>
          <w:p w14:paraId="400696F0" w14:textId="77777777" w:rsidR="00184569" w:rsidRPr="00184569" w:rsidRDefault="00184569" w:rsidP="00184569">
            <w:pPr>
              <w:jc w:val="center"/>
              <w:rPr>
                <w:rFonts w:ascii="Times New Roman" w:eastAsia="Times New Roman" w:hAnsi="Times New Roman" w:cs="Times New Roman"/>
                <w:lang w:eastAsia="en-GB"/>
              </w:rPr>
            </w:pPr>
            <w:r w:rsidRPr="00184569">
              <w:rPr>
                <w:rFonts w:ascii="Times New Roman" w:eastAsia="Times New Roman" w:hAnsi="Times New Roman" w:cs="Times New Roman"/>
                <w:lang w:eastAsia="en-GB"/>
              </w:rPr>
              <w:t xml:space="preserve">41 </w:t>
            </w:r>
            <w:r w:rsidRPr="00184569">
              <w:rPr>
                <w:rFonts w:ascii="Times New Roman" w:eastAsia="Times New Roman" w:hAnsi="Times New Roman" w:cs="Times New Roman"/>
                <w:lang w:eastAsia="en-GB"/>
              </w:rPr>
              <w:sym w:font="Symbol" w:char="F0B1"/>
            </w:r>
            <w:r w:rsidRPr="00184569">
              <w:rPr>
                <w:rFonts w:ascii="Times New Roman" w:eastAsia="Times New Roman" w:hAnsi="Times New Roman" w:cs="Times New Roman"/>
                <w:lang w:eastAsia="en-GB"/>
              </w:rPr>
              <w:t xml:space="preserve"> 15</w:t>
            </w:r>
          </w:p>
        </w:tc>
        <w:tc>
          <w:tcPr>
            <w:tcW w:w="2822" w:type="dxa"/>
          </w:tcPr>
          <w:p w14:paraId="57D950D3" w14:textId="77777777" w:rsidR="00184569" w:rsidRPr="00184569" w:rsidRDefault="00184569" w:rsidP="00184569">
            <w:pPr>
              <w:jc w:val="center"/>
              <w:rPr>
                <w:rFonts w:ascii="Times New Roman" w:eastAsia="Times New Roman" w:hAnsi="Times New Roman" w:cs="Times New Roman"/>
                <w:lang w:eastAsia="en-GB"/>
              </w:rPr>
            </w:pPr>
            <w:r w:rsidRPr="00184569">
              <w:rPr>
                <w:rFonts w:ascii="Times New Roman" w:eastAsia="Times New Roman" w:hAnsi="Times New Roman" w:cs="Times New Roman"/>
                <w:lang w:eastAsia="en-GB"/>
              </w:rPr>
              <w:t>≥ 8</w:t>
            </w:r>
          </w:p>
        </w:tc>
      </w:tr>
      <w:tr w:rsidR="00184569" w:rsidRPr="00184569" w14:paraId="0EEB883E" w14:textId="77777777" w:rsidTr="00E16EC6">
        <w:tc>
          <w:tcPr>
            <w:tcW w:w="3544" w:type="dxa"/>
          </w:tcPr>
          <w:p w14:paraId="2E9EB1BF" w14:textId="77777777" w:rsidR="00184569" w:rsidRPr="00184569" w:rsidRDefault="00184569" w:rsidP="00184569">
            <w:pPr>
              <w:rPr>
                <w:rFonts w:ascii="Times New Roman" w:eastAsia="Times New Roman" w:hAnsi="Times New Roman" w:cs="Times New Roman"/>
                <w:lang w:eastAsia="en-GB"/>
              </w:rPr>
            </w:pPr>
            <w:r w:rsidRPr="00184569">
              <w:rPr>
                <w:rFonts w:ascii="Times New Roman" w:eastAsia="Times New Roman" w:hAnsi="Times New Roman" w:cs="Times New Roman"/>
                <w:lang w:eastAsia="en-GB"/>
              </w:rPr>
              <w:t>2–8 hét (fiúk és lányok)</w:t>
            </w:r>
          </w:p>
        </w:tc>
        <w:tc>
          <w:tcPr>
            <w:tcW w:w="2890" w:type="dxa"/>
          </w:tcPr>
          <w:p w14:paraId="1915C39B" w14:textId="77777777" w:rsidR="00184569" w:rsidRPr="00184569" w:rsidRDefault="00184569" w:rsidP="00184569">
            <w:pPr>
              <w:jc w:val="center"/>
              <w:rPr>
                <w:rFonts w:ascii="Times New Roman" w:eastAsia="Times New Roman" w:hAnsi="Times New Roman" w:cs="Times New Roman"/>
                <w:lang w:eastAsia="en-GB"/>
              </w:rPr>
            </w:pPr>
            <w:r w:rsidRPr="00184569">
              <w:rPr>
                <w:rFonts w:ascii="Times New Roman" w:eastAsia="Times New Roman" w:hAnsi="Times New Roman" w:cs="Times New Roman"/>
                <w:lang w:eastAsia="en-GB"/>
              </w:rPr>
              <w:t xml:space="preserve">66 </w:t>
            </w:r>
            <w:r w:rsidRPr="00184569">
              <w:rPr>
                <w:rFonts w:ascii="Times New Roman" w:eastAsia="Times New Roman" w:hAnsi="Times New Roman" w:cs="Times New Roman"/>
                <w:lang w:eastAsia="en-GB"/>
              </w:rPr>
              <w:sym w:font="Symbol" w:char="F0B1"/>
            </w:r>
            <w:r w:rsidRPr="00184569">
              <w:rPr>
                <w:rFonts w:ascii="Times New Roman" w:eastAsia="Times New Roman" w:hAnsi="Times New Roman" w:cs="Times New Roman"/>
                <w:lang w:eastAsia="en-GB"/>
              </w:rPr>
              <w:t xml:space="preserve"> 25</w:t>
            </w:r>
          </w:p>
        </w:tc>
        <w:tc>
          <w:tcPr>
            <w:tcW w:w="2822" w:type="dxa"/>
          </w:tcPr>
          <w:p w14:paraId="72FDD544" w14:textId="77777777" w:rsidR="00184569" w:rsidRPr="00184569" w:rsidRDefault="00184569" w:rsidP="00184569">
            <w:pPr>
              <w:jc w:val="center"/>
              <w:rPr>
                <w:rFonts w:ascii="Times New Roman" w:eastAsia="Times New Roman" w:hAnsi="Times New Roman" w:cs="Times New Roman"/>
                <w:lang w:eastAsia="en-GB"/>
              </w:rPr>
            </w:pPr>
            <w:r w:rsidRPr="00184569">
              <w:rPr>
                <w:rFonts w:ascii="Times New Roman" w:eastAsia="Times New Roman" w:hAnsi="Times New Roman" w:cs="Times New Roman"/>
                <w:lang w:eastAsia="en-GB"/>
              </w:rPr>
              <w:t>≥ 12</w:t>
            </w:r>
          </w:p>
        </w:tc>
      </w:tr>
      <w:tr w:rsidR="00184569" w:rsidRPr="00184569" w14:paraId="36EC9EA7" w14:textId="77777777" w:rsidTr="00E16EC6">
        <w:tc>
          <w:tcPr>
            <w:tcW w:w="3544" w:type="dxa"/>
          </w:tcPr>
          <w:p w14:paraId="7CD673C8" w14:textId="77777777" w:rsidR="00184569" w:rsidRPr="00F738D7" w:rsidRDefault="00184569" w:rsidP="00184569">
            <w:pPr>
              <w:rPr>
                <w:rFonts w:ascii="Times New Roman" w:eastAsia="Times New Roman" w:hAnsi="Times New Roman" w:cs="Times New Roman"/>
                <w:lang w:val="hu-HU" w:eastAsia="en-GB"/>
              </w:rPr>
            </w:pPr>
            <w:r w:rsidRPr="00A4736C">
              <w:rPr>
                <w:rFonts w:ascii="Times New Roman" w:eastAsia="Times New Roman" w:hAnsi="Times New Roman" w:cs="Times New Roman"/>
                <w:lang w:eastAsia="en-GB"/>
              </w:rPr>
              <w:t xml:space="preserve">&gt; 8 hét </w:t>
            </w:r>
            <w:r w:rsidRPr="00A4736C">
              <w:rPr>
                <w:rFonts w:ascii="Times New Roman" w:eastAsia="Times New Roman" w:hAnsi="Times New Roman" w:cs="Times New Roman"/>
              </w:rPr>
              <w:t>–</w:t>
            </w:r>
            <w:r w:rsidRPr="00A4736C">
              <w:rPr>
                <w:rFonts w:ascii="Times New Roman" w:eastAsia="Times New Roman" w:hAnsi="Times New Roman" w:cs="Times New Roman"/>
                <w:lang w:eastAsia="en-GB"/>
              </w:rPr>
              <w:t xml:space="preserve"> &lt; 2 év (fiúk és lányok)</w:t>
            </w:r>
          </w:p>
        </w:tc>
        <w:tc>
          <w:tcPr>
            <w:tcW w:w="2890" w:type="dxa"/>
          </w:tcPr>
          <w:p w14:paraId="4A24C7E0" w14:textId="77777777" w:rsidR="00184569" w:rsidRPr="00184569" w:rsidRDefault="00184569" w:rsidP="00184569">
            <w:pPr>
              <w:jc w:val="center"/>
              <w:rPr>
                <w:rFonts w:ascii="Times New Roman" w:eastAsia="Times New Roman" w:hAnsi="Times New Roman" w:cs="Times New Roman"/>
                <w:lang w:eastAsia="en-GB"/>
              </w:rPr>
            </w:pPr>
            <w:r w:rsidRPr="00184569">
              <w:rPr>
                <w:rFonts w:ascii="Times New Roman" w:eastAsia="Times New Roman" w:hAnsi="Times New Roman" w:cs="Times New Roman"/>
                <w:lang w:eastAsia="en-GB"/>
              </w:rPr>
              <w:t xml:space="preserve">96 </w:t>
            </w:r>
            <w:r w:rsidRPr="00184569">
              <w:rPr>
                <w:rFonts w:ascii="Times New Roman" w:eastAsia="Times New Roman" w:hAnsi="Times New Roman" w:cs="Times New Roman"/>
                <w:lang w:eastAsia="en-GB"/>
              </w:rPr>
              <w:sym w:font="Symbol" w:char="F0B1"/>
            </w:r>
            <w:r w:rsidRPr="00184569">
              <w:rPr>
                <w:rFonts w:ascii="Times New Roman" w:eastAsia="Times New Roman" w:hAnsi="Times New Roman" w:cs="Times New Roman"/>
                <w:lang w:eastAsia="en-GB"/>
              </w:rPr>
              <w:t xml:space="preserve"> 22</w:t>
            </w:r>
          </w:p>
        </w:tc>
        <w:tc>
          <w:tcPr>
            <w:tcW w:w="2822" w:type="dxa"/>
          </w:tcPr>
          <w:p w14:paraId="0014BEE9" w14:textId="77777777" w:rsidR="00184569" w:rsidRPr="00184569" w:rsidRDefault="00184569" w:rsidP="00184569">
            <w:pPr>
              <w:jc w:val="center"/>
              <w:rPr>
                <w:rFonts w:ascii="Times New Roman" w:eastAsia="Times New Roman" w:hAnsi="Times New Roman" w:cs="Times New Roman"/>
                <w:lang w:eastAsia="en-GB"/>
              </w:rPr>
            </w:pPr>
            <w:r w:rsidRPr="00184569">
              <w:rPr>
                <w:rFonts w:ascii="Times New Roman" w:eastAsia="Times New Roman" w:hAnsi="Times New Roman" w:cs="Times New Roman"/>
                <w:lang w:eastAsia="en-GB"/>
              </w:rPr>
              <w:t>≥ 22</w:t>
            </w:r>
          </w:p>
        </w:tc>
      </w:tr>
      <w:tr w:rsidR="00184569" w:rsidRPr="00184569" w14:paraId="2B20A32C" w14:textId="77777777" w:rsidTr="00E16EC6">
        <w:tc>
          <w:tcPr>
            <w:tcW w:w="3544" w:type="dxa"/>
          </w:tcPr>
          <w:p w14:paraId="2E8F3461" w14:textId="77777777" w:rsidR="00184569" w:rsidRPr="00184569" w:rsidRDefault="00184569" w:rsidP="00184569">
            <w:pPr>
              <w:rPr>
                <w:rFonts w:ascii="Times New Roman" w:eastAsia="Times New Roman" w:hAnsi="Times New Roman" w:cs="Times New Roman"/>
                <w:lang w:eastAsia="en-GB"/>
              </w:rPr>
            </w:pPr>
            <w:r w:rsidRPr="00184569">
              <w:rPr>
                <w:rFonts w:ascii="Times New Roman" w:eastAsia="Times New Roman" w:hAnsi="Times New Roman" w:cs="Times New Roman"/>
                <w:lang w:eastAsia="en-GB"/>
              </w:rPr>
              <w:t>2–12 év (fiúk és lányok)</w:t>
            </w:r>
          </w:p>
        </w:tc>
        <w:tc>
          <w:tcPr>
            <w:tcW w:w="2890" w:type="dxa"/>
          </w:tcPr>
          <w:p w14:paraId="46D927D5" w14:textId="77777777" w:rsidR="00184569" w:rsidRPr="00184569" w:rsidRDefault="00184569" w:rsidP="00184569">
            <w:pPr>
              <w:jc w:val="center"/>
              <w:rPr>
                <w:rFonts w:ascii="Times New Roman" w:eastAsia="Times New Roman" w:hAnsi="Times New Roman" w:cs="Times New Roman"/>
                <w:lang w:eastAsia="en-GB"/>
              </w:rPr>
            </w:pPr>
            <w:r w:rsidRPr="00184569">
              <w:rPr>
                <w:rFonts w:ascii="Times New Roman" w:eastAsia="Times New Roman" w:hAnsi="Times New Roman" w:cs="Times New Roman"/>
                <w:lang w:eastAsia="en-GB"/>
              </w:rPr>
              <w:t xml:space="preserve">133 </w:t>
            </w:r>
            <w:r w:rsidRPr="00184569">
              <w:rPr>
                <w:rFonts w:ascii="Times New Roman" w:eastAsia="Times New Roman" w:hAnsi="Times New Roman" w:cs="Times New Roman"/>
                <w:lang w:eastAsia="en-GB"/>
              </w:rPr>
              <w:sym w:font="Symbol" w:char="F0B1"/>
            </w:r>
            <w:r w:rsidRPr="00184569">
              <w:rPr>
                <w:rFonts w:ascii="Times New Roman" w:eastAsia="Times New Roman" w:hAnsi="Times New Roman" w:cs="Times New Roman"/>
                <w:lang w:eastAsia="en-GB"/>
              </w:rPr>
              <w:t xml:space="preserve"> 27</w:t>
            </w:r>
          </w:p>
        </w:tc>
        <w:tc>
          <w:tcPr>
            <w:tcW w:w="2822" w:type="dxa"/>
          </w:tcPr>
          <w:p w14:paraId="13D9F1DF" w14:textId="77777777" w:rsidR="00184569" w:rsidRPr="00184569" w:rsidRDefault="00184569" w:rsidP="00184569">
            <w:pPr>
              <w:jc w:val="center"/>
              <w:rPr>
                <w:rFonts w:ascii="Times New Roman" w:eastAsia="Times New Roman" w:hAnsi="Times New Roman" w:cs="Times New Roman"/>
                <w:lang w:eastAsia="en-GB"/>
              </w:rPr>
            </w:pPr>
            <w:r w:rsidRPr="00184569">
              <w:rPr>
                <w:rFonts w:ascii="Times New Roman" w:eastAsia="Times New Roman" w:hAnsi="Times New Roman" w:cs="Times New Roman"/>
                <w:lang w:eastAsia="en-GB"/>
              </w:rPr>
              <w:t>≥ 30</w:t>
            </w:r>
          </w:p>
        </w:tc>
      </w:tr>
      <w:tr w:rsidR="00184569" w:rsidRPr="00184569" w14:paraId="016238CB" w14:textId="77777777" w:rsidTr="00E16EC6">
        <w:tc>
          <w:tcPr>
            <w:tcW w:w="3544" w:type="dxa"/>
          </w:tcPr>
          <w:p w14:paraId="1E209A71" w14:textId="77777777" w:rsidR="00184569" w:rsidRPr="00184569" w:rsidRDefault="00184569" w:rsidP="00184569">
            <w:pPr>
              <w:adjustRightInd w:val="0"/>
              <w:rPr>
                <w:rFonts w:ascii="Times New Roman" w:eastAsia="Calibri" w:hAnsi="Times New Roman" w:cs="Times New Roman"/>
                <w:color w:val="000000"/>
              </w:rPr>
            </w:pPr>
            <w:r w:rsidRPr="00184569">
              <w:rPr>
                <w:rFonts w:ascii="Times New Roman" w:eastAsia="Calibri" w:hAnsi="Times New Roman" w:cs="Times New Roman"/>
                <w:color w:val="000000"/>
              </w:rPr>
              <w:t>13–17 év (fiúk)</w:t>
            </w:r>
          </w:p>
        </w:tc>
        <w:tc>
          <w:tcPr>
            <w:tcW w:w="2890" w:type="dxa"/>
          </w:tcPr>
          <w:p w14:paraId="63D19127" w14:textId="77777777" w:rsidR="00184569" w:rsidRPr="00184569" w:rsidRDefault="00184569" w:rsidP="00184569">
            <w:pPr>
              <w:jc w:val="center"/>
              <w:rPr>
                <w:rFonts w:ascii="Times New Roman" w:eastAsia="Times New Roman" w:hAnsi="Times New Roman" w:cs="Times New Roman"/>
                <w:lang w:eastAsia="en-GB"/>
              </w:rPr>
            </w:pPr>
            <w:r w:rsidRPr="00184569">
              <w:rPr>
                <w:rFonts w:ascii="Times New Roman" w:eastAsia="Times New Roman" w:hAnsi="Times New Roman" w:cs="Times New Roman"/>
                <w:lang w:eastAsia="en-GB"/>
              </w:rPr>
              <w:t xml:space="preserve">140 </w:t>
            </w:r>
            <w:r w:rsidRPr="00184569">
              <w:rPr>
                <w:rFonts w:ascii="Times New Roman" w:eastAsia="Times New Roman" w:hAnsi="Times New Roman" w:cs="Times New Roman"/>
                <w:lang w:eastAsia="en-GB"/>
              </w:rPr>
              <w:sym w:font="Symbol" w:char="F0B1"/>
            </w:r>
            <w:r w:rsidRPr="00184569">
              <w:rPr>
                <w:rFonts w:ascii="Times New Roman" w:eastAsia="Times New Roman" w:hAnsi="Times New Roman" w:cs="Times New Roman"/>
                <w:lang w:eastAsia="en-GB"/>
              </w:rPr>
              <w:t xml:space="preserve"> 30</w:t>
            </w:r>
          </w:p>
        </w:tc>
        <w:tc>
          <w:tcPr>
            <w:tcW w:w="2822" w:type="dxa"/>
          </w:tcPr>
          <w:p w14:paraId="79BA7688" w14:textId="77777777" w:rsidR="00184569" w:rsidRPr="00184569" w:rsidRDefault="00184569" w:rsidP="00184569">
            <w:pPr>
              <w:jc w:val="center"/>
              <w:rPr>
                <w:rFonts w:ascii="Times New Roman" w:eastAsia="Times New Roman" w:hAnsi="Times New Roman" w:cs="Times New Roman"/>
                <w:lang w:eastAsia="en-GB"/>
              </w:rPr>
            </w:pPr>
            <w:r w:rsidRPr="00184569">
              <w:rPr>
                <w:rFonts w:ascii="Times New Roman" w:eastAsia="Times New Roman" w:hAnsi="Times New Roman" w:cs="Times New Roman"/>
                <w:lang w:eastAsia="en-GB"/>
              </w:rPr>
              <w:t>≥ 30</w:t>
            </w:r>
          </w:p>
        </w:tc>
      </w:tr>
      <w:tr w:rsidR="00184569" w:rsidRPr="00184569" w14:paraId="512EAEAA" w14:textId="77777777" w:rsidTr="00E16EC6">
        <w:tc>
          <w:tcPr>
            <w:tcW w:w="3544" w:type="dxa"/>
          </w:tcPr>
          <w:p w14:paraId="3029811D" w14:textId="77777777" w:rsidR="00184569" w:rsidRPr="00184569" w:rsidRDefault="00184569" w:rsidP="00184569">
            <w:pPr>
              <w:adjustRightInd w:val="0"/>
              <w:rPr>
                <w:rFonts w:ascii="Times New Roman" w:eastAsia="Calibri" w:hAnsi="Times New Roman" w:cs="Times New Roman"/>
                <w:color w:val="000000"/>
              </w:rPr>
            </w:pPr>
            <w:r w:rsidRPr="00184569">
              <w:rPr>
                <w:rFonts w:ascii="Times New Roman" w:eastAsia="Times New Roman" w:hAnsi="Times New Roman" w:cs="Times New Roman"/>
                <w:color w:val="000000"/>
                <w:lang w:eastAsia="en-GB"/>
              </w:rPr>
              <w:t>13–17 év (lányok)</w:t>
            </w:r>
          </w:p>
        </w:tc>
        <w:tc>
          <w:tcPr>
            <w:tcW w:w="2890" w:type="dxa"/>
          </w:tcPr>
          <w:p w14:paraId="434B064F" w14:textId="77777777" w:rsidR="00184569" w:rsidRPr="00184569" w:rsidRDefault="00184569" w:rsidP="00184569">
            <w:pPr>
              <w:jc w:val="center"/>
              <w:rPr>
                <w:rFonts w:ascii="Times New Roman" w:eastAsia="Times New Roman" w:hAnsi="Times New Roman" w:cs="Times New Roman"/>
                <w:lang w:eastAsia="en-GB"/>
              </w:rPr>
            </w:pPr>
            <w:r w:rsidRPr="00184569">
              <w:rPr>
                <w:rFonts w:ascii="Times New Roman" w:eastAsia="Times New Roman" w:hAnsi="Times New Roman" w:cs="Times New Roman"/>
                <w:lang w:eastAsia="en-GB"/>
              </w:rPr>
              <w:t xml:space="preserve">126 </w:t>
            </w:r>
            <w:r w:rsidRPr="00184569">
              <w:rPr>
                <w:rFonts w:ascii="Times New Roman" w:eastAsia="Times New Roman" w:hAnsi="Times New Roman" w:cs="Times New Roman"/>
                <w:lang w:eastAsia="en-GB"/>
              </w:rPr>
              <w:sym w:font="Symbol" w:char="F0B1"/>
            </w:r>
            <w:r w:rsidRPr="00184569">
              <w:rPr>
                <w:rFonts w:ascii="Times New Roman" w:eastAsia="Times New Roman" w:hAnsi="Times New Roman" w:cs="Times New Roman"/>
                <w:lang w:eastAsia="en-GB"/>
              </w:rPr>
              <w:t xml:space="preserve"> 22</w:t>
            </w:r>
          </w:p>
        </w:tc>
        <w:tc>
          <w:tcPr>
            <w:tcW w:w="2822" w:type="dxa"/>
          </w:tcPr>
          <w:p w14:paraId="303DE2B3" w14:textId="77777777" w:rsidR="00184569" w:rsidRPr="00184569" w:rsidRDefault="00184569" w:rsidP="00184569">
            <w:pPr>
              <w:jc w:val="center"/>
              <w:rPr>
                <w:rFonts w:ascii="Times New Roman" w:eastAsia="Times New Roman" w:hAnsi="Times New Roman" w:cs="Times New Roman"/>
                <w:lang w:eastAsia="en-GB"/>
              </w:rPr>
            </w:pPr>
            <w:r w:rsidRPr="00184569">
              <w:rPr>
                <w:rFonts w:ascii="Times New Roman" w:eastAsia="Times New Roman" w:hAnsi="Times New Roman" w:cs="Times New Roman"/>
                <w:lang w:eastAsia="en-GB"/>
              </w:rPr>
              <w:t>≥ 30</w:t>
            </w:r>
          </w:p>
        </w:tc>
      </w:tr>
    </w:tbl>
    <w:p w14:paraId="06EF8E19"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sz w:val="18"/>
          <w:szCs w:val="18"/>
          <w14:ligatures w14:val="none"/>
        </w:rPr>
      </w:pPr>
      <w:r w:rsidRPr="00184569">
        <w:rPr>
          <w:rFonts w:ascii="Times New Roman" w:eastAsia="Times New Roman" w:hAnsi="Times New Roman" w:cs="Times New Roman"/>
          <w:kern w:val="0"/>
          <w:sz w:val="18"/>
          <w:szCs w:val="18"/>
          <w14:ligatures w14:val="none"/>
        </w:rPr>
        <w:t>*A CV185325 vizsgálatban való részvétel alkalmassági küszöbértéke, amelyben a becsült glomerulusfiltrációs rátát (eGFR) a frissített „bedside” Schwartz-egyenlettel számították ki (Schwartz, GJ et al</w:t>
      </w:r>
      <w:proofErr w:type="gramStart"/>
      <w:r w:rsidRPr="00184569">
        <w:rPr>
          <w:rFonts w:ascii="Times New Roman" w:eastAsia="Times New Roman" w:hAnsi="Times New Roman" w:cs="Times New Roman"/>
          <w:kern w:val="0"/>
          <w:sz w:val="18"/>
          <w:szCs w:val="18"/>
          <w14:ligatures w14:val="none"/>
        </w:rPr>
        <w:t>.,</w:t>
      </w:r>
      <w:proofErr w:type="gramEnd"/>
      <w:r w:rsidRPr="00184569">
        <w:rPr>
          <w:rFonts w:ascii="Times New Roman" w:eastAsia="Times New Roman" w:hAnsi="Times New Roman" w:cs="Times New Roman"/>
          <w:kern w:val="0"/>
          <w:sz w:val="18"/>
          <w:szCs w:val="18"/>
          <w14:ligatures w14:val="none"/>
        </w:rPr>
        <w:t xml:space="preserve"> CJASN 2009). Ez a protokoll szerinti küszöbérték megfelelt azon eGFR-nek, amely alatt a jelölt beteget „elégtelen vesefunkciójúnak” ítéltek, ami miatt nem vehetett részt a CV185325 vizsgálatban. Minden küszöbértéket eGFR &lt; 30% értékeként adtak meg a kornak és nemnek megfelelő GFR-referenciatartomány alatt 1 szórással (SD) lévő értékből számolva. A &lt; 2 éves korú betegek küszöbértékei egyenértékűek az eGFR &lt; 30 ml/perc/1,73 m</w:t>
      </w:r>
      <w:r w:rsidRPr="00184569">
        <w:rPr>
          <w:rFonts w:ascii="Times New Roman" w:eastAsia="Times New Roman" w:hAnsi="Times New Roman" w:cs="Times New Roman"/>
          <w:kern w:val="0"/>
          <w:sz w:val="18"/>
          <w:szCs w:val="18"/>
          <w:vertAlign w:val="superscript"/>
          <w14:ligatures w14:val="none"/>
        </w:rPr>
        <w:t>2</w:t>
      </w:r>
      <w:r w:rsidRPr="00184569">
        <w:rPr>
          <w:rFonts w:ascii="Times New Roman" w:eastAsia="Times New Roman" w:hAnsi="Times New Roman" w:cs="Times New Roman"/>
          <w:kern w:val="0"/>
          <w:sz w:val="18"/>
          <w:szCs w:val="18"/>
          <w14:ligatures w14:val="none"/>
        </w:rPr>
        <w:t xml:space="preserve"> értékkel, ami a súlyos vesekárosodás szokásos meghatározása 2 éves kor felett.</w:t>
      </w:r>
    </w:p>
    <w:p w14:paraId="2F2AFC7F"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
    <w:p w14:paraId="1F255C72"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Az ≤ 55 ml/perc/1,73 m</w:t>
      </w:r>
      <w:r w:rsidRPr="00184569">
        <w:rPr>
          <w:rFonts w:ascii="Times New Roman" w:eastAsia="Times New Roman" w:hAnsi="Times New Roman" w:cs="Times New Roman"/>
          <w:kern w:val="0"/>
          <w:vertAlign w:val="superscript"/>
          <w14:ligatures w14:val="none"/>
        </w:rPr>
        <w:t>2</w:t>
      </w:r>
      <w:r w:rsidRPr="00184569">
        <w:rPr>
          <w:rFonts w:ascii="Times New Roman" w:eastAsia="Times New Roman" w:hAnsi="Times New Roman" w:cs="Times New Roman"/>
          <w:kern w:val="0"/>
          <w14:ligatures w14:val="none"/>
        </w:rPr>
        <w:t xml:space="preserve"> glomerulusfiltrációs rátával rendelkező gyermekgyógyászati betegek nem vettek részt a CV185325 vizsgálatban, noha az enyhe és közepes fokú vesekárosodás (eGFR ≥ 30</w:t>
      </w:r>
      <w:r w:rsidRPr="00184569">
        <w:rPr>
          <w:rFonts w:ascii="Times New Roman" w:eastAsia="Times New Roman" w:hAnsi="Times New Roman" w:cs="Times New Roman"/>
          <w:kern w:val="0"/>
          <w14:ligatures w14:val="none"/>
        </w:rPr>
        <w:noBreakHyphen/>
        <w:t>&lt; 60 ml/perc/1,73 </w:t>
      </w:r>
      <w:r w:rsidRPr="00184569">
        <w:rPr>
          <w:rFonts w:ascii="Times New Roman" w:eastAsia="Times New Roman" w:hAnsi="Times New Roman" w:cs="Times New Roman"/>
          <w:kern w:val="0"/>
          <w:vertAlign w:val="superscript"/>
          <w14:ligatures w14:val="none"/>
        </w:rPr>
        <w:t>m2</w:t>
      </w:r>
      <w:r w:rsidRPr="00184569">
        <w:rPr>
          <w:rFonts w:ascii="Times New Roman" w:eastAsia="Times New Roman" w:hAnsi="Times New Roman" w:cs="Times New Roman"/>
          <w:kern w:val="0"/>
          <w14:ligatures w14:val="none"/>
        </w:rPr>
        <w:t xml:space="preserve"> BSA) alapján alkalmasak lettek volna. A felnőttekre vonatkozó adatok, valamint az összes apixabánnal kezelt gyermek és serdülő korlátozott mennyiségű adatai alapján nincs szükség dózismódosításra gyermekeknél és serdülőknél enyhe vagy közepes fokú vesekárosodás esetén. Az apixabán alkalmazása nem javasolt súlyos fokú vesekárosodásban szenvedő gyermekeknél és serdülőknél (lásd 4.2 és 4.4 pont).</w:t>
      </w:r>
    </w:p>
    <w:p w14:paraId="77583FC0"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
    <w:p w14:paraId="0F92ADC0"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u w:val="single"/>
          <w14:ligatures w14:val="none"/>
        </w:rPr>
        <w:t>Májkárosodás</w:t>
      </w:r>
    </w:p>
    <w:p w14:paraId="0920621D"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
    <w:p w14:paraId="3A60B153" w14:textId="01BAA7C0"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roofErr w:type="gramStart"/>
      <w:r w:rsidRPr="00184569">
        <w:rPr>
          <w:rFonts w:ascii="Times New Roman" w:eastAsia="Times New Roman" w:hAnsi="Times New Roman" w:cs="Times New Roman"/>
          <w:kern w:val="0"/>
          <w14:ligatures w14:val="none"/>
        </w:rPr>
        <w:t>Egy vizsgálat során, ami 8, enyhe májkárosodásban szenvedő beteget (</w:t>
      </w:r>
      <w:r w:rsidR="000C7391" w:rsidRPr="00F93196">
        <w:rPr>
          <w:rFonts w:ascii="Times New Roman" w:eastAsia="Times New Roman" w:hAnsi="Times New Roman" w:cs="Times New Roman"/>
          <w:kern w:val="0"/>
          <w14:ligatures w14:val="none"/>
        </w:rPr>
        <w:t>Child–Pugh</w:t>
      </w:r>
      <w:r w:rsidRPr="00184569">
        <w:rPr>
          <w:rFonts w:ascii="Times New Roman" w:eastAsia="Times New Roman" w:hAnsi="Times New Roman" w:cs="Times New Roman"/>
          <w:kern w:val="0"/>
          <w14:ligatures w14:val="none"/>
        </w:rPr>
        <w:t xml:space="preserve"> A stádium, 5-ös pontszám [n = 6] és 6-os pontszám [n = 2]) és 8, közepes fokú májkárosodásban szenvedő beteget (</w:t>
      </w:r>
      <w:r w:rsidR="000C7391" w:rsidRPr="00F93196">
        <w:rPr>
          <w:rFonts w:ascii="Times New Roman" w:eastAsia="Times New Roman" w:hAnsi="Times New Roman" w:cs="Times New Roman"/>
          <w:kern w:val="0"/>
          <w14:ligatures w14:val="none"/>
        </w:rPr>
        <w:t>Child–Pugh</w:t>
      </w:r>
      <w:r w:rsidR="000C7391">
        <w:rPr>
          <w:rFonts w:ascii="Times New Roman" w:eastAsia="Times New Roman" w:hAnsi="Times New Roman" w:cs="Times New Roman"/>
          <w:kern w:val="0"/>
          <w14:ligatures w14:val="none"/>
        </w:rPr>
        <w:t xml:space="preserve"> </w:t>
      </w:r>
      <w:r w:rsidRPr="00184569">
        <w:rPr>
          <w:rFonts w:ascii="Times New Roman" w:eastAsia="Times New Roman" w:hAnsi="Times New Roman" w:cs="Times New Roman"/>
          <w:kern w:val="0"/>
          <w14:ligatures w14:val="none"/>
        </w:rPr>
        <w:t>B stádium, 7-es pontszám [n = 6] és 8-as pontszám [n = 2]) 16 egészséges kontrollszeméllyel hasonlított össze, az egyszeri dózisú 5 mg apixabán farmakokinetikája és farmakodinámiája nem mutatott eltérést a májkárosodásban szenvedő betegeknél.</w:t>
      </w:r>
      <w:proofErr w:type="gramEnd"/>
      <w:r w:rsidRPr="00184569">
        <w:rPr>
          <w:rFonts w:ascii="Times New Roman" w:eastAsia="Times New Roman" w:hAnsi="Times New Roman" w:cs="Times New Roman"/>
          <w:kern w:val="0"/>
          <w14:ligatures w14:val="none"/>
        </w:rPr>
        <w:t xml:space="preserve"> A Xa-faktor-ellenes aktivitás és az INR változásai az egészséges, illetve az enyhe és közepes fokú májkárosodásban szenvedő betegeknél hasonlóak voltak.</w:t>
      </w:r>
    </w:p>
    <w:p w14:paraId="2A7F9F3C"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
    <w:p w14:paraId="7D0C91B7"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Az apixabánt nem vizsgálták májkárosodásban szenvedő gyermekeknél és serdülőknél.</w:t>
      </w:r>
    </w:p>
    <w:p w14:paraId="663F2046"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
    <w:p w14:paraId="1EC614F1"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u w:val="single"/>
          <w14:ligatures w14:val="none"/>
        </w:rPr>
        <w:t>Nemek közötti különbségek</w:t>
      </w:r>
    </w:p>
    <w:p w14:paraId="301E3087"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
    <w:p w14:paraId="11386FC1"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Nőknél az apixabán expozíciója 18%-kal magasabb volt, mint férfiaknál.</w:t>
      </w:r>
    </w:p>
    <w:p w14:paraId="3D24083E"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
    <w:p w14:paraId="2A5D1727"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A farmakokinetikai tulajdonságokat nem vizsgálták nemenként gyermekeknél és serdülőknél.</w:t>
      </w:r>
    </w:p>
    <w:p w14:paraId="504E0AD5"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u w:val="single"/>
          <w14:ligatures w14:val="none"/>
        </w:rPr>
      </w:pPr>
    </w:p>
    <w:p w14:paraId="5D027B26"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u w:val="single"/>
          <w14:ligatures w14:val="none"/>
        </w:rPr>
      </w:pPr>
      <w:r w:rsidRPr="00184569">
        <w:rPr>
          <w:rFonts w:ascii="Times New Roman" w:eastAsia="Times New Roman" w:hAnsi="Times New Roman" w:cs="Times New Roman"/>
          <w:kern w:val="0"/>
          <w:u w:val="single"/>
          <w14:ligatures w14:val="none"/>
        </w:rPr>
        <w:t>Etnikai hovatartozás és rassz</w:t>
      </w:r>
    </w:p>
    <w:p w14:paraId="433B3E9D"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
    <w:p w14:paraId="52DDF6C2"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Az I-es fázisú vizsgálatok eredményei nem mutattak észrevehető különbséget az apixabán farmakokinetikájában a fehér/kaukázusi, az ázsiai és a feketebőrű/afroamerikai személyek között. Egy apixabánt kapó betegek körében végzett populációs farmakokinetikai elemzés eredményei általánosságban azonosak voltak az I-es fázisú vizsgálat eredményeivel.</w:t>
      </w:r>
    </w:p>
    <w:p w14:paraId="285055A2"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
    <w:p w14:paraId="2CF1E392"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A farmakokinetikai tulajdonságokat nem vizsgálták az etnikai hovatartozással és a rasszal összefüggésben gyermekeknél és serdülőknél.</w:t>
      </w:r>
    </w:p>
    <w:p w14:paraId="56B428F6"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
    <w:p w14:paraId="589445CC"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u w:val="single"/>
          <w14:ligatures w14:val="none"/>
        </w:rPr>
        <w:t>Testtömeg</w:t>
      </w:r>
    </w:p>
    <w:p w14:paraId="4B469A8B"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
    <w:p w14:paraId="6EA3B4DD"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A 65–85 kg testtömegű betegeknél tapasztalt apixabán-expozícióhoz képest, a 120 kg-nál nagyobb testtömeg körülbelül 30%-kal alacsonyabb, míg az 50 kg-nál kisebb testtömeg körülbelül 30%-kal magasabb expozíciót eredményezett.</w:t>
      </w:r>
    </w:p>
    <w:p w14:paraId="195E717B"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
    <w:p w14:paraId="57344470"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Az apixabán alkalmazása gyermekeknél és serdülőknél a testtömeg alapján meghatározott fix dózison alapul.</w:t>
      </w:r>
    </w:p>
    <w:p w14:paraId="0B3264D7"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
    <w:p w14:paraId="27535204"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u w:val="single"/>
          <w14:ligatures w14:val="none"/>
        </w:rPr>
        <w:t>Farmakokinetikai/farmakodinámiás összefüggés</w:t>
      </w:r>
    </w:p>
    <w:p w14:paraId="427E28FD"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
    <w:p w14:paraId="7CF73AF6"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Az apixabán plazmakoncentrációja és a különböző farmakodinámiás végpontok (Xa-faktor-ellenes aktivitás, INR, PI, aPTI) farmakokinetikai/farmakodinámiás összefüggéseit széles tartományt felölelő dózisok (0,5–50 mg) beadását követően vizsgálták felnőtteknél. Az apixabán plazmakoncentrációja és az Xa-faktor-ellenes aktivitása közötti kapcsolat legjobban egy lineáris modellel írható le. A betegeknél észlelt farmakokinetikai/farmakodinámiás összefüggés az egészségeseknél tapasztalttal azonos volt.</w:t>
      </w:r>
    </w:p>
    <w:p w14:paraId="339DF364"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
    <w:p w14:paraId="4D8F1F44" w14:textId="77777777" w:rsidR="00184569" w:rsidRPr="00184569" w:rsidRDefault="00184569" w:rsidP="00184569">
      <w:pPr>
        <w:keepNext/>
        <w:autoSpaceDE w:val="0"/>
        <w:autoSpaceDN w:val="0"/>
        <w:spacing w:after="0" w:line="240" w:lineRule="auto"/>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Hasonlóképpen, a gyermekeknél és serdülőknél végzett farmakokinetikai/farmakodinámiás mérés lineáris összefüggést mutatott az apixabán koncentrációja és az AXA (Xa-faktor-ellenes aktivitás) között. Ez konzisztens a korábban felnőtteknél dokumentált összefüggéssel.</w:t>
      </w:r>
    </w:p>
    <w:p w14:paraId="06AF48AD"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
    <w:p w14:paraId="0D83C794" w14:textId="77777777" w:rsidR="00184569" w:rsidRPr="00184569" w:rsidRDefault="00184569" w:rsidP="008B021B">
      <w:pPr>
        <w:widowControl w:val="0"/>
        <w:numPr>
          <w:ilvl w:val="1"/>
          <w:numId w:val="2"/>
        </w:numPr>
        <w:autoSpaceDE w:val="0"/>
        <w:autoSpaceDN w:val="0"/>
        <w:spacing w:after="0" w:line="240" w:lineRule="auto"/>
        <w:ind w:left="567"/>
        <w:outlineLvl w:val="1"/>
        <w:rPr>
          <w:rFonts w:ascii="Times New Roman" w:eastAsia="Times New Roman" w:hAnsi="Times New Roman" w:cs="Times New Roman"/>
          <w:b/>
          <w:bCs/>
          <w:kern w:val="0"/>
          <w14:ligatures w14:val="none"/>
        </w:rPr>
      </w:pPr>
      <w:r w:rsidRPr="00184569">
        <w:rPr>
          <w:rFonts w:ascii="Times New Roman" w:eastAsia="Times New Roman" w:hAnsi="Times New Roman" w:cs="Times New Roman"/>
          <w:b/>
          <w:bCs/>
          <w:kern w:val="0"/>
          <w14:ligatures w14:val="none"/>
        </w:rPr>
        <w:t>A preklinikai biztonságossági vizsgálatok eredményei</w:t>
      </w:r>
    </w:p>
    <w:p w14:paraId="138C2B1F"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b/>
          <w:kern w:val="0"/>
          <w14:ligatures w14:val="none"/>
        </w:rPr>
      </w:pPr>
    </w:p>
    <w:p w14:paraId="035EFA24"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A hagyományos – farmakológiai biztonságossági, ismételt adagolású dózistoxicitási, genotoxicitási, karcinogenitási, reprodukcióra- és embrio-foetalis fejlődésre kifejtett, valamint és juvenilis toxicitási – vizsgálatokból származó preklinikai jellegű adatok azt igazolták, hogy a készítmény alkalmazásakor humán vonatkozásban különleges kockázat nem várható.</w:t>
      </w:r>
    </w:p>
    <w:p w14:paraId="6DAEDB31"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
    <w:p w14:paraId="681BD5C4"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Az ismételt adagolású dózistoxicitási vizsgálatok során megfigyelt jelentősebb hatások az apixabán véralvadási paraméterekre gyakorolt farmakodinámiás hatásával voltak összefüggésben. A toxicitási vizsgálatokban a vérzési hajlam nem változott, vagy csak kis mértékben növekedett. Mivel ez a nem klinikai vizsgálatokban részt vevő fajok emberekhez képest kisebb fokú érzékenységével magyarázható, ezt az eredményt az emberekre történő extrapoláláskor kellő óvatossággal kell értelmezni.</w:t>
      </w:r>
    </w:p>
    <w:p w14:paraId="0EE4C0DC"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
    <w:p w14:paraId="78C766AD"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Patkányok anyatejében – feltehetően a tejbe történő aktív transzportnak köszönhetően – magas tej/maternális plazma-arányt találtak (C</w:t>
      </w:r>
      <w:r w:rsidRPr="00184569">
        <w:rPr>
          <w:rFonts w:ascii="Times New Roman" w:eastAsia="Times New Roman" w:hAnsi="Times New Roman" w:cs="Times New Roman"/>
          <w:kern w:val="0"/>
          <w:vertAlign w:val="subscript"/>
          <w14:ligatures w14:val="none"/>
        </w:rPr>
        <w:t>max</w:t>
      </w:r>
      <w:r w:rsidRPr="00184569">
        <w:rPr>
          <w:rFonts w:ascii="Times New Roman" w:eastAsia="Times New Roman" w:hAnsi="Times New Roman" w:cs="Times New Roman"/>
          <w:kern w:val="0"/>
          <w14:ligatures w14:val="none"/>
        </w:rPr>
        <w:t>-érték kb. 8, AUC-érték kb. 30).</w:t>
      </w:r>
    </w:p>
    <w:p w14:paraId="14BAE1E1" w14:textId="77777777" w:rsidR="00184569" w:rsidRPr="00184569" w:rsidRDefault="00184569" w:rsidP="00184569">
      <w:pPr>
        <w:widowControl w:val="0"/>
        <w:autoSpaceDE w:val="0"/>
        <w:autoSpaceDN w:val="0"/>
        <w:spacing w:after="0" w:line="240" w:lineRule="auto"/>
        <w:jc w:val="both"/>
        <w:rPr>
          <w:rFonts w:ascii="Times New Roman" w:eastAsia="Times New Roman" w:hAnsi="Times New Roman" w:cs="Times New Roman"/>
          <w:kern w:val="0"/>
          <w14:ligatures w14:val="none"/>
        </w:rPr>
      </w:pPr>
    </w:p>
    <w:p w14:paraId="60781EEC"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
    <w:p w14:paraId="7B4727AF" w14:textId="77777777" w:rsidR="00184569" w:rsidRPr="00184569" w:rsidRDefault="00184569" w:rsidP="008B021B">
      <w:pPr>
        <w:widowControl w:val="0"/>
        <w:numPr>
          <w:ilvl w:val="0"/>
          <w:numId w:val="1"/>
        </w:numPr>
        <w:autoSpaceDE w:val="0"/>
        <w:autoSpaceDN w:val="0"/>
        <w:spacing w:after="0" w:line="240" w:lineRule="auto"/>
        <w:ind w:left="567"/>
        <w:outlineLvl w:val="0"/>
        <w:rPr>
          <w:rFonts w:ascii="Times New Roman" w:eastAsia="Times New Roman" w:hAnsi="Times New Roman" w:cs="Times New Roman"/>
          <w:b/>
          <w:bCs/>
          <w:kern w:val="0"/>
          <w14:ligatures w14:val="none"/>
        </w:rPr>
      </w:pPr>
      <w:r w:rsidRPr="00184569">
        <w:rPr>
          <w:rFonts w:ascii="Times New Roman" w:eastAsia="Times New Roman" w:hAnsi="Times New Roman" w:cs="Times New Roman"/>
          <w:b/>
          <w:bCs/>
          <w:kern w:val="0"/>
          <w14:ligatures w14:val="none"/>
        </w:rPr>
        <w:t>GYÓGYSZERÉSZETI JELLEMZŐK</w:t>
      </w:r>
    </w:p>
    <w:p w14:paraId="73CA709D"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b/>
          <w:kern w:val="0"/>
          <w14:ligatures w14:val="none"/>
        </w:rPr>
      </w:pPr>
    </w:p>
    <w:p w14:paraId="384F239B" w14:textId="77777777" w:rsidR="00184569" w:rsidRPr="00184569" w:rsidRDefault="00184569" w:rsidP="008B021B">
      <w:pPr>
        <w:widowControl w:val="0"/>
        <w:numPr>
          <w:ilvl w:val="1"/>
          <w:numId w:val="1"/>
        </w:numPr>
        <w:autoSpaceDE w:val="0"/>
        <w:autoSpaceDN w:val="0"/>
        <w:spacing w:after="0" w:line="240" w:lineRule="auto"/>
        <w:ind w:left="567"/>
        <w:outlineLvl w:val="1"/>
        <w:rPr>
          <w:rFonts w:ascii="Times New Roman" w:eastAsia="Times New Roman" w:hAnsi="Times New Roman" w:cs="Times New Roman"/>
          <w:b/>
          <w:bCs/>
          <w:kern w:val="0"/>
          <w14:ligatures w14:val="none"/>
        </w:rPr>
      </w:pPr>
      <w:r w:rsidRPr="00184569">
        <w:rPr>
          <w:rFonts w:ascii="Times New Roman" w:eastAsia="Times New Roman" w:hAnsi="Times New Roman" w:cs="Times New Roman"/>
          <w:b/>
          <w:bCs/>
          <w:kern w:val="0"/>
          <w14:ligatures w14:val="none"/>
        </w:rPr>
        <w:t>Segédanyagok felsorolása</w:t>
      </w:r>
    </w:p>
    <w:p w14:paraId="4F15D2CA"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b/>
          <w:kern w:val="0"/>
          <w14:ligatures w14:val="none"/>
        </w:rPr>
      </w:pPr>
    </w:p>
    <w:p w14:paraId="1344754A"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u w:val="single"/>
          <w14:ligatures w14:val="none"/>
        </w:rPr>
        <w:t>Tablettamag</w:t>
      </w:r>
      <w:r w:rsidRPr="00184569">
        <w:rPr>
          <w:rFonts w:ascii="Times New Roman" w:eastAsia="Times New Roman" w:hAnsi="Times New Roman" w:cs="Times New Roman"/>
          <w:kern w:val="0"/>
          <w14:ligatures w14:val="none"/>
        </w:rPr>
        <w:t>:</w:t>
      </w:r>
    </w:p>
    <w:p w14:paraId="44544C8F"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roofErr w:type="gramStart"/>
      <w:r w:rsidRPr="00184569">
        <w:rPr>
          <w:rFonts w:ascii="Times New Roman" w:eastAsia="Times New Roman" w:hAnsi="Times New Roman" w:cs="Times New Roman"/>
          <w:kern w:val="0"/>
          <w14:ligatures w14:val="none"/>
        </w:rPr>
        <w:t>mikrokristályos</w:t>
      </w:r>
      <w:proofErr w:type="gramEnd"/>
      <w:r w:rsidRPr="00184569">
        <w:rPr>
          <w:rFonts w:ascii="Times New Roman" w:eastAsia="Times New Roman" w:hAnsi="Times New Roman" w:cs="Times New Roman"/>
          <w:kern w:val="0"/>
          <w14:ligatures w14:val="none"/>
        </w:rPr>
        <w:t xml:space="preserve"> cellulóz (E460)</w:t>
      </w:r>
    </w:p>
    <w:p w14:paraId="7109D806"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roofErr w:type="gramStart"/>
      <w:r w:rsidRPr="00184569">
        <w:rPr>
          <w:rFonts w:ascii="Times New Roman" w:eastAsia="Times New Roman" w:hAnsi="Times New Roman" w:cs="Times New Roman"/>
          <w:kern w:val="0"/>
          <w14:ligatures w14:val="none"/>
        </w:rPr>
        <w:t>laktóz</w:t>
      </w:r>
      <w:proofErr w:type="gramEnd"/>
    </w:p>
    <w:p w14:paraId="21B1425C"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kroszkarmellóz-nátrium</w:t>
      </w:r>
    </w:p>
    <w:p w14:paraId="284B97B8"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nátrium-lauril-szulfát</w:t>
      </w:r>
    </w:p>
    <w:p w14:paraId="77082E94"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magnézium-sztearát (E470b)</w:t>
      </w:r>
    </w:p>
    <w:p w14:paraId="0FEFE193"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
    <w:p w14:paraId="00AD76FC"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u w:val="single"/>
          <w14:ligatures w14:val="none"/>
        </w:rPr>
        <w:t>Filmbevonat</w:t>
      </w:r>
      <w:r w:rsidRPr="00184569">
        <w:rPr>
          <w:rFonts w:ascii="Times New Roman" w:eastAsia="Times New Roman" w:hAnsi="Times New Roman" w:cs="Times New Roman"/>
          <w:kern w:val="0"/>
          <w14:ligatures w14:val="none"/>
        </w:rPr>
        <w:t>:</w:t>
      </w:r>
    </w:p>
    <w:p w14:paraId="19BA45F7"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roofErr w:type="gramStart"/>
      <w:r w:rsidRPr="00184569">
        <w:rPr>
          <w:rFonts w:ascii="Times New Roman" w:eastAsia="Times New Roman" w:hAnsi="Times New Roman" w:cs="Times New Roman"/>
          <w:kern w:val="0"/>
          <w14:ligatures w14:val="none"/>
        </w:rPr>
        <w:t>makrogol-poli(</w:t>
      </w:r>
      <w:proofErr w:type="gramEnd"/>
      <w:r w:rsidRPr="00184569">
        <w:rPr>
          <w:rFonts w:ascii="Times New Roman" w:eastAsia="Times New Roman" w:hAnsi="Times New Roman" w:cs="Times New Roman"/>
          <w:kern w:val="0"/>
          <w14:ligatures w14:val="none"/>
        </w:rPr>
        <w:t>vinil-alkohol) fésűs kopolimer</w:t>
      </w:r>
    </w:p>
    <w:p w14:paraId="1A1AD2DA"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roofErr w:type="gramStart"/>
      <w:r w:rsidRPr="00184569">
        <w:rPr>
          <w:rFonts w:ascii="Times New Roman" w:eastAsia="Times New Roman" w:hAnsi="Times New Roman" w:cs="Times New Roman"/>
          <w:kern w:val="0"/>
          <w14:ligatures w14:val="none"/>
        </w:rPr>
        <w:t>talkum</w:t>
      </w:r>
      <w:proofErr w:type="gramEnd"/>
    </w:p>
    <w:p w14:paraId="1217A411"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roofErr w:type="gramStart"/>
      <w:r w:rsidRPr="00184569">
        <w:rPr>
          <w:rFonts w:ascii="Times New Roman" w:eastAsia="Times New Roman" w:hAnsi="Times New Roman" w:cs="Times New Roman"/>
          <w:kern w:val="0"/>
          <w14:ligatures w14:val="none"/>
        </w:rPr>
        <w:t>titán-dioxid</w:t>
      </w:r>
      <w:proofErr w:type="gramEnd"/>
      <w:r w:rsidRPr="00184569">
        <w:rPr>
          <w:rFonts w:ascii="Times New Roman" w:eastAsia="Times New Roman" w:hAnsi="Times New Roman" w:cs="Times New Roman"/>
          <w:kern w:val="0"/>
          <w14:ligatures w14:val="none"/>
        </w:rPr>
        <w:t xml:space="preserve"> (E171)</w:t>
      </w:r>
    </w:p>
    <w:p w14:paraId="2FFDD81C"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glicerin-monokaprilokaprinát</w:t>
      </w:r>
    </w:p>
    <w:p w14:paraId="385887A5"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roofErr w:type="gramStart"/>
      <w:r w:rsidRPr="00184569">
        <w:rPr>
          <w:rFonts w:ascii="Times New Roman" w:eastAsia="Times New Roman" w:hAnsi="Times New Roman" w:cs="Times New Roman"/>
          <w:kern w:val="0"/>
          <w14:ligatures w14:val="none"/>
        </w:rPr>
        <w:t>poli(</w:t>
      </w:r>
      <w:proofErr w:type="gramEnd"/>
      <w:r w:rsidRPr="00184569">
        <w:rPr>
          <w:rFonts w:ascii="Times New Roman" w:eastAsia="Times New Roman" w:hAnsi="Times New Roman" w:cs="Times New Roman"/>
          <w:kern w:val="0"/>
          <w14:ligatures w14:val="none"/>
        </w:rPr>
        <w:t>vinil-alkohol)</w:t>
      </w:r>
    </w:p>
    <w:p w14:paraId="3758A27E"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roofErr w:type="gramStart"/>
      <w:r w:rsidRPr="00184569">
        <w:rPr>
          <w:rFonts w:ascii="Times New Roman" w:eastAsia="Times New Roman" w:hAnsi="Times New Roman" w:cs="Times New Roman"/>
          <w:kern w:val="0"/>
          <w14:ligatures w14:val="none"/>
        </w:rPr>
        <w:t>vörös</w:t>
      </w:r>
      <w:proofErr w:type="gramEnd"/>
      <w:r w:rsidRPr="00184569">
        <w:rPr>
          <w:rFonts w:ascii="Times New Roman" w:eastAsia="Times New Roman" w:hAnsi="Times New Roman" w:cs="Times New Roman"/>
          <w:kern w:val="0"/>
          <w14:ligatures w14:val="none"/>
        </w:rPr>
        <w:t xml:space="preserve"> vas-oxid (E172)</w:t>
      </w:r>
    </w:p>
    <w:p w14:paraId="5E5E79F6"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
    <w:p w14:paraId="6979C96D" w14:textId="77777777" w:rsidR="00184569" w:rsidRPr="00184569" w:rsidRDefault="00184569" w:rsidP="008B021B">
      <w:pPr>
        <w:widowControl w:val="0"/>
        <w:numPr>
          <w:ilvl w:val="1"/>
          <w:numId w:val="1"/>
        </w:numPr>
        <w:autoSpaceDE w:val="0"/>
        <w:autoSpaceDN w:val="0"/>
        <w:spacing w:after="0" w:line="240" w:lineRule="auto"/>
        <w:ind w:left="567"/>
        <w:outlineLvl w:val="1"/>
        <w:rPr>
          <w:rFonts w:ascii="Times New Roman" w:eastAsia="Times New Roman" w:hAnsi="Times New Roman" w:cs="Times New Roman"/>
          <w:b/>
          <w:bCs/>
          <w:kern w:val="0"/>
          <w14:ligatures w14:val="none"/>
        </w:rPr>
      </w:pPr>
      <w:r w:rsidRPr="00184569">
        <w:rPr>
          <w:rFonts w:ascii="Times New Roman" w:eastAsia="Times New Roman" w:hAnsi="Times New Roman" w:cs="Times New Roman"/>
          <w:b/>
          <w:bCs/>
          <w:kern w:val="0"/>
          <w14:ligatures w14:val="none"/>
        </w:rPr>
        <w:t>Inkompatibilitások</w:t>
      </w:r>
    </w:p>
    <w:p w14:paraId="00314C7E"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b/>
          <w:kern w:val="0"/>
          <w14:ligatures w14:val="none"/>
        </w:rPr>
      </w:pPr>
    </w:p>
    <w:p w14:paraId="7E5034D8"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Nem értelmezhető.</w:t>
      </w:r>
    </w:p>
    <w:p w14:paraId="66082FB7"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
    <w:p w14:paraId="631B6143" w14:textId="77777777" w:rsidR="00184569" w:rsidRPr="00184569" w:rsidRDefault="00184569" w:rsidP="008B021B">
      <w:pPr>
        <w:widowControl w:val="0"/>
        <w:numPr>
          <w:ilvl w:val="1"/>
          <w:numId w:val="1"/>
        </w:numPr>
        <w:autoSpaceDE w:val="0"/>
        <w:autoSpaceDN w:val="0"/>
        <w:spacing w:after="0" w:line="240" w:lineRule="auto"/>
        <w:ind w:left="567"/>
        <w:outlineLvl w:val="1"/>
        <w:rPr>
          <w:rFonts w:ascii="Times New Roman" w:eastAsia="Times New Roman" w:hAnsi="Times New Roman" w:cs="Times New Roman"/>
          <w:b/>
          <w:bCs/>
          <w:kern w:val="0"/>
          <w14:ligatures w14:val="none"/>
        </w:rPr>
      </w:pPr>
      <w:r w:rsidRPr="00184569">
        <w:rPr>
          <w:rFonts w:ascii="Times New Roman" w:eastAsia="Times New Roman" w:hAnsi="Times New Roman" w:cs="Times New Roman"/>
          <w:b/>
          <w:bCs/>
          <w:kern w:val="0"/>
          <w14:ligatures w14:val="none"/>
        </w:rPr>
        <w:t>Felhasználhatósági időtartam</w:t>
      </w:r>
    </w:p>
    <w:p w14:paraId="2C6F22C1"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b/>
          <w:kern w:val="0"/>
          <w14:ligatures w14:val="none"/>
        </w:rPr>
      </w:pPr>
    </w:p>
    <w:p w14:paraId="3E9510AB"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3 év.</w:t>
      </w:r>
    </w:p>
    <w:p w14:paraId="77AD3FB1"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
    <w:p w14:paraId="4C7165C2" w14:textId="77777777" w:rsidR="00184569" w:rsidRPr="00184569" w:rsidRDefault="00184569" w:rsidP="008B021B">
      <w:pPr>
        <w:widowControl w:val="0"/>
        <w:numPr>
          <w:ilvl w:val="1"/>
          <w:numId w:val="1"/>
        </w:numPr>
        <w:autoSpaceDE w:val="0"/>
        <w:autoSpaceDN w:val="0"/>
        <w:spacing w:after="0" w:line="240" w:lineRule="auto"/>
        <w:ind w:left="567"/>
        <w:outlineLvl w:val="1"/>
        <w:rPr>
          <w:rFonts w:ascii="Times New Roman" w:eastAsia="Times New Roman" w:hAnsi="Times New Roman" w:cs="Times New Roman"/>
          <w:b/>
          <w:bCs/>
          <w:kern w:val="0"/>
          <w14:ligatures w14:val="none"/>
        </w:rPr>
      </w:pPr>
      <w:r w:rsidRPr="00184569">
        <w:rPr>
          <w:rFonts w:ascii="Times New Roman" w:eastAsia="Times New Roman" w:hAnsi="Times New Roman" w:cs="Times New Roman"/>
          <w:b/>
          <w:bCs/>
          <w:kern w:val="0"/>
          <w14:ligatures w14:val="none"/>
        </w:rPr>
        <w:t>Különleges tárolási előírások</w:t>
      </w:r>
    </w:p>
    <w:p w14:paraId="35599214"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b/>
          <w:kern w:val="0"/>
          <w14:ligatures w14:val="none"/>
        </w:rPr>
      </w:pPr>
    </w:p>
    <w:p w14:paraId="4845D17F" w14:textId="37B7F58B"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Ez a gyógyszer</w:t>
      </w:r>
      <w:r w:rsidR="007E1284">
        <w:rPr>
          <w:rFonts w:ascii="Times New Roman" w:eastAsia="Times New Roman" w:hAnsi="Times New Roman" w:cs="Times New Roman"/>
          <w:kern w:val="0"/>
          <w14:ligatures w14:val="none"/>
        </w:rPr>
        <w:t xml:space="preserve"> nem igényel</w:t>
      </w:r>
      <w:r w:rsidRPr="00184569">
        <w:rPr>
          <w:rFonts w:ascii="Times New Roman" w:eastAsia="Times New Roman" w:hAnsi="Times New Roman" w:cs="Times New Roman"/>
          <w:kern w:val="0"/>
          <w14:ligatures w14:val="none"/>
        </w:rPr>
        <w:t xml:space="preserve"> különleges tárolás</w:t>
      </w:r>
      <w:r w:rsidR="007E1284">
        <w:rPr>
          <w:rFonts w:ascii="Times New Roman" w:eastAsia="Times New Roman" w:hAnsi="Times New Roman" w:cs="Times New Roman"/>
          <w:kern w:val="0"/>
          <w14:ligatures w14:val="none"/>
        </w:rPr>
        <w:t>t</w:t>
      </w:r>
      <w:r w:rsidRPr="00184569">
        <w:rPr>
          <w:rFonts w:ascii="Times New Roman" w:eastAsia="Times New Roman" w:hAnsi="Times New Roman" w:cs="Times New Roman"/>
          <w:kern w:val="0"/>
          <w14:ligatures w14:val="none"/>
        </w:rPr>
        <w:t>.</w:t>
      </w:r>
    </w:p>
    <w:p w14:paraId="3982D2DF"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
    <w:p w14:paraId="6AE097C4" w14:textId="77777777" w:rsidR="00184569" w:rsidRPr="00184569" w:rsidRDefault="00184569" w:rsidP="008B021B">
      <w:pPr>
        <w:widowControl w:val="0"/>
        <w:numPr>
          <w:ilvl w:val="1"/>
          <w:numId w:val="1"/>
        </w:numPr>
        <w:autoSpaceDE w:val="0"/>
        <w:autoSpaceDN w:val="0"/>
        <w:spacing w:after="0" w:line="240" w:lineRule="auto"/>
        <w:ind w:left="567"/>
        <w:outlineLvl w:val="1"/>
        <w:rPr>
          <w:rFonts w:ascii="Times New Roman" w:eastAsia="Times New Roman" w:hAnsi="Times New Roman" w:cs="Times New Roman"/>
          <w:b/>
          <w:bCs/>
          <w:kern w:val="0"/>
          <w14:ligatures w14:val="none"/>
        </w:rPr>
      </w:pPr>
      <w:r w:rsidRPr="00184569">
        <w:rPr>
          <w:rFonts w:ascii="Times New Roman" w:eastAsia="Times New Roman" w:hAnsi="Times New Roman" w:cs="Times New Roman"/>
          <w:b/>
          <w:bCs/>
          <w:kern w:val="0"/>
          <w14:ligatures w14:val="none"/>
        </w:rPr>
        <w:t>Csomagolás típusa és kiszerelése</w:t>
      </w:r>
    </w:p>
    <w:p w14:paraId="452B237A"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b/>
          <w:kern w:val="0"/>
          <w14:ligatures w14:val="none"/>
        </w:rPr>
      </w:pPr>
    </w:p>
    <w:p w14:paraId="22FCE11B" w14:textId="71CA3155" w:rsidR="00184569" w:rsidRPr="00184569" w:rsidRDefault="00A67BA7" w:rsidP="00184569">
      <w:pPr>
        <w:widowControl w:val="0"/>
        <w:autoSpaceDE w:val="0"/>
        <w:autoSpaceDN w:val="0"/>
        <w:spacing w:after="0" w:line="240" w:lineRule="auto"/>
        <w:rPr>
          <w:rFonts w:ascii="Times New Roman" w:eastAsia="Times New Roman" w:hAnsi="Times New Roman" w:cs="Times New Roman"/>
          <w:kern w:val="0"/>
          <w14:ligatures w14:val="none"/>
        </w:rPr>
      </w:pPr>
      <w:bookmarkStart w:id="5" w:name="_Hlk76111699"/>
      <w:r>
        <w:rPr>
          <w:rFonts w:ascii="Times New Roman" w:eastAsia="Times New Roman" w:hAnsi="Times New Roman" w:cs="Times New Roman"/>
          <w:kern w:val="0"/>
          <w:lang w:eastAsia="en-GB"/>
          <w14:ligatures w14:val="none"/>
        </w:rPr>
        <w:t xml:space="preserve">20 db, </w:t>
      </w:r>
      <w:r w:rsidR="00184569" w:rsidRPr="00184569">
        <w:rPr>
          <w:rFonts w:ascii="Times New Roman" w:eastAsia="Times New Roman" w:hAnsi="Times New Roman" w:cs="Times New Roman"/>
          <w:kern w:val="0"/>
          <w:lang w:eastAsia="en-GB"/>
          <w14:ligatures w14:val="none"/>
        </w:rPr>
        <w:t xml:space="preserve">28 db, 30 db, 56 darab, 60 db, 100 darab, 168 db vagy 200 db filmtabletta </w:t>
      </w:r>
      <w:r w:rsidR="00974ABA">
        <w:rPr>
          <w:rFonts w:ascii="Times New Roman" w:eastAsia="Times New Roman" w:hAnsi="Times New Roman" w:cs="Times New Roman"/>
          <w:kern w:val="0"/>
          <w14:ligatures w14:val="none"/>
        </w:rPr>
        <w:t>PVC/PVD</w:t>
      </w:r>
      <w:bookmarkStart w:id="6" w:name="_GoBack"/>
      <w:bookmarkEnd w:id="6"/>
      <w:r w:rsidR="00184569" w:rsidRPr="00184569">
        <w:rPr>
          <w:rFonts w:ascii="Times New Roman" w:eastAsia="Times New Roman" w:hAnsi="Times New Roman" w:cs="Times New Roman"/>
          <w:kern w:val="0"/>
          <w14:ligatures w14:val="none"/>
        </w:rPr>
        <w:t>C//Al buborékcsomagolásban és dobozban.</w:t>
      </w:r>
    </w:p>
    <w:p w14:paraId="5A547DDB"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
    <w:bookmarkEnd w:id="5"/>
    <w:p w14:paraId="766D2B79"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Nem feltétlenül mindegyik kiszerelés kerül kereskedelmi forgalomba.</w:t>
      </w:r>
    </w:p>
    <w:p w14:paraId="5529B6E5"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
    <w:p w14:paraId="3C5A456F" w14:textId="77777777" w:rsidR="00184569" w:rsidRPr="00184569" w:rsidRDefault="00184569" w:rsidP="008B021B">
      <w:pPr>
        <w:widowControl w:val="0"/>
        <w:numPr>
          <w:ilvl w:val="1"/>
          <w:numId w:val="1"/>
        </w:numPr>
        <w:autoSpaceDE w:val="0"/>
        <w:autoSpaceDN w:val="0"/>
        <w:spacing w:after="0" w:line="240" w:lineRule="auto"/>
        <w:ind w:left="567"/>
        <w:outlineLvl w:val="1"/>
        <w:rPr>
          <w:rFonts w:ascii="Times New Roman" w:eastAsia="Times New Roman" w:hAnsi="Times New Roman" w:cs="Times New Roman"/>
          <w:b/>
          <w:bCs/>
          <w:kern w:val="0"/>
          <w14:ligatures w14:val="none"/>
        </w:rPr>
      </w:pPr>
      <w:r w:rsidRPr="00184569">
        <w:rPr>
          <w:rFonts w:ascii="Times New Roman" w:eastAsia="Times New Roman" w:hAnsi="Times New Roman" w:cs="Times New Roman"/>
          <w:b/>
          <w:bCs/>
          <w:kern w:val="0"/>
          <w14:ligatures w14:val="none"/>
        </w:rPr>
        <w:t>A megsemmisítésre vonatkozó különleges óvintézkedések</w:t>
      </w:r>
    </w:p>
    <w:p w14:paraId="6E268FC9"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b/>
          <w:kern w:val="0"/>
          <w14:ligatures w14:val="none"/>
        </w:rPr>
      </w:pPr>
    </w:p>
    <w:p w14:paraId="5866F167"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Bármilyen fel nem használt gyógyszer, illetve hulladékanyag megsemmisítését a gyógyszerekre vonatkozó előírások szerint kell végrehajtani.</w:t>
      </w:r>
    </w:p>
    <w:p w14:paraId="0047DF1A"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
    <w:p w14:paraId="481B60D7" w14:textId="77777777" w:rsidR="000B1C43" w:rsidRPr="000B1C43" w:rsidRDefault="000B1C43" w:rsidP="000B1C43">
      <w:pPr>
        <w:spacing w:after="0" w:line="240" w:lineRule="auto"/>
        <w:rPr>
          <w:rFonts w:ascii="Times New Roman" w:eastAsia="Calibri" w:hAnsi="Times New Roman" w:cs="Times New Roman"/>
          <w:kern w:val="0"/>
          <w14:ligatures w14:val="none"/>
        </w:rPr>
      </w:pPr>
      <w:bookmarkStart w:id="7" w:name="_Hlk210807125"/>
      <w:r w:rsidRPr="000B1C43">
        <w:rPr>
          <w:rFonts w:ascii="Times New Roman" w:eastAsia="Calibri" w:hAnsi="Times New Roman" w:cs="Times New Roman"/>
          <w:b/>
          <w:kern w:val="0"/>
          <w14:ligatures w14:val="none"/>
        </w:rPr>
        <w:t>Megjegyzés:</w:t>
      </w:r>
      <w:r w:rsidRPr="000B1C43">
        <w:rPr>
          <w:rFonts w:ascii="Times New Roman" w:eastAsia="Calibri" w:hAnsi="Times New Roman" w:cs="Times New Roman"/>
          <w:kern w:val="0"/>
          <w14:ligatures w14:val="none"/>
        </w:rPr>
        <w:t xml:space="preserve"> </w:t>
      </w:r>
      <w:r w:rsidRPr="000B1C43">
        <w:rPr>
          <w:rFonts w:ascii="Times New Roman" w:eastAsia="Calibri" w:hAnsi="Times New Roman" w:cs="Times New Roman"/>
          <w:b/>
          <w:kern w:val="0"/>
          <w14:ligatures w14:val="none"/>
        </w:rPr>
        <w:sym w:font="Wingdings" w:char="F058"/>
      </w:r>
      <w:r w:rsidRPr="000B1C43">
        <w:rPr>
          <w:rFonts w:ascii="Times New Roman" w:eastAsia="Calibri" w:hAnsi="Times New Roman" w:cs="Times New Roman"/>
          <w:kern w:val="0"/>
          <w14:ligatures w14:val="none"/>
        </w:rPr>
        <w:t xml:space="preserve"> (egy keresztes)</w:t>
      </w:r>
    </w:p>
    <w:p w14:paraId="5D5F0666" w14:textId="77777777" w:rsidR="000B1C43" w:rsidRPr="000B1C43" w:rsidRDefault="000B1C43" w:rsidP="000B1C43">
      <w:pPr>
        <w:spacing w:after="0" w:line="240" w:lineRule="auto"/>
        <w:rPr>
          <w:rFonts w:ascii="Times New Roman" w:eastAsia="Calibri" w:hAnsi="Times New Roman" w:cs="Times New Roman"/>
          <w:kern w:val="0"/>
          <w14:ligatures w14:val="none"/>
        </w:rPr>
      </w:pPr>
      <w:r w:rsidRPr="000B1C43">
        <w:rPr>
          <w:rFonts w:ascii="Times New Roman" w:eastAsia="Calibri" w:hAnsi="Times New Roman" w:cs="Times New Roman"/>
          <w:b/>
          <w:kern w:val="0"/>
          <w14:ligatures w14:val="none"/>
        </w:rPr>
        <w:t>Osztályozás:</w:t>
      </w:r>
      <w:r w:rsidRPr="000B1C43">
        <w:rPr>
          <w:rFonts w:ascii="Times New Roman" w:eastAsia="Calibri" w:hAnsi="Times New Roman" w:cs="Times New Roman"/>
          <w:kern w:val="0"/>
          <w14:ligatures w14:val="none"/>
        </w:rPr>
        <w:t xml:space="preserve"> II./1 csoport</w:t>
      </w:r>
    </w:p>
    <w:p w14:paraId="21855F48" w14:textId="038FD2F0" w:rsidR="000B1C43" w:rsidRPr="000B1C43" w:rsidRDefault="000B1C43" w:rsidP="000B1C43">
      <w:pPr>
        <w:spacing w:after="0" w:line="240" w:lineRule="auto"/>
        <w:rPr>
          <w:rFonts w:ascii="Times New Roman" w:eastAsia="Calibri" w:hAnsi="Times New Roman" w:cs="Times New Roman"/>
          <w:kern w:val="0"/>
          <w14:ligatures w14:val="none"/>
        </w:rPr>
      </w:pPr>
      <w:r w:rsidRPr="000B1C43">
        <w:rPr>
          <w:rFonts w:ascii="Times New Roman" w:eastAsia="Calibri" w:hAnsi="Times New Roman" w:cs="Times New Roman"/>
          <w:kern w:val="0"/>
          <w14:ligatures w14:val="none"/>
        </w:rPr>
        <w:t>Korlátozott érvényű orvosi r</w:t>
      </w:r>
      <w:r w:rsidR="00AF22A1">
        <w:rPr>
          <w:rFonts w:ascii="Times New Roman" w:eastAsia="Calibri" w:hAnsi="Times New Roman" w:cs="Times New Roman"/>
          <w:kern w:val="0"/>
          <w14:ligatures w14:val="none"/>
        </w:rPr>
        <w:t>endelvényhez kötött, szakorvosi/</w:t>
      </w:r>
      <w:r w:rsidRPr="000B1C43">
        <w:rPr>
          <w:rFonts w:ascii="Times New Roman" w:eastAsia="Calibri" w:hAnsi="Times New Roman" w:cs="Times New Roman"/>
          <w:kern w:val="0"/>
          <w14:ligatures w14:val="none"/>
        </w:rPr>
        <w:t>kórházi diagnózist követő járóbeteg-ellátásban alkalmazható gyógyszer (J).</w:t>
      </w:r>
    </w:p>
    <w:bookmarkEnd w:id="7"/>
    <w:p w14:paraId="6046A463" w14:textId="76DE9B06" w:rsid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
    <w:p w14:paraId="54EE1FE0" w14:textId="77777777" w:rsidR="000B1C43" w:rsidRPr="00184569" w:rsidRDefault="000B1C43" w:rsidP="00184569">
      <w:pPr>
        <w:widowControl w:val="0"/>
        <w:autoSpaceDE w:val="0"/>
        <w:autoSpaceDN w:val="0"/>
        <w:spacing w:after="0" w:line="240" w:lineRule="auto"/>
        <w:rPr>
          <w:rFonts w:ascii="Times New Roman" w:eastAsia="Times New Roman" w:hAnsi="Times New Roman" w:cs="Times New Roman"/>
          <w:kern w:val="0"/>
          <w14:ligatures w14:val="none"/>
        </w:rPr>
      </w:pPr>
    </w:p>
    <w:p w14:paraId="111D4FCC" w14:textId="77777777" w:rsidR="00184569" w:rsidRPr="00184569" w:rsidRDefault="00184569" w:rsidP="008B021B">
      <w:pPr>
        <w:keepNext/>
        <w:numPr>
          <w:ilvl w:val="0"/>
          <w:numId w:val="1"/>
        </w:numPr>
        <w:autoSpaceDE w:val="0"/>
        <w:autoSpaceDN w:val="0"/>
        <w:spacing w:after="0" w:line="240" w:lineRule="auto"/>
        <w:ind w:left="567"/>
        <w:outlineLvl w:val="0"/>
        <w:rPr>
          <w:rFonts w:ascii="Times New Roman" w:eastAsia="Times New Roman" w:hAnsi="Times New Roman" w:cs="Times New Roman"/>
          <w:b/>
          <w:bCs/>
          <w:kern w:val="0"/>
          <w14:ligatures w14:val="none"/>
        </w:rPr>
      </w:pPr>
      <w:r w:rsidRPr="00184569">
        <w:rPr>
          <w:rFonts w:ascii="Times New Roman" w:eastAsia="Times New Roman" w:hAnsi="Times New Roman" w:cs="Times New Roman"/>
          <w:b/>
          <w:bCs/>
          <w:kern w:val="0"/>
          <w14:ligatures w14:val="none"/>
        </w:rPr>
        <w:t>A FORGALOMBA HOZATALI ENGEDÉLY JOGOSULTJA</w:t>
      </w:r>
    </w:p>
    <w:p w14:paraId="2C8B0134" w14:textId="77777777" w:rsidR="00184569" w:rsidRPr="00184569" w:rsidRDefault="00184569" w:rsidP="008B021B">
      <w:pPr>
        <w:keepNext/>
        <w:autoSpaceDE w:val="0"/>
        <w:autoSpaceDN w:val="0"/>
        <w:spacing w:after="0" w:line="240" w:lineRule="auto"/>
        <w:rPr>
          <w:rFonts w:ascii="Times New Roman" w:eastAsia="Times New Roman" w:hAnsi="Times New Roman" w:cs="Times New Roman"/>
          <w:b/>
          <w:kern w:val="0"/>
          <w14:ligatures w14:val="none"/>
        </w:rPr>
      </w:pPr>
    </w:p>
    <w:p w14:paraId="6BB9F54A" w14:textId="7C75B666" w:rsidR="00184569" w:rsidRPr="00184569" w:rsidRDefault="00184569" w:rsidP="008B021B">
      <w:pPr>
        <w:keepNext/>
        <w:tabs>
          <w:tab w:val="left" w:pos="567"/>
        </w:tabs>
        <w:autoSpaceDE w:val="0"/>
        <w:autoSpaceDN w:val="0"/>
        <w:spacing w:after="0" w:line="240" w:lineRule="auto"/>
        <w:rPr>
          <w:rFonts w:ascii="Times New Roman" w:eastAsia="Times New Roman" w:hAnsi="Times New Roman" w:cs="Times New Roman"/>
          <w:snapToGrid w:val="0"/>
          <w:kern w:val="0"/>
          <w:szCs w:val="20"/>
          <w:lang w:val="en-US" w:eastAsia="zh-CN"/>
          <w14:ligatures w14:val="none"/>
        </w:rPr>
      </w:pPr>
      <w:r w:rsidRPr="00184569">
        <w:rPr>
          <w:rFonts w:ascii="Times New Roman" w:eastAsia="Times New Roman" w:hAnsi="Times New Roman" w:cs="Times New Roman"/>
          <w:snapToGrid w:val="0"/>
          <w:kern w:val="0"/>
          <w:szCs w:val="20"/>
          <w:lang w:val="en-US" w:eastAsia="zh-CN"/>
          <w14:ligatures w14:val="none"/>
        </w:rPr>
        <w:t>AS GRINDEKS</w:t>
      </w:r>
    </w:p>
    <w:p w14:paraId="58040A13" w14:textId="77777777" w:rsidR="00184569" w:rsidRPr="00184569" w:rsidRDefault="00184569" w:rsidP="00184569">
      <w:pPr>
        <w:widowControl w:val="0"/>
        <w:tabs>
          <w:tab w:val="left" w:pos="567"/>
        </w:tabs>
        <w:autoSpaceDE w:val="0"/>
        <w:autoSpaceDN w:val="0"/>
        <w:spacing w:after="0" w:line="240" w:lineRule="auto"/>
        <w:rPr>
          <w:rFonts w:ascii="Times New Roman" w:eastAsia="Times New Roman" w:hAnsi="Times New Roman" w:cs="Times New Roman"/>
          <w:snapToGrid w:val="0"/>
          <w:kern w:val="0"/>
          <w:szCs w:val="20"/>
          <w:lang w:val="en-US" w:eastAsia="zh-CN"/>
          <w14:ligatures w14:val="none"/>
        </w:rPr>
      </w:pPr>
      <w:r w:rsidRPr="00184569">
        <w:rPr>
          <w:rFonts w:ascii="Times New Roman" w:eastAsia="Times New Roman" w:hAnsi="Times New Roman" w:cs="Times New Roman"/>
          <w:snapToGrid w:val="0"/>
          <w:kern w:val="0"/>
          <w:szCs w:val="20"/>
          <w:lang w:val="en-US" w:eastAsia="zh-CN"/>
          <w14:ligatures w14:val="none"/>
        </w:rPr>
        <w:t xml:space="preserve">Krustpils iela 53, </w:t>
      </w:r>
    </w:p>
    <w:p w14:paraId="2E034DD9" w14:textId="77777777" w:rsidR="00184569" w:rsidRPr="00184569" w:rsidRDefault="00184569" w:rsidP="00184569">
      <w:pPr>
        <w:widowControl w:val="0"/>
        <w:tabs>
          <w:tab w:val="left" w:pos="567"/>
        </w:tabs>
        <w:autoSpaceDE w:val="0"/>
        <w:autoSpaceDN w:val="0"/>
        <w:spacing w:after="0" w:line="240" w:lineRule="auto"/>
        <w:rPr>
          <w:rFonts w:ascii="Times New Roman" w:eastAsia="Times New Roman" w:hAnsi="Times New Roman" w:cs="Times New Roman"/>
          <w:snapToGrid w:val="0"/>
          <w:kern w:val="0"/>
          <w:szCs w:val="20"/>
          <w:lang w:val="en-US" w:eastAsia="zh-CN"/>
          <w14:ligatures w14:val="none"/>
        </w:rPr>
      </w:pPr>
      <w:r w:rsidRPr="00184569">
        <w:rPr>
          <w:rFonts w:ascii="Times New Roman" w:eastAsia="Times New Roman" w:hAnsi="Times New Roman" w:cs="Times New Roman"/>
          <w:snapToGrid w:val="0"/>
          <w:kern w:val="0"/>
          <w:szCs w:val="20"/>
          <w:lang w:val="en-US" w:eastAsia="zh-CN"/>
          <w14:ligatures w14:val="none"/>
        </w:rPr>
        <w:t xml:space="preserve">Rīga, LV-1057, </w:t>
      </w:r>
    </w:p>
    <w:p w14:paraId="4FCE5A98" w14:textId="77777777" w:rsidR="00184569" w:rsidRPr="00184569" w:rsidRDefault="00184569" w:rsidP="00184569">
      <w:pPr>
        <w:widowControl w:val="0"/>
        <w:tabs>
          <w:tab w:val="left" w:pos="567"/>
        </w:tabs>
        <w:autoSpaceDE w:val="0"/>
        <w:autoSpaceDN w:val="0"/>
        <w:spacing w:after="0" w:line="240" w:lineRule="auto"/>
        <w:rPr>
          <w:rFonts w:ascii="Times New Roman" w:eastAsia="Times New Roman" w:hAnsi="Times New Roman" w:cs="Times New Roman"/>
          <w:snapToGrid w:val="0"/>
          <w:kern w:val="0"/>
          <w:szCs w:val="20"/>
          <w:lang w:val="en-US" w:eastAsia="zh-CN"/>
          <w14:ligatures w14:val="none"/>
        </w:rPr>
      </w:pPr>
      <w:r w:rsidRPr="00184569">
        <w:rPr>
          <w:rFonts w:ascii="Times New Roman" w:eastAsia="Times New Roman" w:hAnsi="Times New Roman" w:cs="Times New Roman"/>
          <w:snapToGrid w:val="0"/>
          <w:kern w:val="0"/>
          <w:szCs w:val="20"/>
          <w:lang w:val="en-US" w:eastAsia="zh-CN"/>
          <w14:ligatures w14:val="none"/>
        </w:rPr>
        <w:t>Lettország</w:t>
      </w:r>
    </w:p>
    <w:p w14:paraId="3A764E1D"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
    <w:p w14:paraId="679F80A8"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
    <w:p w14:paraId="6D1789DD" w14:textId="77777777" w:rsidR="00184569" w:rsidRPr="00184569" w:rsidRDefault="00184569" w:rsidP="008B021B">
      <w:pPr>
        <w:widowControl w:val="0"/>
        <w:numPr>
          <w:ilvl w:val="0"/>
          <w:numId w:val="1"/>
        </w:numPr>
        <w:autoSpaceDE w:val="0"/>
        <w:autoSpaceDN w:val="0"/>
        <w:spacing w:after="0" w:line="240" w:lineRule="auto"/>
        <w:ind w:left="567"/>
        <w:outlineLvl w:val="0"/>
        <w:rPr>
          <w:rFonts w:ascii="Times New Roman" w:eastAsia="Times New Roman" w:hAnsi="Times New Roman" w:cs="Times New Roman"/>
          <w:b/>
          <w:bCs/>
          <w:kern w:val="0"/>
          <w14:ligatures w14:val="none"/>
        </w:rPr>
      </w:pPr>
      <w:r w:rsidRPr="00184569">
        <w:rPr>
          <w:rFonts w:ascii="Times New Roman" w:eastAsia="Times New Roman" w:hAnsi="Times New Roman" w:cs="Times New Roman"/>
          <w:b/>
          <w:bCs/>
          <w:kern w:val="0"/>
          <w14:ligatures w14:val="none"/>
        </w:rPr>
        <w:t xml:space="preserve">A FORGALOMBA HOZATALI ENGEDÉLY </w:t>
      </w:r>
      <w:proofErr w:type="gramStart"/>
      <w:r w:rsidRPr="00184569">
        <w:rPr>
          <w:rFonts w:ascii="Times New Roman" w:eastAsia="Times New Roman" w:hAnsi="Times New Roman" w:cs="Times New Roman"/>
          <w:b/>
          <w:bCs/>
          <w:kern w:val="0"/>
          <w14:ligatures w14:val="none"/>
        </w:rPr>
        <w:t>SZÁMA(</w:t>
      </w:r>
      <w:proofErr w:type="gramEnd"/>
      <w:r w:rsidRPr="00184569">
        <w:rPr>
          <w:rFonts w:ascii="Times New Roman" w:eastAsia="Times New Roman" w:hAnsi="Times New Roman" w:cs="Times New Roman"/>
          <w:b/>
          <w:bCs/>
          <w:kern w:val="0"/>
          <w14:ligatures w14:val="none"/>
        </w:rPr>
        <w:t>I)</w:t>
      </w:r>
    </w:p>
    <w:p w14:paraId="3B10E583"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b/>
          <w:kern w:val="0"/>
          <w14:ligatures w14:val="none"/>
        </w:rPr>
      </w:pPr>
    </w:p>
    <w:p w14:paraId="5A44A9C2" w14:textId="03DD5F0A" w:rsidR="00A67BA7" w:rsidRPr="00F738D7" w:rsidRDefault="00974ABA" w:rsidP="00A67BA7">
      <w:pPr>
        <w:widowControl w:val="0"/>
        <w:tabs>
          <w:tab w:val="left" w:pos="567"/>
        </w:tabs>
        <w:autoSpaceDE w:val="0"/>
        <w:autoSpaceDN w:val="0"/>
        <w:spacing w:after="0" w:line="240" w:lineRule="auto"/>
        <w:rPr>
          <w:rFonts w:ascii="Times New Roman" w:eastAsia="SimSun" w:hAnsi="Times New Roman" w:cs="Times New Roman"/>
          <w:snapToGrid w:val="0"/>
          <w:kern w:val="0"/>
          <w:szCs w:val="20"/>
          <w:lang w:eastAsia="zh-CN"/>
          <w14:ligatures w14:val="none"/>
        </w:rPr>
      </w:pPr>
      <w:r>
        <w:rPr>
          <w:rFonts w:ascii="Times New Roman" w:eastAsia="SimSun" w:hAnsi="Times New Roman" w:cs="Times New Roman"/>
          <w:snapToGrid w:val="0"/>
          <w:kern w:val="0"/>
          <w:szCs w:val="20"/>
          <w:lang w:eastAsia="zh-CN"/>
          <w14:ligatures w14:val="none"/>
        </w:rPr>
        <w:t>OGYI-T-</w:t>
      </w:r>
      <w:r w:rsidRPr="00974ABA">
        <w:rPr>
          <w:rFonts w:ascii="Times New Roman" w:eastAsia="SimSun" w:hAnsi="Times New Roman" w:cs="Times New Roman"/>
          <w:snapToGrid w:val="0"/>
          <w:kern w:val="0"/>
          <w:szCs w:val="20"/>
          <w:lang w:eastAsia="zh-CN"/>
          <w14:ligatures w14:val="none"/>
        </w:rPr>
        <w:t>24742</w:t>
      </w:r>
      <w:r w:rsidR="00A67BA7" w:rsidRPr="00F738D7">
        <w:rPr>
          <w:rFonts w:ascii="Times New Roman" w:eastAsia="SimSun" w:hAnsi="Times New Roman" w:cs="Times New Roman"/>
          <w:snapToGrid w:val="0"/>
          <w:kern w:val="0"/>
          <w:szCs w:val="20"/>
          <w:lang w:eastAsia="zh-CN"/>
          <w14:ligatures w14:val="none"/>
        </w:rPr>
        <w:t>/</w:t>
      </w:r>
      <w:r w:rsidR="00A67BA7">
        <w:rPr>
          <w:rFonts w:ascii="Times New Roman" w:eastAsia="SimSun" w:hAnsi="Times New Roman" w:cs="Times New Roman"/>
          <w:snapToGrid w:val="0"/>
          <w:kern w:val="0"/>
          <w:szCs w:val="20"/>
          <w:lang w:eastAsia="zh-CN"/>
          <w14:ligatures w14:val="none"/>
        </w:rPr>
        <w:t>13</w:t>
      </w:r>
      <w:r w:rsidR="00A67BA7" w:rsidRPr="00F738D7">
        <w:rPr>
          <w:rFonts w:ascii="Times New Roman" w:eastAsia="SimSun" w:hAnsi="Times New Roman" w:cs="Times New Roman"/>
          <w:snapToGrid w:val="0"/>
          <w:kern w:val="0"/>
          <w:szCs w:val="20"/>
          <w:lang w:eastAsia="zh-CN"/>
          <w14:ligatures w14:val="none"/>
        </w:rPr>
        <w:tab/>
        <w:t>2</w:t>
      </w:r>
      <w:r w:rsidR="00A67BA7">
        <w:rPr>
          <w:rFonts w:ascii="Times New Roman" w:eastAsia="SimSun" w:hAnsi="Times New Roman" w:cs="Times New Roman"/>
          <w:snapToGrid w:val="0"/>
          <w:kern w:val="0"/>
          <w:szCs w:val="20"/>
          <w:lang w:eastAsia="zh-CN"/>
          <w14:ligatures w14:val="none"/>
        </w:rPr>
        <w:t>0</w:t>
      </w:r>
      <w:r w:rsidR="00A67BA7" w:rsidRPr="00F738D7">
        <w:rPr>
          <w:rFonts w:ascii="Times New Roman" w:eastAsia="SimSun" w:hAnsi="Times New Roman" w:cs="Times New Roman"/>
          <w:snapToGrid w:val="0"/>
          <w:kern w:val="0"/>
          <w:szCs w:val="20"/>
          <w:lang w:eastAsia="zh-CN"/>
          <w14:ligatures w14:val="none"/>
        </w:rPr>
        <w:t>×</w:t>
      </w:r>
      <w:r w:rsidR="00A67BA7" w:rsidRPr="00F738D7">
        <w:rPr>
          <w:rFonts w:ascii="Times New Roman" w:eastAsia="SimSun" w:hAnsi="Times New Roman" w:cs="Times New Roman"/>
          <w:snapToGrid w:val="0"/>
          <w:kern w:val="0"/>
          <w:szCs w:val="20"/>
          <w:lang w:eastAsia="zh-CN"/>
          <w14:ligatures w14:val="none"/>
        </w:rPr>
        <w:tab/>
      </w:r>
      <w:r>
        <w:rPr>
          <w:rFonts w:ascii="Times New Roman" w:eastAsia="SimSun" w:hAnsi="Times New Roman" w:cs="Times New Roman"/>
          <w:snapToGrid w:val="0"/>
          <w:kern w:val="0"/>
          <w:szCs w:val="20"/>
          <w:lang w:eastAsia="zh-CN"/>
          <w14:ligatures w14:val="none"/>
        </w:rPr>
        <w:t>PVC/PVD</w:t>
      </w:r>
      <w:r w:rsidR="00A67BA7" w:rsidRPr="00F738D7">
        <w:rPr>
          <w:rFonts w:ascii="Times New Roman" w:eastAsia="SimSun" w:hAnsi="Times New Roman" w:cs="Times New Roman"/>
          <w:snapToGrid w:val="0"/>
          <w:kern w:val="0"/>
          <w:szCs w:val="20"/>
          <w:lang w:eastAsia="zh-CN"/>
          <w14:ligatures w14:val="none"/>
        </w:rPr>
        <w:t xml:space="preserve">C//Al buborékcsomagolás </w:t>
      </w:r>
    </w:p>
    <w:p w14:paraId="1241A0BE" w14:textId="34002CA8" w:rsidR="00184569" w:rsidRPr="00F738D7" w:rsidRDefault="00974ABA" w:rsidP="00184569">
      <w:pPr>
        <w:widowControl w:val="0"/>
        <w:tabs>
          <w:tab w:val="left" w:pos="567"/>
        </w:tabs>
        <w:autoSpaceDE w:val="0"/>
        <w:autoSpaceDN w:val="0"/>
        <w:spacing w:after="0" w:line="240" w:lineRule="auto"/>
        <w:rPr>
          <w:rFonts w:ascii="Times New Roman" w:eastAsia="SimSun" w:hAnsi="Times New Roman" w:cs="Times New Roman"/>
          <w:snapToGrid w:val="0"/>
          <w:kern w:val="0"/>
          <w:szCs w:val="20"/>
          <w:lang w:eastAsia="zh-CN"/>
          <w14:ligatures w14:val="none"/>
        </w:rPr>
      </w:pPr>
      <w:r>
        <w:rPr>
          <w:rFonts w:ascii="Times New Roman" w:eastAsia="SimSun" w:hAnsi="Times New Roman" w:cs="Times New Roman"/>
          <w:snapToGrid w:val="0"/>
          <w:kern w:val="0"/>
          <w:szCs w:val="20"/>
          <w:lang w:eastAsia="zh-CN"/>
          <w14:ligatures w14:val="none"/>
        </w:rPr>
        <w:t>OGYI-T-</w:t>
      </w:r>
      <w:r w:rsidRPr="00974ABA">
        <w:rPr>
          <w:rFonts w:ascii="Times New Roman" w:eastAsia="SimSun" w:hAnsi="Times New Roman" w:cs="Times New Roman"/>
          <w:snapToGrid w:val="0"/>
          <w:kern w:val="0"/>
          <w:szCs w:val="20"/>
          <w:lang w:eastAsia="zh-CN"/>
          <w14:ligatures w14:val="none"/>
        </w:rPr>
        <w:t>24742</w:t>
      </w:r>
      <w:r>
        <w:rPr>
          <w:rFonts w:ascii="Times New Roman" w:eastAsia="SimSun" w:hAnsi="Times New Roman" w:cs="Times New Roman"/>
          <w:snapToGrid w:val="0"/>
          <w:kern w:val="0"/>
          <w:szCs w:val="20"/>
          <w:lang w:eastAsia="zh-CN"/>
          <w14:ligatures w14:val="none"/>
        </w:rPr>
        <w:t>/06</w:t>
      </w:r>
      <w:r>
        <w:rPr>
          <w:rFonts w:ascii="Times New Roman" w:eastAsia="SimSun" w:hAnsi="Times New Roman" w:cs="Times New Roman"/>
          <w:snapToGrid w:val="0"/>
          <w:kern w:val="0"/>
          <w:szCs w:val="20"/>
          <w:lang w:eastAsia="zh-CN"/>
          <w14:ligatures w14:val="none"/>
        </w:rPr>
        <w:tab/>
        <w:t>28×</w:t>
      </w:r>
      <w:r>
        <w:rPr>
          <w:rFonts w:ascii="Times New Roman" w:eastAsia="SimSun" w:hAnsi="Times New Roman" w:cs="Times New Roman"/>
          <w:snapToGrid w:val="0"/>
          <w:kern w:val="0"/>
          <w:szCs w:val="20"/>
          <w:lang w:eastAsia="zh-CN"/>
          <w14:ligatures w14:val="none"/>
        </w:rPr>
        <w:tab/>
        <w:t>PVC/PVD</w:t>
      </w:r>
      <w:r w:rsidR="00184569" w:rsidRPr="00F738D7">
        <w:rPr>
          <w:rFonts w:ascii="Times New Roman" w:eastAsia="SimSun" w:hAnsi="Times New Roman" w:cs="Times New Roman"/>
          <w:snapToGrid w:val="0"/>
          <w:kern w:val="0"/>
          <w:szCs w:val="20"/>
          <w:lang w:eastAsia="zh-CN"/>
          <w14:ligatures w14:val="none"/>
        </w:rPr>
        <w:t xml:space="preserve">C//Al buborékcsomagolás </w:t>
      </w:r>
    </w:p>
    <w:p w14:paraId="7AC05DCE" w14:textId="671C50F1" w:rsidR="00184569" w:rsidRPr="00F738D7" w:rsidRDefault="00974ABA" w:rsidP="00184569">
      <w:pPr>
        <w:widowControl w:val="0"/>
        <w:tabs>
          <w:tab w:val="left" w:pos="567"/>
        </w:tabs>
        <w:autoSpaceDE w:val="0"/>
        <w:autoSpaceDN w:val="0"/>
        <w:spacing w:after="0" w:line="240" w:lineRule="auto"/>
        <w:rPr>
          <w:rFonts w:ascii="Times New Roman" w:eastAsia="SimSun" w:hAnsi="Times New Roman" w:cs="Times New Roman"/>
          <w:snapToGrid w:val="0"/>
          <w:kern w:val="0"/>
          <w:szCs w:val="20"/>
          <w:lang w:eastAsia="zh-CN"/>
          <w14:ligatures w14:val="none"/>
        </w:rPr>
      </w:pPr>
      <w:r>
        <w:rPr>
          <w:rFonts w:ascii="Times New Roman" w:eastAsia="SimSun" w:hAnsi="Times New Roman" w:cs="Times New Roman"/>
          <w:snapToGrid w:val="0"/>
          <w:kern w:val="0"/>
          <w:szCs w:val="20"/>
          <w:lang w:eastAsia="zh-CN"/>
          <w14:ligatures w14:val="none"/>
        </w:rPr>
        <w:t>OGYI-T-</w:t>
      </w:r>
      <w:r w:rsidRPr="00974ABA">
        <w:rPr>
          <w:rFonts w:ascii="Times New Roman" w:eastAsia="SimSun" w:hAnsi="Times New Roman" w:cs="Times New Roman"/>
          <w:snapToGrid w:val="0"/>
          <w:kern w:val="0"/>
          <w:szCs w:val="20"/>
          <w:lang w:eastAsia="zh-CN"/>
          <w14:ligatures w14:val="none"/>
        </w:rPr>
        <w:t>24742</w:t>
      </w:r>
      <w:r>
        <w:rPr>
          <w:rFonts w:ascii="Times New Roman" w:eastAsia="SimSun" w:hAnsi="Times New Roman" w:cs="Times New Roman"/>
          <w:snapToGrid w:val="0"/>
          <w:kern w:val="0"/>
          <w:szCs w:val="20"/>
          <w:lang w:eastAsia="zh-CN"/>
          <w14:ligatures w14:val="none"/>
        </w:rPr>
        <w:t>/07</w:t>
      </w:r>
      <w:r>
        <w:rPr>
          <w:rFonts w:ascii="Times New Roman" w:eastAsia="SimSun" w:hAnsi="Times New Roman" w:cs="Times New Roman"/>
          <w:snapToGrid w:val="0"/>
          <w:kern w:val="0"/>
          <w:szCs w:val="20"/>
          <w:lang w:eastAsia="zh-CN"/>
          <w14:ligatures w14:val="none"/>
        </w:rPr>
        <w:tab/>
        <w:t>30×</w:t>
      </w:r>
      <w:r>
        <w:rPr>
          <w:rFonts w:ascii="Times New Roman" w:eastAsia="SimSun" w:hAnsi="Times New Roman" w:cs="Times New Roman"/>
          <w:snapToGrid w:val="0"/>
          <w:kern w:val="0"/>
          <w:szCs w:val="20"/>
          <w:lang w:eastAsia="zh-CN"/>
          <w14:ligatures w14:val="none"/>
        </w:rPr>
        <w:tab/>
        <w:t>PVC/PVD</w:t>
      </w:r>
      <w:r w:rsidR="00184569" w:rsidRPr="00F738D7">
        <w:rPr>
          <w:rFonts w:ascii="Times New Roman" w:eastAsia="SimSun" w:hAnsi="Times New Roman" w:cs="Times New Roman"/>
          <w:snapToGrid w:val="0"/>
          <w:kern w:val="0"/>
          <w:szCs w:val="20"/>
          <w:lang w:eastAsia="zh-CN"/>
          <w14:ligatures w14:val="none"/>
        </w:rPr>
        <w:t xml:space="preserve">C//Al buborékcsomagolás </w:t>
      </w:r>
    </w:p>
    <w:p w14:paraId="40DB9E4C" w14:textId="3E30762D" w:rsidR="00184569" w:rsidRPr="00F738D7" w:rsidRDefault="00974ABA" w:rsidP="00184569">
      <w:pPr>
        <w:widowControl w:val="0"/>
        <w:tabs>
          <w:tab w:val="left" w:pos="567"/>
        </w:tabs>
        <w:autoSpaceDE w:val="0"/>
        <w:autoSpaceDN w:val="0"/>
        <w:spacing w:after="0" w:line="240" w:lineRule="auto"/>
        <w:rPr>
          <w:rFonts w:ascii="Times New Roman" w:eastAsia="SimSun" w:hAnsi="Times New Roman" w:cs="Times New Roman"/>
          <w:snapToGrid w:val="0"/>
          <w:kern w:val="0"/>
          <w:szCs w:val="20"/>
          <w:lang w:eastAsia="zh-CN"/>
          <w14:ligatures w14:val="none"/>
        </w:rPr>
      </w:pPr>
      <w:r>
        <w:rPr>
          <w:rFonts w:ascii="Times New Roman" w:eastAsia="SimSun" w:hAnsi="Times New Roman" w:cs="Times New Roman"/>
          <w:snapToGrid w:val="0"/>
          <w:kern w:val="0"/>
          <w:szCs w:val="20"/>
          <w:lang w:eastAsia="zh-CN"/>
          <w14:ligatures w14:val="none"/>
        </w:rPr>
        <w:t>OGYI-T-</w:t>
      </w:r>
      <w:r w:rsidRPr="00974ABA">
        <w:rPr>
          <w:rFonts w:ascii="Times New Roman" w:eastAsia="SimSun" w:hAnsi="Times New Roman" w:cs="Times New Roman"/>
          <w:snapToGrid w:val="0"/>
          <w:kern w:val="0"/>
          <w:szCs w:val="20"/>
          <w:lang w:eastAsia="zh-CN"/>
          <w14:ligatures w14:val="none"/>
        </w:rPr>
        <w:t>24742</w:t>
      </w:r>
      <w:r>
        <w:rPr>
          <w:rFonts w:ascii="Times New Roman" w:eastAsia="SimSun" w:hAnsi="Times New Roman" w:cs="Times New Roman"/>
          <w:snapToGrid w:val="0"/>
          <w:kern w:val="0"/>
          <w:szCs w:val="20"/>
          <w:lang w:eastAsia="zh-CN"/>
          <w14:ligatures w14:val="none"/>
        </w:rPr>
        <w:t>/08</w:t>
      </w:r>
      <w:r>
        <w:rPr>
          <w:rFonts w:ascii="Times New Roman" w:eastAsia="SimSun" w:hAnsi="Times New Roman" w:cs="Times New Roman"/>
          <w:snapToGrid w:val="0"/>
          <w:kern w:val="0"/>
          <w:szCs w:val="20"/>
          <w:lang w:eastAsia="zh-CN"/>
          <w14:ligatures w14:val="none"/>
        </w:rPr>
        <w:tab/>
        <w:t>56×</w:t>
      </w:r>
      <w:r>
        <w:rPr>
          <w:rFonts w:ascii="Times New Roman" w:eastAsia="SimSun" w:hAnsi="Times New Roman" w:cs="Times New Roman"/>
          <w:snapToGrid w:val="0"/>
          <w:kern w:val="0"/>
          <w:szCs w:val="20"/>
          <w:lang w:eastAsia="zh-CN"/>
          <w14:ligatures w14:val="none"/>
        </w:rPr>
        <w:tab/>
        <w:t>PVC/PVD</w:t>
      </w:r>
      <w:r w:rsidR="00184569" w:rsidRPr="00F738D7">
        <w:rPr>
          <w:rFonts w:ascii="Times New Roman" w:eastAsia="SimSun" w:hAnsi="Times New Roman" w:cs="Times New Roman"/>
          <w:snapToGrid w:val="0"/>
          <w:kern w:val="0"/>
          <w:szCs w:val="20"/>
          <w:lang w:eastAsia="zh-CN"/>
          <w14:ligatures w14:val="none"/>
        </w:rPr>
        <w:t xml:space="preserve">C//Al buborékcsomagolás </w:t>
      </w:r>
    </w:p>
    <w:p w14:paraId="4454AA31" w14:textId="241DA696" w:rsidR="00184569" w:rsidRPr="00F738D7" w:rsidRDefault="00974ABA" w:rsidP="00184569">
      <w:pPr>
        <w:widowControl w:val="0"/>
        <w:tabs>
          <w:tab w:val="left" w:pos="567"/>
        </w:tabs>
        <w:autoSpaceDE w:val="0"/>
        <w:autoSpaceDN w:val="0"/>
        <w:spacing w:after="0" w:line="240" w:lineRule="auto"/>
        <w:rPr>
          <w:rFonts w:ascii="Times New Roman" w:eastAsia="SimSun" w:hAnsi="Times New Roman" w:cs="Times New Roman"/>
          <w:snapToGrid w:val="0"/>
          <w:kern w:val="0"/>
          <w:szCs w:val="20"/>
          <w:lang w:eastAsia="zh-CN"/>
          <w14:ligatures w14:val="none"/>
        </w:rPr>
      </w:pPr>
      <w:r>
        <w:rPr>
          <w:rFonts w:ascii="Times New Roman" w:eastAsia="SimSun" w:hAnsi="Times New Roman" w:cs="Times New Roman"/>
          <w:snapToGrid w:val="0"/>
          <w:kern w:val="0"/>
          <w:szCs w:val="20"/>
          <w:lang w:eastAsia="zh-CN"/>
          <w14:ligatures w14:val="none"/>
        </w:rPr>
        <w:t>OGYI-T-</w:t>
      </w:r>
      <w:r w:rsidRPr="00974ABA">
        <w:rPr>
          <w:rFonts w:ascii="Times New Roman" w:eastAsia="SimSun" w:hAnsi="Times New Roman" w:cs="Times New Roman"/>
          <w:snapToGrid w:val="0"/>
          <w:kern w:val="0"/>
          <w:szCs w:val="20"/>
          <w:lang w:eastAsia="zh-CN"/>
          <w14:ligatures w14:val="none"/>
        </w:rPr>
        <w:t>24742</w:t>
      </w:r>
      <w:r>
        <w:rPr>
          <w:rFonts w:ascii="Times New Roman" w:eastAsia="SimSun" w:hAnsi="Times New Roman" w:cs="Times New Roman"/>
          <w:snapToGrid w:val="0"/>
          <w:kern w:val="0"/>
          <w:szCs w:val="20"/>
          <w:lang w:eastAsia="zh-CN"/>
          <w14:ligatures w14:val="none"/>
        </w:rPr>
        <w:t>/09</w:t>
      </w:r>
      <w:r>
        <w:rPr>
          <w:rFonts w:ascii="Times New Roman" w:eastAsia="SimSun" w:hAnsi="Times New Roman" w:cs="Times New Roman"/>
          <w:snapToGrid w:val="0"/>
          <w:kern w:val="0"/>
          <w:szCs w:val="20"/>
          <w:lang w:eastAsia="zh-CN"/>
          <w14:ligatures w14:val="none"/>
        </w:rPr>
        <w:tab/>
        <w:t>60×</w:t>
      </w:r>
      <w:r>
        <w:rPr>
          <w:rFonts w:ascii="Times New Roman" w:eastAsia="SimSun" w:hAnsi="Times New Roman" w:cs="Times New Roman"/>
          <w:snapToGrid w:val="0"/>
          <w:kern w:val="0"/>
          <w:szCs w:val="20"/>
          <w:lang w:eastAsia="zh-CN"/>
          <w14:ligatures w14:val="none"/>
        </w:rPr>
        <w:tab/>
        <w:t>PVC/PVD</w:t>
      </w:r>
      <w:r w:rsidR="00184569" w:rsidRPr="00F738D7">
        <w:rPr>
          <w:rFonts w:ascii="Times New Roman" w:eastAsia="SimSun" w:hAnsi="Times New Roman" w:cs="Times New Roman"/>
          <w:snapToGrid w:val="0"/>
          <w:kern w:val="0"/>
          <w:szCs w:val="20"/>
          <w:lang w:eastAsia="zh-CN"/>
          <w14:ligatures w14:val="none"/>
        </w:rPr>
        <w:t xml:space="preserve">C//Al buborékcsomagolás </w:t>
      </w:r>
    </w:p>
    <w:p w14:paraId="7F11F8CE" w14:textId="5BD75901" w:rsidR="00184569" w:rsidRPr="00F738D7" w:rsidRDefault="00974ABA" w:rsidP="00184569">
      <w:pPr>
        <w:widowControl w:val="0"/>
        <w:tabs>
          <w:tab w:val="left" w:pos="567"/>
        </w:tabs>
        <w:autoSpaceDE w:val="0"/>
        <w:autoSpaceDN w:val="0"/>
        <w:spacing w:after="0" w:line="240" w:lineRule="auto"/>
        <w:rPr>
          <w:rFonts w:ascii="Times New Roman" w:eastAsia="SimSun" w:hAnsi="Times New Roman" w:cs="Times New Roman"/>
          <w:snapToGrid w:val="0"/>
          <w:kern w:val="0"/>
          <w:szCs w:val="20"/>
          <w:lang w:eastAsia="zh-CN"/>
          <w14:ligatures w14:val="none"/>
        </w:rPr>
      </w:pPr>
      <w:r>
        <w:rPr>
          <w:rFonts w:ascii="Times New Roman" w:eastAsia="SimSun" w:hAnsi="Times New Roman" w:cs="Times New Roman"/>
          <w:snapToGrid w:val="0"/>
          <w:kern w:val="0"/>
          <w:szCs w:val="20"/>
          <w:lang w:eastAsia="zh-CN"/>
          <w14:ligatures w14:val="none"/>
        </w:rPr>
        <w:t>OGYI-T-</w:t>
      </w:r>
      <w:r w:rsidRPr="00974ABA">
        <w:rPr>
          <w:rFonts w:ascii="Times New Roman" w:eastAsia="SimSun" w:hAnsi="Times New Roman" w:cs="Times New Roman"/>
          <w:snapToGrid w:val="0"/>
          <w:kern w:val="0"/>
          <w:szCs w:val="20"/>
          <w:lang w:eastAsia="zh-CN"/>
          <w14:ligatures w14:val="none"/>
        </w:rPr>
        <w:t>24742</w:t>
      </w:r>
      <w:r w:rsidR="00184569" w:rsidRPr="00F738D7">
        <w:rPr>
          <w:rFonts w:ascii="Times New Roman" w:eastAsia="SimSun" w:hAnsi="Times New Roman" w:cs="Times New Roman"/>
          <w:snapToGrid w:val="0"/>
          <w:kern w:val="0"/>
          <w:szCs w:val="20"/>
          <w:lang w:eastAsia="zh-CN"/>
          <w14:ligatures w14:val="none"/>
        </w:rPr>
        <w:t>/10</w:t>
      </w:r>
      <w:r w:rsidR="00184569" w:rsidRPr="00F738D7">
        <w:rPr>
          <w:rFonts w:ascii="Times New Roman" w:eastAsia="SimSun" w:hAnsi="Times New Roman" w:cs="Times New Roman"/>
          <w:snapToGrid w:val="0"/>
          <w:kern w:val="0"/>
          <w:szCs w:val="20"/>
          <w:lang w:eastAsia="zh-CN"/>
          <w14:ligatures w14:val="none"/>
        </w:rPr>
        <w:tab/>
      </w:r>
      <w:r>
        <w:rPr>
          <w:rFonts w:ascii="Times New Roman" w:eastAsia="SimSun" w:hAnsi="Times New Roman" w:cs="Times New Roman"/>
          <w:snapToGrid w:val="0"/>
          <w:kern w:val="0"/>
          <w:szCs w:val="20"/>
          <w:lang w:eastAsia="zh-CN"/>
          <w14:ligatures w14:val="none"/>
        </w:rPr>
        <w:t>100×</w:t>
      </w:r>
      <w:r>
        <w:rPr>
          <w:rFonts w:ascii="Times New Roman" w:eastAsia="SimSun" w:hAnsi="Times New Roman" w:cs="Times New Roman"/>
          <w:snapToGrid w:val="0"/>
          <w:kern w:val="0"/>
          <w:szCs w:val="20"/>
          <w:lang w:eastAsia="zh-CN"/>
          <w14:ligatures w14:val="none"/>
        </w:rPr>
        <w:tab/>
        <w:t>PVC/PVD</w:t>
      </w:r>
      <w:r w:rsidR="00184569" w:rsidRPr="00F738D7">
        <w:rPr>
          <w:rFonts w:ascii="Times New Roman" w:eastAsia="SimSun" w:hAnsi="Times New Roman" w:cs="Times New Roman"/>
          <w:snapToGrid w:val="0"/>
          <w:kern w:val="0"/>
          <w:szCs w:val="20"/>
          <w:lang w:eastAsia="zh-CN"/>
          <w14:ligatures w14:val="none"/>
        </w:rPr>
        <w:t xml:space="preserve">C//Al buborékcsomagolás </w:t>
      </w:r>
    </w:p>
    <w:p w14:paraId="6F830353" w14:textId="49148863" w:rsidR="00184569" w:rsidRPr="00F738D7" w:rsidRDefault="00974ABA" w:rsidP="00184569">
      <w:pPr>
        <w:widowControl w:val="0"/>
        <w:tabs>
          <w:tab w:val="left" w:pos="567"/>
        </w:tabs>
        <w:autoSpaceDE w:val="0"/>
        <w:autoSpaceDN w:val="0"/>
        <w:spacing w:after="0" w:line="240" w:lineRule="auto"/>
        <w:rPr>
          <w:rFonts w:ascii="Times New Roman" w:eastAsia="SimSun" w:hAnsi="Times New Roman" w:cs="Times New Roman"/>
          <w:snapToGrid w:val="0"/>
          <w:kern w:val="0"/>
          <w:szCs w:val="20"/>
          <w:lang w:eastAsia="zh-CN"/>
          <w14:ligatures w14:val="none"/>
        </w:rPr>
      </w:pPr>
      <w:r>
        <w:rPr>
          <w:rFonts w:ascii="Times New Roman" w:eastAsia="SimSun" w:hAnsi="Times New Roman" w:cs="Times New Roman"/>
          <w:snapToGrid w:val="0"/>
          <w:kern w:val="0"/>
          <w:szCs w:val="20"/>
          <w:lang w:eastAsia="zh-CN"/>
          <w14:ligatures w14:val="none"/>
        </w:rPr>
        <w:t>OGYI-T-</w:t>
      </w:r>
      <w:r w:rsidRPr="00974ABA">
        <w:rPr>
          <w:rFonts w:ascii="Times New Roman" w:eastAsia="SimSun" w:hAnsi="Times New Roman" w:cs="Times New Roman"/>
          <w:snapToGrid w:val="0"/>
          <w:kern w:val="0"/>
          <w:szCs w:val="20"/>
          <w:lang w:eastAsia="zh-CN"/>
          <w14:ligatures w14:val="none"/>
        </w:rPr>
        <w:t>24742</w:t>
      </w:r>
      <w:r>
        <w:rPr>
          <w:rFonts w:ascii="Times New Roman" w:eastAsia="SimSun" w:hAnsi="Times New Roman" w:cs="Times New Roman"/>
          <w:snapToGrid w:val="0"/>
          <w:kern w:val="0"/>
          <w:szCs w:val="20"/>
          <w:lang w:eastAsia="zh-CN"/>
          <w14:ligatures w14:val="none"/>
        </w:rPr>
        <w:t>/11</w:t>
      </w:r>
      <w:r>
        <w:rPr>
          <w:rFonts w:ascii="Times New Roman" w:eastAsia="SimSun" w:hAnsi="Times New Roman" w:cs="Times New Roman"/>
          <w:snapToGrid w:val="0"/>
          <w:kern w:val="0"/>
          <w:szCs w:val="20"/>
          <w:lang w:eastAsia="zh-CN"/>
          <w14:ligatures w14:val="none"/>
        </w:rPr>
        <w:tab/>
        <w:t>168×</w:t>
      </w:r>
      <w:r>
        <w:rPr>
          <w:rFonts w:ascii="Times New Roman" w:eastAsia="SimSun" w:hAnsi="Times New Roman" w:cs="Times New Roman"/>
          <w:snapToGrid w:val="0"/>
          <w:kern w:val="0"/>
          <w:szCs w:val="20"/>
          <w:lang w:eastAsia="zh-CN"/>
          <w14:ligatures w14:val="none"/>
        </w:rPr>
        <w:tab/>
        <w:t>PVC/PVD</w:t>
      </w:r>
      <w:r w:rsidR="00184569" w:rsidRPr="00F738D7">
        <w:rPr>
          <w:rFonts w:ascii="Times New Roman" w:eastAsia="SimSun" w:hAnsi="Times New Roman" w:cs="Times New Roman"/>
          <w:snapToGrid w:val="0"/>
          <w:kern w:val="0"/>
          <w:szCs w:val="20"/>
          <w:lang w:eastAsia="zh-CN"/>
          <w14:ligatures w14:val="none"/>
        </w:rPr>
        <w:t xml:space="preserve">C//Al buborékcsomagolás </w:t>
      </w:r>
    </w:p>
    <w:p w14:paraId="1023772C" w14:textId="157F9081" w:rsidR="00184569" w:rsidRPr="00F738D7" w:rsidRDefault="00974ABA" w:rsidP="00184569">
      <w:pPr>
        <w:widowControl w:val="0"/>
        <w:tabs>
          <w:tab w:val="left" w:pos="567"/>
        </w:tabs>
        <w:autoSpaceDE w:val="0"/>
        <w:autoSpaceDN w:val="0"/>
        <w:spacing w:after="0" w:line="240" w:lineRule="auto"/>
        <w:rPr>
          <w:rFonts w:ascii="Times New Roman" w:eastAsia="SimSun" w:hAnsi="Times New Roman" w:cs="Times New Roman"/>
          <w:snapToGrid w:val="0"/>
          <w:kern w:val="0"/>
          <w:szCs w:val="20"/>
          <w:lang w:eastAsia="zh-CN"/>
          <w14:ligatures w14:val="none"/>
        </w:rPr>
      </w:pPr>
      <w:r>
        <w:rPr>
          <w:rFonts w:ascii="Times New Roman" w:eastAsia="SimSun" w:hAnsi="Times New Roman" w:cs="Times New Roman"/>
          <w:snapToGrid w:val="0"/>
          <w:kern w:val="0"/>
          <w:szCs w:val="20"/>
          <w:lang w:eastAsia="zh-CN"/>
          <w14:ligatures w14:val="none"/>
        </w:rPr>
        <w:t>OGYI-T-</w:t>
      </w:r>
      <w:r w:rsidRPr="00974ABA">
        <w:rPr>
          <w:rFonts w:ascii="Times New Roman" w:eastAsia="SimSun" w:hAnsi="Times New Roman" w:cs="Times New Roman"/>
          <w:snapToGrid w:val="0"/>
          <w:kern w:val="0"/>
          <w:szCs w:val="20"/>
          <w:lang w:eastAsia="zh-CN"/>
          <w14:ligatures w14:val="none"/>
        </w:rPr>
        <w:t>24742</w:t>
      </w:r>
      <w:r>
        <w:rPr>
          <w:rFonts w:ascii="Times New Roman" w:eastAsia="SimSun" w:hAnsi="Times New Roman" w:cs="Times New Roman"/>
          <w:snapToGrid w:val="0"/>
          <w:kern w:val="0"/>
          <w:szCs w:val="20"/>
          <w:lang w:eastAsia="zh-CN"/>
          <w14:ligatures w14:val="none"/>
        </w:rPr>
        <w:t>/12</w:t>
      </w:r>
      <w:r>
        <w:rPr>
          <w:rFonts w:ascii="Times New Roman" w:eastAsia="SimSun" w:hAnsi="Times New Roman" w:cs="Times New Roman"/>
          <w:snapToGrid w:val="0"/>
          <w:kern w:val="0"/>
          <w:szCs w:val="20"/>
          <w:lang w:eastAsia="zh-CN"/>
          <w14:ligatures w14:val="none"/>
        </w:rPr>
        <w:tab/>
        <w:t>200×</w:t>
      </w:r>
      <w:r>
        <w:rPr>
          <w:rFonts w:ascii="Times New Roman" w:eastAsia="SimSun" w:hAnsi="Times New Roman" w:cs="Times New Roman"/>
          <w:snapToGrid w:val="0"/>
          <w:kern w:val="0"/>
          <w:szCs w:val="20"/>
          <w:lang w:eastAsia="zh-CN"/>
          <w14:ligatures w14:val="none"/>
        </w:rPr>
        <w:tab/>
        <w:t>PVC/PVD</w:t>
      </w:r>
      <w:r w:rsidR="00184569" w:rsidRPr="00F738D7">
        <w:rPr>
          <w:rFonts w:ascii="Times New Roman" w:eastAsia="SimSun" w:hAnsi="Times New Roman" w:cs="Times New Roman"/>
          <w:snapToGrid w:val="0"/>
          <w:kern w:val="0"/>
          <w:szCs w:val="20"/>
          <w:lang w:eastAsia="zh-CN"/>
          <w14:ligatures w14:val="none"/>
        </w:rPr>
        <w:t xml:space="preserve">C//Al buborékcsomagolás </w:t>
      </w:r>
    </w:p>
    <w:p w14:paraId="3B9F9BBE"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
    <w:p w14:paraId="752689CF"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
    <w:p w14:paraId="6281B678" w14:textId="77777777" w:rsidR="00184569" w:rsidRPr="00184569" w:rsidRDefault="00184569" w:rsidP="008B021B">
      <w:pPr>
        <w:widowControl w:val="0"/>
        <w:numPr>
          <w:ilvl w:val="0"/>
          <w:numId w:val="1"/>
        </w:numPr>
        <w:autoSpaceDE w:val="0"/>
        <w:autoSpaceDN w:val="0"/>
        <w:spacing w:after="0" w:line="240" w:lineRule="auto"/>
        <w:ind w:left="567"/>
        <w:outlineLvl w:val="0"/>
        <w:rPr>
          <w:rFonts w:ascii="Times New Roman" w:eastAsia="Times New Roman" w:hAnsi="Times New Roman" w:cs="Times New Roman"/>
          <w:b/>
          <w:bCs/>
          <w:kern w:val="0"/>
          <w14:ligatures w14:val="none"/>
        </w:rPr>
      </w:pPr>
      <w:r w:rsidRPr="00184569">
        <w:rPr>
          <w:rFonts w:ascii="Times New Roman" w:eastAsia="Times New Roman" w:hAnsi="Times New Roman" w:cs="Times New Roman"/>
          <w:b/>
          <w:bCs/>
          <w:kern w:val="0"/>
          <w14:ligatures w14:val="none"/>
        </w:rPr>
        <w:t>A FORGALOMBA HOZATALI ENGEDÉLY ELSŐ KIADÁSÁNAK/ MEGÚJÍTÁSÁNAK DÁTUMA</w:t>
      </w:r>
    </w:p>
    <w:p w14:paraId="25420591"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b/>
          <w:kern w:val="0"/>
          <w14:ligatures w14:val="none"/>
        </w:rPr>
      </w:pPr>
    </w:p>
    <w:p w14:paraId="70DC5BB2" w14:textId="7F9FC254"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r w:rsidRPr="00184569">
        <w:rPr>
          <w:rFonts w:ascii="Times New Roman" w:eastAsia="Times New Roman" w:hAnsi="Times New Roman" w:cs="Times New Roman"/>
          <w:kern w:val="0"/>
          <w14:ligatures w14:val="none"/>
        </w:rPr>
        <w:t xml:space="preserve">A forgalomba hozatali engedély első kiadásának dátuma: </w:t>
      </w:r>
      <w:r w:rsidR="00974ABA">
        <w:rPr>
          <w:rFonts w:ascii="Times New Roman" w:eastAsia="Times New Roman" w:hAnsi="Times New Roman" w:cs="Times New Roman"/>
          <w:kern w:val="0"/>
          <w14:ligatures w14:val="none"/>
        </w:rPr>
        <w:t>2026. május 14.</w:t>
      </w:r>
    </w:p>
    <w:p w14:paraId="50B6BB91"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
    <w:p w14:paraId="0D4685EA"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
    <w:p w14:paraId="658C2C7C" w14:textId="77777777" w:rsidR="00184569" w:rsidRPr="00184569" w:rsidRDefault="00184569" w:rsidP="008B021B">
      <w:pPr>
        <w:widowControl w:val="0"/>
        <w:numPr>
          <w:ilvl w:val="0"/>
          <w:numId w:val="1"/>
        </w:numPr>
        <w:autoSpaceDE w:val="0"/>
        <w:autoSpaceDN w:val="0"/>
        <w:spacing w:after="0" w:line="240" w:lineRule="auto"/>
        <w:ind w:left="567"/>
        <w:outlineLvl w:val="0"/>
        <w:rPr>
          <w:rFonts w:ascii="Times New Roman" w:eastAsia="Times New Roman" w:hAnsi="Times New Roman" w:cs="Times New Roman"/>
          <w:b/>
          <w:bCs/>
          <w:kern w:val="0"/>
          <w14:ligatures w14:val="none"/>
        </w:rPr>
      </w:pPr>
      <w:r w:rsidRPr="00184569">
        <w:rPr>
          <w:rFonts w:ascii="Times New Roman" w:eastAsia="Times New Roman" w:hAnsi="Times New Roman" w:cs="Times New Roman"/>
          <w:b/>
          <w:bCs/>
          <w:kern w:val="0"/>
          <w14:ligatures w14:val="none"/>
        </w:rPr>
        <w:t>A SZÖVEG ELLENŐRZÉSÉNEK DÁTUMA</w:t>
      </w:r>
    </w:p>
    <w:p w14:paraId="4D938004" w14:textId="77777777" w:rsidR="00184569" w:rsidRPr="00184569" w:rsidRDefault="00184569" w:rsidP="00184569">
      <w:pPr>
        <w:widowControl w:val="0"/>
        <w:autoSpaceDE w:val="0"/>
        <w:autoSpaceDN w:val="0"/>
        <w:spacing w:after="0" w:line="240" w:lineRule="auto"/>
        <w:rPr>
          <w:rFonts w:ascii="Times New Roman" w:eastAsia="Times New Roman" w:hAnsi="Times New Roman" w:cs="Times New Roman"/>
          <w:kern w:val="0"/>
          <w14:ligatures w14:val="none"/>
        </w:rPr>
      </w:pPr>
    </w:p>
    <w:p w14:paraId="2EA2F3AB" w14:textId="01297CAD" w:rsidR="00184569" w:rsidRPr="00184569" w:rsidRDefault="00974ABA" w:rsidP="00184569">
      <w:pPr>
        <w:widowControl w:val="0"/>
        <w:autoSpaceDE w:val="0"/>
        <w:autoSpaceDN w:val="0"/>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2026. május 14.</w:t>
      </w:r>
    </w:p>
    <w:p w14:paraId="3E29177B" w14:textId="77777777" w:rsidR="00145300" w:rsidRDefault="00145300"/>
    <w:sectPr w:rsidR="00145300" w:rsidSect="00184569">
      <w:headerReference w:type="default" r:id="rId10"/>
      <w:footerReference w:type="first" r:id="rId11"/>
      <w:pgSz w:w="11907" w:h="16840" w:code="9"/>
      <w:pgMar w:top="1134" w:right="1418" w:bottom="1134" w:left="1418" w:header="737" w:footer="737"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84C922B" w14:textId="77777777" w:rsidR="002C1B12" w:rsidRDefault="002C1B12">
      <w:pPr>
        <w:spacing w:after="0" w:line="240" w:lineRule="auto"/>
      </w:pPr>
      <w:r>
        <w:separator/>
      </w:r>
    </w:p>
  </w:endnote>
  <w:endnote w:type="continuationSeparator" w:id="0">
    <w:p w14:paraId="299E30DC" w14:textId="77777777" w:rsidR="002C1B12" w:rsidRDefault="002C1B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C87B6B" w14:textId="754DD270" w:rsidR="00367A00" w:rsidRDefault="000B1C43">
    <w:pPr>
      <w:pStyle w:val="llb"/>
      <w:rPr>
        <w:sz w:val="18"/>
        <w:szCs w:val="18"/>
      </w:rPr>
    </w:pPr>
    <w:r>
      <w:rPr>
        <w:sz w:val="18"/>
        <w:szCs w:val="18"/>
      </w:rPr>
      <w:t>OGYÉI/484</w:t>
    </w:r>
    <w:r w:rsidRPr="000B1C43">
      <w:rPr>
        <w:sz w:val="18"/>
        <w:szCs w:val="18"/>
      </w:rPr>
      <w:t>48/2023</w:t>
    </w:r>
  </w:p>
  <w:p w14:paraId="458F07E0" w14:textId="215A1E12" w:rsidR="00000C02" w:rsidRPr="00DF4A78" w:rsidRDefault="00000C02">
    <w:pPr>
      <w:pStyle w:val="llb"/>
      <w:rPr>
        <w:sz w:val="18"/>
        <w:szCs w:val="18"/>
      </w:rPr>
    </w:pPr>
    <w:r w:rsidRPr="00000C02">
      <w:rPr>
        <w:sz w:val="18"/>
        <w:szCs w:val="18"/>
      </w:rPr>
      <w:t>NNGYK/ETGY/8991/2026</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BE4EAC3" w14:textId="77777777" w:rsidR="002C1B12" w:rsidRDefault="002C1B12">
      <w:pPr>
        <w:spacing w:after="0" w:line="240" w:lineRule="auto"/>
      </w:pPr>
      <w:r>
        <w:separator/>
      </w:r>
    </w:p>
  </w:footnote>
  <w:footnote w:type="continuationSeparator" w:id="0">
    <w:p w14:paraId="44AA939E" w14:textId="77777777" w:rsidR="002C1B12" w:rsidRDefault="002C1B1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86665519"/>
      <w:docPartObj>
        <w:docPartGallery w:val="Page Numbers (Top of Page)"/>
        <w:docPartUnique/>
      </w:docPartObj>
    </w:sdtPr>
    <w:sdtEndPr>
      <w:rPr>
        <w:sz w:val="18"/>
        <w:szCs w:val="18"/>
      </w:rPr>
    </w:sdtEndPr>
    <w:sdtContent>
      <w:p w14:paraId="28BD2515" w14:textId="157F008A" w:rsidR="00367A00" w:rsidRPr="00DE4BA0" w:rsidRDefault="00A4736C">
        <w:pPr>
          <w:pStyle w:val="lfej"/>
          <w:jc w:val="center"/>
          <w:rPr>
            <w:sz w:val="18"/>
            <w:szCs w:val="18"/>
          </w:rPr>
        </w:pPr>
        <w:r w:rsidRPr="00DE4BA0">
          <w:rPr>
            <w:sz w:val="18"/>
            <w:szCs w:val="18"/>
          </w:rPr>
          <w:fldChar w:fldCharType="begin"/>
        </w:r>
        <w:r w:rsidRPr="00DE4BA0">
          <w:rPr>
            <w:sz w:val="18"/>
            <w:szCs w:val="18"/>
          </w:rPr>
          <w:instrText>PAGE   \* MERGEFORMAT</w:instrText>
        </w:r>
        <w:r w:rsidRPr="00DE4BA0">
          <w:rPr>
            <w:sz w:val="18"/>
            <w:szCs w:val="18"/>
          </w:rPr>
          <w:fldChar w:fldCharType="separate"/>
        </w:r>
        <w:r w:rsidR="00974ABA" w:rsidRPr="00974ABA">
          <w:rPr>
            <w:noProof/>
            <w:sz w:val="18"/>
            <w:szCs w:val="18"/>
            <w:lang w:val="hu-HU"/>
          </w:rPr>
          <w:t>33</w:t>
        </w:r>
        <w:r w:rsidRPr="00DE4BA0">
          <w:rPr>
            <w:sz w:val="18"/>
            <w:szCs w:val="18"/>
          </w:rPr>
          <w:fldChar w:fldCharType="end"/>
        </w:r>
      </w:p>
    </w:sdtContent>
  </w:sdt>
  <w:p w14:paraId="7B4450C5" w14:textId="77777777" w:rsidR="00367A00" w:rsidRDefault="00367A00">
    <w:pPr>
      <w:pStyle w:val="lfej"/>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E269A2"/>
    <w:multiLevelType w:val="hybridMultilevel"/>
    <w:tmpl w:val="CA8C1ABA"/>
    <w:lvl w:ilvl="0" w:tplc="79D41C60">
      <w:start w:val="1"/>
      <w:numFmt w:val="bullet"/>
      <w:lvlText w:val=""/>
      <w:lvlJc w:val="left"/>
      <w:pPr>
        <w:ind w:left="802" w:hanging="562"/>
      </w:pPr>
      <w:rPr>
        <w:rFonts w:ascii="Symbol" w:hAnsi="Symbol" w:hint="default"/>
        <w:w w:val="100"/>
      </w:rPr>
    </w:lvl>
    <w:lvl w:ilvl="1" w:tplc="FFFFFFFF">
      <w:numFmt w:val="bullet"/>
      <w:lvlText w:val="-"/>
      <w:lvlJc w:val="left"/>
      <w:pPr>
        <w:ind w:left="1229" w:hanging="360"/>
      </w:pPr>
      <w:rPr>
        <w:rFonts w:ascii="Times New Roman" w:eastAsia="Times New Roman" w:hAnsi="Times New Roman" w:cs="Times New Roman" w:hint="default"/>
        <w:w w:val="100"/>
      </w:rPr>
    </w:lvl>
    <w:lvl w:ilvl="2" w:tplc="FFFFFFFF">
      <w:numFmt w:val="bullet"/>
      <w:lvlText w:val="•"/>
      <w:lvlJc w:val="left"/>
      <w:pPr>
        <w:ind w:left="1360" w:hanging="360"/>
      </w:pPr>
      <w:rPr>
        <w:rFonts w:hint="default"/>
      </w:rPr>
    </w:lvl>
    <w:lvl w:ilvl="3" w:tplc="FFFFFFFF">
      <w:numFmt w:val="bullet"/>
      <w:lvlText w:val="•"/>
      <w:lvlJc w:val="left"/>
      <w:pPr>
        <w:ind w:left="2418" w:hanging="360"/>
      </w:pPr>
      <w:rPr>
        <w:rFonts w:hint="default"/>
      </w:rPr>
    </w:lvl>
    <w:lvl w:ilvl="4" w:tplc="FFFFFFFF">
      <w:numFmt w:val="bullet"/>
      <w:lvlText w:val="•"/>
      <w:lvlJc w:val="left"/>
      <w:pPr>
        <w:ind w:left="3476" w:hanging="360"/>
      </w:pPr>
      <w:rPr>
        <w:rFonts w:hint="default"/>
      </w:rPr>
    </w:lvl>
    <w:lvl w:ilvl="5" w:tplc="FFFFFFFF">
      <w:numFmt w:val="bullet"/>
      <w:lvlText w:val="•"/>
      <w:lvlJc w:val="left"/>
      <w:pPr>
        <w:ind w:left="4534" w:hanging="360"/>
      </w:pPr>
      <w:rPr>
        <w:rFonts w:hint="default"/>
      </w:rPr>
    </w:lvl>
    <w:lvl w:ilvl="6" w:tplc="FFFFFFFF">
      <w:numFmt w:val="bullet"/>
      <w:lvlText w:val="•"/>
      <w:lvlJc w:val="left"/>
      <w:pPr>
        <w:ind w:left="5592" w:hanging="360"/>
      </w:pPr>
      <w:rPr>
        <w:rFonts w:hint="default"/>
      </w:rPr>
    </w:lvl>
    <w:lvl w:ilvl="7" w:tplc="FFFFFFFF">
      <w:numFmt w:val="bullet"/>
      <w:lvlText w:val="•"/>
      <w:lvlJc w:val="left"/>
      <w:pPr>
        <w:ind w:left="6650" w:hanging="360"/>
      </w:pPr>
      <w:rPr>
        <w:rFonts w:hint="default"/>
      </w:rPr>
    </w:lvl>
    <w:lvl w:ilvl="8" w:tplc="FFFFFFFF">
      <w:numFmt w:val="bullet"/>
      <w:lvlText w:val="•"/>
      <w:lvlJc w:val="left"/>
      <w:pPr>
        <w:ind w:left="7709" w:hanging="360"/>
      </w:pPr>
      <w:rPr>
        <w:rFonts w:hint="default"/>
      </w:rPr>
    </w:lvl>
  </w:abstractNum>
  <w:abstractNum w:abstractNumId="1" w15:restartNumberingAfterBreak="0">
    <w:nsid w:val="0FA1404D"/>
    <w:multiLevelType w:val="multilevel"/>
    <w:tmpl w:val="2490161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20F03CF8"/>
    <w:multiLevelType w:val="multilevel"/>
    <w:tmpl w:val="87CAE926"/>
    <w:lvl w:ilvl="0">
      <w:start w:val="6"/>
      <w:numFmt w:val="decimal"/>
      <w:lvlText w:val="%1."/>
      <w:lvlJc w:val="left"/>
      <w:pPr>
        <w:ind w:left="802" w:hanging="567"/>
      </w:pPr>
      <w:rPr>
        <w:rFonts w:ascii="Times New Roman" w:eastAsia="Times New Roman" w:hAnsi="Times New Roman" w:cs="Times New Roman" w:hint="default"/>
        <w:b/>
        <w:bCs/>
        <w:i w:val="0"/>
        <w:iCs w:val="0"/>
        <w:w w:val="100"/>
        <w:sz w:val="22"/>
        <w:szCs w:val="22"/>
      </w:rPr>
    </w:lvl>
    <w:lvl w:ilvl="1">
      <w:start w:val="1"/>
      <w:numFmt w:val="decimal"/>
      <w:lvlText w:val="%1.%2"/>
      <w:lvlJc w:val="left"/>
      <w:pPr>
        <w:ind w:left="802" w:hanging="567"/>
      </w:pPr>
      <w:rPr>
        <w:rFonts w:ascii="Times New Roman" w:eastAsia="Times New Roman" w:hAnsi="Times New Roman" w:cs="Times New Roman" w:hint="default"/>
        <w:b/>
        <w:bCs/>
        <w:i w:val="0"/>
        <w:iCs w:val="0"/>
        <w:w w:val="100"/>
        <w:sz w:val="22"/>
        <w:szCs w:val="22"/>
      </w:rPr>
    </w:lvl>
    <w:lvl w:ilvl="2">
      <w:numFmt w:val="bullet"/>
      <w:lvlText w:val="•"/>
      <w:lvlJc w:val="left"/>
      <w:pPr>
        <w:ind w:left="2605" w:hanging="567"/>
      </w:pPr>
      <w:rPr>
        <w:rFonts w:hint="default"/>
      </w:rPr>
    </w:lvl>
    <w:lvl w:ilvl="3">
      <w:numFmt w:val="bullet"/>
      <w:lvlText w:val="•"/>
      <w:lvlJc w:val="left"/>
      <w:pPr>
        <w:ind w:left="3507" w:hanging="567"/>
      </w:pPr>
      <w:rPr>
        <w:rFonts w:hint="default"/>
      </w:rPr>
    </w:lvl>
    <w:lvl w:ilvl="4">
      <w:numFmt w:val="bullet"/>
      <w:lvlText w:val="•"/>
      <w:lvlJc w:val="left"/>
      <w:pPr>
        <w:ind w:left="4410" w:hanging="567"/>
      </w:pPr>
      <w:rPr>
        <w:rFonts w:hint="default"/>
      </w:rPr>
    </w:lvl>
    <w:lvl w:ilvl="5">
      <w:numFmt w:val="bullet"/>
      <w:lvlText w:val="•"/>
      <w:lvlJc w:val="left"/>
      <w:pPr>
        <w:ind w:left="5312" w:hanging="567"/>
      </w:pPr>
      <w:rPr>
        <w:rFonts w:hint="default"/>
      </w:rPr>
    </w:lvl>
    <w:lvl w:ilvl="6">
      <w:numFmt w:val="bullet"/>
      <w:lvlText w:val="•"/>
      <w:lvlJc w:val="left"/>
      <w:pPr>
        <w:ind w:left="6215" w:hanging="567"/>
      </w:pPr>
      <w:rPr>
        <w:rFonts w:hint="default"/>
      </w:rPr>
    </w:lvl>
    <w:lvl w:ilvl="7">
      <w:numFmt w:val="bullet"/>
      <w:lvlText w:val="•"/>
      <w:lvlJc w:val="left"/>
      <w:pPr>
        <w:ind w:left="7117" w:hanging="567"/>
      </w:pPr>
      <w:rPr>
        <w:rFonts w:hint="default"/>
      </w:rPr>
    </w:lvl>
    <w:lvl w:ilvl="8">
      <w:numFmt w:val="bullet"/>
      <w:lvlText w:val="•"/>
      <w:lvlJc w:val="left"/>
      <w:pPr>
        <w:ind w:left="8020" w:hanging="567"/>
      </w:pPr>
      <w:rPr>
        <w:rFonts w:hint="default"/>
      </w:rPr>
    </w:lvl>
  </w:abstractNum>
  <w:abstractNum w:abstractNumId="3" w15:restartNumberingAfterBreak="0">
    <w:nsid w:val="2C6A1E62"/>
    <w:multiLevelType w:val="multilevel"/>
    <w:tmpl w:val="8A1AAFA2"/>
    <w:lvl w:ilvl="0">
      <w:start w:val="4"/>
      <w:numFmt w:val="decimal"/>
      <w:lvlText w:val="%1"/>
      <w:lvlJc w:val="left"/>
      <w:pPr>
        <w:ind w:left="360" w:hanging="360"/>
      </w:pPr>
      <w:rPr>
        <w:rFonts w:hint="default"/>
      </w:rPr>
    </w:lvl>
    <w:lvl w:ilvl="1">
      <w:start w:val="9"/>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4" w15:restartNumberingAfterBreak="0">
    <w:nsid w:val="45FA4483"/>
    <w:multiLevelType w:val="multilevel"/>
    <w:tmpl w:val="A3A0D746"/>
    <w:lvl w:ilvl="0">
      <w:start w:val="1"/>
      <w:numFmt w:val="decimal"/>
      <w:lvlText w:val="%1."/>
      <w:lvlJc w:val="left"/>
      <w:pPr>
        <w:ind w:left="797" w:hanging="562"/>
      </w:pPr>
      <w:rPr>
        <w:rFonts w:ascii="Times New Roman" w:eastAsia="Times New Roman" w:hAnsi="Times New Roman" w:cs="Times New Roman" w:hint="default"/>
        <w:b/>
        <w:bCs/>
        <w:i w:val="0"/>
        <w:iCs w:val="0"/>
        <w:w w:val="100"/>
        <w:sz w:val="22"/>
        <w:szCs w:val="22"/>
      </w:rPr>
    </w:lvl>
    <w:lvl w:ilvl="1">
      <w:start w:val="1"/>
      <w:numFmt w:val="decimal"/>
      <w:lvlText w:val="%1.%2"/>
      <w:lvlJc w:val="left"/>
      <w:pPr>
        <w:ind w:left="802" w:hanging="567"/>
      </w:pPr>
      <w:rPr>
        <w:rFonts w:ascii="Times New Roman" w:eastAsia="Times New Roman" w:hAnsi="Times New Roman" w:cs="Times New Roman" w:hint="default"/>
        <w:b/>
        <w:bCs/>
        <w:i w:val="0"/>
        <w:iCs w:val="0"/>
        <w:w w:val="100"/>
        <w:sz w:val="22"/>
        <w:szCs w:val="22"/>
      </w:rPr>
    </w:lvl>
    <w:lvl w:ilvl="2">
      <w:numFmt w:val="bullet"/>
      <w:lvlText w:val="•"/>
      <w:lvlJc w:val="left"/>
      <w:pPr>
        <w:ind w:left="2605" w:hanging="567"/>
      </w:pPr>
      <w:rPr>
        <w:rFonts w:hint="default"/>
      </w:rPr>
    </w:lvl>
    <w:lvl w:ilvl="3">
      <w:numFmt w:val="bullet"/>
      <w:lvlText w:val="•"/>
      <w:lvlJc w:val="left"/>
      <w:pPr>
        <w:ind w:left="3507" w:hanging="567"/>
      </w:pPr>
      <w:rPr>
        <w:rFonts w:hint="default"/>
      </w:rPr>
    </w:lvl>
    <w:lvl w:ilvl="4">
      <w:numFmt w:val="bullet"/>
      <w:lvlText w:val="•"/>
      <w:lvlJc w:val="left"/>
      <w:pPr>
        <w:ind w:left="4410" w:hanging="567"/>
      </w:pPr>
      <w:rPr>
        <w:rFonts w:hint="default"/>
      </w:rPr>
    </w:lvl>
    <w:lvl w:ilvl="5">
      <w:numFmt w:val="bullet"/>
      <w:lvlText w:val="•"/>
      <w:lvlJc w:val="left"/>
      <w:pPr>
        <w:ind w:left="5312" w:hanging="567"/>
      </w:pPr>
      <w:rPr>
        <w:rFonts w:hint="default"/>
      </w:rPr>
    </w:lvl>
    <w:lvl w:ilvl="6">
      <w:numFmt w:val="bullet"/>
      <w:lvlText w:val="•"/>
      <w:lvlJc w:val="left"/>
      <w:pPr>
        <w:ind w:left="6215" w:hanging="567"/>
      </w:pPr>
      <w:rPr>
        <w:rFonts w:hint="default"/>
      </w:rPr>
    </w:lvl>
    <w:lvl w:ilvl="7">
      <w:numFmt w:val="bullet"/>
      <w:lvlText w:val="•"/>
      <w:lvlJc w:val="left"/>
      <w:pPr>
        <w:ind w:left="7117" w:hanging="567"/>
      </w:pPr>
      <w:rPr>
        <w:rFonts w:hint="default"/>
      </w:rPr>
    </w:lvl>
    <w:lvl w:ilvl="8">
      <w:numFmt w:val="bullet"/>
      <w:lvlText w:val="•"/>
      <w:lvlJc w:val="left"/>
      <w:pPr>
        <w:ind w:left="8020" w:hanging="567"/>
      </w:pPr>
      <w:rPr>
        <w:rFonts w:hint="default"/>
      </w:rPr>
    </w:lvl>
  </w:abstractNum>
  <w:abstractNum w:abstractNumId="5" w15:restartNumberingAfterBreak="0">
    <w:nsid w:val="47B94AC8"/>
    <w:multiLevelType w:val="multilevel"/>
    <w:tmpl w:val="4CC47822"/>
    <w:lvl w:ilvl="0">
      <w:start w:val="5"/>
      <w:numFmt w:val="decimal"/>
      <w:lvlText w:val="%1."/>
      <w:lvlJc w:val="left"/>
      <w:pPr>
        <w:ind w:left="802" w:hanging="567"/>
      </w:pPr>
      <w:rPr>
        <w:rFonts w:ascii="Times New Roman" w:eastAsia="Times New Roman" w:hAnsi="Times New Roman" w:cs="Times New Roman" w:hint="default"/>
        <w:b/>
        <w:bCs/>
        <w:i w:val="0"/>
        <w:iCs w:val="0"/>
        <w:w w:val="100"/>
        <w:sz w:val="22"/>
        <w:szCs w:val="22"/>
      </w:rPr>
    </w:lvl>
    <w:lvl w:ilvl="1">
      <w:start w:val="1"/>
      <w:numFmt w:val="decimal"/>
      <w:lvlText w:val="%1.%2"/>
      <w:lvlJc w:val="left"/>
      <w:pPr>
        <w:ind w:left="802" w:hanging="567"/>
      </w:pPr>
      <w:rPr>
        <w:rFonts w:ascii="Times New Roman" w:eastAsia="Times New Roman" w:hAnsi="Times New Roman" w:cs="Times New Roman" w:hint="default"/>
        <w:b/>
        <w:bCs/>
        <w:i w:val="0"/>
        <w:iCs w:val="0"/>
        <w:w w:val="100"/>
        <w:sz w:val="22"/>
        <w:szCs w:val="22"/>
      </w:rPr>
    </w:lvl>
    <w:lvl w:ilvl="2">
      <w:numFmt w:val="bullet"/>
      <w:lvlText w:val="•"/>
      <w:lvlJc w:val="left"/>
      <w:pPr>
        <w:ind w:left="2605" w:hanging="567"/>
      </w:pPr>
      <w:rPr>
        <w:rFonts w:hint="default"/>
      </w:rPr>
    </w:lvl>
    <w:lvl w:ilvl="3">
      <w:numFmt w:val="bullet"/>
      <w:lvlText w:val="•"/>
      <w:lvlJc w:val="left"/>
      <w:pPr>
        <w:ind w:left="3507" w:hanging="567"/>
      </w:pPr>
      <w:rPr>
        <w:rFonts w:hint="default"/>
      </w:rPr>
    </w:lvl>
    <w:lvl w:ilvl="4">
      <w:numFmt w:val="bullet"/>
      <w:lvlText w:val="•"/>
      <w:lvlJc w:val="left"/>
      <w:pPr>
        <w:ind w:left="4410" w:hanging="567"/>
      </w:pPr>
      <w:rPr>
        <w:rFonts w:hint="default"/>
      </w:rPr>
    </w:lvl>
    <w:lvl w:ilvl="5">
      <w:numFmt w:val="bullet"/>
      <w:lvlText w:val="•"/>
      <w:lvlJc w:val="left"/>
      <w:pPr>
        <w:ind w:left="5312" w:hanging="567"/>
      </w:pPr>
      <w:rPr>
        <w:rFonts w:hint="default"/>
      </w:rPr>
    </w:lvl>
    <w:lvl w:ilvl="6">
      <w:numFmt w:val="bullet"/>
      <w:lvlText w:val="•"/>
      <w:lvlJc w:val="left"/>
      <w:pPr>
        <w:ind w:left="6215" w:hanging="567"/>
      </w:pPr>
      <w:rPr>
        <w:rFonts w:hint="default"/>
      </w:rPr>
    </w:lvl>
    <w:lvl w:ilvl="7">
      <w:numFmt w:val="bullet"/>
      <w:lvlText w:val="•"/>
      <w:lvlJc w:val="left"/>
      <w:pPr>
        <w:ind w:left="7117" w:hanging="567"/>
      </w:pPr>
      <w:rPr>
        <w:rFonts w:hint="default"/>
      </w:rPr>
    </w:lvl>
    <w:lvl w:ilvl="8">
      <w:numFmt w:val="bullet"/>
      <w:lvlText w:val="•"/>
      <w:lvlJc w:val="left"/>
      <w:pPr>
        <w:ind w:left="8020" w:hanging="567"/>
      </w:pPr>
      <w:rPr>
        <w:rFonts w:hint="default"/>
      </w:rPr>
    </w:lvl>
  </w:abstractNum>
  <w:abstractNum w:abstractNumId="6" w15:restartNumberingAfterBreak="0">
    <w:nsid w:val="4A683710"/>
    <w:multiLevelType w:val="hybridMultilevel"/>
    <w:tmpl w:val="64F6A4C2"/>
    <w:lvl w:ilvl="0" w:tplc="3BE66C14">
      <w:numFmt w:val="bullet"/>
      <w:lvlText w:val="*"/>
      <w:lvlJc w:val="left"/>
      <w:pPr>
        <w:ind w:left="236" w:hanging="135"/>
      </w:pPr>
      <w:rPr>
        <w:rFonts w:ascii="Times New Roman" w:eastAsia="Times New Roman" w:hAnsi="Times New Roman" w:cs="Times New Roman" w:hint="default"/>
        <w:w w:val="100"/>
      </w:rPr>
    </w:lvl>
    <w:lvl w:ilvl="1" w:tplc="9E0A5FF8">
      <w:numFmt w:val="bullet"/>
      <w:lvlText w:val="•"/>
      <w:lvlJc w:val="left"/>
      <w:pPr>
        <w:ind w:left="1198" w:hanging="135"/>
      </w:pPr>
      <w:rPr>
        <w:rFonts w:hint="default"/>
      </w:rPr>
    </w:lvl>
    <w:lvl w:ilvl="2" w:tplc="4024359E">
      <w:numFmt w:val="bullet"/>
      <w:lvlText w:val="•"/>
      <w:lvlJc w:val="left"/>
      <w:pPr>
        <w:ind w:left="2157" w:hanging="135"/>
      </w:pPr>
      <w:rPr>
        <w:rFonts w:hint="default"/>
      </w:rPr>
    </w:lvl>
    <w:lvl w:ilvl="3" w:tplc="4DB466F2">
      <w:numFmt w:val="bullet"/>
      <w:lvlText w:val="•"/>
      <w:lvlJc w:val="left"/>
      <w:pPr>
        <w:ind w:left="3115" w:hanging="135"/>
      </w:pPr>
      <w:rPr>
        <w:rFonts w:hint="default"/>
      </w:rPr>
    </w:lvl>
    <w:lvl w:ilvl="4" w:tplc="E2D0C598">
      <w:numFmt w:val="bullet"/>
      <w:lvlText w:val="•"/>
      <w:lvlJc w:val="left"/>
      <w:pPr>
        <w:ind w:left="4074" w:hanging="135"/>
      </w:pPr>
      <w:rPr>
        <w:rFonts w:hint="default"/>
      </w:rPr>
    </w:lvl>
    <w:lvl w:ilvl="5" w:tplc="DF6A8A78">
      <w:numFmt w:val="bullet"/>
      <w:lvlText w:val="•"/>
      <w:lvlJc w:val="left"/>
      <w:pPr>
        <w:ind w:left="5032" w:hanging="135"/>
      </w:pPr>
      <w:rPr>
        <w:rFonts w:hint="default"/>
      </w:rPr>
    </w:lvl>
    <w:lvl w:ilvl="6" w:tplc="C9A6651E">
      <w:numFmt w:val="bullet"/>
      <w:lvlText w:val="•"/>
      <w:lvlJc w:val="left"/>
      <w:pPr>
        <w:ind w:left="5991" w:hanging="135"/>
      </w:pPr>
      <w:rPr>
        <w:rFonts w:hint="default"/>
      </w:rPr>
    </w:lvl>
    <w:lvl w:ilvl="7" w:tplc="A94E94EC">
      <w:numFmt w:val="bullet"/>
      <w:lvlText w:val="•"/>
      <w:lvlJc w:val="left"/>
      <w:pPr>
        <w:ind w:left="6949" w:hanging="135"/>
      </w:pPr>
      <w:rPr>
        <w:rFonts w:hint="default"/>
      </w:rPr>
    </w:lvl>
    <w:lvl w:ilvl="8" w:tplc="B8809116">
      <w:numFmt w:val="bullet"/>
      <w:lvlText w:val="•"/>
      <w:lvlJc w:val="left"/>
      <w:pPr>
        <w:ind w:left="7908" w:hanging="135"/>
      </w:pPr>
      <w:rPr>
        <w:rFonts w:hint="default"/>
      </w:rPr>
    </w:lvl>
  </w:abstractNum>
  <w:abstractNum w:abstractNumId="7" w15:restartNumberingAfterBreak="0">
    <w:nsid w:val="500475BF"/>
    <w:multiLevelType w:val="hybridMultilevel"/>
    <w:tmpl w:val="F6247DBC"/>
    <w:lvl w:ilvl="0" w:tplc="24F67E9A">
      <w:numFmt w:val="bullet"/>
      <w:lvlText w:val=""/>
      <w:lvlJc w:val="left"/>
      <w:pPr>
        <w:ind w:left="802" w:hanging="562"/>
      </w:pPr>
      <w:rPr>
        <w:rFonts w:ascii="Symbol" w:eastAsia="Symbol" w:hAnsi="Symbol" w:cs="Symbol" w:hint="default"/>
        <w:w w:val="100"/>
      </w:rPr>
    </w:lvl>
    <w:lvl w:ilvl="1" w:tplc="50AC46C2">
      <w:numFmt w:val="bullet"/>
      <w:lvlText w:val="-"/>
      <w:lvlJc w:val="left"/>
      <w:pPr>
        <w:ind w:left="1229" w:hanging="360"/>
      </w:pPr>
      <w:rPr>
        <w:rFonts w:ascii="Times New Roman" w:eastAsia="Times New Roman" w:hAnsi="Times New Roman" w:cs="Times New Roman" w:hint="default"/>
        <w:w w:val="100"/>
      </w:rPr>
    </w:lvl>
    <w:lvl w:ilvl="2" w:tplc="E6363456">
      <w:numFmt w:val="bullet"/>
      <w:lvlText w:val="•"/>
      <w:lvlJc w:val="left"/>
      <w:pPr>
        <w:ind w:left="1360" w:hanging="360"/>
      </w:pPr>
      <w:rPr>
        <w:rFonts w:hint="default"/>
      </w:rPr>
    </w:lvl>
    <w:lvl w:ilvl="3" w:tplc="3508D1F4">
      <w:numFmt w:val="bullet"/>
      <w:lvlText w:val="•"/>
      <w:lvlJc w:val="left"/>
      <w:pPr>
        <w:ind w:left="2418" w:hanging="360"/>
      </w:pPr>
      <w:rPr>
        <w:rFonts w:hint="default"/>
      </w:rPr>
    </w:lvl>
    <w:lvl w:ilvl="4" w:tplc="3F5402C2">
      <w:numFmt w:val="bullet"/>
      <w:lvlText w:val="•"/>
      <w:lvlJc w:val="left"/>
      <w:pPr>
        <w:ind w:left="3476" w:hanging="360"/>
      </w:pPr>
      <w:rPr>
        <w:rFonts w:hint="default"/>
      </w:rPr>
    </w:lvl>
    <w:lvl w:ilvl="5" w:tplc="0CE05A40">
      <w:numFmt w:val="bullet"/>
      <w:lvlText w:val="•"/>
      <w:lvlJc w:val="left"/>
      <w:pPr>
        <w:ind w:left="4534" w:hanging="360"/>
      </w:pPr>
      <w:rPr>
        <w:rFonts w:hint="default"/>
      </w:rPr>
    </w:lvl>
    <w:lvl w:ilvl="6" w:tplc="CD827C84">
      <w:numFmt w:val="bullet"/>
      <w:lvlText w:val="•"/>
      <w:lvlJc w:val="left"/>
      <w:pPr>
        <w:ind w:left="5592" w:hanging="360"/>
      </w:pPr>
      <w:rPr>
        <w:rFonts w:hint="default"/>
      </w:rPr>
    </w:lvl>
    <w:lvl w:ilvl="7" w:tplc="6CFC63FC">
      <w:numFmt w:val="bullet"/>
      <w:lvlText w:val="•"/>
      <w:lvlJc w:val="left"/>
      <w:pPr>
        <w:ind w:left="6650" w:hanging="360"/>
      </w:pPr>
      <w:rPr>
        <w:rFonts w:hint="default"/>
      </w:rPr>
    </w:lvl>
    <w:lvl w:ilvl="8" w:tplc="10A01494">
      <w:numFmt w:val="bullet"/>
      <w:lvlText w:val="•"/>
      <w:lvlJc w:val="left"/>
      <w:pPr>
        <w:ind w:left="7709" w:hanging="360"/>
      </w:pPr>
      <w:rPr>
        <w:rFonts w:hint="default"/>
      </w:rPr>
    </w:lvl>
  </w:abstractNum>
  <w:abstractNum w:abstractNumId="8" w15:restartNumberingAfterBreak="0">
    <w:nsid w:val="684E4C19"/>
    <w:multiLevelType w:val="multilevel"/>
    <w:tmpl w:val="5F0E022C"/>
    <w:lvl w:ilvl="0">
      <w:start w:val="4"/>
      <w:numFmt w:val="decimal"/>
      <w:lvlText w:val="%1"/>
      <w:lvlJc w:val="left"/>
      <w:pPr>
        <w:ind w:left="802" w:hanging="567"/>
      </w:pPr>
      <w:rPr>
        <w:rFonts w:hint="default"/>
      </w:rPr>
    </w:lvl>
    <w:lvl w:ilvl="1">
      <w:start w:val="3"/>
      <w:numFmt w:val="decimal"/>
      <w:lvlText w:val="%1.%2"/>
      <w:lvlJc w:val="left"/>
      <w:pPr>
        <w:ind w:left="802" w:hanging="567"/>
      </w:pPr>
      <w:rPr>
        <w:rFonts w:ascii="Times New Roman" w:eastAsia="Times New Roman" w:hAnsi="Times New Roman" w:cs="Times New Roman" w:hint="default"/>
        <w:b/>
        <w:bCs/>
        <w:i w:val="0"/>
        <w:iCs w:val="0"/>
        <w:w w:val="100"/>
        <w:sz w:val="22"/>
        <w:szCs w:val="22"/>
      </w:rPr>
    </w:lvl>
    <w:lvl w:ilvl="2">
      <w:numFmt w:val="bullet"/>
      <w:lvlText w:val="•"/>
      <w:lvlJc w:val="left"/>
      <w:pPr>
        <w:ind w:left="2605" w:hanging="567"/>
      </w:pPr>
      <w:rPr>
        <w:rFonts w:hint="default"/>
      </w:rPr>
    </w:lvl>
    <w:lvl w:ilvl="3">
      <w:numFmt w:val="bullet"/>
      <w:lvlText w:val="•"/>
      <w:lvlJc w:val="left"/>
      <w:pPr>
        <w:ind w:left="3507" w:hanging="567"/>
      </w:pPr>
      <w:rPr>
        <w:rFonts w:hint="default"/>
      </w:rPr>
    </w:lvl>
    <w:lvl w:ilvl="4">
      <w:numFmt w:val="bullet"/>
      <w:lvlText w:val="•"/>
      <w:lvlJc w:val="left"/>
      <w:pPr>
        <w:ind w:left="4410" w:hanging="567"/>
      </w:pPr>
      <w:rPr>
        <w:rFonts w:hint="default"/>
      </w:rPr>
    </w:lvl>
    <w:lvl w:ilvl="5">
      <w:numFmt w:val="bullet"/>
      <w:lvlText w:val="•"/>
      <w:lvlJc w:val="left"/>
      <w:pPr>
        <w:ind w:left="5312" w:hanging="567"/>
      </w:pPr>
      <w:rPr>
        <w:rFonts w:hint="default"/>
      </w:rPr>
    </w:lvl>
    <w:lvl w:ilvl="6">
      <w:numFmt w:val="bullet"/>
      <w:lvlText w:val="•"/>
      <w:lvlJc w:val="left"/>
      <w:pPr>
        <w:ind w:left="6215" w:hanging="567"/>
      </w:pPr>
      <w:rPr>
        <w:rFonts w:hint="default"/>
      </w:rPr>
    </w:lvl>
    <w:lvl w:ilvl="7">
      <w:numFmt w:val="bullet"/>
      <w:lvlText w:val="•"/>
      <w:lvlJc w:val="left"/>
      <w:pPr>
        <w:ind w:left="7117" w:hanging="567"/>
      </w:pPr>
      <w:rPr>
        <w:rFonts w:hint="default"/>
      </w:rPr>
    </w:lvl>
    <w:lvl w:ilvl="8">
      <w:numFmt w:val="bullet"/>
      <w:lvlText w:val="•"/>
      <w:lvlJc w:val="left"/>
      <w:pPr>
        <w:ind w:left="8020" w:hanging="567"/>
      </w:pPr>
      <w:rPr>
        <w:rFonts w:hint="default"/>
      </w:rPr>
    </w:lvl>
  </w:abstractNum>
  <w:abstractNum w:abstractNumId="9" w15:restartNumberingAfterBreak="0">
    <w:nsid w:val="7AF73B60"/>
    <w:multiLevelType w:val="hybridMultilevel"/>
    <w:tmpl w:val="2E06147E"/>
    <w:lvl w:ilvl="0" w:tplc="823812F6">
      <w:numFmt w:val="bullet"/>
      <w:lvlText w:val="-"/>
      <w:lvlJc w:val="left"/>
      <w:pPr>
        <w:ind w:left="236" w:hanging="562"/>
      </w:pPr>
      <w:rPr>
        <w:rFonts w:ascii="Times New Roman" w:eastAsia="Times New Roman" w:hAnsi="Times New Roman" w:cs="Times New Roman" w:hint="default"/>
        <w:b w:val="0"/>
        <w:bCs w:val="0"/>
        <w:i w:val="0"/>
        <w:iCs w:val="0"/>
        <w:w w:val="100"/>
        <w:sz w:val="22"/>
        <w:szCs w:val="22"/>
      </w:rPr>
    </w:lvl>
    <w:lvl w:ilvl="1" w:tplc="EBD4AB7A">
      <w:numFmt w:val="bullet"/>
      <w:lvlText w:val="•"/>
      <w:lvlJc w:val="left"/>
      <w:pPr>
        <w:ind w:left="1198" w:hanging="562"/>
      </w:pPr>
      <w:rPr>
        <w:rFonts w:hint="default"/>
      </w:rPr>
    </w:lvl>
    <w:lvl w:ilvl="2" w:tplc="DAC2CE68">
      <w:numFmt w:val="bullet"/>
      <w:lvlText w:val="•"/>
      <w:lvlJc w:val="left"/>
      <w:pPr>
        <w:ind w:left="2157" w:hanging="562"/>
      </w:pPr>
      <w:rPr>
        <w:rFonts w:hint="default"/>
      </w:rPr>
    </w:lvl>
    <w:lvl w:ilvl="3" w:tplc="103050A6">
      <w:numFmt w:val="bullet"/>
      <w:lvlText w:val="•"/>
      <w:lvlJc w:val="left"/>
      <w:pPr>
        <w:ind w:left="3115" w:hanging="562"/>
      </w:pPr>
      <w:rPr>
        <w:rFonts w:hint="default"/>
      </w:rPr>
    </w:lvl>
    <w:lvl w:ilvl="4" w:tplc="5DA610FA">
      <w:numFmt w:val="bullet"/>
      <w:lvlText w:val="•"/>
      <w:lvlJc w:val="left"/>
      <w:pPr>
        <w:ind w:left="4074" w:hanging="562"/>
      </w:pPr>
      <w:rPr>
        <w:rFonts w:hint="default"/>
      </w:rPr>
    </w:lvl>
    <w:lvl w:ilvl="5" w:tplc="B54A7024">
      <w:numFmt w:val="bullet"/>
      <w:lvlText w:val="•"/>
      <w:lvlJc w:val="left"/>
      <w:pPr>
        <w:ind w:left="5032" w:hanging="562"/>
      </w:pPr>
      <w:rPr>
        <w:rFonts w:hint="default"/>
      </w:rPr>
    </w:lvl>
    <w:lvl w:ilvl="6" w:tplc="8C46D224">
      <w:numFmt w:val="bullet"/>
      <w:lvlText w:val="•"/>
      <w:lvlJc w:val="left"/>
      <w:pPr>
        <w:ind w:left="5991" w:hanging="562"/>
      </w:pPr>
      <w:rPr>
        <w:rFonts w:hint="default"/>
      </w:rPr>
    </w:lvl>
    <w:lvl w:ilvl="7" w:tplc="4E629E4A">
      <w:numFmt w:val="bullet"/>
      <w:lvlText w:val="•"/>
      <w:lvlJc w:val="left"/>
      <w:pPr>
        <w:ind w:left="6949" w:hanging="562"/>
      </w:pPr>
      <w:rPr>
        <w:rFonts w:hint="default"/>
      </w:rPr>
    </w:lvl>
    <w:lvl w:ilvl="8" w:tplc="0A9A338A">
      <w:numFmt w:val="bullet"/>
      <w:lvlText w:val="•"/>
      <w:lvlJc w:val="left"/>
      <w:pPr>
        <w:ind w:left="7908" w:hanging="562"/>
      </w:pPr>
      <w:rPr>
        <w:rFonts w:hint="default"/>
      </w:rPr>
    </w:lvl>
  </w:abstractNum>
  <w:num w:numId="1">
    <w:abstractNumId w:val="2"/>
  </w:num>
  <w:num w:numId="2">
    <w:abstractNumId w:val="5"/>
  </w:num>
  <w:num w:numId="3">
    <w:abstractNumId w:val="6"/>
  </w:num>
  <w:num w:numId="4">
    <w:abstractNumId w:val="7"/>
  </w:num>
  <w:num w:numId="5">
    <w:abstractNumId w:val="8"/>
  </w:num>
  <w:num w:numId="6">
    <w:abstractNumId w:val="9"/>
  </w:num>
  <w:num w:numId="7">
    <w:abstractNumId w:val="4"/>
  </w:num>
  <w:num w:numId="8">
    <w:abstractNumId w:val="3"/>
  </w:num>
  <w:num w:numId="9">
    <w:abstractNumId w:val="0"/>
  </w:num>
  <w:num w:numId="10">
    <w:abstractNumId w:val="1"/>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08"/>
  <w:hyphenationZone w:val="425"/>
  <w:drawingGridHorizontalSpacing w:val="10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4569"/>
    <w:rsid w:val="00000C02"/>
    <w:rsid w:val="00051E29"/>
    <w:rsid w:val="000B1C43"/>
    <w:rsid w:val="000C7391"/>
    <w:rsid w:val="00145300"/>
    <w:rsid w:val="00171871"/>
    <w:rsid w:val="00182842"/>
    <w:rsid w:val="00184569"/>
    <w:rsid w:val="002244FE"/>
    <w:rsid w:val="00256696"/>
    <w:rsid w:val="002C1B12"/>
    <w:rsid w:val="00367A00"/>
    <w:rsid w:val="0037726A"/>
    <w:rsid w:val="004E51FB"/>
    <w:rsid w:val="005E3BE0"/>
    <w:rsid w:val="007E1284"/>
    <w:rsid w:val="008714FB"/>
    <w:rsid w:val="008B021B"/>
    <w:rsid w:val="008C4424"/>
    <w:rsid w:val="00933C1A"/>
    <w:rsid w:val="00974ABA"/>
    <w:rsid w:val="009F0E53"/>
    <w:rsid w:val="00A4736C"/>
    <w:rsid w:val="00A67BA7"/>
    <w:rsid w:val="00AC50D6"/>
    <w:rsid w:val="00AD63E0"/>
    <w:rsid w:val="00AF22A1"/>
    <w:rsid w:val="00F738D7"/>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B46BD5"/>
  <w15:chartTrackingRefBased/>
  <w15:docId w15:val="{2D95ECDB-6BDB-4BD6-A8EA-9F1B31C23D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hu-HU"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style>
  <w:style w:type="paragraph" w:styleId="Cmsor1">
    <w:name w:val="heading 1"/>
    <w:basedOn w:val="Norml"/>
    <w:next w:val="Norml"/>
    <w:link w:val="Cmsor1Char"/>
    <w:uiPriority w:val="9"/>
    <w:qFormat/>
    <w:rsid w:val="0018456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Cmsor2">
    <w:name w:val="heading 2"/>
    <w:basedOn w:val="Norml"/>
    <w:next w:val="Norml"/>
    <w:link w:val="Cmsor2Char"/>
    <w:uiPriority w:val="9"/>
    <w:unhideWhenUsed/>
    <w:qFormat/>
    <w:rsid w:val="0018456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Cmsor3">
    <w:name w:val="heading 3"/>
    <w:basedOn w:val="Norml"/>
    <w:next w:val="Norml"/>
    <w:link w:val="Cmsor3Char"/>
    <w:uiPriority w:val="9"/>
    <w:semiHidden/>
    <w:unhideWhenUsed/>
    <w:qFormat/>
    <w:rsid w:val="00184569"/>
    <w:pPr>
      <w:keepNext/>
      <w:keepLines/>
      <w:spacing w:before="160" w:after="80"/>
      <w:outlineLvl w:val="2"/>
    </w:pPr>
    <w:rPr>
      <w:rFonts w:eastAsiaTheme="majorEastAsia" w:cstheme="majorBidi"/>
      <w:color w:val="2F5496" w:themeColor="accent1" w:themeShade="BF"/>
      <w:sz w:val="28"/>
      <w:szCs w:val="28"/>
    </w:rPr>
  </w:style>
  <w:style w:type="paragraph" w:styleId="Cmsor4">
    <w:name w:val="heading 4"/>
    <w:basedOn w:val="Norml"/>
    <w:next w:val="Norml"/>
    <w:link w:val="Cmsor4Char"/>
    <w:uiPriority w:val="9"/>
    <w:semiHidden/>
    <w:unhideWhenUsed/>
    <w:qFormat/>
    <w:rsid w:val="00184569"/>
    <w:pPr>
      <w:keepNext/>
      <w:keepLines/>
      <w:spacing w:before="80" w:after="40"/>
      <w:outlineLvl w:val="3"/>
    </w:pPr>
    <w:rPr>
      <w:rFonts w:eastAsiaTheme="majorEastAsia" w:cstheme="majorBidi"/>
      <w:i/>
      <w:iCs/>
      <w:color w:val="2F5496" w:themeColor="accent1" w:themeShade="BF"/>
    </w:rPr>
  </w:style>
  <w:style w:type="paragraph" w:styleId="Cmsor5">
    <w:name w:val="heading 5"/>
    <w:basedOn w:val="Norml"/>
    <w:next w:val="Norml"/>
    <w:link w:val="Cmsor5Char"/>
    <w:uiPriority w:val="9"/>
    <w:semiHidden/>
    <w:unhideWhenUsed/>
    <w:qFormat/>
    <w:rsid w:val="00184569"/>
    <w:pPr>
      <w:keepNext/>
      <w:keepLines/>
      <w:spacing w:before="80" w:after="40"/>
      <w:outlineLvl w:val="4"/>
    </w:pPr>
    <w:rPr>
      <w:rFonts w:eastAsiaTheme="majorEastAsia" w:cstheme="majorBidi"/>
      <w:color w:val="2F5496" w:themeColor="accent1" w:themeShade="BF"/>
    </w:rPr>
  </w:style>
  <w:style w:type="paragraph" w:styleId="Cmsor6">
    <w:name w:val="heading 6"/>
    <w:basedOn w:val="Norml"/>
    <w:next w:val="Norml"/>
    <w:link w:val="Cmsor6Char"/>
    <w:uiPriority w:val="9"/>
    <w:semiHidden/>
    <w:unhideWhenUsed/>
    <w:qFormat/>
    <w:rsid w:val="00184569"/>
    <w:pPr>
      <w:keepNext/>
      <w:keepLines/>
      <w:spacing w:before="40" w:after="0"/>
      <w:outlineLvl w:val="5"/>
    </w:pPr>
    <w:rPr>
      <w:rFonts w:eastAsiaTheme="majorEastAsia" w:cstheme="majorBidi"/>
      <w:i/>
      <w:iCs/>
      <w:color w:val="595959" w:themeColor="text1" w:themeTint="A6"/>
    </w:rPr>
  </w:style>
  <w:style w:type="paragraph" w:styleId="Cmsor7">
    <w:name w:val="heading 7"/>
    <w:basedOn w:val="Norml"/>
    <w:next w:val="Norml"/>
    <w:link w:val="Cmsor7Char"/>
    <w:uiPriority w:val="9"/>
    <w:semiHidden/>
    <w:unhideWhenUsed/>
    <w:qFormat/>
    <w:rsid w:val="00184569"/>
    <w:pPr>
      <w:keepNext/>
      <w:keepLines/>
      <w:spacing w:before="40" w:after="0"/>
      <w:outlineLvl w:val="6"/>
    </w:pPr>
    <w:rPr>
      <w:rFonts w:eastAsiaTheme="majorEastAsia" w:cstheme="majorBidi"/>
      <w:color w:val="595959" w:themeColor="text1" w:themeTint="A6"/>
    </w:rPr>
  </w:style>
  <w:style w:type="paragraph" w:styleId="Cmsor8">
    <w:name w:val="heading 8"/>
    <w:basedOn w:val="Norml"/>
    <w:next w:val="Norml"/>
    <w:link w:val="Cmsor8Char"/>
    <w:uiPriority w:val="9"/>
    <w:semiHidden/>
    <w:unhideWhenUsed/>
    <w:qFormat/>
    <w:rsid w:val="00184569"/>
    <w:pPr>
      <w:keepNext/>
      <w:keepLines/>
      <w:spacing w:after="0"/>
      <w:outlineLvl w:val="7"/>
    </w:pPr>
    <w:rPr>
      <w:rFonts w:eastAsiaTheme="majorEastAsia" w:cstheme="majorBidi"/>
      <w:i/>
      <w:iCs/>
      <w:color w:val="272727" w:themeColor="text1" w:themeTint="D8"/>
    </w:rPr>
  </w:style>
  <w:style w:type="paragraph" w:styleId="Cmsor9">
    <w:name w:val="heading 9"/>
    <w:basedOn w:val="Norml"/>
    <w:next w:val="Norml"/>
    <w:link w:val="Cmsor9Char"/>
    <w:uiPriority w:val="9"/>
    <w:semiHidden/>
    <w:unhideWhenUsed/>
    <w:qFormat/>
    <w:rsid w:val="00184569"/>
    <w:pPr>
      <w:keepNext/>
      <w:keepLines/>
      <w:spacing w:after="0"/>
      <w:outlineLvl w:val="8"/>
    </w:pPr>
    <w:rPr>
      <w:rFonts w:eastAsiaTheme="majorEastAsia" w:cstheme="majorBidi"/>
      <w:color w:val="272727" w:themeColor="text1" w:themeTint="D8"/>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uiPriority w:val="9"/>
    <w:rsid w:val="00184569"/>
    <w:rPr>
      <w:rFonts w:asciiTheme="majorHAnsi" w:eastAsiaTheme="majorEastAsia" w:hAnsiTheme="majorHAnsi" w:cstheme="majorBidi"/>
      <w:color w:val="2F5496" w:themeColor="accent1" w:themeShade="BF"/>
      <w:sz w:val="40"/>
      <w:szCs w:val="40"/>
    </w:rPr>
  </w:style>
  <w:style w:type="character" w:customStyle="1" w:styleId="Cmsor2Char">
    <w:name w:val="Címsor 2 Char"/>
    <w:basedOn w:val="Bekezdsalapbettpusa"/>
    <w:link w:val="Cmsor2"/>
    <w:uiPriority w:val="9"/>
    <w:rsid w:val="00184569"/>
    <w:rPr>
      <w:rFonts w:asciiTheme="majorHAnsi" w:eastAsiaTheme="majorEastAsia" w:hAnsiTheme="majorHAnsi" w:cstheme="majorBidi"/>
      <w:color w:val="2F5496" w:themeColor="accent1" w:themeShade="BF"/>
      <w:sz w:val="32"/>
      <w:szCs w:val="32"/>
    </w:rPr>
  </w:style>
  <w:style w:type="character" w:customStyle="1" w:styleId="Cmsor3Char">
    <w:name w:val="Címsor 3 Char"/>
    <w:basedOn w:val="Bekezdsalapbettpusa"/>
    <w:link w:val="Cmsor3"/>
    <w:uiPriority w:val="9"/>
    <w:semiHidden/>
    <w:rsid w:val="00184569"/>
    <w:rPr>
      <w:rFonts w:eastAsiaTheme="majorEastAsia" w:cstheme="majorBidi"/>
      <w:color w:val="2F5496" w:themeColor="accent1" w:themeShade="BF"/>
      <w:sz w:val="28"/>
      <w:szCs w:val="28"/>
    </w:rPr>
  </w:style>
  <w:style w:type="character" w:customStyle="1" w:styleId="Cmsor4Char">
    <w:name w:val="Címsor 4 Char"/>
    <w:basedOn w:val="Bekezdsalapbettpusa"/>
    <w:link w:val="Cmsor4"/>
    <w:uiPriority w:val="9"/>
    <w:semiHidden/>
    <w:rsid w:val="00184569"/>
    <w:rPr>
      <w:rFonts w:eastAsiaTheme="majorEastAsia" w:cstheme="majorBidi"/>
      <w:i/>
      <w:iCs/>
      <w:color w:val="2F5496" w:themeColor="accent1" w:themeShade="BF"/>
    </w:rPr>
  </w:style>
  <w:style w:type="character" w:customStyle="1" w:styleId="Cmsor5Char">
    <w:name w:val="Címsor 5 Char"/>
    <w:basedOn w:val="Bekezdsalapbettpusa"/>
    <w:link w:val="Cmsor5"/>
    <w:uiPriority w:val="9"/>
    <w:semiHidden/>
    <w:rsid w:val="00184569"/>
    <w:rPr>
      <w:rFonts w:eastAsiaTheme="majorEastAsia" w:cstheme="majorBidi"/>
      <w:color w:val="2F5496" w:themeColor="accent1" w:themeShade="BF"/>
    </w:rPr>
  </w:style>
  <w:style w:type="character" w:customStyle="1" w:styleId="Cmsor6Char">
    <w:name w:val="Címsor 6 Char"/>
    <w:basedOn w:val="Bekezdsalapbettpusa"/>
    <w:link w:val="Cmsor6"/>
    <w:uiPriority w:val="9"/>
    <w:semiHidden/>
    <w:rsid w:val="00184569"/>
    <w:rPr>
      <w:rFonts w:eastAsiaTheme="majorEastAsia" w:cstheme="majorBidi"/>
      <w:i/>
      <w:iCs/>
      <w:color w:val="595959" w:themeColor="text1" w:themeTint="A6"/>
    </w:rPr>
  </w:style>
  <w:style w:type="character" w:customStyle="1" w:styleId="Cmsor7Char">
    <w:name w:val="Címsor 7 Char"/>
    <w:basedOn w:val="Bekezdsalapbettpusa"/>
    <w:link w:val="Cmsor7"/>
    <w:uiPriority w:val="9"/>
    <w:semiHidden/>
    <w:rsid w:val="00184569"/>
    <w:rPr>
      <w:rFonts w:eastAsiaTheme="majorEastAsia" w:cstheme="majorBidi"/>
      <w:color w:val="595959" w:themeColor="text1" w:themeTint="A6"/>
    </w:rPr>
  </w:style>
  <w:style w:type="character" w:customStyle="1" w:styleId="Cmsor8Char">
    <w:name w:val="Címsor 8 Char"/>
    <w:basedOn w:val="Bekezdsalapbettpusa"/>
    <w:link w:val="Cmsor8"/>
    <w:uiPriority w:val="9"/>
    <w:semiHidden/>
    <w:rsid w:val="00184569"/>
    <w:rPr>
      <w:rFonts w:eastAsiaTheme="majorEastAsia" w:cstheme="majorBidi"/>
      <w:i/>
      <w:iCs/>
      <w:color w:val="272727" w:themeColor="text1" w:themeTint="D8"/>
    </w:rPr>
  </w:style>
  <w:style w:type="character" w:customStyle="1" w:styleId="Cmsor9Char">
    <w:name w:val="Címsor 9 Char"/>
    <w:basedOn w:val="Bekezdsalapbettpusa"/>
    <w:link w:val="Cmsor9"/>
    <w:uiPriority w:val="9"/>
    <w:semiHidden/>
    <w:rsid w:val="00184569"/>
    <w:rPr>
      <w:rFonts w:eastAsiaTheme="majorEastAsia" w:cstheme="majorBidi"/>
      <w:color w:val="272727" w:themeColor="text1" w:themeTint="D8"/>
    </w:rPr>
  </w:style>
  <w:style w:type="paragraph" w:styleId="Cm">
    <w:name w:val="Title"/>
    <w:basedOn w:val="Norml"/>
    <w:next w:val="Norml"/>
    <w:link w:val="CmChar"/>
    <w:uiPriority w:val="10"/>
    <w:qFormat/>
    <w:rsid w:val="0018456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mChar">
    <w:name w:val="Cím Char"/>
    <w:basedOn w:val="Bekezdsalapbettpusa"/>
    <w:link w:val="Cm"/>
    <w:uiPriority w:val="10"/>
    <w:rsid w:val="00184569"/>
    <w:rPr>
      <w:rFonts w:asciiTheme="majorHAnsi" w:eastAsiaTheme="majorEastAsia" w:hAnsiTheme="majorHAnsi" w:cstheme="majorBidi"/>
      <w:spacing w:val="-10"/>
      <w:kern w:val="28"/>
      <w:sz w:val="56"/>
      <w:szCs w:val="56"/>
    </w:rPr>
  </w:style>
  <w:style w:type="paragraph" w:styleId="Alcm">
    <w:name w:val="Subtitle"/>
    <w:basedOn w:val="Norml"/>
    <w:next w:val="Norml"/>
    <w:link w:val="AlcmChar"/>
    <w:uiPriority w:val="11"/>
    <w:qFormat/>
    <w:rsid w:val="00184569"/>
    <w:pPr>
      <w:numPr>
        <w:ilvl w:val="1"/>
      </w:numPr>
    </w:pPr>
    <w:rPr>
      <w:rFonts w:eastAsiaTheme="majorEastAsia" w:cstheme="majorBidi"/>
      <w:color w:val="595959" w:themeColor="text1" w:themeTint="A6"/>
      <w:spacing w:val="15"/>
      <w:sz w:val="28"/>
      <w:szCs w:val="28"/>
    </w:rPr>
  </w:style>
  <w:style w:type="character" w:customStyle="1" w:styleId="AlcmChar">
    <w:name w:val="Alcím Char"/>
    <w:basedOn w:val="Bekezdsalapbettpusa"/>
    <w:link w:val="Alcm"/>
    <w:uiPriority w:val="11"/>
    <w:rsid w:val="00184569"/>
    <w:rPr>
      <w:rFonts w:eastAsiaTheme="majorEastAsia" w:cstheme="majorBidi"/>
      <w:color w:val="595959" w:themeColor="text1" w:themeTint="A6"/>
      <w:spacing w:val="15"/>
      <w:sz w:val="28"/>
      <w:szCs w:val="28"/>
    </w:rPr>
  </w:style>
  <w:style w:type="paragraph" w:styleId="Idzet">
    <w:name w:val="Quote"/>
    <w:basedOn w:val="Norml"/>
    <w:next w:val="Norml"/>
    <w:link w:val="IdzetChar"/>
    <w:uiPriority w:val="29"/>
    <w:qFormat/>
    <w:rsid w:val="00184569"/>
    <w:pPr>
      <w:spacing w:before="160"/>
      <w:jc w:val="center"/>
    </w:pPr>
    <w:rPr>
      <w:i/>
      <w:iCs/>
      <w:color w:val="404040" w:themeColor="text1" w:themeTint="BF"/>
    </w:rPr>
  </w:style>
  <w:style w:type="character" w:customStyle="1" w:styleId="IdzetChar">
    <w:name w:val="Idézet Char"/>
    <w:basedOn w:val="Bekezdsalapbettpusa"/>
    <w:link w:val="Idzet"/>
    <w:uiPriority w:val="29"/>
    <w:rsid w:val="00184569"/>
    <w:rPr>
      <w:i/>
      <w:iCs/>
      <w:color w:val="404040" w:themeColor="text1" w:themeTint="BF"/>
    </w:rPr>
  </w:style>
  <w:style w:type="paragraph" w:styleId="Listaszerbekezds">
    <w:name w:val="List Paragraph"/>
    <w:basedOn w:val="Norml"/>
    <w:uiPriority w:val="1"/>
    <w:qFormat/>
    <w:rsid w:val="00184569"/>
    <w:pPr>
      <w:ind w:left="720"/>
      <w:contextualSpacing/>
    </w:pPr>
  </w:style>
  <w:style w:type="character" w:styleId="Erskiemels">
    <w:name w:val="Intense Emphasis"/>
    <w:basedOn w:val="Bekezdsalapbettpusa"/>
    <w:uiPriority w:val="21"/>
    <w:qFormat/>
    <w:rsid w:val="00184569"/>
    <w:rPr>
      <w:i/>
      <w:iCs/>
      <w:color w:val="2F5496" w:themeColor="accent1" w:themeShade="BF"/>
    </w:rPr>
  </w:style>
  <w:style w:type="paragraph" w:styleId="Kiemeltidzet">
    <w:name w:val="Intense Quote"/>
    <w:basedOn w:val="Norml"/>
    <w:next w:val="Norml"/>
    <w:link w:val="KiemeltidzetChar"/>
    <w:uiPriority w:val="30"/>
    <w:qFormat/>
    <w:rsid w:val="0018456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KiemeltidzetChar">
    <w:name w:val="Kiemelt idézet Char"/>
    <w:basedOn w:val="Bekezdsalapbettpusa"/>
    <w:link w:val="Kiemeltidzet"/>
    <w:uiPriority w:val="30"/>
    <w:rsid w:val="00184569"/>
    <w:rPr>
      <w:i/>
      <w:iCs/>
      <w:color w:val="2F5496" w:themeColor="accent1" w:themeShade="BF"/>
    </w:rPr>
  </w:style>
  <w:style w:type="character" w:styleId="Ershivatkozs">
    <w:name w:val="Intense Reference"/>
    <w:basedOn w:val="Bekezdsalapbettpusa"/>
    <w:uiPriority w:val="32"/>
    <w:qFormat/>
    <w:rsid w:val="00184569"/>
    <w:rPr>
      <w:b/>
      <w:bCs/>
      <w:smallCaps/>
      <w:color w:val="2F5496" w:themeColor="accent1" w:themeShade="BF"/>
      <w:spacing w:val="5"/>
    </w:rPr>
  </w:style>
  <w:style w:type="numbering" w:customStyle="1" w:styleId="Nemlista1">
    <w:name w:val="Nem lista1"/>
    <w:next w:val="Nemlista"/>
    <w:uiPriority w:val="99"/>
    <w:semiHidden/>
    <w:unhideWhenUsed/>
    <w:rsid w:val="00184569"/>
  </w:style>
  <w:style w:type="paragraph" w:styleId="Szvegtrzs">
    <w:name w:val="Body Text"/>
    <w:basedOn w:val="Norml"/>
    <w:link w:val="SzvegtrzsChar"/>
    <w:uiPriority w:val="1"/>
    <w:qFormat/>
    <w:rsid w:val="00184569"/>
    <w:pPr>
      <w:widowControl w:val="0"/>
      <w:autoSpaceDE w:val="0"/>
      <w:autoSpaceDN w:val="0"/>
      <w:spacing w:after="0" w:line="240" w:lineRule="auto"/>
    </w:pPr>
    <w:rPr>
      <w:rFonts w:ascii="Times New Roman" w:eastAsia="Times New Roman" w:hAnsi="Times New Roman" w:cs="Times New Roman"/>
      <w:kern w:val="0"/>
      <w:lang w:val="en-US"/>
      <w14:ligatures w14:val="none"/>
    </w:rPr>
  </w:style>
  <w:style w:type="character" w:customStyle="1" w:styleId="SzvegtrzsChar">
    <w:name w:val="Szövegtörzs Char"/>
    <w:basedOn w:val="Bekezdsalapbettpusa"/>
    <w:link w:val="Szvegtrzs"/>
    <w:uiPriority w:val="1"/>
    <w:rsid w:val="00184569"/>
    <w:rPr>
      <w:rFonts w:ascii="Times New Roman" w:eastAsia="Times New Roman" w:hAnsi="Times New Roman" w:cs="Times New Roman"/>
      <w:kern w:val="0"/>
      <w:lang w:val="en-US"/>
      <w14:ligatures w14:val="none"/>
    </w:rPr>
  </w:style>
  <w:style w:type="paragraph" w:customStyle="1" w:styleId="TableParagraph">
    <w:name w:val="Table Paragraph"/>
    <w:basedOn w:val="Norml"/>
    <w:uiPriority w:val="1"/>
    <w:qFormat/>
    <w:rsid w:val="00184569"/>
    <w:pPr>
      <w:widowControl w:val="0"/>
      <w:autoSpaceDE w:val="0"/>
      <w:autoSpaceDN w:val="0"/>
      <w:spacing w:after="0" w:line="240" w:lineRule="auto"/>
    </w:pPr>
    <w:rPr>
      <w:rFonts w:ascii="Times New Roman" w:eastAsia="Times New Roman" w:hAnsi="Times New Roman" w:cs="Times New Roman"/>
      <w:kern w:val="0"/>
      <w:lang w:val="en-US"/>
      <w14:ligatures w14:val="none"/>
    </w:rPr>
  </w:style>
  <w:style w:type="paragraph" w:styleId="lfej">
    <w:name w:val="header"/>
    <w:basedOn w:val="Norml"/>
    <w:link w:val="lfejChar"/>
    <w:uiPriority w:val="99"/>
    <w:unhideWhenUsed/>
    <w:rsid w:val="00184569"/>
    <w:pPr>
      <w:widowControl w:val="0"/>
      <w:tabs>
        <w:tab w:val="center" w:pos="4703"/>
        <w:tab w:val="right" w:pos="9406"/>
      </w:tabs>
      <w:autoSpaceDE w:val="0"/>
      <w:autoSpaceDN w:val="0"/>
      <w:spacing w:after="0" w:line="240" w:lineRule="auto"/>
    </w:pPr>
    <w:rPr>
      <w:rFonts w:ascii="Times New Roman" w:eastAsia="Times New Roman" w:hAnsi="Times New Roman" w:cs="Times New Roman"/>
      <w:kern w:val="0"/>
      <w:lang w:val="en-US"/>
      <w14:ligatures w14:val="none"/>
    </w:rPr>
  </w:style>
  <w:style w:type="character" w:customStyle="1" w:styleId="lfejChar">
    <w:name w:val="Élőfej Char"/>
    <w:basedOn w:val="Bekezdsalapbettpusa"/>
    <w:link w:val="lfej"/>
    <w:uiPriority w:val="99"/>
    <w:rsid w:val="00184569"/>
    <w:rPr>
      <w:rFonts w:ascii="Times New Roman" w:eastAsia="Times New Roman" w:hAnsi="Times New Roman" w:cs="Times New Roman"/>
      <w:kern w:val="0"/>
      <w:lang w:val="en-US"/>
      <w14:ligatures w14:val="none"/>
    </w:rPr>
  </w:style>
  <w:style w:type="paragraph" w:styleId="llb">
    <w:name w:val="footer"/>
    <w:basedOn w:val="Norml"/>
    <w:link w:val="llbChar"/>
    <w:uiPriority w:val="99"/>
    <w:unhideWhenUsed/>
    <w:rsid w:val="00184569"/>
    <w:pPr>
      <w:widowControl w:val="0"/>
      <w:tabs>
        <w:tab w:val="center" w:pos="4703"/>
        <w:tab w:val="right" w:pos="9406"/>
      </w:tabs>
      <w:autoSpaceDE w:val="0"/>
      <w:autoSpaceDN w:val="0"/>
      <w:spacing w:after="0" w:line="240" w:lineRule="auto"/>
    </w:pPr>
    <w:rPr>
      <w:rFonts w:ascii="Times New Roman" w:eastAsia="Times New Roman" w:hAnsi="Times New Roman" w:cs="Times New Roman"/>
      <w:kern w:val="0"/>
      <w:lang w:val="en-US"/>
      <w14:ligatures w14:val="none"/>
    </w:rPr>
  </w:style>
  <w:style w:type="character" w:customStyle="1" w:styleId="llbChar">
    <w:name w:val="Élőláb Char"/>
    <w:basedOn w:val="Bekezdsalapbettpusa"/>
    <w:link w:val="llb"/>
    <w:uiPriority w:val="99"/>
    <w:rsid w:val="00184569"/>
    <w:rPr>
      <w:rFonts w:ascii="Times New Roman" w:eastAsia="Times New Roman" w:hAnsi="Times New Roman" w:cs="Times New Roman"/>
      <w:kern w:val="0"/>
      <w:lang w:val="en-US"/>
      <w14:ligatures w14:val="none"/>
    </w:rPr>
  </w:style>
  <w:style w:type="paragraph" w:styleId="Buborkszveg">
    <w:name w:val="Balloon Text"/>
    <w:basedOn w:val="Norml"/>
    <w:link w:val="BuborkszvegChar"/>
    <w:uiPriority w:val="99"/>
    <w:semiHidden/>
    <w:unhideWhenUsed/>
    <w:rsid w:val="00184569"/>
    <w:pPr>
      <w:widowControl w:val="0"/>
      <w:autoSpaceDE w:val="0"/>
      <w:autoSpaceDN w:val="0"/>
      <w:spacing w:after="0" w:line="240" w:lineRule="auto"/>
    </w:pPr>
    <w:rPr>
      <w:rFonts w:ascii="Segoe UI" w:eastAsia="Times New Roman" w:hAnsi="Segoe UI" w:cs="Segoe UI"/>
      <w:kern w:val="0"/>
      <w:sz w:val="18"/>
      <w:szCs w:val="18"/>
      <w:lang w:val="en-US"/>
      <w14:ligatures w14:val="none"/>
    </w:rPr>
  </w:style>
  <w:style w:type="character" w:customStyle="1" w:styleId="BuborkszvegChar">
    <w:name w:val="Buborékszöveg Char"/>
    <w:basedOn w:val="Bekezdsalapbettpusa"/>
    <w:link w:val="Buborkszveg"/>
    <w:uiPriority w:val="99"/>
    <w:semiHidden/>
    <w:rsid w:val="00184569"/>
    <w:rPr>
      <w:rFonts w:ascii="Segoe UI" w:eastAsia="Times New Roman" w:hAnsi="Segoe UI" w:cs="Segoe UI"/>
      <w:kern w:val="0"/>
      <w:sz w:val="18"/>
      <w:szCs w:val="18"/>
      <w:lang w:val="en-US"/>
      <w14:ligatures w14:val="none"/>
    </w:rPr>
  </w:style>
  <w:style w:type="character" w:styleId="Jegyzethivatkozs">
    <w:name w:val="annotation reference"/>
    <w:basedOn w:val="Bekezdsalapbettpusa"/>
    <w:uiPriority w:val="99"/>
    <w:semiHidden/>
    <w:unhideWhenUsed/>
    <w:rsid w:val="00184569"/>
    <w:rPr>
      <w:sz w:val="16"/>
      <w:szCs w:val="16"/>
    </w:rPr>
  </w:style>
  <w:style w:type="paragraph" w:styleId="Jegyzetszveg">
    <w:name w:val="annotation text"/>
    <w:basedOn w:val="Norml"/>
    <w:link w:val="JegyzetszvegChar"/>
    <w:uiPriority w:val="99"/>
    <w:unhideWhenUsed/>
    <w:rsid w:val="00184569"/>
    <w:pPr>
      <w:widowControl w:val="0"/>
      <w:autoSpaceDE w:val="0"/>
      <w:autoSpaceDN w:val="0"/>
      <w:spacing w:after="0" w:line="240" w:lineRule="auto"/>
    </w:pPr>
    <w:rPr>
      <w:rFonts w:ascii="Times New Roman" w:eastAsia="Times New Roman" w:hAnsi="Times New Roman" w:cs="Times New Roman"/>
      <w:kern w:val="0"/>
      <w:sz w:val="20"/>
      <w:szCs w:val="20"/>
      <w:lang w:val="en-US"/>
      <w14:ligatures w14:val="none"/>
    </w:rPr>
  </w:style>
  <w:style w:type="character" w:customStyle="1" w:styleId="JegyzetszvegChar">
    <w:name w:val="Jegyzetszöveg Char"/>
    <w:basedOn w:val="Bekezdsalapbettpusa"/>
    <w:link w:val="Jegyzetszveg"/>
    <w:uiPriority w:val="99"/>
    <w:rsid w:val="00184569"/>
    <w:rPr>
      <w:rFonts w:ascii="Times New Roman" w:eastAsia="Times New Roman" w:hAnsi="Times New Roman" w:cs="Times New Roman"/>
      <w:kern w:val="0"/>
      <w:sz w:val="20"/>
      <w:szCs w:val="20"/>
      <w:lang w:val="en-US"/>
      <w14:ligatures w14:val="none"/>
    </w:rPr>
  </w:style>
  <w:style w:type="paragraph" w:styleId="Megjegyzstrgya">
    <w:name w:val="annotation subject"/>
    <w:basedOn w:val="Jegyzetszveg"/>
    <w:next w:val="Jegyzetszveg"/>
    <w:link w:val="MegjegyzstrgyaChar"/>
    <w:uiPriority w:val="99"/>
    <w:semiHidden/>
    <w:unhideWhenUsed/>
    <w:rsid w:val="00184569"/>
    <w:rPr>
      <w:b/>
      <w:bCs/>
    </w:rPr>
  </w:style>
  <w:style w:type="character" w:customStyle="1" w:styleId="MegjegyzstrgyaChar">
    <w:name w:val="Megjegyzés tárgya Char"/>
    <w:basedOn w:val="JegyzetszvegChar"/>
    <w:link w:val="Megjegyzstrgya"/>
    <w:uiPriority w:val="99"/>
    <w:semiHidden/>
    <w:rsid w:val="00184569"/>
    <w:rPr>
      <w:rFonts w:ascii="Times New Roman" w:eastAsia="Times New Roman" w:hAnsi="Times New Roman" w:cs="Times New Roman"/>
      <w:b/>
      <w:bCs/>
      <w:kern w:val="0"/>
      <w:sz w:val="20"/>
      <w:szCs w:val="20"/>
      <w:lang w:val="en-US"/>
      <w14:ligatures w14:val="none"/>
    </w:rPr>
  </w:style>
  <w:style w:type="paragraph" w:styleId="Nincstrkz">
    <w:name w:val="No Spacing"/>
    <w:uiPriority w:val="1"/>
    <w:qFormat/>
    <w:rsid w:val="00184569"/>
    <w:pPr>
      <w:spacing w:after="0" w:line="240" w:lineRule="auto"/>
    </w:pPr>
    <w:rPr>
      <w:rFonts w:ascii="Times New Roman" w:hAnsi="Times New Roman"/>
      <w:kern w:val="0"/>
      <w14:ligatures w14:val="none"/>
    </w:rPr>
  </w:style>
  <w:style w:type="paragraph" w:styleId="Vltozat">
    <w:name w:val="Revision"/>
    <w:hidden/>
    <w:uiPriority w:val="99"/>
    <w:semiHidden/>
    <w:rsid w:val="00184569"/>
    <w:pPr>
      <w:spacing w:after="0" w:line="240" w:lineRule="auto"/>
    </w:pPr>
    <w:rPr>
      <w:rFonts w:ascii="Times New Roman" w:eastAsia="Times New Roman" w:hAnsi="Times New Roman" w:cs="Times New Roman"/>
      <w:kern w:val="0"/>
      <w:lang w:val="en-US"/>
      <w14:ligatures w14:val="none"/>
    </w:rPr>
  </w:style>
  <w:style w:type="table" w:styleId="Rcsostblzat">
    <w:name w:val="Table Grid"/>
    <w:basedOn w:val="Normltblzat"/>
    <w:uiPriority w:val="39"/>
    <w:rsid w:val="00184569"/>
    <w:pPr>
      <w:widowControl w:val="0"/>
      <w:autoSpaceDE w:val="0"/>
      <w:autoSpaceDN w:val="0"/>
      <w:spacing w:after="0" w:line="240" w:lineRule="auto"/>
    </w:pPr>
    <w:rPr>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184569"/>
    <w:pPr>
      <w:autoSpaceDE w:val="0"/>
      <w:autoSpaceDN w:val="0"/>
      <w:adjustRightInd w:val="0"/>
      <w:spacing w:after="0" w:line="240" w:lineRule="auto"/>
    </w:pPr>
    <w:rPr>
      <w:rFonts w:ascii="Times New Roman" w:hAnsi="Times New Roman" w:cs="Times New Roman"/>
      <w:color w:val="000000"/>
      <w:kern w:val="0"/>
      <w:sz w:val="24"/>
      <w:szCs w:val="24"/>
      <w:lang w:val="en-I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7.png@01D91498.F30E378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ema.europa.eu/en/documents/template-form/qrd-appendix-v-adverse-drug-reaction-reporting-details_en.docx" TargetMode="Externa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33</Pages>
  <Words>13006</Words>
  <Characters>89747</Characters>
  <Application>Microsoft Office Word</Application>
  <DocSecurity>0</DocSecurity>
  <Lines>747</Lines>
  <Paragraphs>205</Paragraphs>
  <ScaleCrop>false</ScaleCrop>
  <Company/>
  <LinksUpToDate>false</LinksUpToDate>
  <CharactersWithSpaces>102548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RKV-VV</dc:creator>
  <cp:keywords/>
  <dc:description/>
  <cp:lastModifiedBy>HU_OGYI_7.1</cp:lastModifiedBy>
  <cp:revision>14</cp:revision>
  <dcterms:created xsi:type="dcterms:W3CDTF">2025-06-16T12:20:00Z</dcterms:created>
  <dcterms:modified xsi:type="dcterms:W3CDTF">2026-05-14T14:08:00Z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a256bb-f010-45f7-99b4-329a9a9e7a5c_Enabled">
    <vt:lpwstr>true</vt:lpwstr>
  </property>
  <property fmtid="{D5CDD505-2E9C-101B-9397-08002B2CF9AE}" pid="3" name="MSIP_Label_66a256bb-f010-45f7-99b4-329a9a9e7a5c_SetDate">
    <vt:lpwstr>2025-07-18T05:58:56Z</vt:lpwstr>
  </property>
  <property fmtid="{D5CDD505-2E9C-101B-9397-08002B2CF9AE}" pid="4" name="MSIP_Label_66a256bb-f010-45f7-99b4-329a9a9e7a5c_Method">
    <vt:lpwstr>Standard</vt:lpwstr>
  </property>
  <property fmtid="{D5CDD505-2E9C-101B-9397-08002B2CF9AE}" pid="5" name="MSIP_Label_66a256bb-f010-45f7-99b4-329a9a9e7a5c_Name">
    <vt:lpwstr>Public</vt:lpwstr>
  </property>
  <property fmtid="{D5CDD505-2E9C-101B-9397-08002B2CF9AE}" pid="6" name="MSIP_Label_66a256bb-f010-45f7-99b4-329a9a9e7a5c_SiteId">
    <vt:lpwstr>68b628ab-578a-4367-8d4e-bc98746c4353</vt:lpwstr>
  </property>
  <property fmtid="{D5CDD505-2E9C-101B-9397-08002B2CF9AE}" pid="7" name="MSIP_Label_66a256bb-f010-45f7-99b4-329a9a9e7a5c_ActionId">
    <vt:lpwstr>73695ea5-cbd4-4447-8848-77ad66c322cb</vt:lpwstr>
  </property>
  <property fmtid="{D5CDD505-2E9C-101B-9397-08002B2CF9AE}" pid="8" name="MSIP_Label_66a256bb-f010-45f7-99b4-329a9a9e7a5c_ContentBits">
    <vt:lpwstr>0</vt:lpwstr>
  </property>
  <property fmtid="{D5CDD505-2E9C-101B-9397-08002B2CF9AE}" pid="9" name="MSIP_Label_66a256bb-f010-45f7-99b4-329a9a9e7a5c_Tag">
    <vt:lpwstr>10, 3, 0, 1</vt:lpwstr>
  </property>
</Properties>
</file>