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AB633" w14:textId="77777777" w:rsidR="002D66F3" w:rsidRPr="00360A40" w:rsidRDefault="002D66F3" w:rsidP="00360A40">
      <w:pPr>
        <w:pStyle w:val="Szvegtrzs"/>
        <w:kinsoku w:val="0"/>
        <w:overflowPunct w:val="0"/>
        <w:ind w:left="0"/>
        <w:rPr>
          <w:lang w:val="hu-HU"/>
        </w:rPr>
      </w:pPr>
    </w:p>
    <w:p w14:paraId="549CB444" w14:textId="225B74E0" w:rsidR="002D66F3" w:rsidRPr="00360A40" w:rsidRDefault="00A218FB" w:rsidP="00360A40">
      <w:pPr>
        <w:pStyle w:val="Szvegtrzs"/>
        <w:kinsoku w:val="0"/>
        <w:overflowPunct w:val="0"/>
        <w:ind w:left="0"/>
        <w:rPr>
          <w:lang w:val="hu-HU"/>
        </w:rPr>
      </w:pPr>
      <w:r w:rsidRPr="00360A40">
        <w:rPr>
          <w:b/>
          <w:bCs/>
          <w:lang w:val="hu-HU"/>
        </w:rPr>
        <w:t>1.</w:t>
      </w:r>
      <w:r w:rsidRPr="00360A40">
        <w:rPr>
          <w:b/>
          <w:bCs/>
          <w:lang w:val="hu-HU"/>
        </w:rPr>
        <w:tab/>
      </w:r>
      <w:r w:rsidR="002D66F3" w:rsidRPr="00360A40">
        <w:rPr>
          <w:b/>
          <w:bCs/>
          <w:lang w:val="hu-HU"/>
        </w:rPr>
        <w:t>A GYÓGYSZER NEVE</w:t>
      </w:r>
    </w:p>
    <w:p w14:paraId="1ABC8AB8" w14:textId="77777777" w:rsidR="002D66F3" w:rsidRPr="00360A40" w:rsidRDefault="002D66F3" w:rsidP="00360A40">
      <w:pPr>
        <w:pStyle w:val="Szvegtrzs"/>
        <w:kinsoku w:val="0"/>
        <w:overflowPunct w:val="0"/>
        <w:ind w:left="0"/>
        <w:rPr>
          <w:b/>
          <w:bCs/>
          <w:lang w:val="hu-HU"/>
        </w:rPr>
      </w:pPr>
    </w:p>
    <w:p w14:paraId="4E226B8A" w14:textId="0761429F" w:rsidR="004873CF" w:rsidRPr="00360A40" w:rsidRDefault="004873CF" w:rsidP="00360A40">
      <w:pPr>
        <w:pStyle w:val="Szvegtrzs"/>
        <w:kinsoku w:val="0"/>
        <w:overflowPunct w:val="0"/>
        <w:ind w:left="0"/>
        <w:rPr>
          <w:lang w:val="hu-HU"/>
        </w:rPr>
      </w:pPr>
      <w:r w:rsidRPr="00360A40">
        <w:rPr>
          <w:lang w:val="hu-HU"/>
        </w:rPr>
        <w:t xml:space="preserve">Eltrombopag </w:t>
      </w:r>
      <w:r w:rsidR="00182D80" w:rsidRPr="00360A40">
        <w:rPr>
          <w:lang w:val="hu-HU"/>
        </w:rPr>
        <w:t>Vipharm</w:t>
      </w:r>
      <w:r w:rsidR="002D66F3" w:rsidRPr="00360A40">
        <w:rPr>
          <w:lang w:val="hu-HU"/>
        </w:rPr>
        <w:t xml:space="preserve"> 12,5</w:t>
      </w:r>
      <w:r w:rsidR="00931AE1" w:rsidRPr="00360A40">
        <w:rPr>
          <w:lang w:val="hu-HU"/>
        </w:rPr>
        <w:t> </w:t>
      </w:r>
      <w:r w:rsidR="002D66F3" w:rsidRPr="00360A40">
        <w:rPr>
          <w:lang w:val="hu-HU"/>
        </w:rPr>
        <w:t>mg filmtabletta</w:t>
      </w:r>
    </w:p>
    <w:p w14:paraId="19847DE7" w14:textId="394574F3" w:rsidR="004873CF" w:rsidRPr="00360A40" w:rsidRDefault="004873CF" w:rsidP="00360A40">
      <w:pPr>
        <w:pStyle w:val="Szvegtrzs"/>
        <w:kinsoku w:val="0"/>
        <w:overflowPunct w:val="0"/>
        <w:ind w:left="0"/>
        <w:rPr>
          <w:lang w:val="hu-HU"/>
        </w:rPr>
      </w:pPr>
      <w:r w:rsidRPr="00360A40">
        <w:rPr>
          <w:lang w:val="hu-HU"/>
        </w:rPr>
        <w:t xml:space="preserve">Eltrombopag </w:t>
      </w:r>
      <w:r w:rsidR="00182D80" w:rsidRPr="00360A40">
        <w:rPr>
          <w:lang w:val="hu-HU"/>
        </w:rPr>
        <w:t>Vipharm</w:t>
      </w:r>
      <w:r w:rsidR="002D66F3" w:rsidRPr="00360A40">
        <w:rPr>
          <w:lang w:val="hu-HU"/>
        </w:rPr>
        <w:t xml:space="preserve"> 25</w:t>
      </w:r>
      <w:r w:rsidR="00931AE1" w:rsidRPr="00360A40">
        <w:rPr>
          <w:lang w:val="hu-HU"/>
        </w:rPr>
        <w:t> </w:t>
      </w:r>
      <w:r w:rsidR="002D66F3" w:rsidRPr="00360A40">
        <w:rPr>
          <w:lang w:val="hu-HU"/>
        </w:rPr>
        <w:t>mg filmtabletta</w:t>
      </w:r>
    </w:p>
    <w:p w14:paraId="0ADEC88F" w14:textId="38A4680B" w:rsidR="004873CF" w:rsidRPr="00360A40" w:rsidRDefault="004873CF" w:rsidP="00360A40">
      <w:pPr>
        <w:pStyle w:val="Szvegtrzs"/>
        <w:kinsoku w:val="0"/>
        <w:overflowPunct w:val="0"/>
        <w:ind w:left="0"/>
        <w:rPr>
          <w:lang w:val="hu-HU"/>
        </w:rPr>
      </w:pPr>
      <w:r w:rsidRPr="00360A40">
        <w:rPr>
          <w:lang w:val="hu-HU"/>
        </w:rPr>
        <w:t xml:space="preserve">Eltrombopag </w:t>
      </w:r>
      <w:r w:rsidR="00182D80" w:rsidRPr="00360A40">
        <w:rPr>
          <w:lang w:val="hu-HU"/>
        </w:rPr>
        <w:t>Vipharm</w:t>
      </w:r>
      <w:r w:rsidR="002D66F3" w:rsidRPr="00360A40">
        <w:rPr>
          <w:lang w:val="hu-HU"/>
        </w:rPr>
        <w:t xml:space="preserve"> 50</w:t>
      </w:r>
      <w:r w:rsidR="00931AE1" w:rsidRPr="00360A40">
        <w:rPr>
          <w:lang w:val="hu-HU"/>
        </w:rPr>
        <w:t> </w:t>
      </w:r>
      <w:r w:rsidR="002D66F3" w:rsidRPr="00360A40">
        <w:rPr>
          <w:lang w:val="hu-HU"/>
        </w:rPr>
        <w:t>mg filmtabletta</w:t>
      </w:r>
    </w:p>
    <w:p w14:paraId="1FC0CDEC" w14:textId="163838B4" w:rsidR="002D66F3" w:rsidRPr="00360A40" w:rsidRDefault="004873CF" w:rsidP="00360A40">
      <w:pPr>
        <w:pStyle w:val="Szvegtrzs"/>
        <w:kinsoku w:val="0"/>
        <w:overflowPunct w:val="0"/>
        <w:ind w:left="0"/>
        <w:rPr>
          <w:lang w:val="hu-HU"/>
        </w:rPr>
      </w:pPr>
      <w:r w:rsidRPr="00360A40">
        <w:rPr>
          <w:lang w:val="hu-HU"/>
        </w:rPr>
        <w:t xml:space="preserve">Eltrombopag </w:t>
      </w:r>
      <w:r w:rsidR="00182D80" w:rsidRPr="00360A40">
        <w:rPr>
          <w:lang w:val="hu-HU"/>
        </w:rPr>
        <w:t>Vipharm</w:t>
      </w:r>
      <w:r w:rsidR="002D66F3" w:rsidRPr="00360A40">
        <w:rPr>
          <w:lang w:val="hu-HU"/>
        </w:rPr>
        <w:t xml:space="preserve"> 75</w:t>
      </w:r>
      <w:r w:rsidR="00931AE1" w:rsidRPr="00360A40">
        <w:rPr>
          <w:lang w:val="hu-HU"/>
        </w:rPr>
        <w:t> </w:t>
      </w:r>
      <w:r w:rsidR="002D66F3" w:rsidRPr="00360A40">
        <w:rPr>
          <w:lang w:val="hu-HU"/>
        </w:rPr>
        <w:t>mg filmtabletta</w:t>
      </w:r>
    </w:p>
    <w:p w14:paraId="42A8A483" w14:textId="77777777" w:rsidR="002D66F3" w:rsidRPr="00360A40" w:rsidRDefault="002D66F3" w:rsidP="00360A40">
      <w:pPr>
        <w:pStyle w:val="Szvegtrzs"/>
        <w:kinsoku w:val="0"/>
        <w:overflowPunct w:val="0"/>
        <w:ind w:left="0"/>
        <w:rPr>
          <w:lang w:val="hu-HU"/>
        </w:rPr>
      </w:pPr>
    </w:p>
    <w:p w14:paraId="5ABBFDE5" w14:textId="77777777" w:rsidR="002D66F3" w:rsidRPr="00360A40" w:rsidRDefault="002D66F3" w:rsidP="00360A40">
      <w:pPr>
        <w:pStyle w:val="Szvegtrzs"/>
        <w:kinsoku w:val="0"/>
        <w:overflowPunct w:val="0"/>
        <w:ind w:left="0"/>
        <w:rPr>
          <w:lang w:val="hu-HU"/>
        </w:rPr>
      </w:pPr>
    </w:p>
    <w:p w14:paraId="79081EE4" w14:textId="3D924D07" w:rsidR="002D66F3" w:rsidRPr="00360A40" w:rsidRDefault="00A218FB" w:rsidP="00360A40">
      <w:pPr>
        <w:pStyle w:val="Cmsor1"/>
        <w:kinsoku w:val="0"/>
        <w:overflowPunct w:val="0"/>
        <w:ind w:left="0" w:firstLine="0"/>
        <w:rPr>
          <w:b w:val="0"/>
          <w:bCs w:val="0"/>
          <w:lang w:val="hu-HU"/>
        </w:rPr>
      </w:pPr>
      <w:r w:rsidRPr="00360A40">
        <w:rPr>
          <w:lang w:val="hu-HU"/>
        </w:rPr>
        <w:t>2.</w:t>
      </w:r>
      <w:r w:rsidRPr="00360A40">
        <w:rPr>
          <w:lang w:val="hu-HU"/>
        </w:rPr>
        <w:tab/>
      </w:r>
      <w:r w:rsidR="002D66F3" w:rsidRPr="00360A40">
        <w:rPr>
          <w:lang w:val="hu-HU"/>
        </w:rPr>
        <w:t>MINŐSÉGI ÉS MENNYISÉGI ÖSSZETÉTEL</w:t>
      </w:r>
    </w:p>
    <w:p w14:paraId="479615D3" w14:textId="77777777" w:rsidR="002D66F3" w:rsidRPr="00360A40" w:rsidRDefault="002D66F3" w:rsidP="00360A40">
      <w:pPr>
        <w:pStyle w:val="Szvegtrzs"/>
        <w:kinsoku w:val="0"/>
        <w:overflowPunct w:val="0"/>
        <w:ind w:left="0"/>
        <w:rPr>
          <w:b/>
          <w:bCs/>
          <w:lang w:val="hu-HU"/>
        </w:rPr>
      </w:pPr>
    </w:p>
    <w:p w14:paraId="63D02960" w14:textId="05E4088B"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12,5</w:t>
      </w:r>
      <w:r w:rsidR="00931AE1" w:rsidRPr="00360A40">
        <w:rPr>
          <w:u w:val="single"/>
          <w:lang w:val="hu-HU"/>
        </w:rPr>
        <w:t> </w:t>
      </w:r>
      <w:r w:rsidR="002D66F3" w:rsidRPr="00360A40">
        <w:rPr>
          <w:u w:val="single"/>
          <w:lang w:val="hu-HU"/>
        </w:rPr>
        <w:t>mg filmtabletta</w:t>
      </w:r>
    </w:p>
    <w:p w14:paraId="43D02D07" w14:textId="10CECF2C" w:rsidR="002D66F3" w:rsidRPr="00360A40" w:rsidRDefault="002D66F3" w:rsidP="00360A40">
      <w:pPr>
        <w:pStyle w:val="Szvegtrzs"/>
        <w:kinsoku w:val="0"/>
        <w:overflowPunct w:val="0"/>
        <w:ind w:left="0"/>
        <w:rPr>
          <w:lang w:val="hu-HU"/>
        </w:rPr>
      </w:pPr>
      <w:r w:rsidRPr="00360A40">
        <w:rPr>
          <w:lang w:val="hu-HU"/>
        </w:rPr>
        <w:t>12,5</w:t>
      </w:r>
      <w:r w:rsidR="00931AE1" w:rsidRPr="00360A40">
        <w:rPr>
          <w:lang w:val="hu-HU"/>
        </w:rPr>
        <w:t> </w:t>
      </w:r>
      <w:r w:rsidRPr="00360A40">
        <w:rPr>
          <w:lang w:val="hu-HU"/>
        </w:rPr>
        <w:t>mg eltrombopagot tartalmaz (eltrombopag-olamin formájában) filmtablettánként.</w:t>
      </w:r>
    </w:p>
    <w:p w14:paraId="245C47A0" w14:textId="77777777" w:rsidR="002D66F3" w:rsidRPr="00360A40" w:rsidRDefault="002D66F3" w:rsidP="00360A40">
      <w:pPr>
        <w:pStyle w:val="Szvegtrzs"/>
        <w:kinsoku w:val="0"/>
        <w:overflowPunct w:val="0"/>
        <w:ind w:left="0"/>
        <w:rPr>
          <w:lang w:val="hu-HU"/>
        </w:rPr>
      </w:pPr>
    </w:p>
    <w:p w14:paraId="0334960D" w14:textId="182863FC"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25</w:t>
      </w:r>
      <w:r w:rsidR="00931AE1" w:rsidRPr="00360A40">
        <w:rPr>
          <w:u w:val="single"/>
          <w:lang w:val="hu-HU"/>
        </w:rPr>
        <w:t> </w:t>
      </w:r>
      <w:r w:rsidR="002D66F3" w:rsidRPr="00360A40">
        <w:rPr>
          <w:u w:val="single"/>
          <w:lang w:val="hu-HU"/>
        </w:rPr>
        <w:t>mg filmtabletta</w:t>
      </w:r>
    </w:p>
    <w:p w14:paraId="136D2ACC" w14:textId="226D5B69" w:rsidR="002D66F3" w:rsidRPr="00360A40" w:rsidRDefault="002D66F3" w:rsidP="00360A40">
      <w:pPr>
        <w:pStyle w:val="Szvegtrzs"/>
        <w:kinsoku w:val="0"/>
        <w:overflowPunct w:val="0"/>
        <w:ind w:left="0"/>
        <w:rPr>
          <w:lang w:val="hu-HU"/>
        </w:rPr>
      </w:pPr>
      <w:r w:rsidRPr="00360A40">
        <w:rPr>
          <w:lang w:val="hu-HU"/>
        </w:rPr>
        <w:t>25</w:t>
      </w:r>
      <w:r w:rsidR="00931AE1" w:rsidRPr="00360A40">
        <w:rPr>
          <w:lang w:val="hu-HU"/>
        </w:rPr>
        <w:t> </w:t>
      </w:r>
      <w:r w:rsidRPr="00360A40">
        <w:rPr>
          <w:lang w:val="hu-HU"/>
        </w:rPr>
        <w:t>mg eltrombopagot tartalmaz (eltrombopag-olamin formájában) filmtablettánként.</w:t>
      </w:r>
    </w:p>
    <w:p w14:paraId="5E0F7ED2" w14:textId="77777777" w:rsidR="002D66F3" w:rsidRPr="00360A40" w:rsidRDefault="002D66F3" w:rsidP="00360A40">
      <w:pPr>
        <w:pStyle w:val="Szvegtrzs"/>
        <w:kinsoku w:val="0"/>
        <w:overflowPunct w:val="0"/>
        <w:ind w:left="0"/>
        <w:rPr>
          <w:lang w:val="hu-HU"/>
        </w:rPr>
      </w:pPr>
    </w:p>
    <w:p w14:paraId="13811D4D" w14:textId="609089D2"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50</w:t>
      </w:r>
      <w:r w:rsidR="00931AE1" w:rsidRPr="00360A40">
        <w:rPr>
          <w:u w:val="single"/>
          <w:lang w:val="hu-HU"/>
        </w:rPr>
        <w:t> </w:t>
      </w:r>
      <w:r w:rsidR="002D66F3" w:rsidRPr="00360A40">
        <w:rPr>
          <w:u w:val="single"/>
          <w:lang w:val="hu-HU"/>
        </w:rPr>
        <w:t>mg filmtabletta</w:t>
      </w:r>
    </w:p>
    <w:p w14:paraId="5B4DD2BC" w14:textId="5948A58A" w:rsidR="002D66F3" w:rsidRPr="00360A40" w:rsidRDefault="002D66F3" w:rsidP="00360A40">
      <w:pPr>
        <w:pStyle w:val="Szvegtrzs"/>
        <w:kinsoku w:val="0"/>
        <w:overflowPunct w:val="0"/>
        <w:ind w:left="0"/>
        <w:rPr>
          <w:lang w:val="hu-HU"/>
        </w:rPr>
      </w:pPr>
      <w:r w:rsidRPr="00360A40">
        <w:rPr>
          <w:lang w:val="hu-HU"/>
        </w:rPr>
        <w:t>50</w:t>
      </w:r>
      <w:r w:rsidR="00931AE1" w:rsidRPr="00360A40">
        <w:rPr>
          <w:lang w:val="hu-HU"/>
        </w:rPr>
        <w:t> </w:t>
      </w:r>
      <w:r w:rsidRPr="00360A40">
        <w:rPr>
          <w:lang w:val="hu-HU"/>
        </w:rPr>
        <w:t>mg eltrombopagot tartalmaz (eltrombopag-olamin formájában) filmtablettánként.</w:t>
      </w:r>
    </w:p>
    <w:p w14:paraId="539A663D" w14:textId="77777777" w:rsidR="002D66F3" w:rsidRPr="00360A40" w:rsidRDefault="002D66F3" w:rsidP="00360A40">
      <w:pPr>
        <w:pStyle w:val="Szvegtrzs"/>
        <w:kinsoku w:val="0"/>
        <w:overflowPunct w:val="0"/>
        <w:ind w:left="0"/>
        <w:rPr>
          <w:lang w:val="hu-HU"/>
        </w:rPr>
      </w:pPr>
    </w:p>
    <w:p w14:paraId="65511A3C" w14:textId="24041DE0"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75</w:t>
      </w:r>
      <w:r w:rsidR="00931AE1" w:rsidRPr="00360A40">
        <w:rPr>
          <w:u w:val="single"/>
          <w:lang w:val="hu-HU"/>
        </w:rPr>
        <w:t> </w:t>
      </w:r>
      <w:r w:rsidR="002D66F3" w:rsidRPr="00360A40">
        <w:rPr>
          <w:u w:val="single"/>
          <w:lang w:val="hu-HU"/>
        </w:rPr>
        <w:t>mg filmtabletta</w:t>
      </w:r>
    </w:p>
    <w:p w14:paraId="54D90422" w14:textId="4A38B81E" w:rsidR="00A218FB" w:rsidRPr="00360A40" w:rsidRDefault="002D66F3" w:rsidP="00360A40">
      <w:pPr>
        <w:pStyle w:val="Szvegtrzs"/>
        <w:kinsoku w:val="0"/>
        <w:overflowPunct w:val="0"/>
        <w:ind w:left="0"/>
        <w:rPr>
          <w:lang w:val="hu-HU"/>
        </w:rPr>
      </w:pPr>
      <w:r w:rsidRPr="00360A40">
        <w:rPr>
          <w:lang w:val="hu-HU"/>
        </w:rPr>
        <w:t>75</w:t>
      </w:r>
      <w:r w:rsidR="00931AE1" w:rsidRPr="00360A40">
        <w:rPr>
          <w:lang w:val="hu-HU"/>
        </w:rPr>
        <w:t> </w:t>
      </w:r>
      <w:r w:rsidRPr="00360A40">
        <w:rPr>
          <w:lang w:val="hu-HU"/>
        </w:rPr>
        <w:t>mg eltrombopagot tartalmaz (eltrombopag-olamin formájában) filmtablettánként.</w:t>
      </w:r>
    </w:p>
    <w:p w14:paraId="71AF9C57" w14:textId="77777777" w:rsidR="00A218FB" w:rsidRPr="00360A40" w:rsidRDefault="00A218FB" w:rsidP="00360A40">
      <w:pPr>
        <w:pStyle w:val="Szvegtrzs"/>
        <w:kinsoku w:val="0"/>
        <w:overflowPunct w:val="0"/>
        <w:ind w:left="0"/>
        <w:rPr>
          <w:lang w:val="hu-HU"/>
        </w:rPr>
      </w:pPr>
    </w:p>
    <w:p w14:paraId="73685519" w14:textId="706285CA" w:rsidR="002D66F3" w:rsidRPr="00360A40" w:rsidRDefault="002D66F3" w:rsidP="00360A40">
      <w:pPr>
        <w:pStyle w:val="Szvegtrzs"/>
        <w:kinsoku w:val="0"/>
        <w:overflowPunct w:val="0"/>
        <w:ind w:left="0"/>
        <w:rPr>
          <w:lang w:val="hu-HU"/>
        </w:rPr>
      </w:pPr>
      <w:r w:rsidRPr="00360A40">
        <w:rPr>
          <w:lang w:val="hu-HU"/>
        </w:rPr>
        <w:t>A segédanyagok teljes listáját lásd a 6.1</w:t>
      </w:r>
      <w:r w:rsidR="00931AE1" w:rsidRPr="00360A40">
        <w:rPr>
          <w:lang w:val="hu-HU"/>
        </w:rPr>
        <w:t> </w:t>
      </w:r>
      <w:r w:rsidRPr="00360A40">
        <w:rPr>
          <w:lang w:val="hu-HU"/>
        </w:rPr>
        <w:t>pontban.</w:t>
      </w:r>
    </w:p>
    <w:p w14:paraId="33CF652E" w14:textId="77777777" w:rsidR="00A218FB" w:rsidRPr="00360A40" w:rsidRDefault="00A218FB" w:rsidP="00360A40">
      <w:pPr>
        <w:pStyle w:val="Szvegtrzs"/>
        <w:kinsoku w:val="0"/>
        <w:overflowPunct w:val="0"/>
        <w:ind w:left="0"/>
        <w:rPr>
          <w:lang w:val="hu-HU"/>
        </w:rPr>
      </w:pPr>
    </w:p>
    <w:p w14:paraId="0495901B" w14:textId="77777777" w:rsidR="002D66F3" w:rsidRPr="00360A40" w:rsidRDefault="002D66F3" w:rsidP="00360A40">
      <w:pPr>
        <w:pStyle w:val="Szvegtrzs"/>
        <w:kinsoku w:val="0"/>
        <w:overflowPunct w:val="0"/>
        <w:ind w:left="0"/>
        <w:rPr>
          <w:lang w:val="hu-HU"/>
        </w:rPr>
      </w:pPr>
    </w:p>
    <w:p w14:paraId="78C5FE33" w14:textId="0995D2EF" w:rsidR="002D66F3" w:rsidRPr="00360A40" w:rsidRDefault="00A218FB" w:rsidP="00360A40">
      <w:pPr>
        <w:pStyle w:val="Cmsor1"/>
        <w:kinsoku w:val="0"/>
        <w:overflowPunct w:val="0"/>
        <w:ind w:left="0" w:firstLine="0"/>
        <w:rPr>
          <w:b w:val="0"/>
          <w:bCs w:val="0"/>
          <w:lang w:val="hu-HU"/>
        </w:rPr>
      </w:pPr>
      <w:r w:rsidRPr="00360A40">
        <w:rPr>
          <w:lang w:val="hu-HU"/>
        </w:rPr>
        <w:t>3.</w:t>
      </w:r>
      <w:r w:rsidRPr="00360A40">
        <w:rPr>
          <w:lang w:val="hu-HU"/>
        </w:rPr>
        <w:tab/>
      </w:r>
      <w:r w:rsidR="002D66F3" w:rsidRPr="00360A40">
        <w:rPr>
          <w:lang w:val="hu-HU"/>
        </w:rPr>
        <w:t>GYÓGYSZERFORMA</w:t>
      </w:r>
    </w:p>
    <w:p w14:paraId="5EB5D2AD" w14:textId="77777777" w:rsidR="002D66F3" w:rsidRPr="00360A40" w:rsidRDefault="002D66F3" w:rsidP="00360A40">
      <w:pPr>
        <w:pStyle w:val="Szvegtrzs"/>
        <w:kinsoku w:val="0"/>
        <w:overflowPunct w:val="0"/>
        <w:ind w:left="0"/>
        <w:rPr>
          <w:b/>
          <w:bCs/>
          <w:lang w:val="hu-HU"/>
        </w:rPr>
      </w:pPr>
    </w:p>
    <w:p w14:paraId="00602346" w14:textId="77777777" w:rsidR="002D66F3" w:rsidRPr="00360A40" w:rsidRDefault="002D66F3" w:rsidP="00360A40">
      <w:pPr>
        <w:pStyle w:val="Szvegtrzs"/>
        <w:kinsoku w:val="0"/>
        <w:overflowPunct w:val="0"/>
        <w:ind w:left="0"/>
        <w:rPr>
          <w:lang w:val="hu-HU"/>
        </w:rPr>
      </w:pPr>
      <w:r w:rsidRPr="00360A40">
        <w:rPr>
          <w:lang w:val="hu-HU"/>
        </w:rPr>
        <w:t>Filmtabletta.</w:t>
      </w:r>
    </w:p>
    <w:p w14:paraId="0335E18A" w14:textId="77777777" w:rsidR="002D66F3" w:rsidRPr="00360A40" w:rsidRDefault="002D66F3" w:rsidP="00360A40">
      <w:pPr>
        <w:pStyle w:val="Szvegtrzs"/>
        <w:kinsoku w:val="0"/>
        <w:overflowPunct w:val="0"/>
        <w:ind w:left="0"/>
        <w:rPr>
          <w:lang w:val="hu-HU"/>
        </w:rPr>
      </w:pPr>
    </w:p>
    <w:p w14:paraId="451A2BF3" w14:textId="4CFAD305"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12,5</w:t>
      </w:r>
      <w:r w:rsidR="00931AE1" w:rsidRPr="00360A40">
        <w:rPr>
          <w:u w:val="single"/>
          <w:lang w:val="hu-HU"/>
        </w:rPr>
        <w:t> </w:t>
      </w:r>
      <w:r w:rsidR="002D66F3" w:rsidRPr="00360A40">
        <w:rPr>
          <w:u w:val="single"/>
          <w:lang w:val="hu-HU"/>
        </w:rPr>
        <w:t>mg filmtabletta</w:t>
      </w:r>
    </w:p>
    <w:p w14:paraId="1814CFB3" w14:textId="65455417" w:rsidR="002D66F3" w:rsidRPr="00360A40" w:rsidRDefault="002D66F3" w:rsidP="00360A40">
      <w:pPr>
        <w:pStyle w:val="Szvegtrzs"/>
        <w:kinsoku w:val="0"/>
        <w:overflowPunct w:val="0"/>
        <w:ind w:left="0"/>
        <w:rPr>
          <w:lang w:val="hu-HU"/>
        </w:rPr>
      </w:pPr>
      <w:r w:rsidRPr="00360A40">
        <w:rPr>
          <w:lang w:val="hu-HU"/>
        </w:rPr>
        <w:t xml:space="preserve">Fehér, kerek, </w:t>
      </w:r>
      <w:r w:rsidR="00ED366D" w:rsidRPr="00360A40">
        <w:rPr>
          <w:lang w:val="hu-HU"/>
        </w:rPr>
        <w:t>5,</w:t>
      </w:r>
      <w:r w:rsidR="00D81D00" w:rsidRPr="00360A40">
        <w:rPr>
          <w:lang w:val="hu-HU"/>
        </w:rPr>
        <w:t>7</w:t>
      </w:r>
      <w:r w:rsidR="00ED366D" w:rsidRPr="00360A40">
        <w:rPr>
          <w:lang w:val="hu-HU"/>
        </w:rPr>
        <w:t xml:space="preserve"> mm </w:t>
      </w:r>
      <w:r w:rsidR="00D81D00" w:rsidRPr="00360A40">
        <w:rPr>
          <w:lang w:val="hu-HU"/>
        </w:rPr>
        <w:t xml:space="preserve">névleges </w:t>
      </w:r>
      <w:r w:rsidR="00ED366D" w:rsidRPr="00360A40">
        <w:rPr>
          <w:lang w:val="hu-HU"/>
        </w:rPr>
        <w:t xml:space="preserve">átmérőjű, </w:t>
      </w:r>
      <w:r w:rsidRPr="00360A40">
        <w:rPr>
          <w:lang w:val="hu-HU"/>
        </w:rPr>
        <w:t xml:space="preserve">mindkét oldalán domború felületű, </w:t>
      </w:r>
      <w:r w:rsidR="00ED366D" w:rsidRPr="00360A40">
        <w:rPr>
          <w:lang w:val="hu-HU"/>
        </w:rPr>
        <w:t>egyik oldalán mélynyomású „</w:t>
      </w:r>
      <w:r w:rsidR="00D81D00" w:rsidRPr="00360A40">
        <w:rPr>
          <w:lang w:val="hu-HU"/>
        </w:rPr>
        <w:t>12.5</w:t>
      </w:r>
      <w:r w:rsidR="00ED366D" w:rsidRPr="00360A40">
        <w:rPr>
          <w:lang w:val="hu-HU"/>
        </w:rPr>
        <w:t>” jelöléssel ellátott</w:t>
      </w:r>
      <w:r w:rsidR="00CF69AD">
        <w:rPr>
          <w:lang w:val="hu-HU"/>
        </w:rPr>
        <w:t>,</w:t>
      </w:r>
      <w:r w:rsidR="00ED366D" w:rsidRPr="00360A40">
        <w:rPr>
          <w:lang w:val="hu-HU"/>
        </w:rPr>
        <w:t xml:space="preserve"> </w:t>
      </w:r>
      <w:r w:rsidR="00D81D00" w:rsidRPr="00360A40">
        <w:rPr>
          <w:lang w:val="hu-HU"/>
        </w:rPr>
        <w:t xml:space="preserve">a másik oldalán sima </w:t>
      </w:r>
      <w:r w:rsidRPr="00360A40">
        <w:rPr>
          <w:lang w:val="hu-HU"/>
        </w:rPr>
        <w:t>filmtabletta.</w:t>
      </w:r>
    </w:p>
    <w:p w14:paraId="7170D60C" w14:textId="77777777" w:rsidR="002D66F3" w:rsidRPr="00360A40" w:rsidRDefault="002D66F3" w:rsidP="00360A40">
      <w:pPr>
        <w:pStyle w:val="Szvegtrzs"/>
        <w:kinsoku w:val="0"/>
        <w:overflowPunct w:val="0"/>
        <w:ind w:left="0"/>
        <w:rPr>
          <w:lang w:val="hu-HU"/>
        </w:rPr>
      </w:pPr>
    </w:p>
    <w:p w14:paraId="10D08A44" w14:textId="1874B3E0"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25</w:t>
      </w:r>
      <w:r w:rsidR="00931AE1" w:rsidRPr="00360A40">
        <w:rPr>
          <w:u w:val="single"/>
          <w:lang w:val="hu-HU"/>
        </w:rPr>
        <w:t> </w:t>
      </w:r>
      <w:r w:rsidR="002D66F3" w:rsidRPr="00360A40">
        <w:rPr>
          <w:u w:val="single"/>
          <w:lang w:val="hu-HU"/>
        </w:rPr>
        <w:t>mg filmtabletta</w:t>
      </w:r>
    </w:p>
    <w:p w14:paraId="2B550894" w14:textId="4CF314F8" w:rsidR="002D66F3" w:rsidRPr="00360A40" w:rsidRDefault="002D66F3" w:rsidP="00360A40">
      <w:pPr>
        <w:pStyle w:val="Szvegtrzs"/>
        <w:kinsoku w:val="0"/>
        <w:overflowPunct w:val="0"/>
        <w:ind w:left="0"/>
        <w:rPr>
          <w:lang w:val="hu-HU"/>
        </w:rPr>
      </w:pPr>
      <w:r w:rsidRPr="00360A40">
        <w:rPr>
          <w:lang w:val="hu-HU"/>
        </w:rPr>
        <w:t xml:space="preserve">Fehér, kerek, </w:t>
      </w:r>
      <w:r w:rsidR="00D81D00" w:rsidRPr="00360A40">
        <w:rPr>
          <w:lang w:val="hu-HU"/>
        </w:rPr>
        <w:t>6,5</w:t>
      </w:r>
      <w:r w:rsidR="00ED366D" w:rsidRPr="00360A40">
        <w:rPr>
          <w:lang w:val="hu-HU"/>
        </w:rPr>
        <w:t xml:space="preserve"> mm </w:t>
      </w:r>
      <w:r w:rsidR="00D81D00" w:rsidRPr="00360A40">
        <w:rPr>
          <w:lang w:val="hu-HU"/>
        </w:rPr>
        <w:t xml:space="preserve">névleges </w:t>
      </w:r>
      <w:r w:rsidR="00ED366D" w:rsidRPr="00360A40">
        <w:rPr>
          <w:lang w:val="hu-HU"/>
        </w:rPr>
        <w:t xml:space="preserve">átmérőjű, </w:t>
      </w:r>
      <w:r w:rsidRPr="00360A40">
        <w:rPr>
          <w:lang w:val="hu-HU"/>
        </w:rPr>
        <w:t xml:space="preserve">mindkét oldalán domború felületű, </w:t>
      </w:r>
      <w:r w:rsidR="00ED366D" w:rsidRPr="00360A40">
        <w:rPr>
          <w:lang w:val="hu-HU"/>
        </w:rPr>
        <w:t>egyik oldalán mélynyomású „25” jelöléssel ellátott</w:t>
      </w:r>
      <w:r w:rsidR="00CF69AD">
        <w:rPr>
          <w:lang w:val="hu-HU"/>
        </w:rPr>
        <w:t>,</w:t>
      </w:r>
      <w:r w:rsidR="00ED366D" w:rsidRPr="00360A40">
        <w:rPr>
          <w:lang w:val="hu-HU"/>
        </w:rPr>
        <w:t xml:space="preserve"> </w:t>
      </w:r>
      <w:r w:rsidR="00D81D00" w:rsidRPr="00360A40">
        <w:rPr>
          <w:lang w:val="hu-HU"/>
        </w:rPr>
        <w:t xml:space="preserve">a másik oldalán sima </w:t>
      </w:r>
      <w:r w:rsidRPr="00360A40">
        <w:rPr>
          <w:lang w:val="hu-HU"/>
        </w:rPr>
        <w:t>filmtabletta</w:t>
      </w:r>
      <w:r w:rsidR="00ED366D" w:rsidRPr="00360A40">
        <w:rPr>
          <w:lang w:val="hu-HU"/>
        </w:rPr>
        <w:t>.</w:t>
      </w:r>
    </w:p>
    <w:p w14:paraId="7836E03E" w14:textId="77777777" w:rsidR="002D66F3" w:rsidRPr="00360A40" w:rsidRDefault="002D66F3" w:rsidP="00360A40">
      <w:pPr>
        <w:pStyle w:val="Szvegtrzs"/>
        <w:kinsoku w:val="0"/>
        <w:overflowPunct w:val="0"/>
        <w:ind w:left="0"/>
        <w:rPr>
          <w:lang w:val="hu-HU"/>
        </w:rPr>
      </w:pPr>
    </w:p>
    <w:p w14:paraId="6C45997D" w14:textId="5A01B02A"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50</w:t>
      </w:r>
      <w:r w:rsidR="00931AE1" w:rsidRPr="00360A40">
        <w:rPr>
          <w:u w:val="single"/>
          <w:lang w:val="hu-HU"/>
        </w:rPr>
        <w:t> </w:t>
      </w:r>
      <w:r w:rsidR="002D66F3" w:rsidRPr="00360A40">
        <w:rPr>
          <w:u w:val="single"/>
          <w:lang w:val="hu-HU"/>
        </w:rPr>
        <w:t>mg filmtabletta</w:t>
      </w:r>
    </w:p>
    <w:p w14:paraId="04B83203" w14:textId="71AE5ED3" w:rsidR="00ED366D" w:rsidRPr="00360A40" w:rsidRDefault="002D66F3" w:rsidP="00360A40">
      <w:pPr>
        <w:pStyle w:val="Szvegtrzs"/>
        <w:kinsoku w:val="0"/>
        <w:overflowPunct w:val="0"/>
        <w:ind w:left="0"/>
        <w:rPr>
          <w:lang w:val="hu-HU"/>
        </w:rPr>
      </w:pPr>
      <w:r w:rsidRPr="00360A40">
        <w:rPr>
          <w:lang w:val="hu-HU"/>
        </w:rPr>
        <w:t xml:space="preserve">Barna, kerek, </w:t>
      </w:r>
      <w:r w:rsidR="00ED366D" w:rsidRPr="00360A40">
        <w:rPr>
          <w:lang w:val="hu-HU"/>
        </w:rPr>
        <w:t>9,</w:t>
      </w:r>
      <w:r w:rsidR="00D81D00" w:rsidRPr="00360A40">
        <w:rPr>
          <w:lang w:val="hu-HU"/>
        </w:rPr>
        <w:t>1</w:t>
      </w:r>
      <w:r w:rsidR="00ED366D" w:rsidRPr="00360A40">
        <w:rPr>
          <w:lang w:val="hu-HU"/>
        </w:rPr>
        <w:t xml:space="preserve"> mm </w:t>
      </w:r>
      <w:r w:rsidR="00D81D00" w:rsidRPr="00360A40">
        <w:rPr>
          <w:lang w:val="hu-HU"/>
        </w:rPr>
        <w:t xml:space="preserve">névleges </w:t>
      </w:r>
      <w:r w:rsidR="00ED366D" w:rsidRPr="00360A40">
        <w:rPr>
          <w:lang w:val="hu-HU"/>
        </w:rPr>
        <w:t xml:space="preserve">átmérőjű, </w:t>
      </w:r>
      <w:r w:rsidRPr="00360A40">
        <w:rPr>
          <w:lang w:val="hu-HU"/>
        </w:rPr>
        <w:t xml:space="preserve">mindkét oldalán domború felületű, </w:t>
      </w:r>
      <w:r w:rsidR="00ED366D" w:rsidRPr="00360A40">
        <w:rPr>
          <w:lang w:val="hu-HU"/>
        </w:rPr>
        <w:t>egyik oldalán mélynyomású „50” jelöléssel ellátott</w:t>
      </w:r>
      <w:r w:rsidR="00CF69AD">
        <w:rPr>
          <w:lang w:val="hu-HU"/>
        </w:rPr>
        <w:t>,</w:t>
      </w:r>
      <w:r w:rsidR="00ED366D" w:rsidRPr="00360A40">
        <w:rPr>
          <w:lang w:val="hu-HU"/>
        </w:rPr>
        <w:t xml:space="preserve"> </w:t>
      </w:r>
      <w:r w:rsidR="00D81D00" w:rsidRPr="00360A40">
        <w:rPr>
          <w:lang w:val="hu-HU"/>
        </w:rPr>
        <w:t xml:space="preserve">a másik oldalán sima </w:t>
      </w:r>
      <w:r w:rsidR="00ED366D" w:rsidRPr="00360A40">
        <w:rPr>
          <w:lang w:val="hu-HU"/>
        </w:rPr>
        <w:t>filmtabletta.</w:t>
      </w:r>
    </w:p>
    <w:p w14:paraId="2963403C" w14:textId="77777777" w:rsidR="00ED366D" w:rsidRPr="00360A40" w:rsidRDefault="00ED366D" w:rsidP="00360A40">
      <w:pPr>
        <w:pStyle w:val="Szvegtrzs"/>
        <w:kinsoku w:val="0"/>
        <w:overflowPunct w:val="0"/>
        <w:ind w:left="0"/>
        <w:rPr>
          <w:lang w:val="hu-HU"/>
        </w:rPr>
      </w:pPr>
    </w:p>
    <w:p w14:paraId="47F21C5C" w14:textId="1CAEB208"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75</w:t>
      </w:r>
      <w:r w:rsidR="00931AE1" w:rsidRPr="00360A40">
        <w:rPr>
          <w:u w:val="single"/>
          <w:lang w:val="hu-HU"/>
        </w:rPr>
        <w:t> </w:t>
      </w:r>
      <w:r w:rsidR="002D66F3" w:rsidRPr="00360A40">
        <w:rPr>
          <w:u w:val="single"/>
          <w:lang w:val="hu-HU"/>
        </w:rPr>
        <w:t>mg filmtabletta</w:t>
      </w:r>
    </w:p>
    <w:p w14:paraId="2E5259A5" w14:textId="201ACA99" w:rsidR="00ED366D" w:rsidRPr="00360A40" w:rsidRDefault="002D66F3" w:rsidP="00360A40">
      <w:pPr>
        <w:pStyle w:val="Szvegtrzs"/>
        <w:kinsoku w:val="0"/>
        <w:overflowPunct w:val="0"/>
        <w:ind w:left="0"/>
        <w:rPr>
          <w:lang w:val="hu-HU"/>
        </w:rPr>
      </w:pPr>
      <w:r w:rsidRPr="00360A40">
        <w:rPr>
          <w:lang w:val="hu-HU"/>
        </w:rPr>
        <w:t xml:space="preserve">Rózsaszín színű, kerek, </w:t>
      </w:r>
      <w:r w:rsidR="00ED366D" w:rsidRPr="00360A40">
        <w:rPr>
          <w:lang w:val="hu-HU"/>
        </w:rPr>
        <w:t>1</w:t>
      </w:r>
      <w:r w:rsidR="00D81D00" w:rsidRPr="00360A40">
        <w:rPr>
          <w:lang w:val="hu-HU"/>
        </w:rPr>
        <w:t>0,4</w:t>
      </w:r>
      <w:r w:rsidR="00ED366D" w:rsidRPr="00360A40">
        <w:rPr>
          <w:lang w:val="hu-HU"/>
        </w:rPr>
        <w:t xml:space="preserve"> mm </w:t>
      </w:r>
      <w:r w:rsidR="00D81D00" w:rsidRPr="00360A40">
        <w:rPr>
          <w:lang w:val="hu-HU"/>
        </w:rPr>
        <w:t xml:space="preserve">névleges </w:t>
      </w:r>
      <w:r w:rsidR="00ED366D" w:rsidRPr="00360A40">
        <w:rPr>
          <w:lang w:val="hu-HU"/>
        </w:rPr>
        <w:t xml:space="preserve">átmérőjű, </w:t>
      </w:r>
      <w:r w:rsidRPr="00360A40">
        <w:rPr>
          <w:lang w:val="hu-HU"/>
        </w:rPr>
        <w:t xml:space="preserve">mindkét oldalán domború felületű, </w:t>
      </w:r>
      <w:r w:rsidR="00ED366D" w:rsidRPr="00360A40">
        <w:rPr>
          <w:lang w:val="hu-HU"/>
        </w:rPr>
        <w:t>egyik oldalán mélynyomású „75” jelöléssel ellátott</w:t>
      </w:r>
      <w:r w:rsidR="00CF69AD">
        <w:rPr>
          <w:lang w:val="hu-HU"/>
        </w:rPr>
        <w:t>,</w:t>
      </w:r>
      <w:r w:rsidR="00ED366D" w:rsidRPr="00360A40">
        <w:rPr>
          <w:lang w:val="hu-HU"/>
        </w:rPr>
        <w:t xml:space="preserve"> </w:t>
      </w:r>
      <w:r w:rsidR="00D81D00" w:rsidRPr="00360A40">
        <w:rPr>
          <w:lang w:val="hu-HU"/>
        </w:rPr>
        <w:t xml:space="preserve">a másik oldalán sima </w:t>
      </w:r>
      <w:r w:rsidR="00ED366D" w:rsidRPr="00360A40">
        <w:rPr>
          <w:lang w:val="hu-HU"/>
        </w:rPr>
        <w:t>filmtabletta.</w:t>
      </w:r>
    </w:p>
    <w:p w14:paraId="2845D9DF" w14:textId="77777777" w:rsidR="00ED366D" w:rsidRPr="00360A40" w:rsidRDefault="00ED366D" w:rsidP="00360A40">
      <w:pPr>
        <w:pStyle w:val="Szvegtrzs"/>
        <w:kinsoku w:val="0"/>
        <w:overflowPunct w:val="0"/>
        <w:ind w:left="0"/>
        <w:rPr>
          <w:lang w:val="hu-HU"/>
        </w:rPr>
      </w:pPr>
    </w:p>
    <w:p w14:paraId="7E5C4B28" w14:textId="77777777" w:rsidR="002D66F3" w:rsidRPr="00360A40" w:rsidRDefault="002D66F3" w:rsidP="00360A40">
      <w:pPr>
        <w:pStyle w:val="Szvegtrzs"/>
        <w:kinsoku w:val="0"/>
        <w:overflowPunct w:val="0"/>
        <w:ind w:left="0"/>
        <w:rPr>
          <w:lang w:val="hu-HU"/>
        </w:rPr>
      </w:pPr>
    </w:p>
    <w:p w14:paraId="35BC3B69" w14:textId="3C97DFC9" w:rsidR="002D66F3" w:rsidRPr="00360A40" w:rsidRDefault="00A218FB" w:rsidP="00360A40">
      <w:pPr>
        <w:pStyle w:val="Cmsor1"/>
        <w:kinsoku w:val="0"/>
        <w:overflowPunct w:val="0"/>
        <w:ind w:left="0" w:firstLine="0"/>
        <w:rPr>
          <w:b w:val="0"/>
          <w:bCs w:val="0"/>
          <w:lang w:val="hu-HU"/>
        </w:rPr>
      </w:pPr>
      <w:r w:rsidRPr="00360A40">
        <w:rPr>
          <w:lang w:val="hu-HU"/>
        </w:rPr>
        <w:t>4.</w:t>
      </w:r>
      <w:r w:rsidRPr="00360A40">
        <w:rPr>
          <w:lang w:val="hu-HU"/>
        </w:rPr>
        <w:tab/>
      </w:r>
      <w:r w:rsidR="002D66F3" w:rsidRPr="00360A40">
        <w:rPr>
          <w:lang w:val="hu-HU"/>
        </w:rPr>
        <w:t>KLINIKAI JELLEMZŐK</w:t>
      </w:r>
    </w:p>
    <w:p w14:paraId="11400AFB" w14:textId="77777777" w:rsidR="002D66F3" w:rsidRPr="00360A40" w:rsidRDefault="002D66F3" w:rsidP="00360A40">
      <w:pPr>
        <w:pStyle w:val="Szvegtrzs"/>
        <w:kinsoku w:val="0"/>
        <w:overflowPunct w:val="0"/>
        <w:ind w:left="0"/>
        <w:rPr>
          <w:b/>
          <w:bCs/>
          <w:lang w:val="hu-HU"/>
        </w:rPr>
      </w:pPr>
    </w:p>
    <w:p w14:paraId="60F1FEDF" w14:textId="27AE6BD3" w:rsidR="002D66F3" w:rsidRPr="00360A40" w:rsidRDefault="00A218FB" w:rsidP="00360A40">
      <w:pPr>
        <w:pStyle w:val="Szvegtrzs"/>
        <w:kinsoku w:val="0"/>
        <w:overflowPunct w:val="0"/>
        <w:ind w:left="0"/>
        <w:rPr>
          <w:lang w:val="hu-HU"/>
        </w:rPr>
      </w:pPr>
      <w:r w:rsidRPr="00360A40">
        <w:rPr>
          <w:b/>
          <w:bCs/>
          <w:lang w:val="hu-HU"/>
        </w:rPr>
        <w:t>4.1</w:t>
      </w:r>
      <w:r w:rsidRPr="00360A40">
        <w:rPr>
          <w:b/>
          <w:bCs/>
          <w:lang w:val="hu-HU"/>
        </w:rPr>
        <w:tab/>
      </w:r>
      <w:r w:rsidR="002D66F3" w:rsidRPr="00360A40">
        <w:rPr>
          <w:b/>
          <w:bCs/>
          <w:lang w:val="hu-HU"/>
        </w:rPr>
        <w:t>Terápiás javallatok</w:t>
      </w:r>
    </w:p>
    <w:p w14:paraId="3ECB99FD" w14:textId="77777777" w:rsidR="002D66F3" w:rsidRPr="00360A40" w:rsidRDefault="002D66F3" w:rsidP="00360A40">
      <w:pPr>
        <w:pStyle w:val="Szvegtrzs"/>
        <w:kinsoku w:val="0"/>
        <w:overflowPunct w:val="0"/>
        <w:ind w:left="0"/>
        <w:rPr>
          <w:b/>
          <w:bCs/>
          <w:lang w:val="hu-HU"/>
        </w:rPr>
      </w:pPr>
    </w:p>
    <w:p w14:paraId="23DF44BF" w14:textId="70DC090D" w:rsidR="002D66F3" w:rsidRPr="00360A40" w:rsidRDefault="002D66F3" w:rsidP="00360A40">
      <w:pPr>
        <w:pStyle w:val="Szvegtrzs"/>
        <w:kinsoku w:val="0"/>
        <w:overflowPunct w:val="0"/>
        <w:ind w:left="0"/>
        <w:rPr>
          <w:lang w:val="hu-HU"/>
        </w:rPr>
      </w:pPr>
      <w:r w:rsidRPr="00360A40">
        <w:rPr>
          <w:lang w:val="hu-HU"/>
        </w:rPr>
        <w:t>A</w:t>
      </w:r>
      <w:r w:rsidR="00931AE1" w:rsidRPr="00360A40">
        <w:rPr>
          <w:lang w:val="hu-HU"/>
        </w:rPr>
        <w:t>z</w:t>
      </w:r>
      <w:r w:rsidRPr="00360A40">
        <w:rPr>
          <w:lang w:val="hu-HU"/>
        </w:rPr>
        <w:t xml:space="preserve"> </w:t>
      </w:r>
      <w:r w:rsidR="004873CF" w:rsidRPr="00360A40">
        <w:rPr>
          <w:lang w:val="hu-HU"/>
        </w:rPr>
        <w:t xml:space="preserve">Eltrombopag </w:t>
      </w:r>
      <w:r w:rsidR="00182D80" w:rsidRPr="00360A40">
        <w:rPr>
          <w:lang w:val="hu-HU"/>
        </w:rPr>
        <w:t>Vipharm</w:t>
      </w:r>
      <w:r w:rsidRPr="00360A40">
        <w:rPr>
          <w:lang w:val="hu-HU"/>
        </w:rPr>
        <w:t xml:space="preserve"> primer immun thrombocytopenia (ITP) kezelésére javallott olyan felnőtt betegeknél, akik más kezelésekre (pl. kortikoszteroidok, immunglobulinok) nem reagálnak (lásd 4.2 és 5.1</w:t>
      </w:r>
      <w:r w:rsidR="00931AE1" w:rsidRPr="00360A40">
        <w:rPr>
          <w:lang w:val="hu-HU"/>
        </w:rPr>
        <w:t> </w:t>
      </w:r>
      <w:r w:rsidRPr="00360A40">
        <w:rPr>
          <w:lang w:val="hu-HU"/>
        </w:rPr>
        <w:t>pont).</w:t>
      </w:r>
    </w:p>
    <w:p w14:paraId="475D11F4" w14:textId="77777777" w:rsidR="002D66F3" w:rsidRPr="00360A40" w:rsidRDefault="002D66F3" w:rsidP="00360A40">
      <w:pPr>
        <w:pStyle w:val="Szvegtrzs"/>
        <w:kinsoku w:val="0"/>
        <w:overflowPunct w:val="0"/>
        <w:ind w:left="0"/>
        <w:rPr>
          <w:lang w:val="hu-HU"/>
        </w:rPr>
      </w:pPr>
    </w:p>
    <w:p w14:paraId="58868AD1" w14:textId="20C978A9" w:rsidR="002D66F3" w:rsidRPr="00360A40" w:rsidRDefault="002D66F3" w:rsidP="00360A40">
      <w:pPr>
        <w:pStyle w:val="Szvegtrzs"/>
        <w:kinsoku w:val="0"/>
        <w:overflowPunct w:val="0"/>
        <w:ind w:left="0"/>
        <w:rPr>
          <w:lang w:val="hu-HU"/>
        </w:rPr>
      </w:pPr>
      <w:r w:rsidRPr="00360A40">
        <w:rPr>
          <w:lang w:val="hu-HU"/>
        </w:rPr>
        <w:lastRenderedPageBreak/>
        <w:t>A</w:t>
      </w:r>
      <w:r w:rsidR="00931AE1" w:rsidRPr="00360A40">
        <w:rPr>
          <w:lang w:val="hu-HU"/>
        </w:rPr>
        <w:t>z</w:t>
      </w:r>
      <w:r w:rsidRPr="00360A40">
        <w:rPr>
          <w:lang w:val="hu-HU"/>
        </w:rPr>
        <w:t xml:space="preserve"> </w:t>
      </w:r>
      <w:r w:rsidR="004873CF" w:rsidRPr="00360A40">
        <w:rPr>
          <w:lang w:val="hu-HU"/>
        </w:rPr>
        <w:t xml:space="preserve">Eltrombopag </w:t>
      </w:r>
      <w:r w:rsidR="00182D80" w:rsidRPr="00360A40">
        <w:rPr>
          <w:lang w:val="hu-HU"/>
        </w:rPr>
        <w:t>Vipharm</w:t>
      </w:r>
      <w:r w:rsidRPr="00360A40">
        <w:rPr>
          <w:lang w:val="hu-HU"/>
        </w:rPr>
        <w:t xml:space="preserve"> 6</w:t>
      </w:r>
      <w:r w:rsidR="00931AE1" w:rsidRPr="00360A40">
        <w:rPr>
          <w:lang w:val="hu-HU"/>
        </w:rPr>
        <w:t> </w:t>
      </w:r>
      <w:r w:rsidRPr="00360A40">
        <w:rPr>
          <w:lang w:val="hu-HU"/>
        </w:rPr>
        <w:t>hónapja vagy annál hosszabb ideje fennálló primer immun thrombocytopenia (ITP) kezelésére javallott olyan 1</w:t>
      </w:r>
      <w:r w:rsidR="00931AE1" w:rsidRPr="00360A40">
        <w:rPr>
          <w:lang w:val="hu-HU"/>
        </w:rPr>
        <w:t> </w:t>
      </w:r>
      <w:r w:rsidRPr="00360A40">
        <w:rPr>
          <w:lang w:val="hu-HU"/>
        </w:rPr>
        <w:t>évesnél idősebb gyermek</w:t>
      </w:r>
      <w:r w:rsidR="005D57C1">
        <w:rPr>
          <w:lang w:val="hu-HU"/>
        </w:rPr>
        <w:t>eknél és serdülőknél</w:t>
      </w:r>
      <w:r w:rsidRPr="00360A40">
        <w:rPr>
          <w:lang w:val="hu-HU"/>
        </w:rPr>
        <w:t>, akik más kezelésekre (pl. kortikoszteroidok, immunglobulinok) nem reagálnak (lásd 4.2 és 5.1</w:t>
      </w:r>
      <w:r w:rsidR="00931AE1" w:rsidRPr="00360A40">
        <w:rPr>
          <w:lang w:val="hu-HU"/>
        </w:rPr>
        <w:t> </w:t>
      </w:r>
      <w:r w:rsidRPr="00360A40">
        <w:rPr>
          <w:lang w:val="hu-HU"/>
        </w:rPr>
        <w:t>pont).</w:t>
      </w:r>
    </w:p>
    <w:p w14:paraId="66B1E70D" w14:textId="77777777" w:rsidR="00A218FB" w:rsidRPr="00360A40" w:rsidRDefault="00A218FB" w:rsidP="00360A40">
      <w:pPr>
        <w:pStyle w:val="Szvegtrzs"/>
        <w:kinsoku w:val="0"/>
        <w:overflowPunct w:val="0"/>
        <w:ind w:left="0"/>
        <w:rPr>
          <w:lang w:val="hu-HU"/>
        </w:rPr>
      </w:pPr>
    </w:p>
    <w:p w14:paraId="3C885136" w14:textId="239AC0CD" w:rsidR="002D66F3" w:rsidRPr="00360A40" w:rsidRDefault="002D66F3" w:rsidP="00360A40">
      <w:pPr>
        <w:pStyle w:val="Szvegtrzs"/>
        <w:kinsoku w:val="0"/>
        <w:overflowPunct w:val="0"/>
        <w:ind w:left="0"/>
        <w:rPr>
          <w:lang w:val="hu-HU"/>
        </w:rPr>
      </w:pPr>
      <w:r w:rsidRPr="00360A40">
        <w:rPr>
          <w:lang w:val="hu-HU"/>
        </w:rPr>
        <w:t>A</w:t>
      </w:r>
      <w:r w:rsidR="00931AE1" w:rsidRPr="00360A40">
        <w:rPr>
          <w:lang w:val="hu-HU"/>
        </w:rPr>
        <w:t>z</w:t>
      </w:r>
      <w:r w:rsidRPr="00360A40">
        <w:rPr>
          <w:lang w:val="hu-HU"/>
        </w:rPr>
        <w:t xml:space="preserve"> </w:t>
      </w:r>
      <w:r w:rsidR="004873CF" w:rsidRPr="00360A40">
        <w:rPr>
          <w:lang w:val="hu-HU"/>
        </w:rPr>
        <w:t xml:space="preserve">Eltrombopag </w:t>
      </w:r>
      <w:r w:rsidR="00182D80" w:rsidRPr="00360A40">
        <w:rPr>
          <w:lang w:val="hu-HU"/>
        </w:rPr>
        <w:t>Vipharm</w:t>
      </w:r>
      <w:r w:rsidRPr="00360A40">
        <w:rPr>
          <w:lang w:val="hu-HU"/>
        </w:rPr>
        <w:t xml:space="preserve"> thrombocytopenia kezelésére javallott olyan krónikus hepatitis C-fertőzésben (HCV) szenvedő </w:t>
      </w:r>
      <w:r w:rsidR="005D57C1">
        <w:rPr>
          <w:lang w:val="hu-HU"/>
        </w:rPr>
        <w:t xml:space="preserve">felnőtt </w:t>
      </w:r>
      <w:r w:rsidRPr="00360A40">
        <w:rPr>
          <w:lang w:val="hu-HU"/>
        </w:rPr>
        <w:t>betegeknél, akiknél a thrombocytopenia mértéke a legfontosabb gátló faktora az optimális interferon alapú terápia megkezdésének vagy fenntartásának (lásd 4.4 és 5.1</w:t>
      </w:r>
      <w:r w:rsidR="00931AE1" w:rsidRPr="00360A40">
        <w:rPr>
          <w:lang w:val="hu-HU"/>
        </w:rPr>
        <w:t> </w:t>
      </w:r>
      <w:r w:rsidRPr="00360A40">
        <w:rPr>
          <w:lang w:val="hu-HU"/>
        </w:rPr>
        <w:t>pont).</w:t>
      </w:r>
    </w:p>
    <w:p w14:paraId="1E0452E6" w14:textId="77777777" w:rsidR="00AB3ADE" w:rsidRPr="00360A40" w:rsidRDefault="00AB3ADE" w:rsidP="00360A40">
      <w:pPr>
        <w:pStyle w:val="Szvegtrzs"/>
        <w:kinsoku w:val="0"/>
        <w:overflowPunct w:val="0"/>
        <w:ind w:left="0"/>
        <w:rPr>
          <w:lang w:val="hu-HU"/>
        </w:rPr>
      </w:pPr>
    </w:p>
    <w:p w14:paraId="156786BE" w14:textId="77777777" w:rsidR="002D66F3" w:rsidRDefault="002D66F3" w:rsidP="00360A40">
      <w:pPr>
        <w:pStyle w:val="Szvegtrzs"/>
        <w:kinsoku w:val="0"/>
        <w:overflowPunct w:val="0"/>
        <w:ind w:left="0"/>
        <w:rPr>
          <w:lang w:val="hu-HU"/>
        </w:rPr>
      </w:pPr>
    </w:p>
    <w:p w14:paraId="61DA49C1" w14:textId="77777777" w:rsidR="002D66F3" w:rsidRPr="00360A40" w:rsidRDefault="002D66F3" w:rsidP="00360A40">
      <w:pPr>
        <w:pStyle w:val="Szvegtrzs"/>
        <w:kinsoku w:val="0"/>
        <w:overflowPunct w:val="0"/>
        <w:ind w:left="0"/>
        <w:rPr>
          <w:lang w:val="hu-HU"/>
        </w:rPr>
      </w:pPr>
    </w:p>
    <w:p w14:paraId="0E4C5AB1" w14:textId="6299AACB" w:rsidR="002D66F3" w:rsidRPr="00360A40" w:rsidRDefault="00A218FB" w:rsidP="00360A40">
      <w:pPr>
        <w:pStyle w:val="Cmsor1"/>
        <w:kinsoku w:val="0"/>
        <w:overflowPunct w:val="0"/>
        <w:ind w:left="0" w:firstLine="0"/>
        <w:rPr>
          <w:b w:val="0"/>
          <w:bCs w:val="0"/>
          <w:lang w:val="hu-HU"/>
        </w:rPr>
      </w:pPr>
      <w:r w:rsidRPr="00360A40">
        <w:rPr>
          <w:lang w:val="hu-HU"/>
        </w:rPr>
        <w:t>4.2</w:t>
      </w:r>
      <w:r w:rsidRPr="00360A40">
        <w:rPr>
          <w:lang w:val="hu-HU"/>
        </w:rPr>
        <w:tab/>
      </w:r>
      <w:r w:rsidR="002D66F3" w:rsidRPr="00360A40">
        <w:rPr>
          <w:lang w:val="hu-HU"/>
        </w:rPr>
        <w:t>Adagolás és alkalmazás</w:t>
      </w:r>
    </w:p>
    <w:p w14:paraId="223FE928" w14:textId="77777777" w:rsidR="002D66F3" w:rsidRPr="00360A40" w:rsidRDefault="002D66F3" w:rsidP="00360A40">
      <w:pPr>
        <w:pStyle w:val="Szvegtrzs"/>
        <w:kinsoku w:val="0"/>
        <w:overflowPunct w:val="0"/>
        <w:ind w:left="0"/>
        <w:rPr>
          <w:b/>
          <w:bCs/>
          <w:lang w:val="hu-HU"/>
        </w:rPr>
      </w:pPr>
    </w:p>
    <w:p w14:paraId="08E0677F" w14:textId="5D0654BC" w:rsidR="002D66F3" w:rsidRPr="00360A40" w:rsidRDefault="002D66F3" w:rsidP="00360A40">
      <w:pPr>
        <w:pStyle w:val="Szvegtrzs"/>
        <w:kinsoku w:val="0"/>
        <w:overflowPunct w:val="0"/>
        <w:ind w:left="0"/>
        <w:rPr>
          <w:lang w:val="hu-HU"/>
        </w:rPr>
      </w:pPr>
      <w:r w:rsidRPr="00360A40">
        <w:rPr>
          <w:lang w:val="hu-HU"/>
        </w:rPr>
        <w:t>Az eltrombopag-kezelést a hematológiai betegségek vagy a krónikus hepatitis C és szövődményeinek kezelésében jártas orvos felügyelete mellett kell elkezdeni és végezni.</w:t>
      </w:r>
    </w:p>
    <w:p w14:paraId="23EF1CF3" w14:textId="77777777" w:rsidR="002D66F3" w:rsidRPr="00360A40" w:rsidRDefault="002D66F3" w:rsidP="00360A40">
      <w:pPr>
        <w:pStyle w:val="Szvegtrzs"/>
        <w:kinsoku w:val="0"/>
        <w:overflowPunct w:val="0"/>
        <w:ind w:left="0"/>
        <w:rPr>
          <w:lang w:val="hu-HU"/>
        </w:rPr>
      </w:pPr>
    </w:p>
    <w:p w14:paraId="27365764" w14:textId="77777777" w:rsidR="002D66F3" w:rsidRPr="00360A40" w:rsidRDefault="002D66F3" w:rsidP="00360A40">
      <w:pPr>
        <w:pStyle w:val="Szvegtrzs"/>
        <w:kinsoku w:val="0"/>
        <w:overflowPunct w:val="0"/>
        <w:ind w:left="0"/>
        <w:rPr>
          <w:lang w:val="hu-HU"/>
        </w:rPr>
      </w:pPr>
      <w:r w:rsidRPr="00360A40">
        <w:rPr>
          <w:u w:val="single"/>
          <w:lang w:val="hu-HU"/>
        </w:rPr>
        <w:t>Adagolás</w:t>
      </w:r>
    </w:p>
    <w:p w14:paraId="6AC36B3F" w14:textId="77777777" w:rsidR="002D66F3" w:rsidRPr="00360A40" w:rsidRDefault="002D66F3" w:rsidP="00360A40">
      <w:pPr>
        <w:pStyle w:val="Szvegtrzs"/>
        <w:kinsoku w:val="0"/>
        <w:overflowPunct w:val="0"/>
        <w:ind w:left="0"/>
        <w:rPr>
          <w:lang w:val="hu-HU"/>
        </w:rPr>
      </w:pPr>
    </w:p>
    <w:p w14:paraId="65F63A82" w14:textId="77777777" w:rsidR="002D66F3" w:rsidRPr="00360A40" w:rsidRDefault="002D66F3" w:rsidP="00360A40">
      <w:pPr>
        <w:pStyle w:val="Szvegtrzs"/>
        <w:kinsoku w:val="0"/>
        <w:overflowPunct w:val="0"/>
        <w:ind w:left="0"/>
        <w:rPr>
          <w:lang w:val="hu-HU"/>
        </w:rPr>
      </w:pPr>
      <w:r w:rsidRPr="00360A40">
        <w:rPr>
          <w:lang w:val="hu-HU"/>
        </w:rPr>
        <w:t>Az eltrombopag adagolását egyedileg kell meghatározni a beteg vérlemezkeszáma alapján. Az eltrombopag-kezelés célja nem a vérlemezkeszám normalizálása kell, hogy legyen.</w:t>
      </w:r>
    </w:p>
    <w:p w14:paraId="322F7946" w14:textId="77777777" w:rsidR="002D66F3" w:rsidRPr="00360A40" w:rsidRDefault="002D66F3" w:rsidP="00360A40">
      <w:pPr>
        <w:pStyle w:val="Szvegtrzs"/>
        <w:kinsoku w:val="0"/>
        <w:overflowPunct w:val="0"/>
        <w:ind w:left="0"/>
        <w:rPr>
          <w:lang w:val="hu-HU"/>
        </w:rPr>
      </w:pPr>
    </w:p>
    <w:p w14:paraId="624C496B" w14:textId="71C4266F" w:rsidR="002D66F3" w:rsidRPr="00360A40" w:rsidRDefault="002D66F3" w:rsidP="00360A40">
      <w:pPr>
        <w:pStyle w:val="Szvegtrzs"/>
        <w:kinsoku w:val="0"/>
        <w:overflowPunct w:val="0"/>
        <w:ind w:left="0"/>
        <w:rPr>
          <w:lang w:val="hu-HU"/>
        </w:rPr>
      </w:pPr>
      <w:r w:rsidRPr="00360A40">
        <w:rPr>
          <w:lang w:val="hu-HU"/>
        </w:rPr>
        <w:t xml:space="preserve">A por belsőleges szuszpenzióhoz magasabb eltrombopag-expozíciót okozhat, mint a tabletta </w:t>
      </w:r>
      <w:r w:rsidR="00BD2A13">
        <w:rPr>
          <w:lang w:val="hu-HU"/>
        </w:rPr>
        <w:t>gyógyszerformájú készítmény</w:t>
      </w:r>
      <w:r w:rsidR="00BD2A13" w:rsidRPr="00360A40">
        <w:rPr>
          <w:lang w:val="hu-HU"/>
        </w:rPr>
        <w:t xml:space="preserve"> </w:t>
      </w:r>
      <w:r w:rsidRPr="00360A40">
        <w:rPr>
          <w:lang w:val="hu-HU"/>
        </w:rPr>
        <w:t>(lásd 5.2</w:t>
      </w:r>
      <w:r w:rsidR="00AB3ADE" w:rsidRPr="00360A40">
        <w:rPr>
          <w:lang w:val="hu-HU"/>
        </w:rPr>
        <w:t> </w:t>
      </w:r>
      <w:r w:rsidRPr="00360A40">
        <w:rPr>
          <w:lang w:val="hu-HU"/>
        </w:rPr>
        <w:t xml:space="preserve">pont). A tabletta és a por belsőleges szuszpenzióhoz </w:t>
      </w:r>
      <w:r w:rsidR="00BD2A13">
        <w:rPr>
          <w:lang w:val="hu-HU"/>
        </w:rPr>
        <w:t>gyógyszerformájú készítmények</w:t>
      </w:r>
      <w:r w:rsidR="00BD2A13" w:rsidRPr="00360A40">
        <w:rPr>
          <w:lang w:val="hu-HU"/>
        </w:rPr>
        <w:t xml:space="preserve"> </w:t>
      </w:r>
      <w:r w:rsidRPr="00360A40">
        <w:rPr>
          <w:lang w:val="hu-HU"/>
        </w:rPr>
        <w:t>közötti váltáskor a thrombocytaszámot 2</w:t>
      </w:r>
      <w:r w:rsidR="00AB3ADE" w:rsidRPr="00360A40">
        <w:rPr>
          <w:lang w:val="hu-HU"/>
        </w:rPr>
        <w:t> </w:t>
      </w:r>
      <w:r w:rsidRPr="00360A40">
        <w:rPr>
          <w:lang w:val="hu-HU"/>
        </w:rPr>
        <w:t>hétig</w:t>
      </w:r>
      <w:r w:rsidR="00492F64" w:rsidRPr="00360A40">
        <w:rPr>
          <w:lang w:val="hu-HU"/>
        </w:rPr>
        <w:t>,</w:t>
      </w:r>
      <w:r w:rsidRPr="00360A40">
        <w:rPr>
          <w:lang w:val="hu-HU"/>
        </w:rPr>
        <w:t xml:space="preserve"> hetente monitorozni kell.</w:t>
      </w:r>
    </w:p>
    <w:p w14:paraId="23A989A8" w14:textId="77777777" w:rsidR="002D66F3" w:rsidRPr="00360A40" w:rsidRDefault="002D66F3" w:rsidP="00360A40">
      <w:pPr>
        <w:pStyle w:val="Szvegtrzs"/>
        <w:kinsoku w:val="0"/>
        <w:overflowPunct w:val="0"/>
        <w:ind w:left="0"/>
        <w:rPr>
          <w:lang w:val="hu-HU"/>
        </w:rPr>
      </w:pPr>
    </w:p>
    <w:p w14:paraId="3A12A835" w14:textId="77777777" w:rsidR="002D66F3" w:rsidRPr="00360A40" w:rsidRDefault="002D66F3" w:rsidP="00360A40">
      <w:pPr>
        <w:pStyle w:val="Szvegtrzs"/>
        <w:kinsoku w:val="0"/>
        <w:overflowPunct w:val="0"/>
        <w:ind w:left="0"/>
        <w:rPr>
          <w:lang w:val="hu-HU"/>
        </w:rPr>
      </w:pPr>
      <w:r w:rsidRPr="00360A40">
        <w:rPr>
          <w:i/>
          <w:iCs/>
          <w:u w:val="single"/>
          <w:lang w:val="hu-HU"/>
        </w:rPr>
        <w:t>Immun (primer) thrombocytopenia</w:t>
      </w:r>
    </w:p>
    <w:p w14:paraId="78CBB93D" w14:textId="77777777" w:rsidR="002D66F3" w:rsidRPr="00360A40" w:rsidRDefault="002D66F3" w:rsidP="00360A40">
      <w:pPr>
        <w:pStyle w:val="Szvegtrzs"/>
        <w:kinsoku w:val="0"/>
        <w:overflowPunct w:val="0"/>
        <w:ind w:left="0"/>
        <w:rPr>
          <w:i/>
          <w:iCs/>
          <w:lang w:val="hu-HU"/>
        </w:rPr>
      </w:pPr>
    </w:p>
    <w:p w14:paraId="3A8E5E02" w14:textId="0D035DF3" w:rsidR="002D66F3" w:rsidRPr="00360A40" w:rsidRDefault="002D66F3" w:rsidP="00360A40">
      <w:pPr>
        <w:pStyle w:val="Szvegtrzs"/>
        <w:kinsoku w:val="0"/>
        <w:overflowPunct w:val="0"/>
        <w:ind w:left="0"/>
        <w:rPr>
          <w:lang w:val="hu-HU"/>
        </w:rPr>
      </w:pPr>
      <w:r w:rsidRPr="00360A40">
        <w:rPr>
          <w:lang w:val="hu-HU"/>
        </w:rPr>
        <w:t>A ≥</w:t>
      </w:r>
      <w:r w:rsidR="00931AE1" w:rsidRPr="00360A40">
        <w:rPr>
          <w:lang w:val="hu-HU"/>
        </w:rPr>
        <w:t> </w:t>
      </w:r>
      <w:r w:rsidRPr="00360A40">
        <w:rPr>
          <w:lang w:val="hu-HU"/>
        </w:rPr>
        <w:t>50</w:t>
      </w:r>
      <w:r w:rsidR="00931AE1" w:rsidRPr="00360A40">
        <w:rPr>
          <w:lang w:val="hu-HU"/>
        </w:rPr>
        <w:t> </w:t>
      </w:r>
      <w:r w:rsidRPr="00360A40">
        <w:rPr>
          <w:lang w:val="hu-HU"/>
        </w:rPr>
        <w:t>000/µl-es vérlemezkeszám eléréséhez és fenntartásához szükséges legalacsonyabb eltrombopag adagot kell alkalmazni. A dózismódosítás a vérlemezke</w:t>
      </w:r>
      <w:r w:rsidR="00BD2A13">
        <w:rPr>
          <w:lang w:val="hu-HU"/>
        </w:rPr>
        <w:t>szám-vál</w:t>
      </w:r>
      <w:r w:rsidRPr="00360A40">
        <w:rPr>
          <w:lang w:val="hu-HU"/>
        </w:rPr>
        <w:t>aszon kell alapuljon. Az eltrombopag nem alkalmazható a vérlemezkeszám normalizálására. Klinikai vizsgálatokban a vérlemezkeszám az eltrombopag-kezelés megkezdése után általában 1-2</w:t>
      </w:r>
      <w:r w:rsidR="00931AE1" w:rsidRPr="00360A40">
        <w:rPr>
          <w:lang w:val="hu-HU"/>
        </w:rPr>
        <w:t> </w:t>
      </w:r>
      <w:r w:rsidRPr="00360A40">
        <w:rPr>
          <w:lang w:val="hu-HU"/>
        </w:rPr>
        <w:t>héten belül emelkedett, és a kezelés befejezése után 1-2</w:t>
      </w:r>
      <w:r w:rsidR="00931AE1" w:rsidRPr="00360A40">
        <w:rPr>
          <w:lang w:val="hu-HU"/>
        </w:rPr>
        <w:t> </w:t>
      </w:r>
      <w:r w:rsidRPr="00360A40">
        <w:rPr>
          <w:lang w:val="hu-HU"/>
        </w:rPr>
        <w:t>héten belül csökkent.</w:t>
      </w:r>
    </w:p>
    <w:p w14:paraId="02B94E85" w14:textId="77777777" w:rsidR="002D66F3" w:rsidRPr="00360A40" w:rsidRDefault="002D66F3" w:rsidP="00360A40">
      <w:pPr>
        <w:pStyle w:val="Szvegtrzs"/>
        <w:kinsoku w:val="0"/>
        <w:overflowPunct w:val="0"/>
        <w:ind w:left="0"/>
        <w:rPr>
          <w:lang w:val="hu-HU"/>
        </w:rPr>
      </w:pPr>
    </w:p>
    <w:p w14:paraId="1A05E4FD" w14:textId="16C59DD8" w:rsidR="002D66F3" w:rsidRPr="00360A40" w:rsidRDefault="002D66F3" w:rsidP="00360A40">
      <w:pPr>
        <w:pStyle w:val="Szvegtrzs"/>
        <w:kinsoku w:val="0"/>
        <w:overflowPunct w:val="0"/>
        <w:ind w:left="0"/>
        <w:rPr>
          <w:i/>
          <w:iCs/>
          <w:lang w:val="hu-HU"/>
        </w:rPr>
      </w:pPr>
      <w:r w:rsidRPr="00360A40">
        <w:rPr>
          <w:i/>
          <w:iCs/>
          <w:lang w:val="hu-HU"/>
        </w:rPr>
        <w:t>Felnőttek, valamint 6</w:t>
      </w:r>
      <w:r w:rsidR="00A64A10">
        <w:rPr>
          <w:i/>
          <w:iCs/>
          <w:lang w:val="hu-HU"/>
        </w:rPr>
        <w:t xml:space="preserve"> és betöltött </w:t>
      </w:r>
      <w:r w:rsidRPr="00360A40">
        <w:rPr>
          <w:i/>
          <w:iCs/>
          <w:lang w:val="hu-HU"/>
        </w:rPr>
        <w:t>18</w:t>
      </w:r>
      <w:r w:rsidR="00A64A10">
        <w:rPr>
          <w:i/>
          <w:iCs/>
          <w:lang w:val="hu-HU"/>
        </w:rPr>
        <w:t>.</w:t>
      </w:r>
      <w:r w:rsidR="0002175B" w:rsidRPr="00360A40">
        <w:rPr>
          <w:i/>
          <w:iCs/>
          <w:lang w:val="hu-HU"/>
        </w:rPr>
        <w:t> </w:t>
      </w:r>
      <w:r w:rsidR="00A64A10">
        <w:rPr>
          <w:i/>
          <w:iCs/>
          <w:lang w:val="hu-HU"/>
        </w:rPr>
        <w:t xml:space="preserve">életév közötti </w:t>
      </w:r>
      <w:r w:rsidRPr="00360A40">
        <w:rPr>
          <w:i/>
          <w:iCs/>
          <w:lang w:val="hu-HU"/>
        </w:rPr>
        <w:t>gyermekek és serdülők</w:t>
      </w:r>
    </w:p>
    <w:p w14:paraId="6F2E78E1" w14:textId="2EC6EFEE" w:rsidR="002D66F3" w:rsidRPr="00360A40" w:rsidRDefault="002D66F3" w:rsidP="00360A40">
      <w:pPr>
        <w:pStyle w:val="Szvegtrzs"/>
        <w:kinsoku w:val="0"/>
        <w:overflowPunct w:val="0"/>
        <w:ind w:left="0"/>
        <w:rPr>
          <w:lang w:val="hu-HU"/>
        </w:rPr>
      </w:pPr>
      <w:r w:rsidRPr="00360A40">
        <w:rPr>
          <w:lang w:val="hu-HU"/>
        </w:rPr>
        <w:t>Az eltrombopag javasolt kezdő adagja naponta egyszer 50</w:t>
      </w:r>
      <w:r w:rsidR="00931AE1" w:rsidRPr="00360A40">
        <w:rPr>
          <w:lang w:val="hu-HU"/>
        </w:rPr>
        <w:t> </w:t>
      </w:r>
      <w:r w:rsidRPr="00360A40">
        <w:rPr>
          <w:lang w:val="hu-HU"/>
        </w:rPr>
        <w:t>mg. Kelet-/délkelet-ázsiai származású betegeknél a kezelést csökkentett adaggal, napi egyszeri 25</w:t>
      </w:r>
      <w:r w:rsidR="00931AE1" w:rsidRPr="00360A40">
        <w:rPr>
          <w:lang w:val="hu-HU"/>
        </w:rPr>
        <w:t> </w:t>
      </w:r>
      <w:r w:rsidRPr="00360A40">
        <w:rPr>
          <w:lang w:val="hu-HU"/>
        </w:rPr>
        <w:t>mg-mal kell kezdeni (lásd 5.2</w:t>
      </w:r>
      <w:r w:rsidR="00931AE1" w:rsidRPr="00360A40">
        <w:rPr>
          <w:lang w:val="hu-HU"/>
        </w:rPr>
        <w:t> </w:t>
      </w:r>
      <w:r w:rsidRPr="00360A40">
        <w:rPr>
          <w:lang w:val="hu-HU"/>
        </w:rPr>
        <w:t>pont).</w:t>
      </w:r>
    </w:p>
    <w:p w14:paraId="64E03EB5" w14:textId="77777777" w:rsidR="002D66F3" w:rsidRPr="00360A40" w:rsidRDefault="002D66F3" w:rsidP="00360A40">
      <w:pPr>
        <w:pStyle w:val="Szvegtrzs"/>
        <w:kinsoku w:val="0"/>
        <w:overflowPunct w:val="0"/>
        <w:ind w:left="0"/>
        <w:rPr>
          <w:lang w:val="hu-HU"/>
        </w:rPr>
      </w:pPr>
    </w:p>
    <w:p w14:paraId="09D2800C" w14:textId="20EF49AA" w:rsidR="002D66F3" w:rsidRPr="00360A40" w:rsidRDefault="002D66F3" w:rsidP="00360A40">
      <w:pPr>
        <w:pStyle w:val="Szvegtrzs"/>
        <w:kinsoku w:val="0"/>
        <w:overflowPunct w:val="0"/>
        <w:ind w:left="0"/>
        <w:rPr>
          <w:lang w:val="hu-HU"/>
        </w:rPr>
      </w:pPr>
      <w:r w:rsidRPr="00360A40">
        <w:rPr>
          <w:i/>
          <w:iCs/>
          <w:lang w:val="hu-HU"/>
        </w:rPr>
        <w:t>1</w:t>
      </w:r>
      <w:r w:rsidRPr="00360A40">
        <w:rPr>
          <w:lang w:val="hu-HU"/>
        </w:rPr>
        <w:t>–</w:t>
      </w:r>
      <w:r w:rsidRPr="00360A40">
        <w:rPr>
          <w:i/>
          <w:iCs/>
          <w:lang w:val="hu-HU"/>
        </w:rPr>
        <w:t>5</w:t>
      </w:r>
      <w:r w:rsidR="00931AE1" w:rsidRPr="00360A40">
        <w:rPr>
          <w:i/>
          <w:iCs/>
          <w:lang w:val="hu-HU"/>
        </w:rPr>
        <w:t> </w:t>
      </w:r>
      <w:r w:rsidRPr="00360A40">
        <w:rPr>
          <w:i/>
          <w:iCs/>
          <w:lang w:val="hu-HU"/>
        </w:rPr>
        <w:t>éves gyermekek</w:t>
      </w:r>
    </w:p>
    <w:p w14:paraId="6B86FB1D" w14:textId="16E9CE2F" w:rsidR="002D66F3" w:rsidRPr="00360A40" w:rsidRDefault="002D66F3" w:rsidP="00360A40">
      <w:pPr>
        <w:pStyle w:val="Szvegtrzs"/>
        <w:kinsoku w:val="0"/>
        <w:overflowPunct w:val="0"/>
        <w:ind w:left="0"/>
        <w:rPr>
          <w:lang w:val="hu-HU"/>
        </w:rPr>
      </w:pPr>
      <w:r w:rsidRPr="00360A40">
        <w:rPr>
          <w:lang w:val="hu-HU"/>
        </w:rPr>
        <w:t>Az eltrombopag javasolt kezdő adagja naponta egyszer 25</w:t>
      </w:r>
      <w:r w:rsidR="00931AE1" w:rsidRPr="00360A40">
        <w:rPr>
          <w:lang w:val="hu-HU"/>
        </w:rPr>
        <w:t> </w:t>
      </w:r>
      <w:r w:rsidRPr="00360A40">
        <w:rPr>
          <w:lang w:val="hu-HU"/>
        </w:rPr>
        <w:t>mg.</w:t>
      </w:r>
    </w:p>
    <w:p w14:paraId="345C6E90" w14:textId="77777777" w:rsidR="00181496" w:rsidRPr="00360A40" w:rsidRDefault="00181496" w:rsidP="00360A40">
      <w:pPr>
        <w:pStyle w:val="Szvegtrzs"/>
        <w:kinsoku w:val="0"/>
        <w:overflowPunct w:val="0"/>
        <w:ind w:left="0"/>
        <w:rPr>
          <w:lang w:val="hu-HU"/>
        </w:rPr>
      </w:pPr>
    </w:p>
    <w:p w14:paraId="590A5ADC" w14:textId="6E368270" w:rsidR="00181496" w:rsidRPr="00360A40" w:rsidRDefault="00BD2A13" w:rsidP="00360A40">
      <w:pPr>
        <w:pStyle w:val="Szvegtrzs"/>
        <w:kinsoku w:val="0"/>
        <w:overflowPunct w:val="0"/>
        <w:ind w:left="0"/>
        <w:rPr>
          <w:lang w:val="hu-HU"/>
        </w:rPr>
      </w:pPr>
      <w:r>
        <w:rPr>
          <w:lang w:val="hu-HU"/>
        </w:rPr>
        <w:t xml:space="preserve">E </w:t>
      </w:r>
      <w:r w:rsidR="00F9299A" w:rsidRPr="00360A40">
        <w:rPr>
          <w:lang w:val="hu-HU"/>
        </w:rPr>
        <w:t>betegcsopo</w:t>
      </w:r>
      <w:r w:rsidR="00492F64" w:rsidRPr="00360A40">
        <w:rPr>
          <w:lang w:val="hu-HU"/>
        </w:rPr>
        <w:t>r</w:t>
      </w:r>
      <w:r w:rsidR="00F9299A" w:rsidRPr="00360A40">
        <w:rPr>
          <w:lang w:val="hu-HU"/>
        </w:rPr>
        <w:t>t</w:t>
      </w:r>
      <w:r w:rsidR="00931AE1" w:rsidRPr="00360A40">
        <w:rPr>
          <w:lang w:val="hu-HU"/>
        </w:rPr>
        <w:t xml:space="preserve"> </w:t>
      </w:r>
      <w:r w:rsidR="00181496" w:rsidRPr="00360A40">
        <w:rPr>
          <w:lang w:val="hu-HU"/>
        </w:rPr>
        <w:t xml:space="preserve">számára </w:t>
      </w:r>
      <w:r w:rsidR="00F9299A" w:rsidRPr="00360A40">
        <w:rPr>
          <w:lang w:val="hu-HU"/>
        </w:rPr>
        <w:t xml:space="preserve">az eltrombopag </w:t>
      </w:r>
      <w:r w:rsidR="00181496" w:rsidRPr="00360A40">
        <w:rPr>
          <w:lang w:val="hu-HU"/>
        </w:rPr>
        <w:t>más gyógyszerformá</w:t>
      </w:r>
      <w:r>
        <w:rPr>
          <w:lang w:val="hu-HU"/>
        </w:rPr>
        <w:t>ja megfelelőbb lehet.</w:t>
      </w:r>
    </w:p>
    <w:p w14:paraId="7D4C8DDF" w14:textId="77777777" w:rsidR="002D66F3" w:rsidRPr="00360A40" w:rsidRDefault="002D66F3" w:rsidP="00360A40">
      <w:pPr>
        <w:pStyle w:val="Szvegtrzs"/>
        <w:kinsoku w:val="0"/>
        <w:overflowPunct w:val="0"/>
        <w:ind w:left="0"/>
        <w:rPr>
          <w:lang w:val="hu-HU"/>
        </w:rPr>
      </w:pPr>
    </w:p>
    <w:p w14:paraId="7CEBB00D" w14:textId="77777777" w:rsidR="002D66F3" w:rsidRPr="00360A40" w:rsidRDefault="002D66F3" w:rsidP="00360A40">
      <w:pPr>
        <w:pStyle w:val="Szvegtrzs"/>
        <w:kinsoku w:val="0"/>
        <w:overflowPunct w:val="0"/>
        <w:ind w:left="0"/>
        <w:rPr>
          <w:lang w:val="hu-HU"/>
        </w:rPr>
      </w:pPr>
      <w:r w:rsidRPr="00360A40">
        <w:rPr>
          <w:i/>
          <w:iCs/>
          <w:lang w:val="hu-HU"/>
        </w:rPr>
        <w:t>Monitorozás és adagbeállítás</w:t>
      </w:r>
    </w:p>
    <w:p w14:paraId="0A9651BB" w14:textId="6BFD3B0A" w:rsidR="002D66F3" w:rsidRPr="00360A40" w:rsidRDefault="002D66F3" w:rsidP="00360A40">
      <w:pPr>
        <w:pStyle w:val="Szvegtrzs"/>
        <w:kinsoku w:val="0"/>
        <w:overflowPunct w:val="0"/>
        <w:ind w:left="0"/>
        <w:rPr>
          <w:lang w:val="hu-HU"/>
        </w:rPr>
      </w:pPr>
      <w:r w:rsidRPr="00360A40">
        <w:rPr>
          <w:lang w:val="hu-HU"/>
        </w:rPr>
        <w:t>Az eltrombopag-kezelés megkezdése után az adagot úgy kell beállítani, hogy a vérlemezkeszám</w:t>
      </w:r>
      <w:r w:rsidR="00F9299A" w:rsidRPr="00360A40">
        <w:rPr>
          <w:lang w:val="hu-HU"/>
        </w:rPr>
        <w:t xml:space="preserve"> </w:t>
      </w:r>
      <w:r w:rsidRPr="00360A40">
        <w:rPr>
          <w:lang w:val="hu-HU"/>
        </w:rPr>
        <w:t>≥</w:t>
      </w:r>
      <w:r w:rsidR="00F9299A" w:rsidRPr="00360A40">
        <w:rPr>
          <w:lang w:val="hu-HU"/>
        </w:rPr>
        <w:t> </w:t>
      </w:r>
      <w:r w:rsidRPr="00360A40">
        <w:rPr>
          <w:lang w:val="hu-HU"/>
        </w:rPr>
        <w:t>50</w:t>
      </w:r>
      <w:r w:rsidR="00492F64" w:rsidRPr="00360A40">
        <w:rPr>
          <w:lang w:val="hu-HU"/>
        </w:rPr>
        <w:t> </w:t>
      </w:r>
      <w:r w:rsidRPr="00360A40">
        <w:rPr>
          <w:lang w:val="hu-HU"/>
        </w:rPr>
        <w:t>000/µl legyen, ami a vérzéskockázat csökkentéséhez szükséges érték. A napi adag a 75</w:t>
      </w:r>
      <w:r w:rsidR="00F9299A" w:rsidRPr="00360A40">
        <w:rPr>
          <w:lang w:val="hu-HU"/>
        </w:rPr>
        <w:t> </w:t>
      </w:r>
      <w:r w:rsidRPr="00360A40">
        <w:rPr>
          <w:lang w:val="hu-HU"/>
        </w:rPr>
        <w:t>mg-ot nem haladhatja meg.</w:t>
      </w:r>
    </w:p>
    <w:p w14:paraId="43CA328C" w14:textId="77777777" w:rsidR="002D66F3" w:rsidRPr="00360A40" w:rsidRDefault="002D66F3" w:rsidP="00360A40">
      <w:pPr>
        <w:pStyle w:val="Szvegtrzs"/>
        <w:kinsoku w:val="0"/>
        <w:overflowPunct w:val="0"/>
        <w:ind w:left="0"/>
        <w:rPr>
          <w:lang w:val="hu-HU"/>
        </w:rPr>
      </w:pPr>
    </w:p>
    <w:p w14:paraId="3F0206DE" w14:textId="6CCED9C7" w:rsidR="002D66F3" w:rsidRPr="00360A40" w:rsidRDefault="002D66F3" w:rsidP="00360A40">
      <w:pPr>
        <w:pStyle w:val="Szvegtrzs"/>
        <w:kinsoku w:val="0"/>
        <w:overflowPunct w:val="0"/>
        <w:ind w:left="0"/>
        <w:rPr>
          <w:lang w:val="hu-HU"/>
        </w:rPr>
      </w:pPr>
      <w:r w:rsidRPr="00360A40">
        <w:rPr>
          <w:lang w:val="hu-HU"/>
        </w:rPr>
        <w:t>Az eltrombopag-kezelés alatt rendszeresen ellenőrizni kell a hematológiai és májfunkciós értékeket, és az eltrombopag adagolását a vérlemezkeszámnak megfelelően kell módosítani, az 1.</w:t>
      </w:r>
      <w:r w:rsidR="00905F90" w:rsidRPr="00360A40">
        <w:rPr>
          <w:lang w:val="hu-HU"/>
        </w:rPr>
        <w:t> </w:t>
      </w:r>
      <w:r w:rsidRPr="00360A40">
        <w:rPr>
          <w:lang w:val="hu-HU"/>
        </w:rPr>
        <w:t>táblázatban leírtak szerint. Az eltrombopag-kezelés során hetente értékelni kell a teljes vérképet, beleértve a vérlemezkeszámot és a perifériás vérkenetet, a stabil vérlemezkeszám elérésig (≥</w:t>
      </w:r>
      <w:r w:rsidR="00905F90" w:rsidRPr="00360A40">
        <w:rPr>
          <w:lang w:val="hu-HU"/>
        </w:rPr>
        <w:t> </w:t>
      </w:r>
      <w:r w:rsidRPr="00360A40">
        <w:rPr>
          <w:lang w:val="hu-HU"/>
        </w:rPr>
        <w:t>50</w:t>
      </w:r>
      <w:r w:rsidR="00905F90" w:rsidRPr="00360A40">
        <w:rPr>
          <w:lang w:val="hu-HU"/>
        </w:rPr>
        <w:t> </w:t>
      </w:r>
      <w:r w:rsidRPr="00360A40">
        <w:rPr>
          <w:lang w:val="hu-HU"/>
        </w:rPr>
        <w:t>000/µl legalább 4</w:t>
      </w:r>
      <w:r w:rsidR="00905F90" w:rsidRPr="00360A40">
        <w:rPr>
          <w:lang w:val="hu-HU"/>
        </w:rPr>
        <w:t> </w:t>
      </w:r>
      <w:r w:rsidRPr="00360A40">
        <w:rPr>
          <w:lang w:val="hu-HU"/>
        </w:rPr>
        <w:t>hétig). Ezt követően havonta kell a teljes vérképet ellenőrizni, beleértve a vérlemezkeszámot és a perifériás vérkenetet.</w:t>
      </w:r>
    </w:p>
    <w:p w14:paraId="4BD31BF1" w14:textId="77777777" w:rsidR="00A218FB" w:rsidRPr="00360A40" w:rsidRDefault="00A218FB" w:rsidP="00360A40">
      <w:pPr>
        <w:pStyle w:val="Szvegtrzs"/>
        <w:kinsoku w:val="0"/>
        <w:overflowPunct w:val="0"/>
        <w:ind w:left="0"/>
        <w:rPr>
          <w:lang w:val="hu-HU"/>
        </w:rPr>
      </w:pPr>
    </w:p>
    <w:p w14:paraId="41F7C480" w14:textId="04BCD094" w:rsidR="002D66F3" w:rsidRPr="00360A40" w:rsidRDefault="00A218FB" w:rsidP="00360A40">
      <w:pPr>
        <w:pStyle w:val="Cmsor1"/>
        <w:keepNext/>
        <w:tabs>
          <w:tab w:val="left" w:pos="1537"/>
        </w:tabs>
        <w:kinsoku w:val="0"/>
        <w:overflowPunct w:val="0"/>
        <w:ind w:left="0" w:firstLine="0"/>
        <w:rPr>
          <w:b w:val="0"/>
          <w:bCs w:val="0"/>
          <w:lang w:val="hu-HU"/>
        </w:rPr>
      </w:pPr>
      <w:r w:rsidRPr="00360A40">
        <w:rPr>
          <w:lang w:val="hu-HU"/>
        </w:rPr>
        <w:lastRenderedPageBreak/>
        <w:t xml:space="preserve">1. </w:t>
      </w:r>
      <w:r w:rsidR="002D66F3" w:rsidRPr="00360A40">
        <w:rPr>
          <w:lang w:val="hu-HU"/>
        </w:rPr>
        <w:t>táblázat</w:t>
      </w:r>
      <w:r w:rsidR="002D66F3" w:rsidRPr="00360A40">
        <w:rPr>
          <w:lang w:val="hu-HU"/>
        </w:rPr>
        <w:tab/>
        <w:t>Az eltrombopag</w:t>
      </w:r>
      <w:r w:rsidR="00FD1A00" w:rsidRPr="00360A40">
        <w:rPr>
          <w:lang w:val="hu-HU"/>
        </w:rPr>
        <w:t>-dózisok</w:t>
      </w:r>
      <w:r w:rsidR="002D66F3" w:rsidRPr="00360A40">
        <w:rPr>
          <w:lang w:val="hu-HU"/>
        </w:rPr>
        <w:t xml:space="preserve"> módosítása ITP-s betegeknél</w:t>
      </w:r>
    </w:p>
    <w:p w14:paraId="593A3332" w14:textId="77777777" w:rsidR="002D66F3" w:rsidRPr="00360A40" w:rsidRDefault="002D66F3" w:rsidP="00360A40">
      <w:pPr>
        <w:pStyle w:val="Szvegtrzs"/>
        <w:keepNext/>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3356"/>
        <w:gridCol w:w="5881"/>
      </w:tblGrid>
      <w:tr w:rsidR="002D66F3" w:rsidRPr="00360A40" w14:paraId="50CB2890" w14:textId="77777777" w:rsidTr="00D25F36">
        <w:trPr>
          <w:trHeight w:hRule="exact" w:val="266"/>
        </w:trPr>
        <w:tc>
          <w:tcPr>
            <w:tcW w:w="3356" w:type="dxa"/>
            <w:tcBorders>
              <w:top w:val="single" w:sz="4" w:space="0" w:color="000000"/>
              <w:left w:val="single" w:sz="4" w:space="0" w:color="000000"/>
              <w:bottom w:val="single" w:sz="6" w:space="0" w:color="000000"/>
              <w:right w:val="single" w:sz="6" w:space="0" w:color="000000"/>
            </w:tcBorders>
          </w:tcPr>
          <w:p w14:paraId="28CAF70F" w14:textId="77777777" w:rsidR="002D66F3" w:rsidRPr="00360A40" w:rsidRDefault="002D66F3" w:rsidP="00360A40">
            <w:pPr>
              <w:pStyle w:val="TableParagraph"/>
              <w:keepNext/>
              <w:kinsoku w:val="0"/>
              <w:overflowPunct w:val="0"/>
              <w:ind w:left="797"/>
              <w:rPr>
                <w:b/>
                <w:bCs/>
                <w:sz w:val="22"/>
                <w:szCs w:val="22"/>
                <w:lang w:val="hu-HU"/>
              </w:rPr>
            </w:pPr>
            <w:r w:rsidRPr="00360A40">
              <w:rPr>
                <w:b/>
                <w:bCs/>
                <w:sz w:val="22"/>
                <w:szCs w:val="22"/>
                <w:lang w:val="hu-HU"/>
              </w:rPr>
              <w:t>Vérlemezkeszám</w:t>
            </w:r>
          </w:p>
        </w:tc>
        <w:tc>
          <w:tcPr>
            <w:tcW w:w="5881" w:type="dxa"/>
            <w:tcBorders>
              <w:top w:val="single" w:sz="4" w:space="0" w:color="000000"/>
              <w:left w:val="single" w:sz="6" w:space="0" w:color="000000"/>
              <w:bottom w:val="single" w:sz="6" w:space="0" w:color="000000"/>
              <w:right w:val="single" w:sz="4" w:space="0" w:color="000000"/>
            </w:tcBorders>
          </w:tcPr>
          <w:p w14:paraId="0D74B186" w14:textId="77777777" w:rsidR="002D66F3" w:rsidRPr="00360A40" w:rsidRDefault="002D66F3" w:rsidP="00360A40">
            <w:pPr>
              <w:pStyle w:val="TableParagraph"/>
              <w:keepNext/>
              <w:kinsoku w:val="0"/>
              <w:overflowPunct w:val="0"/>
              <w:ind w:left="1686"/>
              <w:rPr>
                <w:b/>
                <w:bCs/>
                <w:sz w:val="22"/>
                <w:szCs w:val="22"/>
                <w:lang w:val="hu-HU"/>
              </w:rPr>
            </w:pPr>
            <w:r w:rsidRPr="00360A40">
              <w:rPr>
                <w:b/>
                <w:bCs/>
                <w:sz w:val="22"/>
                <w:szCs w:val="22"/>
                <w:lang w:val="hu-HU"/>
              </w:rPr>
              <w:t>Dózismódosítás vagy válasz</w:t>
            </w:r>
          </w:p>
        </w:tc>
      </w:tr>
      <w:tr w:rsidR="002D66F3" w:rsidRPr="00360A40" w14:paraId="38D909E6" w14:textId="77777777" w:rsidTr="00D25F36">
        <w:trPr>
          <w:trHeight w:hRule="exact" w:val="521"/>
        </w:trPr>
        <w:tc>
          <w:tcPr>
            <w:tcW w:w="3356" w:type="dxa"/>
            <w:tcBorders>
              <w:top w:val="single" w:sz="6" w:space="0" w:color="000000"/>
              <w:left w:val="single" w:sz="4" w:space="0" w:color="000000"/>
              <w:bottom w:val="single" w:sz="6" w:space="0" w:color="000000"/>
              <w:right w:val="single" w:sz="6" w:space="0" w:color="000000"/>
            </w:tcBorders>
          </w:tcPr>
          <w:p w14:paraId="1CDFEFB6" w14:textId="33D7917B" w:rsidR="002D66F3" w:rsidRPr="00360A40" w:rsidRDefault="002D66F3" w:rsidP="00360A40">
            <w:pPr>
              <w:pStyle w:val="TableParagraph"/>
              <w:keepNext/>
              <w:kinsoku w:val="0"/>
              <w:overflowPunct w:val="0"/>
              <w:ind w:left="102"/>
              <w:rPr>
                <w:sz w:val="22"/>
                <w:szCs w:val="22"/>
                <w:lang w:val="hu-HU"/>
              </w:rPr>
            </w:pPr>
            <w:r w:rsidRPr="00360A40">
              <w:rPr>
                <w:sz w:val="22"/>
                <w:szCs w:val="22"/>
                <w:lang w:val="hu-HU"/>
              </w:rPr>
              <w:t>&lt;</w:t>
            </w:r>
            <w:r w:rsidR="00905F90" w:rsidRPr="00360A40">
              <w:rPr>
                <w:sz w:val="22"/>
                <w:szCs w:val="22"/>
                <w:lang w:val="hu-HU"/>
              </w:rPr>
              <w:t> </w:t>
            </w:r>
            <w:r w:rsidRPr="00360A40">
              <w:rPr>
                <w:sz w:val="22"/>
                <w:szCs w:val="22"/>
                <w:lang w:val="hu-HU"/>
              </w:rPr>
              <w:t>50</w:t>
            </w:r>
            <w:r w:rsidR="00905F90" w:rsidRPr="00360A40">
              <w:rPr>
                <w:sz w:val="22"/>
                <w:szCs w:val="22"/>
                <w:lang w:val="hu-HU"/>
              </w:rPr>
              <w:t> </w:t>
            </w:r>
            <w:r w:rsidRPr="00360A40">
              <w:rPr>
                <w:sz w:val="22"/>
                <w:szCs w:val="22"/>
                <w:lang w:val="hu-HU"/>
              </w:rPr>
              <w:t>000/µl</w:t>
            </w:r>
            <w:r w:rsidR="00240870" w:rsidRPr="00360A40">
              <w:rPr>
                <w:sz w:val="22"/>
                <w:szCs w:val="22"/>
                <w:lang w:val="hu-HU"/>
              </w:rPr>
              <w:t>,</w:t>
            </w:r>
            <w:r w:rsidRPr="00360A40">
              <w:rPr>
                <w:sz w:val="22"/>
                <w:szCs w:val="22"/>
                <w:lang w:val="hu-HU"/>
              </w:rPr>
              <w:t xml:space="preserve"> legalább 2</w:t>
            </w:r>
            <w:r w:rsidR="00905F90" w:rsidRPr="00360A40">
              <w:rPr>
                <w:sz w:val="22"/>
                <w:szCs w:val="22"/>
                <w:lang w:val="hu-HU"/>
              </w:rPr>
              <w:t> </w:t>
            </w:r>
            <w:r w:rsidRPr="00360A40">
              <w:rPr>
                <w:sz w:val="22"/>
                <w:szCs w:val="22"/>
                <w:lang w:val="hu-HU"/>
              </w:rPr>
              <w:t>hetes kezelés után</w:t>
            </w:r>
          </w:p>
        </w:tc>
        <w:tc>
          <w:tcPr>
            <w:tcW w:w="5881" w:type="dxa"/>
            <w:tcBorders>
              <w:top w:val="single" w:sz="6" w:space="0" w:color="000000"/>
              <w:left w:val="single" w:sz="6" w:space="0" w:color="000000"/>
              <w:bottom w:val="single" w:sz="6" w:space="0" w:color="000000"/>
              <w:right w:val="single" w:sz="4" w:space="0" w:color="000000"/>
            </w:tcBorders>
          </w:tcPr>
          <w:p w14:paraId="55FBD2F6" w14:textId="3043A318" w:rsidR="002D66F3" w:rsidRPr="00360A40" w:rsidRDefault="002D66F3" w:rsidP="00360A40">
            <w:pPr>
              <w:pStyle w:val="TableParagraph"/>
              <w:keepNext/>
              <w:kinsoku w:val="0"/>
              <w:overflowPunct w:val="0"/>
              <w:ind w:left="99"/>
              <w:rPr>
                <w:sz w:val="22"/>
                <w:szCs w:val="22"/>
                <w:lang w:val="hu-HU"/>
              </w:rPr>
            </w:pPr>
            <w:r w:rsidRPr="00360A40">
              <w:rPr>
                <w:sz w:val="22"/>
                <w:szCs w:val="22"/>
                <w:lang w:val="hu-HU"/>
              </w:rPr>
              <w:t>A napi adagot 25</w:t>
            </w:r>
            <w:r w:rsidR="00905F90" w:rsidRPr="00360A40">
              <w:rPr>
                <w:sz w:val="22"/>
                <w:szCs w:val="22"/>
                <w:lang w:val="hu-HU"/>
              </w:rPr>
              <w:t> </w:t>
            </w:r>
            <w:r w:rsidRPr="00360A40">
              <w:rPr>
                <w:sz w:val="22"/>
                <w:szCs w:val="22"/>
                <w:lang w:val="hu-HU"/>
              </w:rPr>
              <w:t>mg-mal kell emelni, legfeljebb napi 75</w:t>
            </w:r>
            <w:r w:rsidR="00905F90" w:rsidRPr="00360A40">
              <w:rPr>
                <w:sz w:val="22"/>
                <w:szCs w:val="22"/>
                <w:lang w:val="hu-HU"/>
              </w:rPr>
              <w:t> </w:t>
            </w:r>
            <w:r w:rsidRPr="00360A40">
              <w:rPr>
                <w:sz w:val="22"/>
                <w:szCs w:val="22"/>
                <w:lang w:val="hu-HU"/>
              </w:rPr>
              <w:t>mg-ig*.</w:t>
            </w:r>
          </w:p>
        </w:tc>
      </w:tr>
      <w:tr w:rsidR="002D66F3" w:rsidRPr="00360A40" w14:paraId="749F013A" w14:textId="77777777" w:rsidTr="00D25F36">
        <w:trPr>
          <w:trHeight w:hRule="exact" w:val="1028"/>
        </w:trPr>
        <w:tc>
          <w:tcPr>
            <w:tcW w:w="3356" w:type="dxa"/>
            <w:tcBorders>
              <w:top w:val="single" w:sz="6" w:space="0" w:color="000000"/>
              <w:left w:val="single" w:sz="4" w:space="0" w:color="000000"/>
              <w:bottom w:val="single" w:sz="6" w:space="0" w:color="000000"/>
              <w:right w:val="single" w:sz="6" w:space="0" w:color="000000"/>
            </w:tcBorders>
          </w:tcPr>
          <w:p w14:paraId="795D90EC" w14:textId="233C81D7" w:rsidR="002D66F3" w:rsidRPr="00360A40" w:rsidRDefault="00BD4335" w:rsidP="00360A40">
            <w:pPr>
              <w:pStyle w:val="TableParagraph"/>
              <w:keepNext/>
              <w:kinsoku w:val="0"/>
              <w:overflowPunct w:val="0"/>
              <w:ind w:left="102"/>
              <w:rPr>
                <w:sz w:val="22"/>
                <w:szCs w:val="22"/>
                <w:lang w:val="hu-HU"/>
              </w:rPr>
            </w:pPr>
            <w:r w:rsidRPr="00360A40">
              <w:rPr>
                <w:sz w:val="22"/>
                <w:szCs w:val="22"/>
                <w:lang w:val="hu-HU"/>
              </w:rPr>
              <w:t>≥</w:t>
            </w:r>
            <w:r>
              <w:rPr>
                <w:sz w:val="22"/>
                <w:szCs w:val="22"/>
                <w:lang w:val="hu-HU"/>
              </w:rPr>
              <w:t> </w:t>
            </w:r>
            <w:r w:rsidR="002D66F3" w:rsidRPr="00360A40">
              <w:rPr>
                <w:sz w:val="22"/>
                <w:szCs w:val="22"/>
                <w:lang w:val="hu-HU"/>
              </w:rPr>
              <w:t>50</w:t>
            </w:r>
            <w:r w:rsidR="00905F90" w:rsidRPr="00360A40">
              <w:rPr>
                <w:sz w:val="22"/>
                <w:szCs w:val="22"/>
                <w:lang w:val="hu-HU"/>
              </w:rPr>
              <w:t> </w:t>
            </w:r>
            <w:r w:rsidR="002D66F3" w:rsidRPr="00360A40">
              <w:rPr>
                <w:sz w:val="22"/>
                <w:szCs w:val="22"/>
                <w:lang w:val="hu-HU"/>
              </w:rPr>
              <w:t>000/µl</w:t>
            </w:r>
            <w:r w:rsidR="00905F90" w:rsidRPr="00360A40">
              <w:rPr>
                <w:sz w:val="22"/>
                <w:szCs w:val="22"/>
                <w:lang w:val="hu-HU"/>
              </w:rPr>
              <w:t> – </w:t>
            </w:r>
            <w:r w:rsidR="00A64A10">
              <w:rPr>
                <w:sz w:val="22"/>
                <w:szCs w:val="22"/>
                <w:lang w:val="hu-HU"/>
              </w:rPr>
              <w:t>≤</w:t>
            </w:r>
            <w:r w:rsidR="002D66F3" w:rsidRPr="00360A40">
              <w:rPr>
                <w:sz w:val="22"/>
                <w:szCs w:val="22"/>
                <w:lang w:val="hu-HU"/>
              </w:rPr>
              <w:t>150</w:t>
            </w:r>
            <w:r w:rsidR="00905F90" w:rsidRPr="00360A40">
              <w:rPr>
                <w:sz w:val="22"/>
                <w:szCs w:val="22"/>
                <w:lang w:val="hu-HU"/>
              </w:rPr>
              <w:t> </w:t>
            </w:r>
            <w:r w:rsidR="002D66F3" w:rsidRPr="00360A40">
              <w:rPr>
                <w:sz w:val="22"/>
                <w:szCs w:val="22"/>
                <w:lang w:val="hu-HU"/>
              </w:rPr>
              <w:t>000/µl</w:t>
            </w:r>
          </w:p>
        </w:tc>
        <w:tc>
          <w:tcPr>
            <w:tcW w:w="5881" w:type="dxa"/>
            <w:tcBorders>
              <w:top w:val="single" w:sz="6" w:space="0" w:color="000000"/>
              <w:left w:val="single" w:sz="6" w:space="0" w:color="000000"/>
              <w:bottom w:val="single" w:sz="6" w:space="0" w:color="000000"/>
              <w:right w:val="single" w:sz="4" w:space="0" w:color="000000"/>
            </w:tcBorders>
          </w:tcPr>
          <w:p w14:paraId="158D9BCF" w14:textId="77777777" w:rsidR="002D66F3" w:rsidRPr="00360A40" w:rsidRDefault="002D66F3" w:rsidP="00360A40">
            <w:pPr>
              <w:pStyle w:val="TableParagraph"/>
              <w:keepNext/>
              <w:kinsoku w:val="0"/>
              <w:overflowPunct w:val="0"/>
              <w:ind w:left="99"/>
              <w:rPr>
                <w:sz w:val="22"/>
                <w:szCs w:val="22"/>
                <w:lang w:val="hu-HU"/>
              </w:rPr>
            </w:pPr>
            <w:r w:rsidRPr="00360A40">
              <w:rPr>
                <w:sz w:val="22"/>
                <w:szCs w:val="22"/>
                <w:lang w:val="hu-HU"/>
              </w:rPr>
              <w:t>Az eltrombopagnak és/vagy az ITP kezelésére együtt adott gyógyszereknek azt a legalacsonyabb adagját kell alkalmazni, amellyel fenntartható a vérzés elkerüléséhez vagy csökkentéséhez szükséges vérlemezkeszám.</w:t>
            </w:r>
          </w:p>
        </w:tc>
      </w:tr>
      <w:tr w:rsidR="002D66F3" w:rsidRPr="00360A40" w14:paraId="2F3B988B" w14:textId="77777777" w:rsidTr="00D25F36">
        <w:trPr>
          <w:trHeight w:hRule="exact" w:val="1008"/>
        </w:trPr>
        <w:tc>
          <w:tcPr>
            <w:tcW w:w="3356" w:type="dxa"/>
            <w:tcBorders>
              <w:top w:val="single" w:sz="6" w:space="0" w:color="000000"/>
              <w:left w:val="single" w:sz="4" w:space="0" w:color="000000"/>
              <w:bottom w:val="single" w:sz="6" w:space="0" w:color="000000"/>
              <w:right w:val="single" w:sz="6" w:space="0" w:color="000000"/>
            </w:tcBorders>
          </w:tcPr>
          <w:p w14:paraId="12FF14A5" w14:textId="634DE79A" w:rsidR="002D66F3" w:rsidRPr="00360A40" w:rsidRDefault="002D66F3" w:rsidP="00360A40">
            <w:pPr>
              <w:pStyle w:val="TableParagraph"/>
              <w:kinsoku w:val="0"/>
              <w:overflowPunct w:val="0"/>
              <w:ind w:left="102"/>
              <w:rPr>
                <w:sz w:val="22"/>
                <w:szCs w:val="22"/>
                <w:lang w:val="hu-HU"/>
              </w:rPr>
            </w:pPr>
            <w:r w:rsidRPr="00360A40">
              <w:rPr>
                <w:sz w:val="22"/>
                <w:szCs w:val="22"/>
                <w:lang w:val="hu-HU"/>
              </w:rPr>
              <w:t>&gt;</w:t>
            </w:r>
            <w:r w:rsidR="00905F90" w:rsidRPr="00360A40">
              <w:rPr>
                <w:sz w:val="22"/>
                <w:szCs w:val="22"/>
                <w:lang w:val="hu-HU"/>
              </w:rPr>
              <w:t> </w:t>
            </w:r>
            <w:r w:rsidRPr="00360A40">
              <w:rPr>
                <w:sz w:val="22"/>
                <w:szCs w:val="22"/>
                <w:lang w:val="hu-HU"/>
              </w:rPr>
              <w:t>150</w:t>
            </w:r>
            <w:r w:rsidR="00905F90" w:rsidRPr="00360A40">
              <w:rPr>
                <w:sz w:val="22"/>
                <w:szCs w:val="22"/>
                <w:lang w:val="hu-HU"/>
              </w:rPr>
              <w:t> </w:t>
            </w:r>
            <w:r w:rsidRPr="00360A40">
              <w:rPr>
                <w:sz w:val="22"/>
                <w:szCs w:val="22"/>
                <w:lang w:val="hu-HU"/>
              </w:rPr>
              <w:t>000/µl</w:t>
            </w:r>
            <w:r w:rsidR="00905F90" w:rsidRPr="00360A40">
              <w:rPr>
                <w:sz w:val="22"/>
                <w:szCs w:val="22"/>
                <w:lang w:val="hu-HU"/>
              </w:rPr>
              <w:t> – </w:t>
            </w:r>
            <w:r w:rsidR="00A64A10">
              <w:rPr>
                <w:sz w:val="22"/>
                <w:szCs w:val="22"/>
                <w:lang w:val="hu-HU"/>
              </w:rPr>
              <w:t>≤</w:t>
            </w:r>
            <w:r w:rsidR="00905F90" w:rsidRPr="00360A40">
              <w:rPr>
                <w:sz w:val="22"/>
                <w:szCs w:val="22"/>
                <w:lang w:val="hu-HU"/>
              </w:rPr>
              <w:t xml:space="preserve"> </w:t>
            </w:r>
            <w:r w:rsidRPr="00360A40">
              <w:rPr>
                <w:sz w:val="22"/>
                <w:szCs w:val="22"/>
                <w:lang w:val="hu-HU"/>
              </w:rPr>
              <w:t>250</w:t>
            </w:r>
            <w:r w:rsidR="00905F90" w:rsidRPr="00360A40">
              <w:rPr>
                <w:sz w:val="22"/>
                <w:szCs w:val="22"/>
                <w:lang w:val="hu-HU"/>
              </w:rPr>
              <w:t> </w:t>
            </w:r>
            <w:r w:rsidRPr="00360A40">
              <w:rPr>
                <w:sz w:val="22"/>
                <w:szCs w:val="22"/>
                <w:lang w:val="hu-HU"/>
              </w:rPr>
              <w:t>000/µl</w:t>
            </w:r>
          </w:p>
        </w:tc>
        <w:tc>
          <w:tcPr>
            <w:tcW w:w="5881" w:type="dxa"/>
            <w:tcBorders>
              <w:top w:val="single" w:sz="6" w:space="0" w:color="000000"/>
              <w:left w:val="single" w:sz="6" w:space="0" w:color="000000"/>
              <w:bottom w:val="single" w:sz="6" w:space="0" w:color="000000"/>
              <w:right w:val="single" w:sz="4" w:space="0" w:color="000000"/>
            </w:tcBorders>
          </w:tcPr>
          <w:p w14:paraId="5EC7BA1B" w14:textId="5CE694FC" w:rsidR="002D66F3" w:rsidRPr="00360A40" w:rsidRDefault="002D66F3" w:rsidP="00360A40">
            <w:pPr>
              <w:pStyle w:val="TableParagraph"/>
              <w:kinsoku w:val="0"/>
              <w:overflowPunct w:val="0"/>
              <w:ind w:left="99"/>
              <w:rPr>
                <w:sz w:val="22"/>
                <w:szCs w:val="22"/>
                <w:lang w:val="hu-HU"/>
              </w:rPr>
            </w:pPr>
            <w:r w:rsidRPr="00360A40">
              <w:rPr>
                <w:sz w:val="22"/>
                <w:szCs w:val="22"/>
                <w:lang w:val="hu-HU"/>
              </w:rPr>
              <w:t>25</w:t>
            </w:r>
            <w:r w:rsidR="00905F90" w:rsidRPr="00360A40">
              <w:rPr>
                <w:sz w:val="22"/>
                <w:szCs w:val="22"/>
                <w:lang w:val="hu-HU"/>
              </w:rPr>
              <w:t> </w:t>
            </w:r>
            <w:r w:rsidRPr="00360A40">
              <w:rPr>
                <w:sz w:val="22"/>
                <w:szCs w:val="22"/>
                <w:lang w:val="hu-HU"/>
              </w:rPr>
              <w:t>mg-mal csökkenteni kell a napi adagot. A dóziscsökkentés, valamint a további dózismódosítások hatásának a megítéléséhez 2</w:t>
            </w:r>
            <w:r w:rsidR="00905F90" w:rsidRPr="00360A40">
              <w:rPr>
                <w:sz w:val="22"/>
                <w:szCs w:val="22"/>
                <w:lang w:val="hu-HU"/>
              </w:rPr>
              <w:t> </w:t>
            </w:r>
            <w:r w:rsidRPr="00360A40">
              <w:rPr>
                <w:sz w:val="22"/>
                <w:szCs w:val="22"/>
                <w:lang w:val="hu-HU"/>
              </w:rPr>
              <w:t>hetet kell várni</w:t>
            </w:r>
            <w:r w:rsidRPr="009F4BD6">
              <w:rPr>
                <w:sz w:val="22"/>
                <w:szCs w:val="22"/>
                <w:vertAlign w:val="superscript"/>
                <w:lang w:val="hu-HU"/>
              </w:rPr>
              <w:t>♦</w:t>
            </w:r>
            <w:r w:rsidRPr="00360A40">
              <w:rPr>
                <w:sz w:val="22"/>
                <w:szCs w:val="22"/>
                <w:lang w:val="hu-HU"/>
              </w:rPr>
              <w:t>.</w:t>
            </w:r>
          </w:p>
        </w:tc>
      </w:tr>
      <w:tr w:rsidR="002D66F3" w:rsidRPr="00360A40" w14:paraId="637B3D7B" w14:textId="77777777" w:rsidTr="00D25F36">
        <w:trPr>
          <w:trHeight w:hRule="exact" w:val="1670"/>
        </w:trPr>
        <w:tc>
          <w:tcPr>
            <w:tcW w:w="3356" w:type="dxa"/>
            <w:tcBorders>
              <w:top w:val="single" w:sz="6" w:space="0" w:color="000000"/>
              <w:left w:val="single" w:sz="4" w:space="0" w:color="000000"/>
              <w:bottom w:val="single" w:sz="4" w:space="0" w:color="000000"/>
              <w:right w:val="single" w:sz="6" w:space="0" w:color="000000"/>
            </w:tcBorders>
          </w:tcPr>
          <w:p w14:paraId="1C57D434" w14:textId="1D144B59" w:rsidR="002D66F3" w:rsidRPr="00360A40" w:rsidRDefault="002D66F3" w:rsidP="00360A40">
            <w:pPr>
              <w:pStyle w:val="TableParagraph"/>
              <w:kinsoku w:val="0"/>
              <w:overflowPunct w:val="0"/>
              <w:ind w:left="102"/>
              <w:rPr>
                <w:sz w:val="22"/>
                <w:szCs w:val="22"/>
                <w:lang w:val="hu-HU"/>
              </w:rPr>
            </w:pPr>
            <w:r w:rsidRPr="00360A40">
              <w:rPr>
                <w:sz w:val="22"/>
                <w:szCs w:val="22"/>
                <w:lang w:val="hu-HU"/>
              </w:rPr>
              <w:t>&gt;</w:t>
            </w:r>
            <w:r w:rsidR="00905F90" w:rsidRPr="00360A40">
              <w:rPr>
                <w:sz w:val="22"/>
                <w:szCs w:val="22"/>
                <w:lang w:val="hu-HU"/>
              </w:rPr>
              <w:t> </w:t>
            </w:r>
            <w:r w:rsidRPr="00360A40">
              <w:rPr>
                <w:sz w:val="22"/>
                <w:szCs w:val="22"/>
                <w:lang w:val="hu-HU"/>
              </w:rPr>
              <w:t>250</w:t>
            </w:r>
            <w:r w:rsidR="00905F90" w:rsidRPr="00360A40">
              <w:rPr>
                <w:sz w:val="22"/>
                <w:szCs w:val="22"/>
                <w:lang w:val="hu-HU"/>
              </w:rPr>
              <w:t> </w:t>
            </w:r>
            <w:r w:rsidRPr="00360A40">
              <w:rPr>
                <w:sz w:val="22"/>
                <w:szCs w:val="22"/>
                <w:lang w:val="hu-HU"/>
              </w:rPr>
              <w:t>000/µl</w:t>
            </w:r>
          </w:p>
        </w:tc>
        <w:tc>
          <w:tcPr>
            <w:tcW w:w="5881" w:type="dxa"/>
            <w:tcBorders>
              <w:top w:val="single" w:sz="6" w:space="0" w:color="000000"/>
              <w:left w:val="single" w:sz="6" w:space="0" w:color="000000"/>
              <w:bottom w:val="single" w:sz="4" w:space="0" w:color="000000"/>
              <w:right w:val="single" w:sz="4" w:space="0" w:color="000000"/>
            </w:tcBorders>
          </w:tcPr>
          <w:p w14:paraId="7074A235" w14:textId="77777777" w:rsidR="002D66F3" w:rsidRPr="00360A40" w:rsidRDefault="002D66F3" w:rsidP="00360A40">
            <w:pPr>
              <w:pStyle w:val="TableParagraph"/>
              <w:kinsoku w:val="0"/>
              <w:overflowPunct w:val="0"/>
              <w:ind w:left="99"/>
              <w:rPr>
                <w:sz w:val="22"/>
                <w:szCs w:val="22"/>
                <w:lang w:val="hu-HU"/>
              </w:rPr>
            </w:pPr>
            <w:r w:rsidRPr="00360A40">
              <w:rPr>
                <w:sz w:val="22"/>
                <w:szCs w:val="22"/>
                <w:lang w:val="hu-HU"/>
              </w:rPr>
              <w:t>Az eltrombopag adását le kell állítani; a vérlemezkeszámot gyakrabban, hetente kétszer kell monitorozni.</w:t>
            </w:r>
          </w:p>
          <w:p w14:paraId="457FCADB" w14:textId="77777777" w:rsidR="002D66F3" w:rsidRPr="00360A40" w:rsidRDefault="002D66F3" w:rsidP="00360A40">
            <w:pPr>
              <w:pStyle w:val="TableParagraph"/>
              <w:kinsoku w:val="0"/>
              <w:overflowPunct w:val="0"/>
              <w:rPr>
                <w:b/>
                <w:bCs/>
                <w:sz w:val="22"/>
                <w:szCs w:val="22"/>
                <w:lang w:val="hu-HU"/>
              </w:rPr>
            </w:pPr>
          </w:p>
          <w:p w14:paraId="52961A49" w14:textId="3EBAD843" w:rsidR="002D66F3" w:rsidRPr="00360A40" w:rsidRDefault="002D66F3" w:rsidP="00360A40">
            <w:pPr>
              <w:pStyle w:val="TableParagraph"/>
              <w:kinsoku w:val="0"/>
              <w:overflowPunct w:val="0"/>
              <w:ind w:left="99"/>
              <w:rPr>
                <w:sz w:val="22"/>
                <w:szCs w:val="22"/>
                <w:lang w:val="hu-HU"/>
              </w:rPr>
            </w:pPr>
            <w:r w:rsidRPr="00360A40">
              <w:rPr>
                <w:sz w:val="22"/>
                <w:szCs w:val="22"/>
                <w:lang w:val="hu-HU"/>
              </w:rPr>
              <w:t xml:space="preserve">Ha a vérlemezkeszám </w:t>
            </w:r>
            <w:r w:rsidR="00A64A10">
              <w:rPr>
                <w:sz w:val="22"/>
                <w:szCs w:val="22"/>
                <w:lang w:val="hu-HU"/>
              </w:rPr>
              <w:t>≤</w:t>
            </w:r>
            <w:r w:rsidRPr="00360A40">
              <w:rPr>
                <w:sz w:val="22"/>
                <w:szCs w:val="22"/>
                <w:lang w:val="hu-HU"/>
              </w:rPr>
              <w:t xml:space="preserve"> 100</w:t>
            </w:r>
            <w:r w:rsidR="00905F90" w:rsidRPr="00360A40">
              <w:rPr>
                <w:sz w:val="22"/>
                <w:szCs w:val="22"/>
                <w:lang w:val="hu-HU"/>
              </w:rPr>
              <w:t> </w:t>
            </w:r>
            <w:r w:rsidRPr="00360A40">
              <w:rPr>
                <w:sz w:val="22"/>
                <w:szCs w:val="22"/>
                <w:lang w:val="hu-HU"/>
              </w:rPr>
              <w:t>000/µl, 25</w:t>
            </w:r>
            <w:r w:rsidR="00905F90" w:rsidRPr="00360A40">
              <w:rPr>
                <w:sz w:val="22"/>
                <w:szCs w:val="22"/>
                <w:lang w:val="hu-HU"/>
              </w:rPr>
              <w:t> </w:t>
            </w:r>
            <w:r w:rsidRPr="00360A40">
              <w:rPr>
                <w:sz w:val="22"/>
                <w:szCs w:val="22"/>
                <w:lang w:val="hu-HU"/>
              </w:rPr>
              <w:t>mg-mal alacsonyabb napi adaggal újra kell kezdeni a kezelést.</w:t>
            </w:r>
          </w:p>
        </w:tc>
      </w:tr>
    </w:tbl>
    <w:p w14:paraId="09F28528" w14:textId="03F74211" w:rsidR="002D66F3" w:rsidRPr="00360A40" w:rsidRDefault="002D66F3" w:rsidP="00360A40">
      <w:pPr>
        <w:pStyle w:val="Szvegtrzs"/>
        <w:kinsoku w:val="0"/>
        <w:overflowPunct w:val="0"/>
        <w:ind w:left="567" w:hanging="567"/>
        <w:rPr>
          <w:lang w:val="hu-HU"/>
        </w:rPr>
      </w:pPr>
      <w:r w:rsidRPr="00360A40">
        <w:rPr>
          <w:lang w:val="hu-HU"/>
        </w:rPr>
        <w:t>*</w:t>
      </w:r>
      <w:r w:rsidRPr="00360A40">
        <w:rPr>
          <w:lang w:val="hu-HU"/>
        </w:rPr>
        <w:tab/>
        <w:t>A minden más</w:t>
      </w:r>
      <w:r w:rsidR="00240870" w:rsidRPr="00360A40">
        <w:rPr>
          <w:lang w:val="hu-HU"/>
        </w:rPr>
        <w:t xml:space="preserve">odik </w:t>
      </w:r>
      <w:r w:rsidRPr="00360A40">
        <w:rPr>
          <w:lang w:val="hu-HU"/>
        </w:rPr>
        <w:t>nap</w:t>
      </w:r>
      <w:r w:rsidR="00240870" w:rsidRPr="00360A40">
        <w:rPr>
          <w:lang w:val="hu-HU"/>
        </w:rPr>
        <w:t>on</w:t>
      </w:r>
      <w:r w:rsidRPr="00360A40">
        <w:rPr>
          <w:lang w:val="hu-HU"/>
        </w:rPr>
        <w:t xml:space="preserve"> 25</w:t>
      </w:r>
      <w:r w:rsidR="00905F90" w:rsidRPr="00360A40">
        <w:rPr>
          <w:lang w:val="hu-HU"/>
        </w:rPr>
        <w:t> </w:t>
      </w:r>
      <w:r w:rsidRPr="00360A40">
        <w:rPr>
          <w:lang w:val="hu-HU"/>
        </w:rPr>
        <w:t>mg eltrombopagot szedő betegeknél a dózist naponta egyszer 25</w:t>
      </w:r>
      <w:r w:rsidR="00905F90" w:rsidRPr="00360A40">
        <w:rPr>
          <w:lang w:val="hu-HU"/>
        </w:rPr>
        <w:t> </w:t>
      </w:r>
      <w:r w:rsidRPr="00360A40">
        <w:rPr>
          <w:lang w:val="hu-HU"/>
        </w:rPr>
        <w:t>mg-ra kell emelni.</w:t>
      </w:r>
    </w:p>
    <w:p w14:paraId="37EB1178" w14:textId="3CA31655" w:rsidR="002D66F3" w:rsidRPr="00360A40" w:rsidRDefault="002D66F3" w:rsidP="00360A40">
      <w:pPr>
        <w:pStyle w:val="Szvegtrzs"/>
        <w:numPr>
          <w:ilvl w:val="0"/>
          <w:numId w:val="12"/>
        </w:numPr>
        <w:kinsoku w:val="0"/>
        <w:overflowPunct w:val="0"/>
        <w:ind w:left="567" w:hanging="567"/>
        <w:rPr>
          <w:lang w:val="hu-HU"/>
        </w:rPr>
      </w:pPr>
      <w:r w:rsidRPr="00360A40">
        <w:rPr>
          <w:lang w:val="hu-HU"/>
        </w:rPr>
        <w:t>A naponta egyszer 25</w:t>
      </w:r>
      <w:r w:rsidR="00905F90" w:rsidRPr="00360A40">
        <w:rPr>
          <w:lang w:val="hu-HU"/>
        </w:rPr>
        <w:t> </w:t>
      </w:r>
      <w:r w:rsidRPr="00360A40">
        <w:rPr>
          <w:lang w:val="hu-HU"/>
        </w:rPr>
        <w:t>mg eltrombopagot szedő betegeknél mérlegelni kell a napi egyszeri 12,5</w:t>
      </w:r>
      <w:r w:rsidR="00905F90" w:rsidRPr="00360A40">
        <w:rPr>
          <w:lang w:val="hu-HU"/>
        </w:rPr>
        <w:t> </w:t>
      </w:r>
      <w:r w:rsidRPr="00360A40">
        <w:rPr>
          <w:lang w:val="hu-HU"/>
        </w:rPr>
        <w:t xml:space="preserve">mg-os dózis, vagy alternatív megoldásként a </w:t>
      </w:r>
      <w:r w:rsidR="00BC0643" w:rsidRPr="00360A40">
        <w:rPr>
          <w:lang w:val="hu-HU"/>
        </w:rPr>
        <w:t xml:space="preserve">minden </w:t>
      </w:r>
      <w:r w:rsidRPr="00360A40">
        <w:rPr>
          <w:lang w:val="hu-HU"/>
        </w:rPr>
        <w:t>más</w:t>
      </w:r>
      <w:r w:rsidR="00BC0643" w:rsidRPr="00360A40">
        <w:rPr>
          <w:lang w:val="hu-HU"/>
        </w:rPr>
        <w:t xml:space="preserve">odik </w:t>
      </w:r>
      <w:r w:rsidRPr="00360A40">
        <w:rPr>
          <w:lang w:val="hu-HU"/>
        </w:rPr>
        <w:t>naponkénti 25</w:t>
      </w:r>
      <w:r w:rsidR="00CB244B">
        <w:rPr>
          <w:lang w:val="hu-HU"/>
        </w:rPr>
        <w:t> </w:t>
      </w:r>
      <w:r w:rsidRPr="00360A40">
        <w:rPr>
          <w:lang w:val="hu-HU"/>
        </w:rPr>
        <w:t>mg-os dózis adását.</w:t>
      </w:r>
    </w:p>
    <w:p w14:paraId="5009FC70" w14:textId="77777777" w:rsidR="002D66F3" w:rsidRPr="00360A40" w:rsidRDefault="002D66F3" w:rsidP="00360A40">
      <w:pPr>
        <w:pStyle w:val="Szvegtrzs"/>
        <w:kinsoku w:val="0"/>
        <w:overflowPunct w:val="0"/>
        <w:ind w:left="0"/>
        <w:rPr>
          <w:lang w:val="hu-HU"/>
        </w:rPr>
      </w:pPr>
    </w:p>
    <w:p w14:paraId="2A263858" w14:textId="77777777" w:rsidR="002D66F3" w:rsidRPr="00360A40" w:rsidRDefault="002D66F3" w:rsidP="00360A40">
      <w:pPr>
        <w:pStyle w:val="Szvegtrzs"/>
        <w:kinsoku w:val="0"/>
        <w:overflowPunct w:val="0"/>
        <w:ind w:left="0"/>
        <w:rPr>
          <w:lang w:val="hu-HU"/>
        </w:rPr>
      </w:pPr>
      <w:r w:rsidRPr="00360A40">
        <w:rPr>
          <w:lang w:val="hu-HU"/>
        </w:rPr>
        <w:t>Az eltrombopag az ITP kezelésére alkalmazott más gyógyszerekkel együtt is adható. Az ITP-re egyidejűleg alkalmazott gyógyszerek adagját úgy kell módosítani, ahogy az klinikailag indokolt, hogy elkerülhető legyen a vérlemezkeszám túlzott emelkedése az eltrombopag-kezelés alatt.</w:t>
      </w:r>
    </w:p>
    <w:p w14:paraId="174C51C7" w14:textId="77777777" w:rsidR="002D66F3" w:rsidRPr="00360A40" w:rsidRDefault="002D66F3" w:rsidP="00360A40">
      <w:pPr>
        <w:pStyle w:val="Szvegtrzs"/>
        <w:kinsoku w:val="0"/>
        <w:overflowPunct w:val="0"/>
        <w:ind w:left="0"/>
        <w:rPr>
          <w:lang w:val="hu-HU"/>
        </w:rPr>
      </w:pPr>
    </w:p>
    <w:p w14:paraId="65E9EF8B" w14:textId="4232809F" w:rsidR="002D66F3" w:rsidRPr="00360A40" w:rsidRDefault="002D66F3" w:rsidP="00360A40">
      <w:pPr>
        <w:pStyle w:val="Szvegtrzs"/>
        <w:kinsoku w:val="0"/>
        <w:overflowPunct w:val="0"/>
        <w:ind w:left="0"/>
        <w:rPr>
          <w:lang w:val="hu-HU"/>
        </w:rPr>
      </w:pPr>
      <w:r w:rsidRPr="00360A40">
        <w:rPr>
          <w:lang w:val="hu-HU"/>
        </w:rPr>
        <w:t>Legalább 2</w:t>
      </w:r>
      <w:r w:rsidR="00905F90" w:rsidRPr="00360A40">
        <w:rPr>
          <w:lang w:val="hu-HU"/>
        </w:rPr>
        <w:t> </w:t>
      </w:r>
      <w:r w:rsidRPr="00360A40">
        <w:rPr>
          <w:lang w:val="hu-HU"/>
        </w:rPr>
        <w:t>hetet szükséges várni, hogy megítélhető legyen az adagmódosítás hatása a beteg vérlemezke-válaszára, mielőtt újabb adagmódosítás jöhet szóba.</w:t>
      </w:r>
    </w:p>
    <w:p w14:paraId="5A97A6CC" w14:textId="77777777" w:rsidR="002D66F3" w:rsidRPr="00360A40" w:rsidRDefault="002D66F3" w:rsidP="00360A40">
      <w:pPr>
        <w:pStyle w:val="Szvegtrzs"/>
        <w:kinsoku w:val="0"/>
        <w:overflowPunct w:val="0"/>
        <w:ind w:left="0"/>
        <w:rPr>
          <w:lang w:val="hu-HU"/>
        </w:rPr>
      </w:pPr>
    </w:p>
    <w:p w14:paraId="06E6D141" w14:textId="267D3B2A" w:rsidR="002D66F3" w:rsidRPr="00360A40" w:rsidRDefault="002D66F3" w:rsidP="00360A40">
      <w:pPr>
        <w:pStyle w:val="Szvegtrzs"/>
        <w:kinsoku w:val="0"/>
        <w:overflowPunct w:val="0"/>
        <w:ind w:left="0"/>
        <w:rPr>
          <w:lang w:val="hu-HU"/>
        </w:rPr>
      </w:pPr>
      <w:r w:rsidRPr="00360A40">
        <w:rPr>
          <w:lang w:val="hu-HU"/>
        </w:rPr>
        <w:t>A standard eltrombopag-dózismódosítás – növelés vagy csökkentés – naponta egyszer 25</w:t>
      </w:r>
      <w:r w:rsidR="00905F90" w:rsidRPr="00360A40">
        <w:rPr>
          <w:lang w:val="hu-HU"/>
        </w:rPr>
        <w:t> </w:t>
      </w:r>
      <w:r w:rsidRPr="00360A40">
        <w:rPr>
          <w:lang w:val="hu-HU"/>
        </w:rPr>
        <w:t>mg.</w:t>
      </w:r>
    </w:p>
    <w:p w14:paraId="5FF668BA" w14:textId="77777777" w:rsidR="002D66F3" w:rsidRPr="00360A40" w:rsidRDefault="002D66F3" w:rsidP="00360A40">
      <w:pPr>
        <w:pStyle w:val="Szvegtrzs"/>
        <w:kinsoku w:val="0"/>
        <w:overflowPunct w:val="0"/>
        <w:ind w:left="0"/>
        <w:rPr>
          <w:lang w:val="hu-HU"/>
        </w:rPr>
      </w:pPr>
    </w:p>
    <w:p w14:paraId="0B1C97AB" w14:textId="77777777" w:rsidR="002D66F3" w:rsidRPr="00360A40" w:rsidRDefault="002D66F3" w:rsidP="00360A40">
      <w:pPr>
        <w:pStyle w:val="Szvegtrzs"/>
        <w:kinsoku w:val="0"/>
        <w:overflowPunct w:val="0"/>
        <w:ind w:left="0"/>
        <w:rPr>
          <w:lang w:val="hu-HU"/>
        </w:rPr>
      </w:pPr>
      <w:r w:rsidRPr="00360A40">
        <w:rPr>
          <w:i/>
          <w:iCs/>
          <w:lang w:val="hu-HU"/>
        </w:rPr>
        <w:t>A kezelés leállítása</w:t>
      </w:r>
    </w:p>
    <w:p w14:paraId="24C886D8" w14:textId="05222450" w:rsidR="002D66F3" w:rsidRPr="00360A40" w:rsidRDefault="002D66F3" w:rsidP="00360A40">
      <w:pPr>
        <w:pStyle w:val="Szvegtrzs"/>
        <w:kinsoku w:val="0"/>
        <w:overflowPunct w:val="0"/>
        <w:ind w:left="0"/>
        <w:rPr>
          <w:lang w:val="hu-HU"/>
        </w:rPr>
      </w:pPr>
      <w:r w:rsidRPr="00360A40">
        <w:rPr>
          <w:lang w:val="hu-HU"/>
        </w:rPr>
        <w:t>Az eltrombopag-kezelést le kell állítani, ha a vérlemezkeszám napi egyszeri 75</w:t>
      </w:r>
      <w:r w:rsidR="00905F90" w:rsidRPr="00360A40">
        <w:rPr>
          <w:lang w:val="hu-HU"/>
        </w:rPr>
        <w:t> </w:t>
      </w:r>
      <w:r w:rsidRPr="00360A40">
        <w:rPr>
          <w:lang w:val="hu-HU"/>
        </w:rPr>
        <w:t>mg eltrombopag</w:t>
      </w:r>
      <w:r w:rsidR="00A218FB" w:rsidRPr="00360A40">
        <w:rPr>
          <w:lang w:val="hu-HU"/>
        </w:rPr>
        <w:t xml:space="preserve"> </w:t>
      </w:r>
      <w:r w:rsidRPr="00360A40">
        <w:rPr>
          <w:lang w:val="hu-HU"/>
        </w:rPr>
        <w:t>4</w:t>
      </w:r>
      <w:r w:rsidR="00905F90" w:rsidRPr="00360A40">
        <w:rPr>
          <w:lang w:val="hu-HU"/>
        </w:rPr>
        <w:t> </w:t>
      </w:r>
      <w:r w:rsidRPr="00360A40">
        <w:rPr>
          <w:lang w:val="hu-HU"/>
        </w:rPr>
        <w:t>hétig történő alkalmazása után sem éri el a klinikailag jelentős vérzés elkerüléséhez elegendő szintet.</w:t>
      </w:r>
    </w:p>
    <w:p w14:paraId="3BE9D6E0" w14:textId="77777777" w:rsidR="002D66F3" w:rsidRPr="00360A40" w:rsidRDefault="002D66F3" w:rsidP="00360A40">
      <w:pPr>
        <w:pStyle w:val="Szvegtrzs"/>
        <w:kinsoku w:val="0"/>
        <w:overflowPunct w:val="0"/>
        <w:ind w:left="0"/>
        <w:rPr>
          <w:lang w:val="hu-HU"/>
        </w:rPr>
      </w:pPr>
    </w:p>
    <w:p w14:paraId="14E51104" w14:textId="09D7C54B" w:rsidR="002D66F3" w:rsidRPr="00360A40" w:rsidRDefault="002D66F3" w:rsidP="00360A40">
      <w:pPr>
        <w:pStyle w:val="Szvegtrzs"/>
        <w:kinsoku w:val="0"/>
        <w:overflowPunct w:val="0"/>
        <w:ind w:left="0"/>
        <w:rPr>
          <w:lang w:val="hu-HU"/>
        </w:rPr>
      </w:pPr>
      <w:r w:rsidRPr="00360A40">
        <w:rPr>
          <w:lang w:val="hu-HU"/>
        </w:rPr>
        <w:t>A betegek állapotát rendszeres időközönként értékelni kell, és a kezelés folytatásáról a kezelőorvosnak egyedileg kell döntenie. Nem splenectomizált betegeknél ennek ki kell terjednie a lépeltávolítással szembeni értékelésre is. A kezelés felfüggesztése után a thrombocytopenia kiújulhat (lásd 4.4</w:t>
      </w:r>
      <w:r w:rsidR="00905F90" w:rsidRPr="00360A40">
        <w:rPr>
          <w:lang w:val="hu-HU"/>
        </w:rPr>
        <w:t> </w:t>
      </w:r>
      <w:r w:rsidRPr="00360A40">
        <w:rPr>
          <w:lang w:val="hu-HU"/>
        </w:rPr>
        <w:t>pont).</w:t>
      </w:r>
    </w:p>
    <w:p w14:paraId="32CA7E6D" w14:textId="77777777" w:rsidR="002D66F3" w:rsidRPr="00360A40" w:rsidRDefault="002D66F3" w:rsidP="00360A40">
      <w:pPr>
        <w:pStyle w:val="Szvegtrzs"/>
        <w:kinsoku w:val="0"/>
        <w:overflowPunct w:val="0"/>
        <w:ind w:left="0"/>
        <w:rPr>
          <w:lang w:val="hu-HU"/>
        </w:rPr>
      </w:pPr>
    </w:p>
    <w:p w14:paraId="1D60E960" w14:textId="77777777" w:rsidR="002D66F3" w:rsidRPr="00360A40" w:rsidRDefault="002D66F3" w:rsidP="00360A40">
      <w:pPr>
        <w:pStyle w:val="Szvegtrzs"/>
        <w:kinsoku w:val="0"/>
        <w:overflowPunct w:val="0"/>
        <w:ind w:left="0"/>
        <w:rPr>
          <w:lang w:val="hu-HU"/>
        </w:rPr>
      </w:pPr>
      <w:r w:rsidRPr="00360A40">
        <w:rPr>
          <w:i/>
          <w:iCs/>
          <w:u w:val="single"/>
          <w:lang w:val="hu-HU"/>
        </w:rPr>
        <w:t>Krónikus hepatitis C-hez (HCV) társuló thrombocytopenia</w:t>
      </w:r>
    </w:p>
    <w:p w14:paraId="29E5D02F" w14:textId="77777777" w:rsidR="002D66F3" w:rsidRPr="00360A40" w:rsidRDefault="002D66F3" w:rsidP="00360A40">
      <w:pPr>
        <w:pStyle w:val="Szvegtrzs"/>
        <w:kinsoku w:val="0"/>
        <w:overflowPunct w:val="0"/>
        <w:ind w:left="0"/>
        <w:rPr>
          <w:i/>
          <w:iCs/>
          <w:lang w:val="hu-HU"/>
        </w:rPr>
      </w:pPr>
    </w:p>
    <w:p w14:paraId="70705969" w14:textId="77777777" w:rsidR="002D66F3" w:rsidRPr="00360A40" w:rsidRDefault="002D66F3" w:rsidP="00360A40">
      <w:pPr>
        <w:pStyle w:val="Szvegtrzs"/>
        <w:kinsoku w:val="0"/>
        <w:overflowPunct w:val="0"/>
        <w:ind w:left="0"/>
        <w:rPr>
          <w:lang w:val="hu-HU"/>
        </w:rPr>
      </w:pPr>
      <w:r w:rsidRPr="00360A40">
        <w:rPr>
          <w:lang w:val="hu-HU"/>
        </w:rPr>
        <w:t>Amikor az eltrombopagot antivirális szerekkel kombinálva alkalmazzák, a szóban forgó együtt adott gyógyszerek teljes alkalmazási előírását hivatkozásként figyelembe kell venni, a vonatkozó biztonságossági információk vagy ellenjavallatok minden részletét is beleértve.</w:t>
      </w:r>
    </w:p>
    <w:p w14:paraId="21231625" w14:textId="77777777" w:rsidR="002D66F3" w:rsidRPr="00360A40" w:rsidRDefault="002D66F3" w:rsidP="00360A40">
      <w:pPr>
        <w:pStyle w:val="Szvegtrzs"/>
        <w:kinsoku w:val="0"/>
        <w:overflowPunct w:val="0"/>
        <w:ind w:left="0"/>
        <w:rPr>
          <w:lang w:val="hu-HU"/>
        </w:rPr>
      </w:pPr>
    </w:p>
    <w:p w14:paraId="7E30399F" w14:textId="21074999" w:rsidR="002D66F3" w:rsidRPr="00360A40" w:rsidRDefault="002D66F3" w:rsidP="00360A40">
      <w:pPr>
        <w:pStyle w:val="Szvegtrzs"/>
        <w:kinsoku w:val="0"/>
        <w:overflowPunct w:val="0"/>
        <w:ind w:left="0"/>
        <w:rPr>
          <w:lang w:val="hu-HU"/>
        </w:rPr>
      </w:pPr>
      <w:r w:rsidRPr="00360A40">
        <w:rPr>
          <w:lang w:val="hu-HU"/>
        </w:rPr>
        <w:t>Klinikai vizsgálatokban a vérlemezkeszám az eltrombopag-kezelés megkezdése után általában 1</w:t>
      </w:r>
      <w:r w:rsidR="00905F90" w:rsidRPr="00360A40">
        <w:rPr>
          <w:lang w:val="hu-HU"/>
        </w:rPr>
        <w:t> </w:t>
      </w:r>
      <w:r w:rsidRPr="00360A40">
        <w:rPr>
          <w:lang w:val="hu-HU"/>
        </w:rPr>
        <w:t>héten belül emelkedett. Az eltrombopag-kezelés célja az antivirális terápia megkezdéséhez szükséges minimális vérlemezkeszám elérése kell legyen, a klinikai gyakorlatban alkalmazott ajánlásokkal összhangban. Az antivirális terápia során a kezelés célja, hogy fenntartható legyen a vérzéses szövődmények kockázatának megelőzéséhez szükséges vérlemezkeszám, amely általában</w:t>
      </w:r>
      <w:r w:rsidR="00905F90" w:rsidRPr="00360A40">
        <w:rPr>
          <w:lang w:val="hu-HU"/>
        </w:rPr>
        <w:t xml:space="preserve"> </w:t>
      </w:r>
      <w:r w:rsidRPr="00360A40">
        <w:rPr>
          <w:lang w:val="hu-HU"/>
        </w:rPr>
        <w:t>50</w:t>
      </w:r>
      <w:r w:rsidR="00905F90" w:rsidRPr="00360A40">
        <w:rPr>
          <w:lang w:val="hu-HU"/>
        </w:rPr>
        <w:t> </w:t>
      </w:r>
      <w:r w:rsidRPr="00360A40">
        <w:rPr>
          <w:lang w:val="hu-HU"/>
        </w:rPr>
        <w:t>000</w:t>
      </w:r>
      <w:r w:rsidR="00905F90" w:rsidRPr="00360A40">
        <w:rPr>
          <w:lang w:val="hu-HU"/>
        </w:rPr>
        <w:t> – </w:t>
      </w:r>
      <w:r w:rsidRPr="00360A40">
        <w:rPr>
          <w:lang w:val="hu-HU"/>
        </w:rPr>
        <w:t>75</w:t>
      </w:r>
      <w:r w:rsidR="00905F90" w:rsidRPr="00360A40">
        <w:rPr>
          <w:lang w:val="hu-HU"/>
        </w:rPr>
        <w:t> </w:t>
      </w:r>
      <w:r w:rsidRPr="00360A40">
        <w:rPr>
          <w:lang w:val="hu-HU"/>
        </w:rPr>
        <w:t>000/µl. A 75</w:t>
      </w:r>
      <w:r w:rsidR="00905F90" w:rsidRPr="00360A40">
        <w:rPr>
          <w:lang w:val="hu-HU"/>
        </w:rPr>
        <w:t> </w:t>
      </w:r>
      <w:r w:rsidRPr="00360A40">
        <w:rPr>
          <w:lang w:val="hu-HU"/>
        </w:rPr>
        <w:t>000/µl-nél magasabb vérlemezkeszám kerülendő. A terápiás célok eléréséhez szükséges legalacsonyabb eltrombopag-dózist kell alkalmazni. A dózismódosítás a vérlemezke</w:t>
      </w:r>
      <w:r w:rsidR="00BD2A13">
        <w:rPr>
          <w:lang w:val="hu-HU"/>
        </w:rPr>
        <w:t>szám-vál</w:t>
      </w:r>
      <w:r w:rsidRPr="00360A40">
        <w:rPr>
          <w:lang w:val="hu-HU"/>
        </w:rPr>
        <w:t>aszon kell alapuljon.</w:t>
      </w:r>
    </w:p>
    <w:p w14:paraId="146A5D09" w14:textId="77777777" w:rsidR="00A218FB" w:rsidRPr="00360A40" w:rsidRDefault="00A218FB" w:rsidP="00360A40">
      <w:pPr>
        <w:pStyle w:val="Szvegtrzs"/>
        <w:kinsoku w:val="0"/>
        <w:overflowPunct w:val="0"/>
        <w:ind w:left="0"/>
        <w:rPr>
          <w:lang w:val="hu-HU"/>
        </w:rPr>
      </w:pPr>
    </w:p>
    <w:p w14:paraId="25126F41" w14:textId="77777777" w:rsidR="002D66F3" w:rsidRPr="00360A40" w:rsidRDefault="002D66F3" w:rsidP="00360A40">
      <w:pPr>
        <w:pStyle w:val="Szvegtrzs"/>
        <w:kinsoku w:val="0"/>
        <w:overflowPunct w:val="0"/>
        <w:ind w:left="0"/>
        <w:rPr>
          <w:lang w:val="hu-HU"/>
        </w:rPr>
      </w:pPr>
      <w:r w:rsidRPr="00360A40">
        <w:rPr>
          <w:i/>
          <w:iCs/>
          <w:lang w:val="hu-HU"/>
        </w:rPr>
        <w:t>Bevezető adagolási rend</w:t>
      </w:r>
    </w:p>
    <w:p w14:paraId="4F42D1A7" w14:textId="05E04665" w:rsidR="002D66F3" w:rsidRPr="00360A40" w:rsidRDefault="002D66F3" w:rsidP="00360A40">
      <w:pPr>
        <w:pStyle w:val="Szvegtrzs"/>
        <w:kinsoku w:val="0"/>
        <w:overflowPunct w:val="0"/>
        <w:ind w:left="0"/>
        <w:rPr>
          <w:lang w:val="hu-HU"/>
        </w:rPr>
      </w:pPr>
      <w:r w:rsidRPr="00360A40">
        <w:rPr>
          <w:lang w:val="hu-HU"/>
        </w:rPr>
        <w:t>Az eltrombopag kezdő dózisa napi egyszer 25</w:t>
      </w:r>
      <w:r w:rsidR="00905F90" w:rsidRPr="00360A40">
        <w:rPr>
          <w:lang w:val="hu-HU"/>
        </w:rPr>
        <w:t> </w:t>
      </w:r>
      <w:r w:rsidRPr="00360A40">
        <w:rPr>
          <w:lang w:val="hu-HU"/>
        </w:rPr>
        <w:t>mg kell legyen. Nincs szükség dózismódosításra kelet-/délkelet-ázsiai származású HCV-betegeknél, illetve enyhe májkárosodásban szenvedő betegeknél (lásd 5.2</w:t>
      </w:r>
      <w:r w:rsidR="00905F90" w:rsidRPr="00360A40">
        <w:rPr>
          <w:lang w:val="hu-HU"/>
        </w:rPr>
        <w:t> </w:t>
      </w:r>
      <w:r w:rsidRPr="00360A40">
        <w:rPr>
          <w:lang w:val="hu-HU"/>
        </w:rPr>
        <w:t>pont).</w:t>
      </w:r>
    </w:p>
    <w:p w14:paraId="5171C09E" w14:textId="77777777" w:rsidR="002D66F3" w:rsidRPr="00360A40" w:rsidRDefault="002D66F3" w:rsidP="00360A40">
      <w:pPr>
        <w:pStyle w:val="Szvegtrzs"/>
        <w:kinsoku w:val="0"/>
        <w:overflowPunct w:val="0"/>
        <w:ind w:left="0"/>
        <w:rPr>
          <w:lang w:val="hu-HU"/>
        </w:rPr>
      </w:pPr>
    </w:p>
    <w:p w14:paraId="13F75C25" w14:textId="77777777" w:rsidR="002D66F3" w:rsidRPr="00360A40" w:rsidRDefault="002D66F3" w:rsidP="00360A40">
      <w:pPr>
        <w:pStyle w:val="Szvegtrzs"/>
        <w:kinsoku w:val="0"/>
        <w:overflowPunct w:val="0"/>
        <w:ind w:left="0"/>
        <w:rPr>
          <w:lang w:val="hu-HU"/>
        </w:rPr>
      </w:pPr>
      <w:r w:rsidRPr="00360A40">
        <w:rPr>
          <w:i/>
          <w:iCs/>
          <w:lang w:val="hu-HU"/>
        </w:rPr>
        <w:t>Monitorozás és adagbeállítás</w:t>
      </w:r>
    </w:p>
    <w:p w14:paraId="1396BCC1" w14:textId="007D90EE" w:rsidR="002D66F3" w:rsidRPr="00360A40" w:rsidRDefault="002D66F3" w:rsidP="00360A40">
      <w:pPr>
        <w:pStyle w:val="Szvegtrzs"/>
        <w:kinsoku w:val="0"/>
        <w:overflowPunct w:val="0"/>
        <w:ind w:left="0"/>
        <w:rPr>
          <w:lang w:val="hu-HU"/>
        </w:rPr>
      </w:pPr>
      <w:r w:rsidRPr="00360A40">
        <w:rPr>
          <w:lang w:val="hu-HU"/>
        </w:rPr>
        <w:t xml:space="preserve">Az eltrombopag napi </w:t>
      </w:r>
      <w:r w:rsidR="00FD1A00" w:rsidRPr="00360A40">
        <w:rPr>
          <w:lang w:val="hu-HU"/>
        </w:rPr>
        <w:t xml:space="preserve">dózisát </w:t>
      </w:r>
      <w:r w:rsidRPr="00360A40">
        <w:rPr>
          <w:lang w:val="hu-HU"/>
        </w:rPr>
        <w:t>szükség szerint kéthetente, 25</w:t>
      </w:r>
      <w:r w:rsidR="00905F90" w:rsidRPr="00360A40">
        <w:rPr>
          <w:lang w:val="hu-HU"/>
        </w:rPr>
        <w:t> </w:t>
      </w:r>
      <w:r w:rsidRPr="00360A40">
        <w:rPr>
          <w:lang w:val="hu-HU"/>
        </w:rPr>
        <w:t>mg-mal kell emelni, az antivirális terápia megkezdéséhez kellő vérlemezkeszám elérése érdekében. Az antivirális terápia megkezdése előtt hetente vizsgálni kell a vérlemezkeszámot. Az antivirális terápia megkezdésekor a vérlemezkeszám csökkenhet, ezért ekkor az eltrombopag azonnali dózismódosítását el kell kerülni (lásd 2.</w:t>
      </w:r>
      <w:r w:rsidR="00905F90" w:rsidRPr="00360A40">
        <w:rPr>
          <w:lang w:val="hu-HU"/>
        </w:rPr>
        <w:t> </w:t>
      </w:r>
      <w:r w:rsidRPr="00360A40">
        <w:rPr>
          <w:lang w:val="hu-HU"/>
        </w:rPr>
        <w:t>táblázat).</w:t>
      </w:r>
    </w:p>
    <w:p w14:paraId="18D3EC44" w14:textId="77777777" w:rsidR="002D66F3" w:rsidRPr="00360A40" w:rsidRDefault="002D66F3" w:rsidP="00360A40">
      <w:pPr>
        <w:pStyle w:val="Szvegtrzs"/>
        <w:kinsoku w:val="0"/>
        <w:overflowPunct w:val="0"/>
        <w:ind w:left="0"/>
        <w:rPr>
          <w:lang w:val="hu-HU"/>
        </w:rPr>
      </w:pPr>
    </w:p>
    <w:p w14:paraId="151BB05E" w14:textId="291BD959" w:rsidR="002D66F3" w:rsidRPr="00360A40" w:rsidRDefault="002D66F3" w:rsidP="00360A40">
      <w:pPr>
        <w:pStyle w:val="Szvegtrzs"/>
        <w:kinsoku w:val="0"/>
        <w:overflowPunct w:val="0"/>
        <w:ind w:left="0"/>
        <w:rPr>
          <w:lang w:val="hu-HU"/>
        </w:rPr>
      </w:pPr>
      <w:r w:rsidRPr="00360A40">
        <w:rPr>
          <w:lang w:val="hu-HU"/>
        </w:rPr>
        <w:t>Az antivirális kezelés során az eltrombopag dózisát szükség szerint úgy kell módosítani, hogy a vérlemezkeszám csökkenése miatt, amely növelheti a vérzés kockázatát a betegeknél, a peginterferon dóziscsökkentése elkerülhető legyen (lásd 2.</w:t>
      </w:r>
      <w:r w:rsidR="00905F90" w:rsidRPr="00360A40">
        <w:rPr>
          <w:lang w:val="hu-HU"/>
        </w:rPr>
        <w:t> </w:t>
      </w:r>
      <w:r w:rsidRPr="00360A40">
        <w:rPr>
          <w:lang w:val="hu-HU"/>
        </w:rPr>
        <w:t>táblázat). Az antivirális terápia alatt a vérlemezkeszámot az általában 50</w:t>
      </w:r>
      <w:r w:rsidR="00905F90" w:rsidRPr="00360A40">
        <w:rPr>
          <w:lang w:val="hu-HU"/>
        </w:rPr>
        <w:t> </w:t>
      </w:r>
      <w:r w:rsidRPr="00360A40">
        <w:rPr>
          <w:lang w:val="hu-HU"/>
        </w:rPr>
        <w:t>000</w:t>
      </w:r>
      <w:r w:rsidR="00905F90" w:rsidRPr="00360A40">
        <w:rPr>
          <w:lang w:val="hu-HU"/>
        </w:rPr>
        <w:t> </w:t>
      </w:r>
      <w:r w:rsidRPr="00360A40">
        <w:rPr>
          <w:lang w:val="hu-HU"/>
        </w:rPr>
        <w:t>–</w:t>
      </w:r>
      <w:r w:rsidR="00905F90" w:rsidRPr="00360A40">
        <w:rPr>
          <w:lang w:val="hu-HU"/>
        </w:rPr>
        <w:t> </w:t>
      </w:r>
      <w:r w:rsidRPr="00360A40">
        <w:rPr>
          <w:lang w:val="hu-HU"/>
        </w:rPr>
        <w:t>70</w:t>
      </w:r>
      <w:r w:rsidR="00905F90" w:rsidRPr="00360A40">
        <w:rPr>
          <w:lang w:val="hu-HU"/>
        </w:rPr>
        <w:t> </w:t>
      </w:r>
      <w:r w:rsidRPr="00360A40">
        <w:rPr>
          <w:lang w:val="hu-HU"/>
        </w:rPr>
        <w:t>000/µl körüli stabil vérlemezkeszám eléréséig hetente ellenőrizni kell. Ezt követően havonta kell a teljes vérképet ellenőrizni, beleértve a vérlemezkeszámot és a perifériás vérkenetet is. A napi adag dóziscsökkentése 25</w:t>
      </w:r>
      <w:r w:rsidR="00905F90" w:rsidRPr="00360A40">
        <w:rPr>
          <w:lang w:val="hu-HU"/>
        </w:rPr>
        <w:t> </w:t>
      </w:r>
      <w:r w:rsidRPr="00360A40">
        <w:rPr>
          <w:lang w:val="hu-HU"/>
        </w:rPr>
        <w:t>mg-mal megfontolandó, ha a vérlemezkeszám meghaladja a kitűzött célértéket. Javasolt 2</w:t>
      </w:r>
      <w:r w:rsidR="00905F90" w:rsidRPr="00360A40">
        <w:rPr>
          <w:lang w:val="hu-HU"/>
        </w:rPr>
        <w:t> </w:t>
      </w:r>
      <w:r w:rsidRPr="00360A40">
        <w:rPr>
          <w:lang w:val="hu-HU"/>
        </w:rPr>
        <w:t>hétig várni, hogy ennek és valamennyi ezt követő dózismódosításnak a hatását értékelni lehessen.</w:t>
      </w:r>
    </w:p>
    <w:p w14:paraId="6249BA72" w14:textId="77777777" w:rsidR="002D66F3" w:rsidRPr="00360A40" w:rsidRDefault="002D66F3" w:rsidP="00360A40">
      <w:pPr>
        <w:pStyle w:val="Szvegtrzs"/>
        <w:kinsoku w:val="0"/>
        <w:overflowPunct w:val="0"/>
        <w:ind w:left="0"/>
        <w:rPr>
          <w:lang w:val="hu-HU"/>
        </w:rPr>
      </w:pPr>
    </w:p>
    <w:p w14:paraId="41829F60" w14:textId="2F3D2473" w:rsidR="002D66F3" w:rsidRPr="00360A40" w:rsidRDefault="002D66F3" w:rsidP="00360A40">
      <w:pPr>
        <w:pStyle w:val="Szvegtrzs"/>
        <w:kinsoku w:val="0"/>
        <w:overflowPunct w:val="0"/>
        <w:ind w:left="0"/>
        <w:rPr>
          <w:lang w:val="hu-HU"/>
        </w:rPr>
      </w:pPr>
      <w:r w:rsidRPr="00360A40">
        <w:rPr>
          <w:lang w:val="hu-HU"/>
        </w:rPr>
        <w:t>A naponta egyszeri 100</w:t>
      </w:r>
      <w:r w:rsidR="00905F90" w:rsidRPr="00360A40">
        <w:rPr>
          <w:lang w:val="hu-HU"/>
        </w:rPr>
        <w:t> </w:t>
      </w:r>
      <w:r w:rsidRPr="00360A40">
        <w:rPr>
          <w:lang w:val="hu-HU"/>
        </w:rPr>
        <w:t xml:space="preserve">mg-os </w:t>
      </w:r>
      <w:r w:rsidR="00FD1A00" w:rsidRPr="00360A40">
        <w:rPr>
          <w:lang w:val="hu-HU"/>
        </w:rPr>
        <w:t xml:space="preserve">dózist </w:t>
      </w:r>
      <w:r w:rsidRPr="00360A40">
        <w:rPr>
          <w:lang w:val="hu-HU"/>
        </w:rPr>
        <w:t>nem szabad túllépni.</w:t>
      </w:r>
    </w:p>
    <w:p w14:paraId="4B28F84C" w14:textId="77777777" w:rsidR="002D66F3" w:rsidRPr="00360A40" w:rsidRDefault="002D66F3" w:rsidP="00360A40">
      <w:pPr>
        <w:pStyle w:val="Szvegtrzs"/>
        <w:kinsoku w:val="0"/>
        <w:overflowPunct w:val="0"/>
        <w:ind w:left="0"/>
        <w:rPr>
          <w:lang w:val="hu-HU"/>
        </w:rPr>
      </w:pPr>
    </w:p>
    <w:p w14:paraId="7DCA4DF4" w14:textId="7F898950" w:rsidR="002D66F3" w:rsidRPr="00360A40" w:rsidRDefault="00A218FB" w:rsidP="00360A40">
      <w:pPr>
        <w:pStyle w:val="Cmsor1"/>
        <w:kinsoku w:val="0"/>
        <w:overflowPunct w:val="0"/>
        <w:ind w:left="0" w:firstLine="0"/>
        <w:rPr>
          <w:b w:val="0"/>
          <w:bCs w:val="0"/>
          <w:lang w:val="hu-HU"/>
        </w:rPr>
      </w:pPr>
      <w:r w:rsidRPr="00360A40">
        <w:rPr>
          <w:lang w:val="hu-HU"/>
        </w:rPr>
        <w:t>2. </w:t>
      </w:r>
      <w:r w:rsidR="002D66F3" w:rsidRPr="00360A40">
        <w:rPr>
          <w:lang w:val="hu-HU"/>
        </w:rPr>
        <w:t>táblázat</w:t>
      </w:r>
      <w:r w:rsidR="002D66F3" w:rsidRPr="00360A40">
        <w:rPr>
          <w:lang w:val="hu-HU"/>
        </w:rPr>
        <w:tab/>
        <w:t>Az eltrombopag</w:t>
      </w:r>
      <w:r w:rsidR="00FD1A00" w:rsidRPr="00360A40">
        <w:rPr>
          <w:lang w:val="hu-HU"/>
        </w:rPr>
        <w:t>-dózisok</w:t>
      </w:r>
      <w:r w:rsidR="002D66F3" w:rsidRPr="00360A40">
        <w:rPr>
          <w:lang w:val="hu-HU"/>
        </w:rPr>
        <w:t xml:space="preserve"> módosítása HCV-s betegeknél antivirális terápia mellett</w:t>
      </w:r>
    </w:p>
    <w:p w14:paraId="551D7B61" w14:textId="77777777" w:rsidR="002D66F3" w:rsidRPr="00360A40" w:rsidRDefault="002D66F3" w:rsidP="00360A40">
      <w:pPr>
        <w:pStyle w:val="Szvegtrzs"/>
        <w:kinsoku w:val="0"/>
        <w:overflowPunct w:val="0"/>
        <w:ind w:left="0"/>
        <w:rPr>
          <w:b/>
          <w:bCs/>
          <w:lang w:val="hu-HU"/>
        </w:rPr>
      </w:pPr>
    </w:p>
    <w:tbl>
      <w:tblPr>
        <w:tblW w:w="0" w:type="auto"/>
        <w:tblInd w:w="-10" w:type="dxa"/>
        <w:tblLayout w:type="fixed"/>
        <w:tblCellMar>
          <w:left w:w="0" w:type="dxa"/>
          <w:right w:w="0" w:type="dxa"/>
        </w:tblCellMar>
        <w:tblLook w:val="0000" w:firstRow="0" w:lastRow="0" w:firstColumn="0" w:lastColumn="0" w:noHBand="0" w:noVBand="0"/>
      </w:tblPr>
      <w:tblGrid>
        <w:gridCol w:w="3081"/>
        <w:gridCol w:w="6166"/>
      </w:tblGrid>
      <w:tr w:rsidR="002D66F3" w:rsidRPr="00360A40" w14:paraId="307E0978" w14:textId="77777777" w:rsidTr="00D25F36">
        <w:trPr>
          <w:trHeight w:hRule="exact" w:val="274"/>
        </w:trPr>
        <w:tc>
          <w:tcPr>
            <w:tcW w:w="3081" w:type="dxa"/>
            <w:tcBorders>
              <w:top w:val="single" w:sz="8" w:space="0" w:color="000000"/>
              <w:left w:val="single" w:sz="8" w:space="0" w:color="000000"/>
              <w:bottom w:val="single" w:sz="8" w:space="0" w:color="000000"/>
              <w:right w:val="single" w:sz="8" w:space="0" w:color="000000"/>
            </w:tcBorders>
          </w:tcPr>
          <w:p w14:paraId="67132E40" w14:textId="77777777" w:rsidR="002D66F3" w:rsidRPr="00360A40" w:rsidRDefault="002D66F3" w:rsidP="00360A40">
            <w:pPr>
              <w:pStyle w:val="TableParagraph"/>
              <w:kinsoku w:val="0"/>
              <w:overflowPunct w:val="0"/>
              <w:ind w:left="97"/>
              <w:rPr>
                <w:b/>
                <w:bCs/>
                <w:sz w:val="22"/>
                <w:szCs w:val="22"/>
                <w:lang w:val="hu-HU"/>
              </w:rPr>
            </w:pPr>
            <w:r w:rsidRPr="00360A40">
              <w:rPr>
                <w:b/>
                <w:bCs/>
                <w:sz w:val="22"/>
                <w:szCs w:val="22"/>
                <w:lang w:val="hu-HU"/>
              </w:rPr>
              <w:t>Vérlemezkeszám</w:t>
            </w:r>
          </w:p>
        </w:tc>
        <w:tc>
          <w:tcPr>
            <w:tcW w:w="6166" w:type="dxa"/>
            <w:tcBorders>
              <w:top w:val="single" w:sz="8" w:space="0" w:color="000000"/>
              <w:left w:val="single" w:sz="8" w:space="0" w:color="000000"/>
              <w:bottom w:val="single" w:sz="8" w:space="0" w:color="000000"/>
              <w:right w:val="single" w:sz="8" w:space="0" w:color="000000"/>
            </w:tcBorders>
          </w:tcPr>
          <w:p w14:paraId="65E22A4F" w14:textId="77777777" w:rsidR="002D66F3" w:rsidRPr="00360A40" w:rsidRDefault="002D66F3" w:rsidP="00360A40">
            <w:pPr>
              <w:pStyle w:val="TableParagraph"/>
              <w:kinsoku w:val="0"/>
              <w:overflowPunct w:val="0"/>
              <w:ind w:left="96"/>
              <w:rPr>
                <w:b/>
                <w:bCs/>
                <w:sz w:val="22"/>
                <w:szCs w:val="22"/>
                <w:lang w:val="hu-HU"/>
              </w:rPr>
            </w:pPr>
            <w:r w:rsidRPr="00360A40">
              <w:rPr>
                <w:b/>
                <w:bCs/>
                <w:sz w:val="22"/>
                <w:szCs w:val="22"/>
                <w:lang w:val="hu-HU"/>
              </w:rPr>
              <w:t>Dózismódosítás vagy válasz</w:t>
            </w:r>
          </w:p>
        </w:tc>
      </w:tr>
      <w:tr w:rsidR="002D66F3" w:rsidRPr="00360A40" w14:paraId="7F14A66A" w14:textId="77777777" w:rsidTr="00D25F36">
        <w:trPr>
          <w:trHeight w:hRule="exact" w:val="526"/>
        </w:trPr>
        <w:tc>
          <w:tcPr>
            <w:tcW w:w="3081" w:type="dxa"/>
            <w:tcBorders>
              <w:top w:val="single" w:sz="8" w:space="0" w:color="000000"/>
              <w:left w:val="single" w:sz="8" w:space="0" w:color="000000"/>
              <w:bottom w:val="single" w:sz="8" w:space="0" w:color="000000"/>
              <w:right w:val="single" w:sz="8" w:space="0" w:color="000000"/>
            </w:tcBorders>
          </w:tcPr>
          <w:p w14:paraId="6E3E023A" w14:textId="1B1D757D" w:rsidR="002D66F3" w:rsidRPr="00360A40" w:rsidRDefault="002D66F3" w:rsidP="00360A40">
            <w:pPr>
              <w:pStyle w:val="TableParagraph"/>
              <w:kinsoku w:val="0"/>
              <w:overflowPunct w:val="0"/>
              <w:ind w:left="97"/>
              <w:rPr>
                <w:sz w:val="22"/>
                <w:szCs w:val="22"/>
                <w:lang w:val="hu-HU"/>
              </w:rPr>
            </w:pPr>
            <w:r w:rsidRPr="00360A40">
              <w:rPr>
                <w:sz w:val="22"/>
                <w:szCs w:val="22"/>
                <w:lang w:val="hu-HU"/>
              </w:rPr>
              <w:t>&lt;</w:t>
            </w:r>
            <w:r w:rsidR="00905F90" w:rsidRPr="00360A40">
              <w:rPr>
                <w:sz w:val="22"/>
                <w:szCs w:val="22"/>
                <w:lang w:val="hu-HU"/>
              </w:rPr>
              <w:t> </w:t>
            </w:r>
            <w:r w:rsidRPr="00360A40">
              <w:rPr>
                <w:sz w:val="22"/>
                <w:szCs w:val="22"/>
                <w:lang w:val="hu-HU"/>
              </w:rPr>
              <w:t>50</w:t>
            </w:r>
            <w:r w:rsidR="00905F90" w:rsidRPr="00360A40">
              <w:rPr>
                <w:sz w:val="22"/>
                <w:szCs w:val="22"/>
                <w:lang w:val="hu-HU"/>
              </w:rPr>
              <w:t> </w:t>
            </w:r>
            <w:r w:rsidRPr="00360A40">
              <w:rPr>
                <w:sz w:val="22"/>
                <w:szCs w:val="22"/>
                <w:lang w:val="hu-HU"/>
              </w:rPr>
              <w:t>000/µl</w:t>
            </w:r>
            <w:r w:rsidR="00581A67" w:rsidRPr="00360A40">
              <w:rPr>
                <w:sz w:val="22"/>
                <w:szCs w:val="22"/>
                <w:lang w:val="hu-HU"/>
              </w:rPr>
              <w:t>,</w:t>
            </w:r>
            <w:r w:rsidRPr="00360A40">
              <w:rPr>
                <w:sz w:val="22"/>
                <w:szCs w:val="22"/>
                <w:lang w:val="hu-HU"/>
              </w:rPr>
              <w:t xml:space="preserve"> legalább 2</w:t>
            </w:r>
            <w:r w:rsidR="00905F90" w:rsidRPr="00360A40">
              <w:rPr>
                <w:sz w:val="22"/>
                <w:szCs w:val="22"/>
                <w:lang w:val="hu-HU"/>
              </w:rPr>
              <w:t> </w:t>
            </w:r>
            <w:r w:rsidRPr="00360A40">
              <w:rPr>
                <w:sz w:val="22"/>
                <w:szCs w:val="22"/>
                <w:lang w:val="hu-HU"/>
              </w:rPr>
              <w:t>hetes kezelés után</w:t>
            </w:r>
          </w:p>
        </w:tc>
        <w:tc>
          <w:tcPr>
            <w:tcW w:w="6166" w:type="dxa"/>
            <w:tcBorders>
              <w:top w:val="single" w:sz="8" w:space="0" w:color="000000"/>
              <w:left w:val="single" w:sz="8" w:space="0" w:color="000000"/>
              <w:bottom w:val="single" w:sz="8" w:space="0" w:color="000000"/>
              <w:right w:val="single" w:sz="8" w:space="0" w:color="000000"/>
            </w:tcBorders>
          </w:tcPr>
          <w:p w14:paraId="5BE86FC4" w14:textId="58EDA91D" w:rsidR="002D66F3" w:rsidRPr="00360A40" w:rsidRDefault="002D66F3" w:rsidP="00360A40">
            <w:pPr>
              <w:pStyle w:val="TableParagraph"/>
              <w:kinsoku w:val="0"/>
              <w:overflowPunct w:val="0"/>
              <w:ind w:left="96"/>
              <w:rPr>
                <w:sz w:val="22"/>
                <w:szCs w:val="22"/>
                <w:lang w:val="hu-HU"/>
              </w:rPr>
            </w:pPr>
            <w:r w:rsidRPr="00360A40">
              <w:rPr>
                <w:sz w:val="22"/>
                <w:szCs w:val="22"/>
                <w:lang w:val="hu-HU"/>
              </w:rPr>
              <w:t xml:space="preserve">A napi </w:t>
            </w:r>
            <w:r w:rsidR="00FD1A00" w:rsidRPr="00360A40">
              <w:rPr>
                <w:sz w:val="22"/>
                <w:szCs w:val="22"/>
                <w:lang w:val="hu-HU"/>
              </w:rPr>
              <w:t xml:space="preserve">dózist </w:t>
            </w:r>
            <w:r w:rsidRPr="00360A40">
              <w:rPr>
                <w:sz w:val="22"/>
                <w:szCs w:val="22"/>
                <w:lang w:val="hu-HU"/>
              </w:rPr>
              <w:t>25</w:t>
            </w:r>
            <w:r w:rsidR="00905F90" w:rsidRPr="00360A40">
              <w:rPr>
                <w:sz w:val="22"/>
                <w:szCs w:val="22"/>
                <w:lang w:val="hu-HU"/>
              </w:rPr>
              <w:t> </w:t>
            </w:r>
            <w:r w:rsidRPr="00360A40">
              <w:rPr>
                <w:sz w:val="22"/>
                <w:szCs w:val="22"/>
                <w:lang w:val="hu-HU"/>
              </w:rPr>
              <w:t>mg-mal kell emelni, legfeljebb napi 100</w:t>
            </w:r>
            <w:r w:rsidR="00905F90" w:rsidRPr="00360A40">
              <w:rPr>
                <w:sz w:val="22"/>
                <w:szCs w:val="22"/>
                <w:lang w:val="hu-HU"/>
              </w:rPr>
              <w:t> </w:t>
            </w:r>
            <w:r w:rsidRPr="00360A40">
              <w:rPr>
                <w:sz w:val="22"/>
                <w:szCs w:val="22"/>
                <w:lang w:val="hu-HU"/>
              </w:rPr>
              <w:t>mg-ig.</w:t>
            </w:r>
          </w:p>
        </w:tc>
      </w:tr>
      <w:tr w:rsidR="002D66F3" w:rsidRPr="00360A40" w14:paraId="590196EE" w14:textId="77777777" w:rsidTr="00D25F36">
        <w:trPr>
          <w:trHeight w:hRule="exact" w:val="526"/>
        </w:trPr>
        <w:tc>
          <w:tcPr>
            <w:tcW w:w="3081" w:type="dxa"/>
            <w:tcBorders>
              <w:top w:val="single" w:sz="8" w:space="0" w:color="000000"/>
              <w:left w:val="single" w:sz="8" w:space="0" w:color="000000"/>
              <w:bottom w:val="single" w:sz="8" w:space="0" w:color="000000"/>
              <w:right w:val="single" w:sz="8" w:space="0" w:color="000000"/>
            </w:tcBorders>
          </w:tcPr>
          <w:p w14:paraId="56412625" w14:textId="2A949496" w:rsidR="002D66F3" w:rsidRPr="00360A40" w:rsidRDefault="002D66F3" w:rsidP="00360A40">
            <w:pPr>
              <w:pStyle w:val="TableParagraph"/>
              <w:kinsoku w:val="0"/>
              <w:overflowPunct w:val="0"/>
              <w:ind w:left="97"/>
              <w:rPr>
                <w:sz w:val="22"/>
                <w:szCs w:val="22"/>
                <w:lang w:val="hu-HU"/>
              </w:rPr>
            </w:pPr>
            <w:r w:rsidRPr="00360A40">
              <w:rPr>
                <w:sz w:val="22"/>
                <w:szCs w:val="22"/>
                <w:lang w:val="hu-HU"/>
              </w:rPr>
              <w:t>≥</w:t>
            </w:r>
            <w:r w:rsidR="00905F90" w:rsidRPr="00360A40">
              <w:rPr>
                <w:sz w:val="22"/>
                <w:szCs w:val="22"/>
                <w:lang w:val="hu-HU"/>
              </w:rPr>
              <w:t> </w:t>
            </w:r>
            <w:r w:rsidRPr="00360A40">
              <w:rPr>
                <w:sz w:val="22"/>
                <w:szCs w:val="22"/>
                <w:lang w:val="hu-HU"/>
              </w:rPr>
              <w:t>50</w:t>
            </w:r>
            <w:r w:rsidR="00905F90" w:rsidRPr="00360A40">
              <w:rPr>
                <w:sz w:val="22"/>
                <w:szCs w:val="22"/>
                <w:lang w:val="hu-HU"/>
              </w:rPr>
              <w:t> </w:t>
            </w:r>
            <w:r w:rsidRPr="00360A40">
              <w:rPr>
                <w:sz w:val="22"/>
                <w:szCs w:val="22"/>
                <w:lang w:val="hu-HU"/>
              </w:rPr>
              <w:t>000/µl</w:t>
            </w:r>
            <w:r w:rsidR="00905F90" w:rsidRPr="00360A40">
              <w:rPr>
                <w:sz w:val="22"/>
                <w:szCs w:val="22"/>
                <w:lang w:val="hu-HU"/>
              </w:rPr>
              <w:t> – </w:t>
            </w:r>
            <w:r w:rsidRPr="00360A40">
              <w:rPr>
                <w:sz w:val="22"/>
                <w:szCs w:val="22"/>
                <w:lang w:val="hu-HU"/>
              </w:rPr>
              <w:t>≤</w:t>
            </w:r>
            <w:r w:rsidR="00905F90" w:rsidRPr="00360A40">
              <w:rPr>
                <w:sz w:val="22"/>
                <w:szCs w:val="22"/>
                <w:lang w:val="hu-HU"/>
              </w:rPr>
              <w:t> </w:t>
            </w:r>
            <w:r w:rsidRPr="00360A40">
              <w:rPr>
                <w:sz w:val="22"/>
                <w:szCs w:val="22"/>
                <w:lang w:val="hu-HU"/>
              </w:rPr>
              <w:t>100</w:t>
            </w:r>
            <w:r w:rsidR="00905F90" w:rsidRPr="00360A40">
              <w:rPr>
                <w:sz w:val="22"/>
                <w:szCs w:val="22"/>
                <w:lang w:val="hu-HU"/>
              </w:rPr>
              <w:t> </w:t>
            </w:r>
            <w:r w:rsidRPr="00360A40">
              <w:rPr>
                <w:sz w:val="22"/>
                <w:szCs w:val="22"/>
                <w:lang w:val="hu-HU"/>
              </w:rPr>
              <w:t>000/µl</w:t>
            </w:r>
          </w:p>
        </w:tc>
        <w:tc>
          <w:tcPr>
            <w:tcW w:w="6166" w:type="dxa"/>
            <w:tcBorders>
              <w:top w:val="single" w:sz="8" w:space="0" w:color="000000"/>
              <w:left w:val="single" w:sz="8" w:space="0" w:color="000000"/>
              <w:bottom w:val="single" w:sz="8" w:space="0" w:color="000000"/>
              <w:right w:val="single" w:sz="8" w:space="0" w:color="000000"/>
            </w:tcBorders>
          </w:tcPr>
          <w:p w14:paraId="1C613A2D" w14:textId="77777777" w:rsidR="002D66F3" w:rsidRPr="00360A40" w:rsidRDefault="002D66F3" w:rsidP="00360A40">
            <w:pPr>
              <w:pStyle w:val="TableParagraph"/>
              <w:kinsoku w:val="0"/>
              <w:overflowPunct w:val="0"/>
              <w:ind w:left="96"/>
              <w:rPr>
                <w:sz w:val="22"/>
                <w:szCs w:val="22"/>
                <w:lang w:val="hu-HU"/>
              </w:rPr>
            </w:pPr>
            <w:r w:rsidRPr="00360A40">
              <w:rPr>
                <w:sz w:val="22"/>
                <w:szCs w:val="22"/>
                <w:lang w:val="hu-HU"/>
              </w:rPr>
              <w:t>Az eltrombopag legalacsonyabb szükséges dózisát kell alkalmazni, hogy a peginterferon dóziscsökkentése elkerülhető legyen.</w:t>
            </w:r>
          </w:p>
        </w:tc>
      </w:tr>
      <w:tr w:rsidR="002D66F3" w:rsidRPr="00360A40" w14:paraId="161E8A6E" w14:textId="77777777" w:rsidTr="00D25F36">
        <w:trPr>
          <w:trHeight w:hRule="exact" w:val="976"/>
        </w:trPr>
        <w:tc>
          <w:tcPr>
            <w:tcW w:w="3081" w:type="dxa"/>
            <w:tcBorders>
              <w:top w:val="single" w:sz="8" w:space="0" w:color="000000"/>
              <w:left w:val="single" w:sz="8" w:space="0" w:color="000000"/>
              <w:bottom w:val="single" w:sz="8" w:space="0" w:color="000000"/>
              <w:right w:val="single" w:sz="8" w:space="0" w:color="000000"/>
            </w:tcBorders>
          </w:tcPr>
          <w:p w14:paraId="2D080659" w14:textId="03FA9175" w:rsidR="002D66F3" w:rsidRPr="00360A40" w:rsidRDefault="002D66F3" w:rsidP="00360A40">
            <w:pPr>
              <w:pStyle w:val="TableParagraph"/>
              <w:kinsoku w:val="0"/>
              <w:overflowPunct w:val="0"/>
              <w:ind w:left="97"/>
              <w:rPr>
                <w:sz w:val="22"/>
                <w:szCs w:val="22"/>
                <w:lang w:val="hu-HU"/>
              </w:rPr>
            </w:pPr>
            <w:r w:rsidRPr="00360A40">
              <w:rPr>
                <w:sz w:val="22"/>
                <w:szCs w:val="22"/>
                <w:lang w:val="hu-HU"/>
              </w:rPr>
              <w:t>&gt;</w:t>
            </w:r>
            <w:r w:rsidR="00905F90" w:rsidRPr="00360A40">
              <w:rPr>
                <w:sz w:val="22"/>
                <w:szCs w:val="22"/>
                <w:lang w:val="hu-HU"/>
              </w:rPr>
              <w:t> </w:t>
            </w:r>
            <w:r w:rsidRPr="00360A40">
              <w:rPr>
                <w:sz w:val="22"/>
                <w:szCs w:val="22"/>
                <w:lang w:val="hu-HU"/>
              </w:rPr>
              <w:t>100</w:t>
            </w:r>
            <w:r w:rsidR="00905F90" w:rsidRPr="00360A40">
              <w:rPr>
                <w:sz w:val="22"/>
                <w:szCs w:val="22"/>
                <w:lang w:val="hu-HU"/>
              </w:rPr>
              <w:t> </w:t>
            </w:r>
            <w:r w:rsidRPr="00360A40">
              <w:rPr>
                <w:sz w:val="22"/>
                <w:szCs w:val="22"/>
                <w:lang w:val="hu-HU"/>
              </w:rPr>
              <w:t>000/µl</w:t>
            </w:r>
            <w:r w:rsidR="00905F90" w:rsidRPr="00360A40">
              <w:rPr>
                <w:sz w:val="22"/>
                <w:szCs w:val="22"/>
                <w:lang w:val="hu-HU"/>
              </w:rPr>
              <w:t> – </w:t>
            </w:r>
            <w:r w:rsidRPr="00360A40">
              <w:rPr>
                <w:sz w:val="22"/>
                <w:szCs w:val="22"/>
                <w:lang w:val="hu-HU"/>
              </w:rPr>
              <w:t>≤</w:t>
            </w:r>
            <w:r w:rsidR="00905F90" w:rsidRPr="00360A40">
              <w:rPr>
                <w:sz w:val="22"/>
                <w:szCs w:val="22"/>
                <w:lang w:val="hu-HU"/>
              </w:rPr>
              <w:t> </w:t>
            </w:r>
            <w:r w:rsidRPr="00360A40">
              <w:rPr>
                <w:sz w:val="22"/>
                <w:szCs w:val="22"/>
                <w:lang w:val="hu-HU"/>
              </w:rPr>
              <w:t>150 000/µl</w:t>
            </w:r>
          </w:p>
        </w:tc>
        <w:tc>
          <w:tcPr>
            <w:tcW w:w="6166" w:type="dxa"/>
            <w:tcBorders>
              <w:top w:val="single" w:sz="8" w:space="0" w:color="000000"/>
              <w:left w:val="single" w:sz="8" w:space="0" w:color="000000"/>
              <w:bottom w:val="single" w:sz="8" w:space="0" w:color="000000"/>
              <w:right w:val="single" w:sz="8" w:space="0" w:color="000000"/>
            </w:tcBorders>
          </w:tcPr>
          <w:p w14:paraId="27E84EAA" w14:textId="5DE5A6E1" w:rsidR="002D66F3" w:rsidRPr="00360A40" w:rsidRDefault="002D66F3" w:rsidP="00360A40">
            <w:pPr>
              <w:pStyle w:val="TableParagraph"/>
              <w:kinsoku w:val="0"/>
              <w:overflowPunct w:val="0"/>
              <w:ind w:left="96"/>
              <w:rPr>
                <w:sz w:val="22"/>
                <w:szCs w:val="22"/>
                <w:lang w:val="hu-HU"/>
              </w:rPr>
            </w:pPr>
            <w:r w:rsidRPr="00360A40">
              <w:rPr>
                <w:sz w:val="22"/>
                <w:szCs w:val="22"/>
                <w:lang w:val="hu-HU"/>
              </w:rPr>
              <w:t xml:space="preserve">A napi </w:t>
            </w:r>
            <w:r w:rsidR="00FD1A00" w:rsidRPr="00360A40">
              <w:rPr>
                <w:sz w:val="22"/>
                <w:szCs w:val="22"/>
                <w:lang w:val="hu-HU"/>
              </w:rPr>
              <w:t xml:space="preserve">dózist </w:t>
            </w:r>
            <w:r w:rsidRPr="00360A40">
              <w:rPr>
                <w:sz w:val="22"/>
                <w:szCs w:val="22"/>
                <w:lang w:val="hu-HU"/>
              </w:rPr>
              <w:t>25</w:t>
            </w:r>
            <w:r w:rsidR="00905F90" w:rsidRPr="00360A40">
              <w:rPr>
                <w:sz w:val="22"/>
                <w:szCs w:val="22"/>
                <w:lang w:val="hu-HU"/>
              </w:rPr>
              <w:t> </w:t>
            </w:r>
            <w:r w:rsidRPr="00360A40">
              <w:rPr>
                <w:sz w:val="22"/>
                <w:szCs w:val="22"/>
                <w:lang w:val="hu-HU"/>
              </w:rPr>
              <w:t>mg-mal kell csökkenteni. Várni kell 2</w:t>
            </w:r>
            <w:r w:rsidR="0070005B" w:rsidRPr="00360A40">
              <w:rPr>
                <w:sz w:val="22"/>
                <w:szCs w:val="22"/>
                <w:lang w:val="hu-HU"/>
              </w:rPr>
              <w:t> </w:t>
            </w:r>
            <w:r w:rsidRPr="00360A40">
              <w:rPr>
                <w:sz w:val="22"/>
                <w:szCs w:val="22"/>
                <w:lang w:val="hu-HU"/>
              </w:rPr>
              <w:t>hétig, hogy ennek és valamennyi ezt követő dózismódosításnak a hatását értékelni lehessen</w:t>
            </w:r>
            <w:r w:rsidRPr="009F4BD6">
              <w:rPr>
                <w:sz w:val="22"/>
                <w:szCs w:val="22"/>
                <w:vertAlign w:val="superscript"/>
                <w:lang w:val="hu-HU"/>
              </w:rPr>
              <w:t>♦</w:t>
            </w:r>
            <w:r w:rsidRPr="00360A40">
              <w:rPr>
                <w:sz w:val="22"/>
                <w:szCs w:val="22"/>
                <w:lang w:val="hu-HU"/>
              </w:rPr>
              <w:t>.</w:t>
            </w:r>
          </w:p>
        </w:tc>
      </w:tr>
      <w:tr w:rsidR="002D66F3" w:rsidRPr="00360A40" w14:paraId="551C9A92" w14:textId="77777777" w:rsidTr="00D25F36">
        <w:trPr>
          <w:trHeight w:hRule="exact" w:val="1300"/>
        </w:trPr>
        <w:tc>
          <w:tcPr>
            <w:tcW w:w="3081" w:type="dxa"/>
            <w:tcBorders>
              <w:top w:val="single" w:sz="8" w:space="0" w:color="000000"/>
              <w:left w:val="single" w:sz="8" w:space="0" w:color="000000"/>
              <w:bottom w:val="single" w:sz="8" w:space="0" w:color="000000"/>
              <w:right w:val="single" w:sz="8" w:space="0" w:color="000000"/>
            </w:tcBorders>
          </w:tcPr>
          <w:p w14:paraId="2CB15A0E" w14:textId="2D0F85BD" w:rsidR="002D66F3" w:rsidRPr="00360A40" w:rsidRDefault="002D66F3" w:rsidP="00360A40">
            <w:pPr>
              <w:pStyle w:val="TableParagraph"/>
              <w:kinsoku w:val="0"/>
              <w:overflowPunct w:val="0"/>
              <w:ind w:left="97"/>
              <w:rPr>
                <w:sz w:val="22"/>
                <w:szCs w:val="22"/>
                <w:lang w:val="hu-HU"/>
              </w:rPr>
            </w:pPr>
            <w:r w:rsidRPr="00360A40">
              <w:rPr>
                <w:sz w:val="22"/>
                <w:szCs w:val="22"/>
                <w:lang w:val="hu-HU"/>
              </w:rPr>
              <w:t>&gt;</w:t>
            </w:r>
            <w:r w:rsidR="00905F90" w:rsidRPr="00360A40">
              <w:rPr>
                <w:sz w:val="22"/>
                <w:szCs w:val="22"/>
                <w:lang w:val="hu-HU"/>
              </w:rPr>
              <w:t> </w:t>
            </w:r>
            <w:r w:rsidRPr="00360A40">
              <w:rPr>
                <w:sz w:val="22"/>
                <w:szCs w:val="22"/>
                <w:lang w:val="hu-HU"/>
              </w:rPr>
              <w:t>150</w:t>
            </w:r>
            <w:r w:rsidR="00905F90" w:rsidRPr="00360A40">
              <w:rPr>
                <w:sz w:val="22"/>
                <w:szCs w:val="22"/>
                <w:lang w:val="hu-HU"/>
              </w:rPr>
              <w:t> </w:t>
            </w:r>
            <w:r w:rsidRPr="00360A40">
              <w:rPr>
                <w:sz w:val="22"/>
                <w:szCs w:val="22"/>
                <w:lang w:val="hu-HU"/>
              </w:rPr>
              <w:t>000/µl</w:t>
            </w:r>
          </w:p>
        </w:tc>
        <w:tc>
          <w:tcPr>
            <w:tcW w:w="6166" w:type="dxa"/>
            <w:tcBorders>
              <w:top w:val="single" w:sz="8" w:space="0" w:color="000000"/>
              <w:left w:val="single" w:sz="8" w:space="0" w:color="000000"/>
              <w:bottom w:val="single" w:sz="8" w:space="0" w:color="000000"/>
              <w:right w:val="single" w:sz="8" w:space="0" w:color="000000"/>
            </w:tcBorders>
          </w:tcPr>
          <w:p w14:paraId="2AD8987D" w14:textId="77777777" w:rsidR="002D66F3" w:rsidRPr="00360A40" w:rsidRDefault="002D66F3" w:rsidP="00360A40">
            <w:pPr>
              <w:pStyle w:val="TableParagraph"/>
              <w:kinsoku w:val="0"/>
              <w:overflowPunct w:val="0"/>
              <w:ind w:left="96"/>
              <w:rPr>
                <w:sz w:val="22"/>
                <w:szCs w:val="22"/>
                <w:lang w:val="hu-HU"/>
              </w:rPr>
            </w:pPr>
            <w:r w:rsidRPr="00360A40">
              <w:rPr>
                <w:sz w:val="22"/>
                <w:szCs w:val="22"/>
                <w:lang w:val="hu-HU"/>
              </w:rPr>
              <w:t>Az eltrombopag adását le kell állítani; a vérlemezkeszámot gyakrabban, hetente kétszer kell monitorozni.</w:t>
            </w:r>
          </w:p>
          <w:p w14:paraId="525EBF3D" w14:textId="77777777" w:rsidR="002D66F3" w:rsidRPr="00360A40" w:rsidRDefault="002D66F3" w:rsidP="00360A40">
            <w:pPr>
              <w:pStyle w:val="TableParagraph"/>
              <w:kinsoku w:val="0"/>
              <w:overflowPunct w:val="0"/>
              <w:rPr>
                <w:b/>
                <w:bCs/>
                <w:sz w:val="22"/>
                <w:szCs w:val="22"/>
                <w:lang w:val="hu-HU"/>
              </w:rPr>
            </w:pPr>
          </w:p>
          <w:p w14:paraId="17DB5A1C" w14:textId="2F9F4275" w:rsidR="002D66F3" w:rsidRPr="00360A40" w:rsidRDefault="002D66F3" w:rsidP="00360A40">
            <w:pPr>
              <w:pStyle w:val="TableParagraph"/>
              <w:kinsoku w:val="0"/>
              <w:overflowPunct w:val="0"/>
              <w:ind w:left="96"/>
              <w:rPr>
                <w:sz w:val="22"/>
                <w:szCs w:val="22"/>
                <w:lang w:val="hu-HU"/>
              </w:rPr>
            </w:pPr>
            <w:r w:rsidRPr="00360A40">
              <w:rPr>
                <w:sz w:val="22"/>
                <w:szCs w:val="22"/>
                <w:lang w:val="hu-HU"/>
              </w:rPr>
              <w:t xml:space="preserve">Ha a vérlemezkeszám </w:t>
            </w:r>
            <w:r w:rsidR="00A64A10">
              <w:rPr>
                <w:sz w:val="22"/>
                <w:szCs w:val="22"/>
                <w:lang w:val="hu-HU"/>
              </w:rPr>
              <w:t>≤</w:t>
            </w:r>
            <w:r w:rsidR="0070005B" w:rsidRPr="00360A40">
              <w:rPr>
                <w:sz w:val="22"/>
                <w:szCs w:val="22"/>
                <w:lang w:val="hu-HU"/>
              </w:rPr>
              <w:t xml:space="preserve"> </w:t>
            </w:r>
            <w:r w:rsidRPr="00360A40">
              <w:rPr>
                <w:sz w:val="22"/>
                <w:szCs w:val="22"/>
                <w:lang w:val="hu-HU"/>
              </w:rPr>
              <w:t>100</w:t>
            </w:r>
            <w:r w:rsidR="0070005B" w:rsidRPr="00360A40">
              <w:rPr>
                <w:sz w:val="22"/>
                <w:szCs w:val="22"/>
                <w:lang w:val="hu-HU"/>
              </w:rPr>
              <w:t> </w:t>
            </w:r>
            <w:r w:rsidRPr="00360A40">
              <w:rPr>
                <w:sz w:val="22"/>
                <w:szCs w:val="22"/>
                <w:lang w:val="hu-HU"/>
              </w:rPr>
              <w:t>000/µl, 25</w:t>
            </w:r>
            <w:r w:rsidR="0070005B" w:rsidRPr="00360A40">
              <w:rPr>
                <w:sz w:val="22"/>
                <w:szCs w:val="22"/>
                <w:lang w:val="hu-HU"/>
              </w:rPr>
              <w:t> </w:t>
            </w:r>
            <w:r w:rsidRPr="00360A40">
              <w:rPr>
                <w:sz w:val="22"/>
                <w:szCs w:val="22"/>
                <w:lang w:val="hu-HU"/>
              </w:rPr>
              <w:t xml:space="preserve">mg-mal alacsonyabb napi </w:t>
            </w:r>
            <w:r w:rsidR="00FD1A00" w:rsidRPr="00360A40">
              <w:rPr>
                <w:sz w:val="22"/>
                <w:szCs w:val="22"/>
                <w:lang w:val="hu-HU"/>
              </w:rPr>
              <w:t xml:space="preserve">dózissal </w:t>
            </w:r>
            <w:r w:rsidRPr="00360A40">
              <w:rPr>
                <w:sz w:val="22"/>
                <w:szCs w:val="22"/>
                <w:lang w:val="hu-HU"/>
              </w:rPr>
              <w:t>újra kell kezdeni a kezelést*.</w:t>
            </w:r>
          </w:p>
        </w:tc>
      </w:tr>
    </w:tbl>
    <w:p w14:paraId="4562A7EF" w14:textId="32CF1B9D" w:rsidR="002D66F3" w:rsidRPr="00360A40" w:rsidRDefault="002D66F3" w:rsidP="00360A40">
      <w:pPr>
        <w:pStyle w:val="Szvegtrzs"/>
        <w:kinsoku w:val="0"/>
        <w:overflowPunct w:val="0"/>
        <w:ind w:left="567" w:hanging="567"/>
        <w:rPr>
          <w:lang w:val="hu-HU"/>
        </w:rPr>
      </w:pPr>
      <w:r w:rsidRPr="00360A40">
        <w:rPr>
          <w:lang w:val="hu-HU"/>
        </w:rPr>
        <w:t>*</w:t>
      </w:r>
      <w:r w:rsidRPr="00360A40">
        <w:rPr>
          <w:lang w:val="hu-HU"/>
        </w:rPr>
        <w:tab/>
        <w:t>A naponta egyszer 25</w:t>
      </w:r>
      <w:r w:rsidR="0070005B" w:rsidRPr="00360A40">
        <w:rPr>
          <w:lang w:val="hu-HU"/>
        </w:rPr>
        <w:t> </w:t>
      </w:r>
      <w:r w:rsidRPr="00360A40">
        <w:rPr>
          <w:lang w:val="hu-HU"/>
        </w:rPr>
        <w:t>mg-ot szedő betegeknél megfontolandó a minden második nap szedett 25</w:t>
      </w:r>
      <w:r w:rsidR="0070005B" w:rsidRPr="00360A40">
        <w:rPr>
          <w:lang w:val="hu-HU"/>
        </w:rPr>
        <w:t> </w:t>
      </w:r>
      <w:r w:rsidRPr="00360A40">
        <w:rPr>
          <w:lang w:val="hu-HU"/>
        </w:rPr>
        <w:t xml:space="preserve">mg </w:t>
      </w:r>
      <w:r w:rsidR="00FD1A00" w:rsidRPr="00360A40">
        <w:rPr>
          <w:lang w:val="hu-HU"/>
        </w:rPr>
        <w:t xml:space="preserve">dózissal </w:t>
      </w:r>
      <w:r w:rsidRPr="00360A40">
        <w:rPr>
          <w:lang w:val="hu-HU"/>
        </w:rPr>
        <w:t>történő újrakezdés.</w:t>
      </w:r>
    </w:p>
    <w:p w14:paraId="74D14DF1" w14:textId="77777777" w:rsidR="002D66F3" w:rsidRPr="00360A40" w:rsidRDefault="002D66F3" w:rsidP="00360A40">
      <w:pPr>
        <w:pStyle w:val="Szvegtrzs"/>
        <w:numPr>
          <w:ilvl w:val="0"/>
          <w:numId w:val="11"/>
        </w:numPr>
        <w:kinsoku w:val="0"/>
        <w:overflowPunct w:val="0"/>
        <w:ind w:left="567" w:hanging="567"/>
        <w:rPr>
          <w:lang w:val="hu-HU"/>
        </w:rPr>
      </w:pPr>
      <w:r w:rsidRPr="00360A40">
        <w:rPr>
          <w:lang w:val="hu-HU"/>
        </w:rPr>
        <w:t>Az antivirális terápia megkezdésekor a vérlemezkeszám lecsökkenhet, ezért ekkor az eltrombopag azonnali dóziscsökkentését el kell kerülni.</w:t>
      </w:r>
    </w:p>
    <w:p w14:paraId="1CA819C1" w14:textId="77777777" w:rsidR="002D66F3" w:rsidRPr="00360A40" w:rsidRDefault="002D66F3" w:rsidP="00360A40">
      <w:pPr>
        <w:pStyle w:val="Szvegtrzs"/>
        <w:kinsoku w:val="0"/>
        <w:overflowPunct w:val="0"/>
        <w:ind w:left="0"/>
        <w:rPr>
          <w:lang w:val="hu-HU"/>
        </w:rPr>
      </w:pPr>
    </w:p>
    <w:p w14:paraId="77F0B6AF" w14:textId="77777777" w:rsidR="002D66F3" w:rsidRPr="00360A40" w:rsidRDefault="002D66F3" w:rsidP="00360A40">
      <w:pPr>
        <w:pStyle w:val="Szvegtrzs"/>
        <w:kinsoku w:val="0"/>
        <w:overflowPunct w:val="0"/>
        <w:ind w:left="0"/>
        <w:rPr>
          <w:lang w:val="hu-HU"/>
        </w:rPr>
      </w:pPr>
      <w:r w:rsidRPr="00360A40">
        <w:rPr>
          <w:i/>
          <w:iCs/>
          <w:lang w:val="hu-HU"/>
        </w:rPr>
        <w:t>A kezelés leállítása</w:t>
      </w:r>
    </w:p>
    <w:p w14:paraId="689D52E7" w14:textId="4B0E7A21" w:rsidR="002D66F3" w:rsidRPr="00360A40" w:rsidRDefault="002D66F3" w:rsidP="00360A40">
      <w:pPr>
        <w:pStyle w:val="Szvegtrzs"/>
        <w:kinsoku w:val="0"/>
        <w:overflowPunct w:val="0"/>
        <w:ind w:left="0"/>
        <w:rPr>
          <w:lang w:val="hu-HU"/>
        </w:rPr>
      </w:pPr>
      <w:r w:rsidRPr="00360A40">
        <w:rPr>
          <w:lang w:val="hu-HU"/>
        </w:rPr>
        <w:t>Az eltrombopag-kezelést le kell állítani, ha a vérlemezkeszám 100</w:t>
      </w:r>
      <w:r w:rsidR="006F6F76" w:rsidRPr="00360A40">
        <w:rPr>
          <w:lang w:val="hu-HU"/>
        </w:rPr>
        <w:t> </w:t>
      </w:r>
      <w:r w:rsidRPr="00360A40">
        <w:rPr>
          <w:lang w:val="hu-HU"/>
        </w:rPr>
        <w:t>mg eltrombopag 2</w:t>
      </w:r>
      <w:r w:rsidR="006F6F76" w:rsidRPr="00360A40">
        <w:rPr>
          <w:lang w:val="hu-HU"/>
        </w:rPr>
        <w:t> </w:t>
      </w:r>
      <w:r w:rsidRPr="00360A40">
        <w:rPr>
          <w:lang w:val="hu-HU"/>
        </w:rPr>
        <w:t>hétig történő alkalmazása után sem éri el az antivirális terápia megkezdéséhez szükséges szintet.</w:t>
      </w:r>
    </w:p>
    <w:p w14:paraId="76826785" w14:textId="77777777" w:rsidR="002D66F3" w:rsidRPr="00360A40" w:rsidRDefault="002D66F3" w:rsidP="00360A40">
      <w:pPr>
        <w:pStyle w:val="Szvegtrzs"/>
        <w:kinsoku w:val="0"/>
        <w:overflowPunct w:val="0"/>
        <w:ind w:left="0"/>
        <w:rPr>
          <w:lang w:val="hu-HU"/>
        </w:rPr>
      </w:pPr>
    </w:p>
    <w:p w14:paraId="03CA3FF9" w14:textId="77777777" w:rsidR="002D66F3" w:rsidRPr="00360A40" w:rsidRDefault="002D66F3" w:rsidP="00360A40">
      <w:pPr>
        <w:pStyle w:val="Szvegtrzs"/>
        <w:kinsoku w:val="0"/>
        <w:overflowPunct w:val="0"/>
        <w:ind w:left="0"/>
        <w:rPr>
          <w:lang w:val="hu-HU"/>
        </w:rPr>
      </w:pPr>
      <w:r w:rsidRPr="00360A40">
        <w:rPr>
          <w:lang w:val="hu-HU"/>
        </w:rPr>
        <w:t>Az eltrombopag-kezelést be kell fejezni, amikor az antivirális terápia leállításra kerül, indokolt eseteket kivéve. Túlzott vérlemezkeszám-válasz vagy a májfunkciókban észlelt jelentős rendellenességek szintén szükségessé teszik a kezelés leállítását.</w:t>
      </w:r>
    </w:p>
    <w:p w14:paraId="14C0685D" w14:textId="77777777" w:rsidR="00957181" w:rsidRPr="00360A40" w:rsidRDefault="00957181" w:rsidP="00360A40">
      <w:pPr>
        <w:pStyle w:val="Szvegtrzs"/>
        <w:kinsoku w:val="0"/>
        <w:overflowPunct w:val="0"/>
        <w:ind w:left="0"/>
        <w:rPr>
          <w:lang w:val="hu-HU"/>
        </w:rPr>
      </w:pPr>
    </w:p>
    <w:p w14:paraId="3FA8F014" w14:textId="77777777" w:rsidR="00957181" w:rsidRPr="00360A40" w:rsidRDefault="00957181" w:rsidP="00360A40">
      <w:pPr>
        <w:pStyle w:val="Szvegtrzs"/>
        <w:kinsoku w:val="0"/>
        <w:overflowPunct w:val="0"/>
        <w:ind w:left="0"/>
        <w:rPr>
          <w:lang w:val="hu-HU"/>
        </w:rPr>
      </w:pPr>
    </w:p>
    <w:p w14:paraId="51F70EFE" w14:textId="77777777" w:rsidR="00957181" w:rsidRPr="00360A40" w:rsidRDefault="00957181" w:rsidP="00360A40">
      <w:pPr>
        <w:pStyle w:val="Szvegtrzs"/>
        <w:kinsoku w:val="0"/>
        <w:overflowPunct w:val="0"/>
        <w:ind w:left="0"/>
        <w:rPr>
          <w:lang w:val="hu-HU"/>
        </w:rPr>
      </w:pPr>
    </w:p>
    <w:p w14:paraId="379C3BEF" w14:textId="77777777" w:rsidR="002D66F3" w:rsidRPr="00360A40" w:rsidRDefault="002D66F3" w:rsidP="00360A40">
      <w:pPr>
        <w:pStyle w:val="Szvegtrzs"/>
        <w:keepNext/>
        <w:widowControl/>
        <w:kinsoku w:val="0"/>
        <w:overflowPunct w:val="0"/>
        <w:ind w:left="0"/>
        <w:rPr>
          <w:lang w:val="hu-HU"/>
        </w:rPr>
      </w:pPr>
      <w:r w:rsidRPr="00360A40">
        <w:rPr>
          <w:i/>
          <w:iCs/>
          <w:u w:val="single"/>
          <w:lang w:val="hu-HU"/>
        </w:rPr>
        <w:lastRenderedPageBreak/>
        <w:t>Különleges betegcsoportok</w:t>
      </w:r>
    </w:p>
    <w:p w14:paraId="7FB40E58" w14:textId="77777777" w:rsidR="002D66F3" w:rsidRPr="00360A40" w:rsidRDefault="002D66F3" w:rsidP="00360A40">
      <w:pPr>
        <w:pStyle w:val="Szvegtrzs"/>
        <w:keepNext/>
        <w:widowControl/>
        <w:kinsoku w:val="0"/>
        <w:overflowPunct w:val="0"/>
        <w:ind w:left="0"/>
        <w:rPr>
          <w:i/>
          <w:iCs/>
          <w:lang w:val="hu-HU"/>
        </w:rPr>
      </w:pPr>
    </w:p>
    <w:p w14:paraId="399753F5" w14:textId="77777777" w:rsidR="002D66F3" w:rsidRPr="00360A40" w:rsidRDefault="002D66F3" w:rsidP="00360A40">
      <w:pPr>
        <w:pStyle w:val="Szvegtrzs"/>
        <w:keepNext/>
        <w:widowControl/>
        <w:kinsoku w:val="0"/>
        <w:overflowPunct w:val="0"/>
        <w:ind w:left="0"/>
        <w:rPr>
          <w:lang w:val="hu-HU"/>
        </w:rPr>
      </w:pPr>
      <w:r w:rsidRPr="00360A40">
        <w:rPr>
          <w:i/>
          <w:iCs/>
          <w:lang w:val="hu-HU"/>
        </w:rPr>
        <w:t>Vesekárosodás</w:t>
      </w:r>
    </w:p>
    <w:p w14:paraId="7D7CBFEF" w14:textId="626CFA31" w:rsidR="002D66F3" w:rsidRPr="00360A40" w:rsidRDefault="002D66F3" w:rsidP="00360A40">
      <w:pPr>
        <w:pStyle w:val="Szvegtrzs"/>
        <w:keepNext/>
        <w:widowControl/>
        <w:kinsoku w:val="0"/>
        <w:overflowPunct w:val="0"/>
        <w:ind w:left="0"/>
        <w:rPr>
          <w:lang w:val="hu-HU"/>
        </w:rPr>
      </w:pPr>
      <w:r w:rsidRPr="00360A40">
        <w:rPr>
          <w:lang w:val="hu-HU"/>
        </w:rPr>
        <w:t>Vesekárosodásban szenvedő betegeknél dózismódosítás nem szükséges. Károsodott vesefunkciójú betegeknél az eltrombopag körültekintően alkalmazandó, a beteg gondos megfigyelése mellett, pl. a szérum</w:t>
      </w:r>
      <w:r w:rsidR="00BD2A13">
        <w:rPr>
          <w:lang w:val="hu-HU"/>
        </w:rPr>
        <w:t>-</w:t>
      </w:r>
      <w:r w:rsidRPr="00360A40">
        <w:rPr>
          <w:lang w:val="hu-HU"/>
        </w:rPr>
        <w:t>kreatininszint mérésével és/vagy vizeletvizsgálattal (lásd 5.2</w:t>
      </w:r>
      <w:r w:rsidR="000E7AD0" w:rsidRPr="00360A40">
        <w:rPr>
          <w:lang w:val="hu-HU"/>
        </w:rPr>
        <w:t> </w:t>
      </w:r>
      <w:r w:rsidRPr="00360A40">
        <w:rPr>
          <w:lang w:val="hu-HU"/>
        </w:rPr>
        <w:t>pont).</w:t>
      </w:r>
    </w:p>
    <w:p w14:paraId="35DC1D2D" w14:textId="77777777" w:rsidR="002D66F3" w:rsidRPr="00360A40" w:rsidRDefault="002D66F3" w:rsidP="00360A40">
      <w:pPr>
        <w:pStyle w:val="Szvegtrzs"/>
        <w:kinsoku w:val="0"/>
        <w:overflowPunct w:val="0"/>
        <w:ind w:left="0"/>
        <w:rPr>
          <w:lang w:val="hu-HU"/>
        </w:rPr>
      </w:pPr>
    </w:p>
    <w:p w14:paraId="585809CF" w14:textId="77777777" w:rsidR="002D66F3" w:rsidRPr="00360A40" w:rsidRDefault="002D66F3" w:rsidP="00360A40">
      <w:pPr>
        <w:pStyle w:val="Szvegtrzs"/>
        <w:kinsoku w:val="0"/>
        <w:overflowPunct w:val="0"/>
        <w:ind w:left="0"/>
        <w:rPr>
          <w:lang w:val="hu-HU"/>
        </w:rPr>
      </w:pPr>
      <w:r w:rsidRPr="00360A40">
        <w:rPr>
          <w:i/>
          <w:iCs/>
          <w:lang w:val="hu-HU"/>
        </w:rPr>
        <w:t>Májkárosodás</w:t>
      </w:r>
    </w:p>
    <w:p w14:paraId="447D2876" w14:textId="0BFB2B75" w:rsidR="002D66F3" w:rsidRPr="00360A40" w:rsidRDefault="002D66F3" w:rsidP="00360A40">
      <w:pPr>
        <w:pStyle w:val="Szvegtrzs"/>
        <w:kinsoku w:val="0"/>
        <w:overflowPunct w:val="0"/>
        <w:ind w:left="0"/>
        <w:rPr>
          <w:lang w:val="hu-HU"/>
        </w:rPr>
      </w:pPr>
      <w:r w:rsidRPr="00360A40">
        <w:rPr>
          <w:lang w:val="hu-HU"/>
        </w:rPr>
        <w:t>Az eltrombopag nem alkalmazható májkárosodásban szenvedő ITP-s betegeknél (Child–Pugh pontszám ≥</w:t>
      </w:r>
      <w:r w:rsidR="000E7AD0" w:rsidRPr="00360A40">
        <w:rPr>
          <w:lang w:val="hu-HU"/>
        </w:rPr>
        <w:t> </w:t>
      </w:r>
      <w:r w:rsidRPr="00360A40">
        <w:rPr>
          <w:lang w:val="hu-HU"/>
        </w:rPr>
        <w:t>5), kivéve</w:t>
      </w:r>
      <w:r w:rsidR="000E7AD0" w:rsidRPr="00360A40">
        <w:rPr>
          <w:lang w:val="hu-HU"/>
        </w:rPr>
        <w:t>,</w:t>
      </w:r>
      <w:r w:rsidRPr="00360A40">
        <w:rPr>
          <w:lang w:val="hu-HU"/>
        </w:rPr>
        <w:t xml:space="preserve"> ha a várható előny nagyobb</w:t>
      </w:r>
      <w:r w:rsidR="000E7AD0" w:rsidRPr="00360A40">
        <w:rPr>
          <w:lang w:val="hu-HU"/>
        </w:rPr>
        <w:t>,</w:t>
      </w:r>
      <w:r w:rsidRPr="00360A40">
        <w:rPr>
          <w:lang w:val="hu-HU"/>
        </w:rPr>
        <w:t xml:space="preserve"> mint a vena portae thrombosis kimutatott kockázata (lásd 4.4</w:t>
      </w:r>
      <w:r w:rsidR="000E7AD0" w:rsidRPr="00360A40">
        <w:rPr>
          <w:lang w:val="hu-HU"/>
        </w:rPr>
        <w:t> </w:t>
      </w:r>
      <w:r w:rsidRPr="00360A40">
        <w:rPr>
          <w:lang w:val="hu-HU"/>
        </w:rPr>
        <w:t>pont).</w:t>
      </w:r>
    </w:p>
    <w:p w14:paraId="1085FDAD" w14:textId="77777777" w:rsidR="002D66F3" w:rsidRPr="00360A40" w:rsidRDefault="002D66F3" w:rsidP="00360A40">
      <w:pPr>
        <w:pStyle w:val="Szvegtrzs"/>
        <w:kinsoku w:val="0"/>
        <w:overflowPunct w:val="0"/>
        <w:ind w:left="0"/>
        <w:rPr>
          <w:lang w:val="hu-HU"/>
        </w:rPr>
      </w:pPr>
    </w:p>
    <w:p w14:paraId="7F61A245" w14:textId="188D77E8" w:rsidR="002D66F3" w:rsidRPr="00360A40" w:rsidRDefault="002D66F3" w:rsidP="00360A40">
      <w:pPr>
        <w:pStyle w:val="Szvegtrzs"/>
        <w:kinsoku w:val="0"/>
        <w:overflowPunct w:val="0"/>
        <w:ind w:left="0"/>
        <w:rPr>
          <w:lang w:val="hu-HU"/>
        </w:rPr>
      </w:pPr>
      <w:r w:rsidRPr="00360A40">
        <w:rPr>
          <w:lang w:val="hu-HU"/>
        </w:rPr>
        <w:t>Amennyiben májkárosodásban szenvedő ITP-s betegeknél az eltrombopag alkalmazását szükségesnek ítélik, a kezdő adag naponta egyszer 25</w:t>
      </w:r>
      <w:r w:rsidR="000E7AD0" w:rsidRPr="00360A40">
        <w:rPr>
          <w:lang w:val="hu-HU"/>
        </w:rPr>
        <w:t> </w:t>
      </w:r>
      <w:r w:rsidRPr="00360A40">
        <w:rPr>
          <w:lang w:val="hu-HU"/>
        </w:rPr>
        <w:t xml:space="preserve">mg kell, hogy legyen. </w:t>
      </w:r>
      <w:r w:rsidR="00401E7E" w:rsidRPr="00360A40">
        <w:rPr>
          <w:lang w:val="hu-HU"/>
        </w:rPr>
        <w:t>A m</w:t>
      </w:r>
      <w:r w:rsidRPr="00360A40">
        <w:rPr>
          <w:lang w:val="hu-HU"/>
        </w:rPr>
        <w:t>ájkárosodásban szenvedő betegek</w:t>
      </w:r>
      <w:r w:rsidR="00401E7E" w:rsidRPr="00360A40">
        <w:rPr>
          <w:lang w:val="hu-HU"/>
        </w:rPr>
        <w:t>et</w:t>
      </w:r>
      <w:r w:rsidRPr="00360A40">
        <w:rPr>
          <w:lang w:val="hu-HU"/>
        </w:rPr>
        <w:t xml:space="preserve"> az eltrombopag adagolásának megkezdését követően </w:t>
      </w:r>
      <w:r w:rsidR="00BD2A13" w:rsidRPr="00360A40">
        <w:rPr>
          <w:lang w:val="hu-HU"/>
        </w:rPr>
        <w:t xml:space="preserve">a dózis emelése előtt </w:t>
      </w:r>
      <w:r w:rsidRPr="00360A40">
        <w:rPr>
          <w:lang w:val="hu-HU"/>
        </w:rPr>
        <w:t>három hétig megfigyelés alatt</w:t>
      </w:r>
      <w:r w:rsidR="00BD2A13">
        <w:rPr>
          <w:lang w:val="hu-HU"/>
        </w:rPr>
        <w:t xml:space="preserve"> kell</w:t>
      </w:r>
      <w:r w:rsidRPr="00360A40">
        <w:rPr>
          <w:lang w:val="hu-HU"/>
        </w:rPr>
        <w:t xml:space="preserve"> tartani.</w:t>
      </w:r>
    </w:p>
    <w:p w14:paraId="5F9B3BC2" w14:textId="77777777" w:rsidR="002D66F3" w:rsidRPr="00360A40" w:rsidRDefault="002D66F3" w:rsidP="00360A40">
      <w:pPr>
        <w:pStyle w:val="Szvegtrzs"/>
        <w:kinsoku w:val="0"/>
        <w:overflowPunct w:val="0"/>
        <w:ind w:left="0"/>
        <w:rPr>
          <w:lang w:val="hu-HU"/>
        </w:rPr>
      </w:pPr>
    </w:p>
    <w:p w14:paraId="615063B5" w14:textId="60D5D696" w:rsidR="002D66F3" w:rsidRPr="00360A40" w:rsidRDefault="002D66F3" w:rsidP="00360A40">
      <w:pPr>
        <w:pStyle w:val="Szvegtrzs"/>
        <w:kinsoku w:val="0"/>
        <w:overflowPunct w:val="0"/>
        <w:ind w:left="0"/>
        <w:rPr>
          <w:lang w:val="hu-HU"/>
        </w:rPr>
      </w:pPr>
      <w:r w:rsidRPr="00360A40">
        <w:rPr>
          <w:lang w:val="hu-HU"/>
        </w:rPr>
        <w:t>Nem szükséges dózismódosítás a krónikus HCV-ben és enyhe májkárosodásban (Child–Pugh pontszám ≤</w:t>
      </w:r>
      <w:r w:rsidR="000E7AD0" w:rsidRPr="00360A40">
        <w:rPr>
          <w:lang w:val="hu-HU"/>
        </w:rPr>
        <w:t> </w:t>
      </w:r>
      <w:r w:rsidRPr="00360A40">
        <w:rPr>
          <w:lang w:val="hu-HU"/>
        </w:rPr>
        <w:t>6) szenvedő betegeknél. A krónikus HCV-s</w:t>
      </w:r>
      <w:r w:rsidR="00CB244B">
        <w:rPr>
          <w:lang w:val="hu-HU"/>
        </w:rPr>
        <w:t xml:space="preserve"> </w:t>
      </w:r>
      <w:r w:rsidRPr="00360A40">
        <w:rPr>
          <w:lang w:val="hu-HU"/>
        </w:rPr>
        <w:t>betegeknél, akiknek májkárosodása is van, az eltrombopag-kezelést naponta egyszer 25</w:t>
      </w:r>
      <w:r w:rsidR="00287C56" w:rsidRPr="00360A40">
        <w:rPr>
          <w:lang w:val="hu-HU"/>
        </w:rPr>
        <w:t> </w:t>
      </w:r>
      <w:r w:rsidRPr="00360A40">
        <w:rPr>
          <w:lang w:val="hu-HU"/>
        </w:rPr>
        <w:t>mg dózissal kell kezdeni (lásd 5.2</w:t>
      </w:r>
      <w:r w:rsidR="002271F6" w:rsidRPr="00360A40">
        <w:rPr>
          <w:lang w:val="hu-HU"/>
        </w:rPr>
        <w:t> </w:t>
      </w:r>
      <w:r w:rsidRPr="00360A40">
        <w:rPr>
          <w:lang w:val="hu-HU"/>
        </w:rPr>
        <w:t>pont). A májkárosodásban szenvedő betegek</w:t>
      </w:r>
      <w:r w:rsidR="00401E7E" w:rsidRPr="00360A40">
        <w:rPr>
          <w:lang w:val="hu-HU"/>
        </w:rPr>
        <w:t>et</w:t>
      </w:r>
      <w:r w:rsidRPr="00360A40">
        <w:rPr>
          <w:lang w:val="hu-HU"/>
        </w:rPr>
        <w:t xml:space="preserve"> az eltrombopag-kezelés megkezdés</w:t>
      </w:r>
      <w:r w:rsidR="00401E7E" w:rsidRPr="00360A40">
        <w:rPr>
          <w:lang w:val="hu-HU"/>
        </w:rPr>
        <w:t>ét követően</w:t>
      </w:r>
      <w:r w:rsidRPr="00360A40">
        <w:rPr>
          <w:lang w:val="hu-HU"/>
        </w:rPr>
        <w:t xml:space="preserve"> </w:t>
      </w:r>
      <w:r w:rsidR="00BD2A13" w:rsidRPr="00360A40">
        <w:rPr>
          <w:lang w:val="hu-HU"/>
        </w:rPr>
        <w:t xml:space="preserve">a dózis emelése előtt </w:t>
      </w:r>
      <w:r w:rsidRPr="00360A40">
        <w:rPr>
          <w:lang w:val="hu-HU"/>
        </w:rPr>
        <w:t>2</w:t>
      </w:r>
      <w:r w:rsidR="002271F6" w:rsidRPr="00360A40">
        <w:rPr>
          <w:lang w:val="hu-HU"/>
        </w:rPr>
        <w:t> </w:t>
      </w:r>
      <w:r w:rsidRPr="00360A40">
        <w:rPr>
          <w:lang w:val="hu-HU"/>
        </w:rPr>
        <w:t>hétig megfigyelés alatt</w:t>
      </w:r>
      <w:r w:rsidR="00BD2A13">
        <w:rPr>
          <w:lang w:val="hu-HU"/>
        </w:rPr>
        <w:t xml:space="preserve"> kell</w:t>
      </w:r>
      <w:r w:rsidRPr="00360A40">
        <w:rPr>
          <w:lang w:val="hu-HU"/>
        </w:rPr>
        <w:t xml:space="preserve"> tartani.</w:t>
      </w:r>
    </w:p>
    <w:p w14:paraId="640DF59C" w14:textId="77777777" w:rsidR="002D66F3" w:rsidRPr="00360A40" w:rsidRDefault="002D66F3" w:rsidP="00360A40">
      <w:pPr>
        <w:pStyle w:val="Szvegtrzs"/>
        <w:kinsoku w:val="0"/>
        <w:overflowPunct w:val="0"/>
        <w:ind w:left="0"/>
        <w:rPr>
          <w:lang w:val="hu-HU"/>
        </w:rPr>
      </w:pPr>
    </w:p>
    <w:p w14:paraId="0694603B" w14:textId="1CDC281D" w:rsidR="002D66F3" w:rsidRPr="00360A40" w:rsidRDefault="002D66F3" w:rsidP="00360A40">
      <w:pPr>
        <w:pStyle w:val="Szvegtrzs"/>
        <w:kinsoku w:val="0"/>
        <w:overflowPunct w:val="0"/>
        <w:ind w:left="0"/>
        <w:rPr>
          <w:lang w:val="hu-HU"/>
        </w:rPr>
      </w:pPr>
      <w:r w:rsidRPr="00360A40">
        <w:rPr>
          <w:lang w:val="hu-HU"/>
        </w:rPr>
        <w:t>Az eltrombopaggal kezelt, előrehaladott krónikus májbetegségben szenvedő thrombocytopeniás betegek esetében fokozott a nemkívánt események kockázata, beleértve a hepati</w:t>
      </w:r>
      <w:r w:rsidR="00581A67" w:rsidRPr="00360A40">
        <w:rPr>
          <w:lang w:val="hu-HU"/>
        </w:rPr>
        <w:t>k</w:t>
      </w:r>
      <w:r w:rsidRPr="00360A40">
        <w:rPr>
          <w:lang w:val="hu-HU"/>
        </w:rPr>
        <w:t xml:space="preserve">us dekompenzációt és thromboemboliás eseményeket (TEE-k), úgy az invazív beavatkozások előkészítése során, mint </w:t>
      </w:r>
      <w:r w:rsidR="00287C56" w:rsidRPr="00360A40">
        <w:rPr>
          <w:lang w:val="hu-HU"/>
        </w:rPr>
        <w:t>az</w:t>
      </w:r>
      <w:r w:rsidR="001E58E4" w:rsidRPr="00360A40">
        <w:rPr>
          <w:lang w:val="hu-HU"/>
        </w:rPr>
        <w:t xml:space="preserve"> </w:t>
      </w:r>
      <w:r w:rsidRPr="00360A40">
        <w:rPr>
          <w:lang w:val="hu-HU"/>
        </w:rPr>
        <w:t>antivirális terápiában részesülő, HCV-s betegeknél (lásd 4.4 és 4.8</w:t>
      </w:r>
      <w:r w:rsidR="002271F6" w:rsidRPr="00360A40">
        <w:rPr>
          <w:lang w:val="hu-HU"/>
        </w:rPr>
        <w:t> </w:t>
      </w:r>
      <w:r w:rsidRPr="00360A40">
        <w:rPr>
          <w:lang w:val="hu-HU"/>
        </w:rPr>
        <w:t>pont).</w:t>
      </w:r>
    </w:p>
    <w:p w14:paraId="053C62E5" w14:textId="77777777" w:rsidR="002D66F3" w:rsidRPr="00360A40" w:rsidRDefault="002D66F3" w:rsidP="00360A40">
      <w:pPr>
        <w:pStyle w:val="Szvegtrzs"/>
        <w:kinsoku w:val="0"/>
        <w:overflowPunct w:val="0"/>
        <w:ind w:left="0"/>
        <w:rPr>
          <w:lang w:val="hu-HU"/>
        </w:rPr>
      </w:pPr>
    </w:p>
    <w:p w14:paraId="78AAAC27" w14:textId="77777777" w:rsidR="002D66F3" w:rsidRPr="00360A40" w:rsidRDefault="002D66F3" w:rsidP="00360A40">
      <w:pPr>
        <w:pStyle w:val="Szvegtrzs"/>
        <w:kinsoku w:val="0"/>
        <w:overflowPunct w:val="0"/>
        <w:ind w:left="0"/>
        <w:rPr>
          <w:lang w:val="hu-HU"/>
        </w:rPr>
      </w:pPr>
      <w:r w:rsidRPr="00360A40">
        <w:rPr>
          <w:i/>
          <w:iCs/>
          <w:lang w:val="hu-HU"/>
        </w:rPr>
        <w:t>Idősek</w:t>
      </w:r>
    </w:p>
    <w:p w14:paraId="469B4084" w14:textId="4A8B2785" w:rsidR="002D66F3" w:rsidRPr="00360A40" w:rsidRDefault="002D66F3" w:rsidP="00360A40">
      <w:pPr>
        <w:pStyle w:val="Szvegtrzs"/>
        <w:kinsoku w:val="0"/>
        <w:overflowPunct w:val="0"/>
        <w:ind w:left="0"/>
        <w:rPr>
          <w:lang w:val="hu-HU"/>
        </w:rPr>
      </w:pPr>
      <w:r w:rsidRPr="00360A40">
        <w:rPr>
          <w:lang w:val="hu-HU"/>
        </w:rPr>
        <w:t>65</w:t>
      </w:r>
      <w:r w:rsidR="002271F6" w:rsidRPr="00360A40">
        <w:rPr>
          <w:lang w:val="hu-HU"/>
        </w:rPr>
        <w:t> </w:t>
      </w:r>
      <w:r w:rsidRPr="00360A40">
        <w:rPr>
          <w:lang w:val="hu-HU"/>
        </w:rPr>
        <w:t>éves és idősebb ITP-s betegek esetében korlátozott mennyiségű adat áll rendelkezésre az eltrombopag alkalmazásával kapcsolatban, illetve 85</w:t>
      </w:r>
      <w:r w:rsidR="002271F6" w:rsidRPr="00360A40">
        <w:rPr>
          <w:lang w:val="hu-HU"/>
        </w:rPr>
        <w:t> </w:t>
      </w:r>
      <w:r w:rsidRPr="00360A40">
        <w:rPr>
          <w:lang w:val="hu-HU"/>
        </w:rPr>
        <w:t>évesnél idősebbek esetén nincs klinikai tapasztalat. Az eltrombopaggal végzett klinikai vizsgálatokban összességében nem tapasztaltak klinikailag jelentős különbséget az eltrombopag biztonságosságát illetően a legalább 65</w:t>
      </w:r>
      <w:r w:rsidR="002271F6" w:rsidRPr="00360A40">
        <w:rPr>
          <w:lang w:val="hu-HU"/>
        </w:rPr>
        <w:t> </w:t>
      </w:r>
      <w:r w:rsidRPr="00360A40">
        <w:rPr>
          <w:lang w:val="hu-HU"/>
        </w:rPr>
        <w:t>éves betegek és a fiatalabb betegek között. Más klinikai beszámolók szerint nem volt különbség a válaszadás terén az idősebb és a fiatalabb betegek között, de nem zárható ki egyes idősebb betegek fokozott érzékenysége (lásd 5.2</w:t>
      </w:r>
      <w:r w:rsidR="002271F6" w:rsidRPr="00360A40">
        <w:rPr>
          <w:lang w:val="hu-HU"/>
        </w:rPr>
        <w:t> </w:t>
      </w:r>
      <w:r w:rsidRPr="00360A40">
        <w:rPr>
          <w:lang w:val="hu-HU"/>
        </w:rPr>
        <w:t>pont).</w:t>
      </w:r>
    </w:p>
    <w:p w14:paraId="4D06D49B" w14:textId="77777777" w:rsidR="002D66F3" w:rsidRPr="00360A40" w:rsidRDefault="002D66F3" w:rsidP="00360A40">
      <w:pPr>
        <w:pStyle w:val="Szvegtrzs"/>
        <w:kinsoku w:val="0"/>
        <w:overflowPunct w:val="0"/>
        <w:ind w:left="0"/>
        <w:rPr>
          <w:lang w:val="hu-HU"/>
        </w:rPr>
      </w:pPr>
    </w:p>
    <w:p w14:paraId="01FAE782" w14:textId="4777EAF9" w:rsidR="002D66F3" w:rsidRPr="00360A40" w:rsidRDefault="002D66F3" w:rsidP="00360A40">
      <w:pPr>
        <w:pStyle w:val="Szvegtrzs"/>
        <w:kinsoku w:val="0"/>
        <w:overflowPunct w:val="0"/>
        <w:ind w:left="0"/>
        <w:rPr>
          <w:lang w:val="hu-HU"/>
        </w:rPr>
      </w:pPr>
      <w:r w:rsidRPr="00360A40">
        <w:rPr>
          <w:lang w:val="hu-HU"/>
        </w:rPr>
        <w:t>HCV</w:t>
      </w:r>
      <w:r w:rsidR="001E58E4" w:rsidRPr="00360A40">
        <w:rPr>
          <w:lang w:val="hu-HU"/>
        </w:rPr>
        <w:t xml:space="preserve">-s </w:t>
      </w:r>
      <w:r w:rsidRPr="00360A40">
        <w:rPr>
          <w:lang w:val="hu-HU"/>
        </w:rPr>
        <w:t>75</w:t>
      </w:r>
      <w:r w:rsidR="002271F6" w:rsidRPr="00360A40">
        <w:rPr>
          <w:lang w:val="hu-HU"/>
        </w:rPr>
        <w:t> </w:t>
      </w:r>
      <w:r w:rsidRPr="00360A40">
        <w:rPr>
          <w:lang w:val="hu-HU"/>
        </w:rPr>
        <w:t>évesnél idősebb betegek esetében korlátozott mennyiségű adat áll rendelkezésre az eltrombopag alkalmazásával kapcsolatban. Ezeknél a betegeknél elővigyázatosság szükséges (lásd</w:t>
      </w:r>
      <w:r w:rsidR="00A218FB" w:rsidRPr="00360A40">
        <w:rPr>
          <w:lang w:val="hu-HU"/>
        </w:rPr>
        <w:t xml:space="preserve"> 4.4</w:t>
      </w:r>
      <w:r w:rsidR="007A2EFB" w:rsidRPr="00360A40">
        <w:rPr>
          <w:lang w:val="hu-HU"/>
        </w:rPr>
        <w:t> </w:t>
      </w:r>
      <w:r w:rsidRPr="00360A40">
        <w:rPr>
          <w:lang w:val="hu-HU"/>
        </w:rPr>
        <w:t>pont).</w:t>
      </w:r>
    </w:p>
    <w:p w14:paraId="119018E2" w14:textId="77777777" w:rsidR="002D66F3" w:rsidRPr="00360A40" w:rsidRDefault="002D66F3" w:rsidP="00360A40">
      <w:pPr>
        <w:pStyle w:val="Szvegtrzs"/>
        <w:kinsoku w:val="0"/>
        <w:overflowPunct w:val="0"/>
        <w:ind w:left="0"/>
        <w:rPr>
          <w:lang w:val="hu-HU"/>
        </w:rPr>
      </w:pPr>
    </w:p>
    <w:p w14:paraId="6017417C" w14:textId="77777777" w:rsidR="002D66F3" w:rsidRPr="00360A40" w:rsidRDefault="002D66F3" w:rsidP="00360A40">
      <w:pPr>
        <w:pStyle w:val="Szvegtrzs"/>
        <w:kinsoku w:val="0"/>
        <w:overflowPunct w:val="0"/>
        <w:ind w:left="0"/>
        <w:rPr>
          <w:lang w:val="hu-HU"/>
        </w:rPr>
      </w:pPr>
      <w:r w:rsidRPr="00360A40">
        <w:rPr>
          <w:i/>
          <w:iCs/>
          <w:lang w:val="hu-HU"/>
        </w:rPr>
        <w:t>Kelet-/délkelet-ázsiai betegek</w:t>
      </w:r>
    </w:p>
    <w:p w14:paraId="77382968" w14:textId="72A7D728" w:rsidR="002D66F3" w:rsidRPr="00360A40" w:rsidRDefault="002D66F3" w:rsidP="00360A40">
      <w:pPr>
        <w:pStyle w:val="Szvegtrzs"/>
        <w:kinsoku w:val="0"/>
        <w:overflowPunct w:val="0"/>
        <w:ind w:left="0"/>
        <w:rPr>
          <w:lang w:val="hu-HU"/>
        </w:rPr>
      </w:pPr>
      <w:r w:rsidRPr="00360A40">
        <w:rPr>
          <w:lang w:val="hu-HU"/>
        </w:rPr>
        <w:t xml:space="preserve">Kelet-/délkelet-ázsiai származású felnőtt, valamint gyermek </w:t>
      </w:r>
      <w:r w:rsidR="00F27803" w:rsidRPr="00360A40">
        <w:rPr>
          <w:lang w:val="hu-HU"/>
        </w:rPr>
        <w:t xml:space="preserve">- </w:t>
      </w:r>
      <w:r w:rsidRPr="00360A40">
        <w:rPr>
          <w:lang w:val="hu-HU"/>
        </w:rPr>
        <w:t>és serdülőkorú betegeknél – a májkárosodásban szenvedőket is beleértve – az eltrombopag</w:t>
      </w:r>
      <w:r w:rsidR="00BD2A13">
        <w:rPr>
          <w:lang w:val="hu-HU"/>
        </w:rPr>
        <w:t>-kezelés</w:t>
      </w:r>
      <w:r w:rsidRPr="00360A40">
        <w:rPr>
          <w:lang w:val="hu-HU"/>
        </w:rPr>
        <w:t>t naponta egyszer 25</w:t>
      </w:r>
      <w:r w:rsidR="007A2EFB" w:rsidRPr="00360A40">
        <w:rPr>
          <w:lang w:val="hu-HU"/>
        </w:rPr>
        <w:t> </w:t>
      </w:r>
      <w:r w:rsidRPr="00360A40">
        <w:rPr>
          <w:lang w:val="hu-HU"/>
        </w:rPr>
        <w:t>mg-os dózissal kell elkezdeni (lásd 5.2</w:t>
      </w:r>
      <w:r w:rsidR="007A2EFB" w:rsidRPr="00360A40">
        <w:rPr>
          <w:lang w:val="hu-HU"/>
        </w:rPr>
        <w:t> </w:t>
      </w:r>
      <w:r w:rsidRPr="00360A40">
        <w:rPr>
          <w:lang w:val="hu-HU"/>
        </w:rPr>
        <w:t>pont).</w:t>
      </w:r>
    </w:p>
    <w:p w14:paraId="4099622F" w14:textId="77777777" w:rsidR="002D66F3" w:rsidRPr="00360A40" w:rsidRDefault="002D66F3" w:rsidP="00360A40">
      <w:pPr>
        <w:pStyle w:val="Szvegtrzs"/>
        <w:kinsoku w:val="0"/>
        <w:overflowPunct w:val="0"/>
        <w:ind w:left="0"/>
        <w:rPr>
          <w:lang w:val="hu-HU"/>
        </w:rPr>
      </w:pPr>
    </w:p>
    <w:p w14:paraId="57587206" w14:textId="77777777" w:rsidR="002D66F3" w:rsidRPr="00360A40" w:rsidRDefault="002D66F3" w:rsidP="00360A40">
      <w:pPr>
        <w:pStyle w:val="Szvegtrzs"/>
        <w:kinsoku w:val="0"/>
        <w:overflowPunct w:val="0"/>
        <w:ind w:left="0"/>
        <w:rPr>
          <w:lang w:val="hu-HU"/>
        </w:rPr>
      </w:pPr>
      <w:r w:rsidRPr="00360A40">
        <w:rPr>
          <w:lang w:val="hu-HU"/>
        </w:rPr>
        <w:t>A betegek vérlemezkeszámát folyamatosan ellenőrizni kell, és a további dózismódosítások esetén a vonatkozó standard előírásokat kell követni.</w:t>
      </w:r>
    </w:p>
    <w:p w14:paraId="771B3EEC" w14:textId="77777777" w:rsidR="002D66F3" w:rsidRPr="00360A40" w:rsidRDefault="002D66F3" w:rsidP="00360A40">
      <w:pPr>
        <w:pStyle w:val="Szvegtrzs"/>
        <w:kinsoku w:val="0"/>
        <w:overflowPunct w:val="0"/>
        <w:ind w:left="0"/>
        <w:rPr>
          <w:lang w:val="hu-HU"/>
        </w:rPr>
      </w:pPr>
    </w:p>
    <w:p w14:paraId="6B49CF67" w14:textId="77777777" w:rsidR="002D66F3" w:rsidRPr="00360A40" w:rsidRDefault="002D66F3" w:rsidP="00360A40">
      <w:pPr>
        <w:pStyle w:val="Szvegtrzs"/>
        <w:kinsoku w:val="0"/>
        <w:overflowPunct w:val="0"/>
        <w:ind w:left="0"/>
        <w:rPr>
          <w:lang w:val="hu-HU"/>
        </w:rPr>
      </w:pPr>
      <w:r w:rsidRPr="00360A40">
        <w:rPr>
          <w:i/>
          <w:iCs/>
          <w:lang w:val="hu-HU"/>
        </w:rPr>
        <w:t>Gyermekek és serdülők</w:t>
      </w:r>
    </w:p>
    <w:p w14:paraId="09A6A360" w14:textId="27C9E48D" w:rsidR="002D66F3" w:rsidRPr="00360A40" w:rsidRDefault="002D66F3" w:rsidP="00360A40">
      <w:pPr>
        <w:pStyle w:val="Szvegtrzs"/>
        <w:kinsoku w:val="0"/>
        <w:overflowPunct w:val="0"/>
        <w:ind w:left="0"/>
        <w:rPr>
          <w:lang w:val="hu-HU"/>
        </w:rPr>
      </w:pPr>
      <w:r w:rsidRPr="00360A40">
        <w:rPr>
          <w:lang w:val="hu-HU"/>
        </w:rPr>
        <w:t xml:space="preserve">A </w:t>
      </w:r>
      <w:r w:rsidR="004873CF" w:rsidRPr="00360A40">
        <w:rPr>
          <w:lang w:val="hu-HU"/>
        </w:rPr>
        <w:t xml:space="preserve">Eltrombopag </w:t>
      </w:r>
      <w:r w:rsidR="00182D80" w:rsidRPr="00360A40">
        <w:rPr>
          <w:lang w:val="hu-HU"/>
        </w:rPr>
        <w:t>Vipharm</w:t>
      </w:r>
      <w:r w:rsidRPr="00360A40">
        <w:rPr>
          <w:lang w:val="hu-HU"/>
        </w:rPr>
        <w:t xml:space="preserve"> nem javasolt egy éves kor alatti, ITP-s gyermekek számára, mivel nincs elegendő adat a biztonságosságra és a hatásosságra vonatkozóan. Az eltrombopag biztonságosságát és hatásosságát gyermekek és (</w:t>
      </w:r>
      <w:r w:rsidR="00401E7E" w:rsidRPr="00360A40">
        <w:rPr>
          <w:lang w:val="hu-HU"/>
        </w:rPr>
        <w:t xml:space="preserve">betöltött </w:t>
      </w:r>
      <w:r w:rsidRPr="00360A40">
        <w:rPr>
          <w:lang w:val="hu-HU"/>
        </w:rPr>
        <w:t>18</w:t>
      </w:r>
      <w:r w:rsidR="00401E7E" w:rsidRPr="00360A40">
        <w:rPr>
          <w:lang w:val="hu-HU"/>
        </w:rPr>
        <w:t>.</w:t>
      </w:r>
      <w:r w:rsidR="007A2EFB" w:rsidRPr="00360A40">
        <w:rPr>
          <w:lang w:val="hu-HU"/>
        </w:rPr>
        <w:t> </w:t>
      </w:r>
      <w:r w:rsidR="00401E7E" w:rsidRPr="00360A40">
        <w:rPr>
          <w:lang w:val="hu-HU"/>
        </w:rPr>
        <w:t>élet</w:t>
      </w:r>
      <w:r w:rsidRPr="00360A40">
        <w:rPr>
          <w:lang w:val="hu-HU"/>
        </w:rPr>
        <w:t>év alatti) serdülők esetében, krónikus HCV-vel összefüggő thrombocytopeniában</w:t>
      </w:r>
      <w:r w:rsidR="001E58E4" w:rsidRPr="00360A40">
        <w:rPr>
          <w:lang w:val="hu-HU"/>
        </w:rPr>
        <w:t xml:space="preserve"> </w:t>
      </w:r>
      <w:r w:rsidRPr="00360A40">
        <w:rPr>
          <w:lang w:val="hu-HU"/>
        </w:rPr>
        <w:t>nem igazolták. Nincsenek rendelkezésre álló adatok.</w:t>
      </w:r>
    </w:p>
    <w:p w14:paraId="0D84C2DD" w14:textId="77777777" w:rsidR="007A2EFB" w:rsidRPr="00360A40" w:rsidRDefault="007A2EFB" w:rsidP="00360A40">
      <w:pPr>
        <w:pStyle w:val="Szvegtrzs"/>
        <w:kinsoku w:val="0"/>
        <w:overflowPunct w:val="0"/>
        <w:ind w:left="0"/>
        <w:rPr>
          <w:lang w:val="hu-HU"/>
        </w:rPr>
      </w:pPr>
    </w:p>
    <w:p w14:paraId="2E1DA17E" w14:textId="77777777" w:rsidR="002D66F3" w:rsidRPr="00360A40" w:rsidRDefault="002D66F3" w:rsidP="00360A40">
      <w:pPr>
        <w:pStyle w:val="Szvegtrzs"/>
        <w:keepNext/>
        <w:widowControl/>
        <w:kinsoku w:val="0"/>
        <w:overflowPunct w:val="0"/>
        <w:ind w:left="0"/>
        <w:rPr>
          <w:lang w:val="hu-HU"/>
        </w:rPr>
      </w:pPr>
      <w:r w:rsidRPr="00360A40">
        <w:rPr>
          <w:u w:val="single"/>
          <w:lang w:val="hu-HU"/>
        </w:rPr>
        <w:lastRenderedPageBreak/>
        <w:t>Az alkalmazás módja</w:t>
      </w:r>
    </w:p>
    <w:p w14:paraId="41C92CA0" w14:textId="77777777" w:rsidR="002D66F3" w:rsidRPr="00360A40" w:rsidRDefault="002D66F3" w:rsidP="00360A40">
      <w:pPr>
        <w:pStyle w:val="Szvegtrzs"/>
        <w:keepNext/>
        <w:widowControl/>
        <w:kinsoku w:val="0"/>
        <w:overflowPunct w:val="0"/>
        <w:ind w:left="0"/>
        <w:rPr>
          <w:lang w:val="hu-HU"/>
        </w:rPr>
      </w:pPr>
    </w:p>
    <w:p w14:paraId="5DC1C566" w14:textId="77777777" w:rsidR="002D66F3" w:rsidRPr="00360A40" w:rsidRDefault="002D66F3" w:rsidP="00360A40">
      <w:pPr>
        <w:pStyle w:val="Szvegtrzs"/>
        <w:keepNext/>
        <w:widowControl/>
        <w:kinsoku w:val="0"/>
        <w:overflowPunct w:val="0"/>
        <w:ind w:left="0"/>
        <w:rPr>
          <w:lang w:val="hu-HU"/>
        </w:rPr>
      </w:pPr>
      <w:r w:rsidRPr="00360A40">
        <w:rPr>
          <w:lang w:val="hu-HU"/>
        </w:rPr>
        <w:t>Szájon át történő alkalmazásra.</w:t>
      </w:r>
    </w:p>
    <w:p w14:paraId="6DBEBAA3" w14:textId="2BF60C06" w:rsidR="002D66F3" w:rsidRPr="00360A40" w:rsidRDefault="002D66F3" w:rsidP="00360A40">
      <w:pPr>
        <w:pStyle w:val="Szvegtrzs"/>
        <w:kinsoku w:val="0"/>
        <w:overflowPunct w:val="0"/>
        <w:ind w:left="0"/>
        <w:rPr>
          <w:lang w:val="hu-HU"/>
        </w:rPr>
      </w:pPr>
      <w:r w:rsidRPr="00360A40">
        <w:rPr>
          <w:lang w:val="hu-HU"/>
        </w:rPr>
        <w:t xml:space="preserve">A tablettát egyéb készítmények, például antacidok, tejtermékek (vagy egyéb, kalciumot tartalmazó élelmiszerek) vagy polivalens kationokat (pl. vas, kalcium, magnézium, alumínium, szelén és cink) </w:t>
      </w:r>
      <w:r w:rsidR="00F23566" w:rsidRPr="00360A40">
        <w:rPr>
          <w:lang w:val="hu-HU"/>
        </w:rPr>
        <w:t xml:space="preserve">tartalmazó ásványianyag-pótló készítmények </w:t>
      </w:r>
      <w:r w:rsidR="00F23566">
        <w:rPr>
          <w:lang w:val="hu-HU"/>
        </w:rPr>
        <w:t xml:space="preserve">bevétele </w:t>
      </w:r>
      <w:r w:rsidRPr="00360A40">
        <w:rPr>
          <w:lang w:val="hu-HU"/>
        </w:rPr>
        <w:t>előtt legalább két órával vagy ezek után legalább négy órával kell bevenni (lásd 4.5 és 5.2</w:t>
      </w:r>
      <w:r w:rsidR="007A2EFB" w:rsidRPr="00360A40">
        <w:rPr>
          <w:lang w:val="hu-HU"/>
        </w:rPr>
        <w:t> </w:t>
      </w:r>
      <w:r w:rsidRPr="00360A40">
        <w:rPr>
          <w:lang w:val="hu-HU"/>
        </w:rPr>
        <w:t>pont).</w:t>
      </w:r>
    </w:p>
    <w:p w14:paraId="490ADE39" w14:textId="77777777" w:rsidR="002D66F3" w:rsidRPr="00360A40" w:rsidRDefault="002D66F3" w:rsidP="00360A40">
      <w:pPr>
        <w:pStyle w:val="Szvegtrzs"/>
        <w:kinsoku w:val="0"/>
        <w:overflowPunct w:val="0"/>
        <w:ind w:left="0"/>
        <w:rPr>
          <w:lang w:val="hu-HU"/>
        </w:rPr>
      </w:pPr>
    </w:p>
    <w:p w14:paraId="40FC16D6" w14:textId="2F7FE052" w:rsidR="002D66F3" w:rsidRPr="00360A40" w:rsidRDefault="00A218FB" w:rsidP="00360A40">
      <w:pPr>
        <w:pStyle w:val="Cmsor1"/>
        <w:kinsoku w:val="0"/>
        <w:overflowPunct w:val="0"/>
        <w:ind w:left="0" w:firstLine="0"/>
        <w:rPr>
          <w:b w:val="0"/>
          <w:bCs w:val="0"/>
          <w:lang w:val="hu-HU"/>
        </w:rPr>
      </w:pPr>
      <w:r w:rsidRPr="00360A40">
        <w:rPr>
          <w:lang w:val="hu-HU"/>
        </w:rPr>
        <w:t>4.3</w:t>
      </w:r>
      <w:r w:rsidRPr="00360A40">
        <w:rPr>
          <w:lang w:val="hu-HU"/>
        </w:rPr>
        <w:tab/>
      </w:r>
      <w:r w:rsidR="002D66F3" w:rsidRPr="00360A40">
        <w:rPr>
          <w:lang w:val="hu-HU"/>
        </w:rPr>
        <w:t>Ellenjavallatok</w:t>
      </w:r>
    </w:p>
    <w:p w14:paraId="2204D953" w14:textId="77777777" w:rsidR="002D66F3" w:rsidRPr="00360A40" w:rsidRDefault="002D66F3" w:rsidP="00360A40">
      <w:pPr>
        <w:pStyle w:val="Szvegtrzs"/>
        <w:kinsoku w:val="0"/>
        <w:overflowPunct w:val="0"/>
        <w:ind w:left="0"/>
        <w:rPr>
          <w:b/>
          <w:bCs/>
          <w:lang w:val="hu-HU"/>
        </w:rPr>
      </w:pPr>
    </w:p>
    <w:p w14:paraId="2F1206DE" w14:textId="1AB9E6BF" w:rsidR="002D66F3" w:rsidRPr="00360A40" w:rsidRDefault="002D66F3" w:rsidP="00360A40">
      <w:pPr>
        <w:pStyle w:val="Szvegtrzs"/>
        <w:kinsoku w:val="0"/>
        <w:overflowPunct w:val="0"/>
        <w:ind w:left="0"/>
        <w:rPr>
          <w:lang w:val="hu-HU"/>
        </w:rPr>
      </w:pPr>
      <w:r w:rsidRPr="00360A40">
        <w:rPr>
          <w:lang w:val="hu-HU"/>
        </w:rPr>
        <w:t xml:space="preserve">Az eltrombopaggal vagy a </w:t>
      </w:r>
      <w:r w:rsidR="00893912" w:rsidRPr="00360A40">
        <w:rPr>
          <w:lang w:val="hu-HU"/>
        </w:rPr>
        <w:t xml:space="preserve">készítmény </w:t>
      </w:r>
      <w:r w:rsidRPr="00360A40">
        <w:rPr>
          <w:lang w:val="hu-HU"/>
        </w:rPr>
        <w:t>6.1</w:t>
      </w:r>
      <w:r w:rsidR="00CF0762" w:rsidRPr="00360A40">
        <w:rPr>
          <w:lang w:val="hu-HU"/>
        </w:rPr>
        <w:t> </w:t>
      </w:r>
      <w:r w:rsidRPr="00360A40">
        <w:rPr>
          <w:lang w:val="hu-HU"/>
        </w:rPr>
        <w:t>pontban felsorolt bármely segédanyag</w:t>
      </w:r>
      <w:r w:rsidR="00893912" w:rsidRPr="00360A40">
        <w:rPr>
          <w:lang w:val="hu-HU"/>
        </w:rPr>
        <w:t>áv</w:t>
      </w:r>
      <w:r w:rsidRPr="00360A40">
        <w:rPr>
          <w:lang w:val="hu-HU"/>
        </w:rPr>
        <w:t>al szembeni túlérzékenység.</w:t>
      </w:r>
    </w:p>
    <w:p w14:paraId="619E3196" w14:textId="77777777" w:rsidR="002D66F3" w:rsidRPr="00360A40" w:rsidRDefault="002D66F3" w:rsidP="00360A40">
      <w:pPr>
        <w:pStyle w:val="Szvegtrzs"/>
        <w:kinsoku w:val="0"/>
        <w:overflowPunct w:val="0"/>
        <w:ind w:left="0"/>
        <w:rPr>
          <w:lang w:val="hu-HU"/>
        </w:rPr>
      </w:pPr>
    </w:p>
    <w:p w14:paraId="0CE13783" w14:textId="328CC074" w:rsidR="002D66F3" w:rsidRPr="00360A40" w:rsidRDefault="00A218FB" w:rsidP="00360A40">
      <w:pPr>
        <w:pStyle w:val="Cmsor1"/>
        <w:kinsoku w:val="0"/>
        <w:overflowPunct w:val="0"/>
        <w:ind w:left="0" w:firstLine="0"/>
        <w:rPr>
          <w:b w:val="0"/>
          <w:bCs w:val="0"/>
          <w:lang w:val="hu-HU"/>
        </w:rPr>
      </w:pPr>
      <w:r w:rsidRPr="00360A40">
        <w:rPr>
          <w:lang w:val="hu-HU"/>
        </w:rPr>
        <w:t>4.4</w:t>
      </w:r>
      <w:r w:rsidRPr="00360A40">
        <w:rPr>
          <w:lang w:val="hu-HU"/>
        </w:rPr>
        <w:tab/>
      </w:r>
      <w:r w:rsidR="002D66F3" w:rsidRPr="00360A40">
        <w:rPr>
          <w:lang w:val="hu-HU"/>
        </w:rPr>
        <w:t>Különleges figyelmeztetések és az alkalmazással kapcsolatos óvintézkedések</w:t>
      </w:r>
    </w:p>
    <w:p w14:paraId="371B6545" w14:textId="61F04651" w:rsidR="002D66F3" w:rsidRPr="00360A40" w:rsidRDefault="002D66F3" w:rsidP="00360A40">
      <w:pPr>
        <w:pStyle w:val="Szvegtrzs"/>
        <w:kinsoku w:val="0"/>
        <w:overflowPunct w:val="0"/>
        <w:ind w:left="0"/>
        <w:rPr>
          <w:b/>
          <w:bCs/>
          <w:lang w:val="hu-HU"/>
        </w:rPr>
      </w:pPr>
    </w:p>
    <w:p w14:paraId="59C68650" w14:textId="5EF4218C" w:rsidR="00A218FB" w:rsidRPr="00360A40" w:rsidRDefault="00A218FB" w:rsidP="00360A40">
      <w:pPr>
        <w:pStyle w:val="Szvegtrzs"/>
        <w:pBdr>
          <w:top w:val="single" w:sz="4" w:space="1" w:color="auto"/>
          <w:left w:val="single" w:sz="4" w:space="4" w:color="auto"/>
          <w:bottom w:val="single" w:sz="4" w:space="1" w:color="auto"/>
          <w:right w:val="single" w:sz="4" w:space="4" w:color="auto"/>
        </w:pBdr>
        <w:kinsoku w:val="0"/>
        <w:overflowPunct w:val="0"/>
        <w:ind w:left="0"/>
        <w:rPr>
          <w:b/>
          <w:bCs/>
          <w:lang w:val="hu-HU"/>
        </w:rPr>
      </w:pPr>
      <w:r w:rsidRPr="00360A40">
        <w:t>Azoknál az előrehaladott krónikus májbetegségben és thrombocytopeniás HCV-s betegeknél (definíciója: ≤</w:t>
      </w:r>
      <w:r w:rsidR="007A2EFB" w:rsidRPr="00360A40">
        <w:rPr>
          <w:lang w:val="hu-HU"/>
        </w:rPr>
        <w:t> </w:t>
      </w:r>
      <w:r w:rsidRPr="00360A40">
        <w:t>35</w:t>
      </w:r>
      <w:r w:rsidR="007A2EFB" w:rsidRPr="00360A40">
        <w:rPr>
          <w:lang w:val="hu-HU"/>
        </w:rPr>
        <w:t> </w:t>
      </w:r>
      <w:r w:rsidRPr="00360A40">
        <w:t>g/l</w:t>
      </w:r>
      <w:r w:rsidR="007A2EFB" w:rsidRPr="00360A40">
        <w:noBreakHyphen/>
      </w:r>
      <w:r w:rsidRPr="00360A40">
        <w:t>nél alacsonyabb albuminszint vagy ≥</w:t>
      </w:r>
      <w:r w:rsidR="007A2EFB" w:rsidRPr="00360A40">
        <w:rPr>
          <w:lang w:val="hu-HU"/>
        </w:rPr>
        <w:t> </w:t>
      </w:r>
      <w:r w:rsidRPr="00360A40">
        <w:t xml:space="preserve">10 MELD- </w:t>
      </w:r>
      <w:r w:rsidR="00893912" w:rsidRPr="00360A40">
        <w:t>[</w:t>
      </w:r>
      <w:r w:rsidRPr="00360A40">
        <w:t>Model for End Stage Liver Disease</w:t>
      </w:r>
      <w:r w:rsidR="00893912" w:rsidRPr="00360A40">
        <w:t>]</w:t>
      </w:r>
      <w:r w:rsidRPr="00360A40">
        <w:t xml:space="preserve"> pontszám), akik eltrombopag-kezelésben részesülnek interferon alapú terápiával kombinációban, fokozott a mellékhatások kockázata, beleértve a potenciálisan halálos hepati</w:t>
      </w:r>
      <w:r w:rsidR="00893912" w:rsidRPr="00360A40">
        <w:rPr>
          <w:lang w:val="hu-HU"/>
        </w:rPr>
        <w:t>k</w:t>
      </w:r>
      <w:r w:rsidRPr="00360A40">
        <w:t>us dekompenzációt és thromboemboliás eseményeket is. Emellett ezeknél a betegeknél a kezelés mérsékelt előnnyel járt a tartós virológiai választ (SVR) elérők placebóhoz viszonyított arányának tekintetében (különösen, akiknél a kiindulási albuminszint ≤</w:t>
      </w:r>
      <w:r w:rsidR="007A2EFB" w:rsidRPr="00360A40">
        <w:rPr>
          <w:lang w:val="hu-HU"/>
        </w:rPr>
        <w:t> </w:t>
      </w:r>
      <w:r w:rsidRPr="00360A40">
        <w:t>35</w:t>
      </w:r>
      <w:r w:rsidR="007A2EFB" w:rsidRPr="00360A40">
        <w:rPr>
          <w:lang w:val="hu-HU"/>
        </w:rPr>
        <w:t> </w:t>
      </w:r>
      <w:r w:rsidRPr="00360A40">
        <w:t>g/l), a teljes vizsgálati csoporttal összehasonlítva. Ezeknél a betegeknél az eltrombopag-kezelést csak az előrehaladott HCV kezelésében tapasztalt 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p w14:paraId="3DE90648" w14:textId="77777777" w:rsidR="002D66F3" w:rsidRPr="00360A40" w:rsidRDefault="002D66F3" w:rsidP="00360A40">
      <w:pPr>
        <w:pStyle w:val="Szvegtrzs"/>
        <w:kinsoku w:val="0"/>
        <w:overflowPunct w:val="0"/>
        <w:ind w:left="0"/>
        <w:rPr>
          <w:b/>
          <w:bCs/>
          <w:lang w:val="hu-HU"/>
        </w:rPr>
      </w:pPr>
    </w:p>
    <w:p w14:paraId="2FA2BD51" w14:textId="77777777" w:rsidR="002D66F3" w:rsidRPr="00360A40" w:rsidRDefault="002D66F3" w:rsidP="00360A40">
      <w:pPr>
        <w:pStyle w:val="Szvegtrzs"/>
        <w:kinsoku w:val="0"/>
        <w:overflowPunct w:val="0"/>
        <w:ind w:left="0"/>
        <w:rPr>
          <w:lang w:val="hu-HU"/>
        </w:rPr>
      </w:pPr>
      <w:r w:rsidRPr="00360A40">
        <w:rPr>
          <w:u w:val="single"/>
          <w:lang w:val="hu-HU"/>
        </w:rPr>
        <w:t>Kombináció direkt hatással rendelkező antivirális szerekkel</w:t>
      </w:r>
    </w:p>
    <w:p w14:paraId="11459901" w14:textId="77777777" w:rsidR="002D66F3" w:rsidRPr="00360A40" w:rsidRDefault="002D66F3" w:rsidP="00360A40">
      <w:pPr>
        <w:pStyle w:val="Szvegtrzs"/>
        <w:kinsoku w:val="0"/>
        <w:overflowPunct w:val="0"/>
        <w:ind w:left="0"/>
        <w:rPr>
          <w:lang w:val="hu-HU"/>
        </w:rPr>
      </w:pPr>
    </w:p>
    <w:p w14:paraId="360B8744" w14:textId="77777777" w:rsidR="002D66F3" w:rsidRPr="00360A40" w:rsidRDefault="002D66F3" w:rsidP="00360A40">
      <w:pPr>
        <w:pStyle w:val="Szvegtrzs"/>
        <w:kinsoku w:val="0"/>
        <w:overflowPunct w:val="0"/>
        <w:ind w:left="0"/>
        <w:rPr>
          <w:lang w:val="hu-HU"/>
        </w:rPr>
      </w:pPr>
      <w:r w:rsidRPr="00360A40">
        <w:rPr>
          <w:lang w:val="hu-HU"/>
        </w:rPr>
        <w:t>A krónikus hepatitis C-fertőzés kezelésére engedélyezett direkt hatással rendelkező antivirális szerekkel történő kombinációk biztonságosságát és hatásosságát nem vizsgálták.</w:t>
      </w:r>
    </w:p>
    <w:p w14:paraId="7351159D" w14:textId="77777777" w:rsidR="002D66F3" w:rsidRPr="00360A40" w:rsidRDefault="002D66F3" w:rsidP="00360A40">
      <w:pPr>
        <w:pStyle w:val="Szvegtrzs"/>
        <w:kinsoku w:val="0"/>
        <w:overflowPunct w:val="0"/>
        <w:ind w:left="0"/>
        <w:rPr>
          <w:lang w:val="hu-HU"/>
        </w:rPr>
      </w:pPr>
    </w:p>
    <w:p w14:paraId="08B7270B" w14:textId="53B8F68C" w:rsidR="002D66F3" w:rsidRPr="00360A40" w:rsidRDefault="002D66F3" w:rsidP="00360A40">
      <w:pPr>
        <w:pStyle w:val="Szvegtrzs"/>
        <w:kinsoku w:val="0"/>
        <w:overflowPunct w:val="0"/>
        <w:ind w:left="0"/>
        <w:rPr>
          <w:lang w:val="hu-HU"/>
        </w:rPr>
      </w:pPr>
      <w:r w:rsidRPr="00360A40">
        <w:rPr>
          <w:u w:val="single"/>
          <w:lang w:val="hu-HU"/>
        </w:rPr>
        <w:t>A hepato</w:t>
      </w:r>
      <w:r w:rsidR="00F83EC4" w:rsidRPr="00360A40">
        <w:rPr>
          <w:u w:val="single"/>
          <w:lang w:val="hu-HU"/>
        </w:rPr>
        <w:t>to</w:t>
      </w:r>
      <w:r w:rsidRPr="00360A40">
        <w:rPr>
          <w:u w:val="single"/>
          <w:lang w:val="hu-HU"/>
        </w:rPr>
        <w:t>xicitás kockázata</w:t>
      </w:r>
    </w:p>
    <w:p w14:paraId="75617FF9" w14:textId="77777777" w:rsidR="002D66F3" w:rsidRPr="00360A40" w:rsidRDefault="002D66F3" w:rsidP="00360A40">
      <w:pPr>
        <w:pStyle w:val="Szvegtrzs"/>
        <w:kinsoku w:val="0"/>
        <w:overflowPunct w:val="0"/>
        <w:ind w:left="0"/>
        <w:rPr>
          <w:lang w:val="hu-HU"/>
        </w:rPr>
      </w:pPr>
    </w:p>
    <w:p w14:paraId="38776F64" w14:textId="6AF3EB20" w:rsidR="002D66F3" w:rsidRPr="00360A40" w:rsidRDefault="002D66F3" w:rsidP="00360A40">
      <w:pPr>
        <w:pStyle w:val="Szvegtrzs"/>
        <w:kinsoku w:val="0"/>
        <w:overflowPunct w:val="0"/>
        <w:ind w:left="0"/>
        <w:rPr>
          <w:lang w:val="hu-HU"/>
        </w:rPr>
      </w:pPr>
      <w:r w:rsidRPr="00360A40">
        <w:rPr>
          <w:lang w:val="hu-HU"/>
        </w:rPr>
        <w:t>Az eltrombopag adása májfunkciós zavart és súlyos hepatotoxicitást okozhat, amely akár életveszélyes is lehet (lásd 4.8</w:t>
      </w:r>
      <w:r w:rsidR="007A2EFB" w:rsidRPr="00360A40">
        <w:rPr>
          <w:lang w:val="hu-HU"/>
        </w:rPr>
        <w:t> </w:t>
      </w:r>
      <w:r w:rsidRPr="00360A40">
        <w:rPr>
          <w:lang w:val="hu-HU"/>
        </w:rPr>
        <w:t>pont).</w:t>
      </w:r>
    </w:p>
    <w:p w14:paraId="58F91396" w14:textId="77777777" w:rsidR="002D66F3" w:rsidRPr="00360A40" w:rsidRDefault="002D66F3" w:rsidP="00360A40">
      <w:pPr>
        <w:pStyle w:val="Szvegtrzs"/>
        <w:kinsoku w:val="0"/>
        <w:overflowPunct w:val="0"/>
        <w:ind w:left="0"/>
        <w:rPr>
          <w:lang w:val="hu-HU"/>
        </w:rPr>
      </w:pPr>
    </w:p>
    <w:p w14:paraId="66714D89" w14:textId="34710EDE" w:rsidR="002D66F3" w:rsidRPr="00360A40" w:rsidRDefault="002D66F3" w:rsidP="00360A40">
      <w:pPr>
        <w:pStyle w:val="Szvegtrzs"/>
        <w:kinsoku w:val="0"/>
        <w:overflowPunct w:val="0"/>
        <w:ind w:left="0"/>
        <w:rPr>
          <w:lang w:val="hu-HU"/>
        </w:rPr>
      </w:pPr>
      <w:r w:rsidRPr="00360A40">
        <w:rPr>
          <w:lang w:val="hu-HU"/>
        </w:rPr>
        <w:t>Ellenőrizni kell a szérum</w:t>
      </w:r>
      <w:r w:rsidR="0029328F" w:rsidRPr="00360A40">
        <w:t xml:space="preserve"> </w:t>
      </w:r>
      <w:r w:rsidR="0029328F" w:rsidRPr="00360A40">
        <w:rPr>
          <w:lang w:val="hu-HU"/>
        </w:rPr>
        <w:t>glutamát-piruvát-transzamináz- (GPT), glutamát-oxálacetát-transzamináz-(GOT)</w:t>
      </w:r>
      <w:r w:rsidRPr="00360A40">
        <w:rPr>
          <w:lang w:val="hu-HU"/>
        </w:rPr>
        <w:t xml:space="preserve"> és bilirubinszintjét az eltrombopag-kezelés megkezdése előtt, majd a dózisbeállítás időszakában 2</w:t>
      </w:r>
      <w:r w:rsidR="007A2EFB" w:rsidRPr="00360A40">
        <w:rPr>
          <w:lang w:val="hu-HU"/>
        </w:rPr>
        <w:t> </w:t>
      </w:r>
      <w:r w:rsidRPr="00360A40">
        <w:rPr>
          <w:lang w:val="hu-HU"/>
        </w:rPr>
        <w:t xml:space="preserve">hetente, majd a stabil dózis megállapítása után havonta. Az eltrombopag gátolja az UGT1A1 és OATP1B1-et, amely indirekt hyperbilirubinaemiát eredményezhet. Emelkedett bilirubinszint esetén frakcionálást kell végezni. Az eltérést mutató májfunkciós teszteket 3-5 naponta megismételt vizsgálat alapján kell értékelni. Ha a kóros értékeket megerősítették, a májfunkciós értékeket mindaddig monitorozni kell, ameddig a rendellenesség megszűnik, az értékek stabilizálódnak vagy visszatérnek a kiindulási szintre. Abba kell hagyni az eltrombopag alkalmazását, ha a </w:t>
      </w:r>
      <w:r w:rsidR="00893912" w:rsidRPr="00360A40">
        <w:rPr>
          <w:lang w:val="hu-HU"/>
        </w:rPr>
        <w:t>GP</w:t>
      </w:r>
      <w:r w:rsidR="0000440C" w:rsidRPr="00360A40">
        <w:rPr>
          <w:lang w:val="hu-HU"/>
        </w:rPr>
        <w:t>T</w:t>
      </w:r>
      <w:r w:rsidRPr="00360A40">
        <w:rPr>
          <w:lang w:val="hu-HU"/>
        </w:rPr>
        <w:t>-szint megemelkedik (a normálérték felső határának 3-szorosára vagy annál magasabbra normális májfunkciójú betegeknél, vagy a kiindulási szint legalább 3-szorosára, vagy a normálérték felső határának 5</w:t>
      </w:r>
      <w:r w:rsidR="007A2EFB" w:rsidRPr="00360A40">
        <w:rPr>
          <w:lang w:val="hu-HU"/>
        </w:rPr>
        <w:noBreakHyphen/>
      </w:r>
      <w:r w:rsidRPr="00360A40">
        <w:rPr>
          <w:lang w:val="hu-HU"/>
        </w:rPr>
        <w:t>szörösére, a kettő közül az alacsonyabbat figyelembe véve, olyan betegeknél, akiknél a kezelés előtt emelkedett transzamináz</w:t>
      </w:r>
      <w:r w:rsidR="00893912" w:rsidRPr="00360A40">
        <w:rPr>
          <w:lang w:val="hu-HU"/>
        </w:rPr>
        <w:t>-</w:t>
      </w:r>
      <w:r w:rsidRPr="00360A40">
        <w:rPr>
          <w:lang w:val="hu-HU"/>
        </w:rPr>
        <w:t>szintek állnak fenn), és ha az emelkedés:</w:t>
      </w:r>
    </w:p>
    <w:p w14:paraId="23B87E20" w14:textId="77777777" w:rsidR="002D66F3" w:rsidRPr="00360A40" w:rsidRDefault="002D66F3" w:rsidP="00360A40">
      <w:pPr>
        <w:pStyle w:val="Szvegtrzs"/>
        <w:numPr>
          <w:ilvl w:val="2"/>
          <w:numId w:val="10"/>
        </w:numPr>
        <w:kinsoku w:val="0"/>
        <w:overflowPunct w:val="0"/>
        <w:ind w:left="567" w:hanging="567"/>
        <w:rPr>
          <w:lang w:val="hu-HU"/>
        </w:rPr>
      </w:pPr>
      <w:r w:rsidRPr="00360A40">
        <w:rPr>
          <w:lang w:val="hu-HU"/>
        </w:rPr>
        <w:t>progresszív, vagy</w:t>
      </w:r>
    </w:p>
    <w:p w14:paraId="77CB670A" w14:textId="7E410649" w:rsidR="002D66F3" w:rsidRPr="00360A40" w:rsidRDefault="002D66F3" w:rsidP="00360A40">
      <w:pPr>
        <w:pStyle w:val="Szvegtrzs"/>
        <w:numPr>
          <w:ilvl w:val="2"/>
          <w:numId w:val="10"/>
        </w:numPr>
        <w:kinsoku w:val="0"/>
        <w:overflowPunct w:val="0"/>
        <w:ind w:left="567" w:hanging="567"/>
        <w:rPr>
          <w:lang w:val="hu-HU"/>
        </w:rPr>
      </w:pPr>
      <w:r w:rsidRPr="00360A40">
        <w:rPr>
          <w:lang w:val="hu-HU"/>
        </w:rPr>
        <w:t>4</w:t>
      </w:r>
      <w:r w:rsidR="007A2EFB" w:rsidRPr="00360A40">
        <w:rPr>
          <w:lang w:val="hu-HU"/>
        </w:rPr>
        <w:t> </w:t>
      </w:r>
      <w:r w:rsidRPr="00360A40">
        <w:rPr>
          <w:lang w:val="hu-HU"/>
        </w:rPr>
        <w:t>hétig vagy tovább fennáll, vagy</w:t>
      </w:r>
    </w:p>
    <w:p w14:paraId="513CED88" w14:textId="77777777" w:rsidR="002D66F3" w:rsidRPr="00360A40" w:rsidRDefault="002D66F3" w:rsidP="00360A40">
      <w:pPr>
        <w:pStyle w:val="Szvegtrzs"/>
        <w:numPr>
          <w:ilvl w:val="2"/>
          <w:numId w:val="10"/>
        </w:numPr>
        <w:kinsoku w:val="0"/>
        <w:overflowPunct w:val="0"/>
        <w:ind w:left="567" w:hanging="567"/>
        <w:rPr>
          <w:lang w:val="hu-HU"/>
        </w:rPr>
      </w:pPr>
      <w:r w:rsidRPr="00360A40">
        <w:rPr>
          <w:lang w:val="hu-HU"/>
        </w:rPr>
        <w:t>a direkt bilirubin emelkedésével jár együtt, vagy</w:t>
      </w:r>
    </w:p>
    <w:p w14:paraId="297160D6" w14:textId="70542C2B" w:rsidR="002D66F3" w:rsidRPr="00360A40" w:rsidRDefault="002D66F3" w:rsidP="00360A40">
      <w:pPr>
        <w:pStyle w:val="Szvegtrzs"/>
        <w:numPr>
          <w:ilvl w:val="2"/>
          <w:numId w:val="10"/>
        </w:numPr>
        <w:kinsoku w:val="0"/>
        <w:overflowPunct w:val="0"/>
        <w:ind w:left="567" w:hanging="567"/>
        <w:rPr>
          <w:lang w:val="hu-HU"/>
        </w:rPr>
      </w:pPr>
      <w:r w:rsidRPr="00360A40">
        <w:rPr>
          <w:lang w:val="hu-HU"/>
        </w:rPr>
        <w:t>a májkárosodás klinikai tünetei vagy a hepati</w:t>
      </w:r>
      <w:r w:rsidR="00893912" w:rsidRPr="00360A40">
        <w:rPr>
          <w:lang w:val="hu-HU"/>
        </w:rPr>
        <w:t>k</w:t>
      </w:r>
      <w:r w:rsidRPr="00360A40">
        <w:rPr>
          <w:lang w:val="hu-HU"/>
        </w:rPr>
        <w:t>us dekompenzáció nyilvánvaló jelei kísérik.</w:t>
      </w:r>
    </w:p>
    <w:p w14:paraId="7D9CB0D4" w14:textId="77777777" w:rsidR="002D66F3" w:rsidRPr="00360A40" w:rsidRDefault="002D66F3" w:rsidP="00360A40">
      <w:pPr>
        <w:pStyle w:val="Szvegtrzs"/>
        <w:kinsoku w:val="0"/>
        <w:overflowPunct w:val="0"/>
        <w:ind w:left="0"/>
        <w:rPr>
          <w:lang w:val="hu-HU"/>
        </w:rPr>
      </w:pPr>
    </w:p>
    <w:p w14:paraId="7F38B2F7" w14:textId="45159111" w:rsidR="002D66F3" w:rsidRPr="00360A40" w:rsidRDefault="002D66F3" w:rsidP="00360A40">
      <w:pPr>
        <w:pStyle w:val="Szvegtrzs"/>
        <w:keepNext/>
        <w:widowControl/>
        <w:kinsoku w:val="0"/>
        <w:overflowPunct w:val="0"/>
        <w:ind w:left="0"/>
        <w:rPr>
          <w:lang w:val="hu-HU"/>
        </w:rPr>
      </w:pPr>
      <w:r w:rsidRPr="00360A40">
        <w:rPr>
          <w:lang w:val="hu-HU"/>
        </w:rPr>
        <w:t>Óvatosan kell eljárni, ha az eltrombopagot májbetegeknél alkalmazzák. Májkárosodásban szenvedő ITP-s</w:t>
      </w:r>
      <w:r w:rsidR="000B2308">
        <w:rPr>
          <w:lang w:val="hu-HU"/>
        </w:rPr>
        <w:t xml:space="preserve"> és SAA-s</w:t>
      </w:r>
      <w:r w:rsidRPr="00360A40">
        <w:rPr>
          <w:lang w:val="hu-HU"/>
        </w:rPr>
        <w:t xml:space="preserve"> betegeknél eltrombopag alkalmazásakor alacsonyabb kezdő </w:t>
      </w:r>
      <w:r w:rsidR="00262D96">
        <w:rPr>
          <w:lang w:val="hu-HU"/>
        </w:rPr>
        <w:t xml:space="preserve">dózis alkalmazandó. A </w:t>
      </w:r>
      <w:r w:rsidR="00262D96">
        <w:rPr>
          <w:lang w:val="hu-HU"/>
        </w:rPr>
        <w:lastRenderedPageBreak/>
        <w:t>májkárosodásban szenvedő betegek</w:t>
      </w:r>
      <w:r w:rsidR="00262D96" w:rsidRPr="009C26BA">
        <w:rPr>
          <w:lang w:val="hu-HU"/>
        </w:rPr>
        <w:t xml:space="preserve"> szoros monitorozás</w:t>
      </w:r>
      <w:r w:rsidR="00262D96">
        <w:rPr>
          <w:lang w:val="hu-HU"/>
        </w:rPr>
        <w:t>a</w:t>
      </w:r>
      <w:r w:rsidR="00262D96" w:rsidRPr="009C26BA">
        <w:rPr>
          <w:lang w:val="hu-HU"/>
        </w:rPr>
        <w:t xml:space="preserve"> szükséges </w:t>
      </w:r>
      <w:r w:rsidR="00262D96">
        <w:rPr>
          <w:lang w:val="hu-HU"/>
        </w:rPr>
        <w:t xml:space="preserve">eltrombopag alkalmazásakor </w:t>
      </w:r>
      <w:r w:rsidR="00262D96" w:rsidRPr="009C26BA">
        <w:rPr>
          <w:lang w:val="hu-HU"/>
        </w:rPr>
        <w:t>(lásd 4.2 pont).</w:t>
      </w:r>
    </w:p>
    <w:p w14:paraId="632CA328" w14:textId="77777777" w:rsidR="00A218FB" w:rsidRPr="00360A40" w:rsidRDefault="00A218FB" w:rsidP="00360A40">
      <w:pPr>
        <w:pStyle w:val="Szvegtrzs"/>
        <w:kinsoku w:val="0"/>
        <w:overflowPunct w:val="0"/>
        <w:ind w:left="0"/>
        <w:rPr>
          <w:lang w:val="hu-HU"/>
        </w:rPr>
      </w:pPr>
    </w:p>
    <w:p w14:paraId="77AFA511" w14:textId="682F5F6F" w:rsidR="002D66F3" w:rsidRPr="00360A40" w:rsidRDefault="002D66F3" w:rsidP="00360A40">
      <w:pPr>
        <w:pStyle w:val="Szvegtrzs"/>
        <w:kinsoku w:val="0"/>
        <w:overflowPunct w:val="0"/>
        <w:ind w:left="0"/>
        <w:rPr>
          <w:lang w:val="hu-HU"/>
        </w:rPr>
      </w:pPr>
      <w:r w:rsidRPr="00360A40">
        <w:rPr>
          <w:u w:val="single"/>
          <w:lang w:val="hu-HU"/>
        </w:rPr>
        <w:t>Hepati</w:t>
      </w:r>
      <w:r w:rsidR="00893912" w:rsidRPr="00360A40">
        <w:rPr>
          <w:u w:val="single"/>
          <w:lang w:val="hu-HU"/>
        </w:rPr>
        <w:t>k</w:t>
      </w:r>
      <w:r w:rsidRPr="00360A40">
        <w:rPr>
          <w:u w:val="single"/>
          <w:lang w:val="hu-HU"/>
        </w:rPr>
        <w:t>us dekompenzáció (interferonnal történő alkalmazás)</w:t>
      </w:r>
    </w:p>
    <w:p w14:paraId="285C6960" w14:textId="77777777" w:rsidR="002D66F3" w:rsidRPr="00360A40" w:rsidRDefault="002D66F3" w:rsidP="00360A40">
      <w:pPr>
        <w:pStyle w:val="Szvegtrzs"/>
        <w:kinsoku w:val="0"/>
        <w:overflowPunct w:val="0"/>
        <w:ind w:left="0"/>
        <w:rPr>
          <w:lang w:val="hu-HU"/>
        </w:rPr>
      </w:pPr>
    </w:p>
    <w:p w14:paraId="7C434670" w14:textId="7C6D223A" w:rsidR="002D66F3" w:rsidRPr="00360A40" w:rsidRDefault="002D66F3" w:rsidP="00360A40">
      <w:pPr>
        <w:pStyle w:val="Szvegtrzs"/>
        <w:kinsoku w:val="0"/>
        <w:overflowPunct w:val="0"/>
        <w:ind w:left="0"/>
        <w:rPr>
          <w:lang w:val="hu-HU"/>
        </w:rPr>
      </w:pPr>
      <w:r w:rsidRPr="00360A40">
        <w:rPr>
          <w:lang w:val="hu-HU"/>
        </w:rPr>
        <w:t>Hepati</w:t>
      </w:r>
      <w:r w:rsidR="00893912" w:rsidRPr="00360A40">
        <w:rPr>
          <w:lang w:val="hu-HU"/>
        </w:rPr>
        <w:t>k</w:t>
      </w:r>
      <w:r w:rsidRPr="00360A40">
        <w:rPr>
          <w:lang w:val="hu-HU"/>
        </w:rPr>
        <w:t>us dekompenzáció krónikus hepatitis C-ben szenvedő betegeknél: monitorozni kell azokat a betegeket, akiknél alacsony albuminszint (≤</w:t>
      </w:r>
      <w:r w:rsidR="007A2EFB" w:rsidRPr="00360A40">
        <w:rPr>
          <w:lang w:val="hu-HU"/>
        </w:rPr>
        <w:t> </w:t>
      </w:r>
      <w:r w:rsidRPr="00360A40">
        <w:rPr>
          <w:lang w:val="hu-HU"/>
        </w:rPr>
        <w:t>35</w:t>
      </w:r>
      <w:r w:rsidR="007A2EFB" w:rsidRPr="00360A40">
        <w:rPr>
          <w:lang w:val="hu-HU"/>
        </w:rPr>
        <w:t> </w:t>
      </w:r>
      <w:r w:rsidRPr="00360A40">
        <w:rPr>
          <w:lang w:val="hu-HU"/>
        </w:rPr>
        <w:t>g/l) vagy ≥</w:t>
      </w:r>
      <w:r w:rsidR="007A2EFB" w:rsidRPr="00360A40">
        <w:rPr>
          <w:lang w:val="hu-HU"/>
        </w:rPr>
        <w:t> </w:t>
      </w:r>
      <w:r w:rsidRPr="00360A40">
        <w:rPr>
          <w:lang w:val="hu-HU"/>
        </w:rPr>
        <w:t>10 kiindulási MELD-pontszám áll fenn.</w:t>
      </w:r>
    </w:p>
    <w:p w14:paraId="3BF22A3A" w14:textId="77777777" w:rsidR="002D66F3" w:rsidRPr="00360A40" w:rsidRDefault="002D66F3" w:rsidP="00360A40">
      <w:pPr>
        <w:pStyle w:val="Szvegtrzs"/>
        <w:kinsoku w:val="0"/>
        <w:overflowPunct w:val="0"/>
        <w:ind w:left="0"/>
        <w:rPr>
          <w:lang w:val="hu-HU"/>
        </w:rPr>
      </w:pPr>
    </w:p>
    <w:p w14:paraId="5A134DE2" w14:textId="012000A9" w:rsidR="002D66F3" w:rsidRPr="00360A40" w:rsidRDefault="002D66F3" w:rsidP="00360A40">
      <w:pPr>
        <w:pStyle w:val="Szvegtrzs"/>
        <w:kinsoku w:val="0"/>
        <w:overflowPunct w:val="0"/>
        <w:ind w:left="0"/>
        <w:rPr>
          <w:lang w:val="hu-HU"/>
        </w:rPr>
      </w:pPr>
      <w:r w:rsidRPr="00360A40">
        <w:rPr>
          <w:lang w:val="hu-HU"/>
        </w:rPr>
        <w:t>A májcirrhosisban szenvedő krónikus HCV-betegeknél alfa interferon-kezelés esetén fokozott a hepati</w:t>
      </w:r>
      <w:r w:rsidR="0034656D" w:rsidRPr="00360A40">
        <w:rPr>
          <w:lang w:val="hu-HU"/>
        </w:rPr>
        <w:t>k</w:t>
      </w:r>
      <w:r w:rsidRPr="00360A40">
        <w:rPr>
          <w:lang w:val="hu-HU"/>
        </w:rPr>
        <w:t>us dekompenzáció kockázata. Két, thrombocytopeniás HCV-betegek bevonásával végzett klinikai vizsgálatban nagyobb gyakorisággal fordult elő hepati</w:t>
      </w:r>
      <w:r w:rsidR="00F61F5E" w:rsidRPr="00360A40">
        <w:rPr>
          <w:lang w:val="hu-HU"/>
        </w:rPr>
        <w:t>k</w:t>
      </w:r>
      <w:r w:rsidRPr="00360A40">
        <w:rPr>
          <w:lang w:val="hu-HU"/>
        </w:rPr>
        <w:t>us dekompenzáció (ascites, hepaticus encephalopathia, varix vérzés, spontán bakteriális peritonitis) az eltrombopag karon (11%), mint a placebokaron (6%). Azoknál a betegeknél, akiknél alacsony albuminszint (≤</w:t>
      </w:r>
      <w:r w:rsidR="007A2EFB" w:rsidRPr="00360A40">
        <w:rPr>
          <w:lang w:val="hu-HU"/>
        </w:rPr>
        <w:t> </w:t>
      </w:r>
      <w:r w:rsidRPr="00360A40">
        <w:rPr>
          <w:lang w:val="hu-HU"/>
        </w:rPr>
        <w:t>35</w:t>
      </w:r>
      <w:r w:rsidR="007A2EFB" w:rsidRPr="00360A40">
        <w:rPr>
          <w:lang w:val="hu-HU"/>
        </w:rPr>
        <w:t> </w:t>
      </w:r>
      <w:r w:rsidRPr="00360A40">
        <w:rPr>
          <w:lang w:val="hu-HU"/>
        </w:rPr>
        <w:t>g/l) vagy</w:t>
      </w:r>
      <w:r w:rsidR="007A2EFB" w:rsidRPr="00360A40">
        <w:rPr>
          <w:lang w:val="hu-HU"/>
        </w:rPr>
        <w:t xml:space="preserve"> </w:t>
      </w:r>
      <w:r w:rsidRPr="00360A40">
        <w:rPr>
          <w:lang w:val="hu-HU"/>
        </w:rPr>
        <w:t>≥</w:t>
      </w:r>
      <w:r w:rsidR="007A2EFB" w:rsidRPr="00360A40">
        <w:rPr>
          <w:lang w:val="hu-HU"/>
        </w:rPr>
        <w:t> </w:t>
      </w:r>
      <w:r w:rsidRPr="00360A40">
        <w:rPr>
          <w:lang w:val="hu-HU"/>
        </w:rPr>
        <w:t>10 kiindulási MELD- (Model for End Stage Liver Disease) pontszám állt fenn, 3-szor nagyobb volt a hepati</w:t>
      </w:r>
      <w:r w:rsidR="00F61F5E" w:rsidRPr="00360A40">
        <w:rPr>
          <w:lang w:val="hu-HU"/>
        </w:rPr>
        <w:t>k</w:t>
      </w:r>
      <w:r w:rsidRPr="00360A40">
        <w:rPr>
          <w:lang w:val="hu-HU"/>
        </w:rPr>
        <w:t>us dekompenzáció kockázata, és emelkedett a halálos kimenetelű nemkívánt események kockázata a kevésbé előrehaladott májbetegségben szenvedő betegekhez viszonyítva. Emellett ezeknél a betegeknél a kezelés mérsékelt előnnyel járt a tartós virológiai választ (SVR) elérők placebóhoz viszonyított arány</w:t>
      </w:r>
      <w:r w:rsidR="00F61F5E" w:rsidRPr="00360A40">
        <w:rPr>
          <w:lang w:val="hu-HU"/>
        </w:rPr>
        <w:t>a</w:t>
      </w:r>
      <w:r w:rsidRPr="00360A40">
        <w:rPr>
          <w:lang w:val="hu-HU"/>
        </w:rPr>
        <w:t xml:space="preserve"> tekintetében (különösen, akiknél a kiindulási albuminszint ≤</w:t>
      </w:r>
      <w:r w:rsidR="007A2EFB" w:rsidRPr="00360A40">
        <w:rPr>
          <w:lang w:val="hu-HU"/>
        </w:rPr>
        <w:t> </w:t>
      </w:r>
      <w:r w:rsidRPr="00360A40">
        <w:rPr>
          <w:lang w:val="hu-HU"/>
        </w:rPr>
        <w:t>35</w:t>
      </w:r>
      <w:r w:rsidR="007A2EFB" w:rsidRPr="00360A40">
        <w:rPr>
          <w:lang w:val="hu-HU"/>
        </w:rPr>
        <w:t> </w:t>
      </w:r>
      <w:r w:rsidRPr="00360A40">
        <w:rPr>
          <w:lang w:val="hu-HU"/>
        </w:rPr>
        <w:t>g/l), a teljes csoporttal összehasonlítva. Ezeknél a betegeknél az eltrombopag csak a várható előnyök és kockázatok körültekintő mérlegelése után alkalmazható. Az ezekkel a jellemzőkkel bíró betegeknél gondosan vizsgálni kell a hepati</w:t>
      </w:r>
      <w:r w:rsidR="00F61F5E" w:rsidRPr="00360A40">
        <w:rPr>
          <w:lang w:val="hu-HU"/>
        </w:rPr>
        <w:t>k</w:t>
      </w:r>
      <w:r w:rsidRPr="00360A40">
        <w:rPr>
          <w:lang w:val="hu-HU"/>
        </w:rPr>
        <w:t xml:space="preserve">us dekompenzációra utaló </w:t>
      </w:r>
      <w:r w:rsidR="00262D96">
        <w:rPr>
          <w:lang w:val="hu-HU"/>
        </w:rPr>
        <w:t>jeleket</w:t>
      </w:r>
      <w:r w:rsidRPr="00360A40">
        <w:rPr>
          <w:lang w:val="hu-HU"/>
        </w:rPr>
        <w:t xml:space="preserve"> és tüneteket.</w:t>
      </w:r>
      <w:r w:rsidR="007A2EFB" w:rsidRPr="00360A40">
        <w:rPr>
          <w:lang w:val="hu-HU"/>
        </w:rPr>
        <w:t xml:space="preserve"> </w:t>
      </w:r>
      <w:r w:rsidRPr="00360A40">
        <w:rPr>
          <w:lang w:val="hu-HU"/>
        </w:rPr>
        <w:t>Figyelembe kell venni az adott interferon alkalmazási előírásában szereplő, a kezelés leállítására vonatkozó kritériumokat. Az eltrombopag-kezelést be kell fejezni, amennyiben hepati</w:t>
      </w:r>
      <w:r w:rsidR="00F61F5E" w:rsidRPr="00360A40">
        <w:rPr>
          <w:lang w:val="hu-HU"/>
        </w:rPr>
        <w:t>k</w:t>
      </w:r>
      <w:r w:rsidRPr="00360A40">
        <w:rPr>
          <w:lang w:val="hu-HU"/>
        </w:rPr>
        <w:t>us dekompenzáció miatt az antivirális terápia leállításra kerül.</w:t>
      </w:r>
    </w:p>
    <w:p w14:paraId="319FB9A2" w14:textId="77777777" w:rsidR="00FD1889" w:rsidRPr="00360A40" w:rsidRDefault="00FD1889" w:rsidP="00360A40">
      <w:pPr>
        <w:pStyle w:val="Szvegtrzs"/>
        <w:kinsoku w:val="0"/>
        <w:overflowPunct w:val="0"/>
        <w:ind w:left="0"/>
        <w:rPr>
          <w:lang w:val="hu-HU"/>
        </w:rPr>
      </w:pPr>
    </w:p>
    <w:p w14:paraId="57A15038" w14:textId="77777777" w:rsidR="002D66F3" w:rsidRPr="00360A40" w:rsidRDefault="002D66F3" w:rsidP="00360A40">
      <w:pPr>
        <w:pStyle w:val="Szvegtrzs"/>
        <w:kinsoku w:val="0"/>
        <w:overflowPunct w:val="0"/>
        <w:ind w:left="0"/>
        <w:rPr>
          <w:u w:val="single"/>
          <w:lang w:val="hu-HU"/>
        </w:rPr>
      </w:pPr>
      <w:r w:rsidRPr="00360A40">
        <w:rPr>
          <w:u w:val="single"/>
          <w:lang w:val="hu-HU"/>
        </w:rPr>
        <w:t>Thromboticus/thromboemboliás szövődmények</w:t>
      </w:r>
    </w:p>
    <w:p w14:paraId="628F6269" w14:textId="77777777" w:rsidR="002D66F3" w:rsidRPr="00360A40" w:rsidRDefault="002D66F3" w:rsidP="00360A40">
      <w:pPr>
        <w:pStyle w:val="Szvegtrzs"/>
        <w:kinsoku w:val="0"/>
        <w:overflowPunct w:val="0"/>
        <w:ind w:left="0"/>
        <w:rPr>
          <w:lang w:val="hu-HU"/>
        </w:rPr>
      </w:pPr>
    </w:p>
    <w:p w14:paraId="31BF4FD4" w14:textId="43C6042C" w:rsidR="002D66F3" w:rsidRPr="00360A40" w:rsidRDefault="002D66F3" w:rsidP="00360A40">
      <w:pPr>
        <w:pStyle w:val="Szvegtrzs"/>
        <w:kinsoku w:val="0"/>
        <w:overflowPunct w:val="0"/>
        <w:ind w:left="0"/>
        <w:rPr>
          <w:lang w:val="hu-HU"/>
        </w:rPr>
      </w:pPr>
      <w:r w:rsidRPr="00360A40">
        <w:rPr>
          <w:lang w:val="hu-HU"/>
        </w:rPr>
        <w:t>Interferon alapú kezelésben részesülő, thrombocytopeniás HCV-betegekkel végzett kontrollos vizsgálatokban (n</w:t>
      </w:r>
      <w:r w:rsidR="007A2EFB" w:rsidRPr="00360A40">
        <w:rPr>
          <w:lang w:val="hu-HU"/>
        </w:rPr>
        <w:t> </w:t>
      </w:r>
      <w:r w:rsidRPr="00360A40">
        <w:rPr>
          <w:lang w:val="hu-HU"/>
        </w:rPr>
        <w:t>=</w:t>
      </w:r>
      <w:r w:rsidR="007A2EFB" w:rsidRPr="00360A40">
        <w:rPr>
          <w:lang w:val="hu-HU"/>
        </w:rPr>
        <w:t> </w:t>
      </w:r>
      <w:r w:rsidRPr="00360A40">
        <w:rPr>
          <w:lang w:val="hu-HU"/>
        </w:rPr>
        <w:t>1439), 955, eltrombopaggal kezelt beteg közül 38-nál (4%), illetve 484, placebóval kezelt beteg közül 6-nál (1%) fordult elő TEE. A jelentett thromboticus/thromboemboliás szövődmények között vénás és artériás események egyaránt voltak. A thromboemboliás események többsége nem volt súlyos, és a vizsgálat végére rendeződtek. Mindkét kezelési csoportban a vena portae thrombosis volt a leggyakoribb TEE (2% az eltrombopaggal kezelt csoportban versus &lt;</w:t>
      </w:r>
      <w:r w:rsidR="007A2EFB" w:rsidRPr="00360A40">
        <w:rPr>
          <w:lang w:val="hu-HU"/>
        </w:rPr>
        <w:t> </w:t>
      </w:r>
      <w:r w:rsidRPr="00360A40">
        <w:rPr>
          <w:lang w:val="hu-HU"/>
        </w:rPr>
        <w:t>1% a placebocsoportban). Nem figyeltek meg időbeli összefüggést a kezelés kezdete és a thromboemboliás esemény között. Az alacsony albuminszinttel (≤</w:t>
      </w:r>
      <w:r w:rsidR="007A2EFB" w:rsidRPr="00360A40">
        <w:rPr>
          <w:lang w:val="hu-HU"/>
        </w:rPr>
        <w:t> </w:t>
      </w:r>
      <w:r w:rsidRPr="00360A40">
        <w:rPr>
          <w:lang w:val="hu-HU"/>
        </w:rPr>
        <w:t>35</w:t>
      </w:r>
      <w:r w:rsidR="007A2EFB" w:rsidRPr="00360A40">
        <w:rPr>
          <w:lang w:val="hu-HU"/>
        </w:rPr>
        <w:t> </w:t>
      </w:r>
      <w:r w:rsidRPr="00360A40">
        <w:rPr>
          <w:lang w:val="hu-HU"/>
        </w:rPr>
        <w:t>g/l) vagy ≥</w:t>
      </w:r>
      <w:r w:rsidR="007A2EFB" w:rsidRPr="00360A40">
        <w:rPr>
          <w:lang w:val="hu-HU"/>
        </w:rPr>
        <w:t> </w:t>
      </w:r>
      <w:r w:rsidRPr="00360A40">
        <w:rPr>
          <w:lang w:val="hu-HU"/>
        </w:rPr>
        <w:t>10 MELD-pontszámmal rendelkező betegeknél 2-szeres mértékű volt a TEE kockázata a magasabb alb</w:t>
      </w:r>
      <w:r w:rsidR="00F61F5E" w:rsidRPr="00360A40">
        <w:rPr>
          <w:lang w:val="hu-HU"/>
        </w:rPr>
        <w:t>u</w:t>
      </w:r>
      <w:r w:rsidRPr="00360A40">
        <w:rPr>
          <w:lang w:val="hu-HU"/>
        </w:rPr>
        <w:t>m</w:t>
      </w:r>
      <w:r w:rsidR="00F61F5E" w:rsidRPr="00360A40">
        <w:rPr>
          <w:lang w:val="hu-HU"/>
        </w:rPr>
        <w:t>in</w:t>
      </w:r>
      <w:r w:rsidRPr="00360A40">
        <w:rPr>
          <w:lang w:val="hu-HU"/>
        </w:rPr>
        <w:t>szinttel rendelkezőkhöz viszonyítva, illetve a 60</w:t>
      </w:r>
      <w:r w:rsidR="007A2EFB" w:rsidRPr="00360A40">
        <w:rPr>
          <w:lang w:val="hu-HU"/>
        </w:rPr>
        <w:t> </w:t>
      </w:r>
      <w:r w:rsidRPr="00360A40">
        <w:rPr>
          <w:lang w:val="hu-HU"/>
        </w:rPr>
        <w:t xml:space="preserve">éves vagy annál idősebbeknél kétszeres volt a TEE-k kockázata, mint a fiatalabb betegeknél. Ezeknél a betegeknél az eltrombopag csak a várható előnyök és kockázatok körültekintő mérlegelése után alkalmazható A betegeknél gondosan vizsgálni kell a TEE-re utaló </w:t>
      </w:r>
      <w:r w:rsidR="00262D96">
        <w:rPr>
          <w:lang w:val="hu-HU"/>
        </w:rPr>
        <w:t>jeleket</w:t>
      </w:r>
      <w:r w:rsidRPr="00360A40">
        <w:rPr>
          <w:lang w:val="hu-HU"/>
        </w:rPr>
        <w:t xml:space="preserve"> és tüneteket.</w:t>
      </w:r>
    </w:p>
    <w:p w14:paraId="13665142" w14:textId="77777777" w:rsidR="002D66F3" w:rsidRPr="00360A40" w:rsidRDefault="002D66F3" w:rsidP="00360A40">
      <w:pPr>
        <w:pStyle w:val="Szvegtrzs"/>
        <w:kinsoku w:val="0"/>
        <w:overflowPunct w:val="0"/>
        <w:ind w:left="0"/>
        <w:rPr>
          <w:lang w:val="hu-HU"/>
        </w:rPr>
      </w:pPr>
    </w:p>
    <w:p w14:paraId="02CB31B4" w14:textId="744B560E" w:rsidR="002D66F3" w:rsidRPr="00360A40" w:rsidRDefault="002D66F3" w:rsidP="00360A40">
      <w:pPr>
        <w:pStyle w:val="Szvegtrzs"/>
        <w:kinsoku w:val="0"/>
        <w:overflowPunct w:val="0"/>
        <w:ind w:left="0"/>
        <w:rPr>
          <w:lang w:val="hu-HU"/>
        </w:rPr>
      </w:pPr>
      <w:r w:rsidRPr="00360A40">
        <w:rPr>
          <w:lang w:val="hu-HU"/>
        </w:rPr>
        <w:t>A thromboemboliás események kockázatának fokozódását észlelték azoknál a krónikus májbetegségben szenvedő betegeknél, akiket invazív beavatkozás előkészítése során 2</w:t>
      </w:r>
      <w:r w:rsidR="007A2EFB" w:rsidRPr="00360A40">
        <w:rPr>
          <w:lang w:val="hu-HU"/>
        </w:rPr>
        <w:t> </w:t>
      </w:r>
      <w:r w:rsidRPr="00360A40">
        <w:rPr>
          <w:lang w:val="hu-HU"/>
        </w:rPr>
        <w:t>hétig napi egyszeri 75</w:t>
      </w:r>
      <w:r w:rsidR="007A2EFB" w:rsidRPr="00360A40">
        <w:rPr>
          <w:lang w:val="hu-HU"/>
        </w:rPr>
        <w:t> </w:t>
      </w:r>
      <w:r w:rsidRPr="00360A40">
        <w:rPr>
          <w:lang w:val="hu-HU"/>
        </w:rPr>
        <w:t>mg eltrombopaggal kezeltek. A krónikus májbetegségben szenvedő, eltrombopaggal kezelt 143</w:t>
      </w:r>
      <w:r w:rsidR="007A2EFB" w:rsidRPr="00360A40">
        <w:rPr>
          <w:lang w:val="hu-HU"/>
        </w:rPr>
        <w:t> </w:t>
      </w:r>
      <w:r w:rsidRPr="00360A40">
        <w:rPr>
          <w:lang w:val="hu-HU"/>
        </w:rPr>
        <w:t>felnőtt beteg közül hatnál (4%) tapasztaltak thromboemboliás eseményt (valamennyi a portalis rendszert érintette), míg a placebocsoportban a 145</w:t>
      </w:r>
      <w:r w:rsidR="007A2EFB" w:rsidRPr="00360A40">
        <w:rPr>
          <w:lang w:val="hu-HU"/>
        </w:rPr>
        <w:t> </w:t>
      </w:r>
      <w:r w:rsidRPr="00360A40">
        <w:rPr>
          <w:lang w:val="hu-HU"/>
        </w:rPr>
        <w:t>beteg közül kettőnél (1%) tapasztaltak thromboemboliás eseményt (egy a portalis vénás rendszerben és egy myocardialis infarctus). A</w:t>
      </w:r>
      <w:r w:rsidR="00A218FB" w:rsidRPr="00360A40">
        <w:rPr>
          <w:lang w:val="hu-HU"/>
        </w:rPr>
        <w:t xml:space="preserve"> </w:t>
      </w:r>
      <w:r w:rsidRPr="00360A40">
        <w:rPr>
          <w:lang w:val="hu-HU"/>
        </w:rPr>
        <w:t>6</w:t>
      </w:r>
      <w:r w:rsidR="007A2EFB" w:rsidRPr="00360A40">
        <w:rPr>
          <w:lang w:val="hu-HU"/>
        </w:rPr>
        <w:t> </w:t>
      </w:r>
      <w:r w:rsidRPr="00360A40">
        <w:rPr>
          <w:lang w:val="hu-HU"/>
        </w:rPr>
        <w:t>eltrombopaggal kezelt beteg közül ötnél alakult ki thromboticus szövődmény &gt;</w:t>
      </w:r>
      <w:r w:rsidR="007A2EFB" w:rsidRPr="00360A40">
        <w:rPr>
          <w:lang w:val="hu-HU"/>
        </w:rPr>
        <w:t> </w:t>
      </w:r>
      <w:r w:rsidRPr="00360A40">
        <w:rPr>
          <w:lang w:val="hu-HU"/>
        </w:rPr>
        <w:t>200</w:t>
      </w:r>
      <w:r w:rsidR="007A2EFB" w:rsidRPr="00360A40">
        <w:rPr>
          <w:lang w:val="hu-HU"/>
        </w:rPr>
        <w:t> </w:t>
      </w:r>
      <w:r w:rsidRPr="00360A40">
        <w:rPr>
          <w:lang w:val="hu-HU"/>
        </w:rPr>
        <w:t>000/µl vérlemezkeszámnál és az eltrombopag utolsó adagjától számított 30 napon belül. Az eltrombopag nem javallott krónikus májbetegségben szenvedő betegek thrombocytopeniájának kezelésére, invazív beavatkozások előkészítése során.</w:t>
      </w:r>
    </w:p>
    <w:p w14:paraId="0A73D994" w14:textId="77777777" w:rsidR="00A218FB" w:rsidRPr="00360A40" w:rsidRDefault="00A218FB" w:rsidP="00360A40">
      <w:pPr>
        <w:pStyle w:val="Szvegtrzs"/>
        <w:kinsoku w:val="0"/>
        <w:overflowPunct w:val="0"/>
        <w:ind w:left="0"/>
        <w:rPr>
          <w:lang w:val="hu-HU"/>
        </w:rPr>
      </w:pPr>
    </w:p>
    <w:p w14:paraId="71DA9080" w14:textId="42651627" w:rsidR="002D66F3" w:rsidRPr="00360A40" w:rsidRDefault="002D66F3" w:rsidP="00360A40">
      <w:pPr>
        <w:pStyle w:val="Szvegtrzs"/>
        <w:kinsoku w:val="0"/>
        <w:overflowPunct w:val="0"/>
        <w:ind w:left="0"/>
        <w:rPr>
          <w:lang w:val="hu-HU"/>
        </w:rPr>
      </w:pPr>
      <w:r w:rsidRPr="00360A40">
        <w:rPr>
          <w:lang w:val="hu-HU"/>
        </w:rPr>
        <w:t>ITP-s betegek bevonásával eltrombopaggal végzett klinikai vizsgálatokban thromboemboliás eseményeket figyeltek meg alacsony és normál vérlemezkeszám mellett. Elővigyázatosság szükséges, amikor az eltrombopagot olyan betegeknél alkalmazzák, akiknél ismerten előfordulnak thromboembol</w:t>
      </w:r>
      <w:r w:rsidR="00F61F5E" w:rsidRPr="00360A40">
        <w:rPr>
          <w:lang w:val="hu-HU"/>
        </w:rPr>
        <w:t>i</w:t>
      </w:r>
      <w:r w:rsidRPr="00360A40">
        <w:rPr>
          <w:lang w:val="hu-HU"/>
        </w:rPr>
        <w:t>ára hajlamosító kockázati tényezők, beleértve, de nem kizárólagosan</w:t>
      </w:r>
      <w:r w:rsidR="00F61F5E" w:rsidRPr="00360A40">
        <w:rPr>
          <w:lang w:val="hu-HU"/>
        </w:rPr>
        <w:t>:</w:t>
      </w:r>
      <w:r w:rsidRPr="00360A40">
        <w:rPr>
          <w:lang w:val="hu-HU"/>
        </w:rPr>
        <w:t xml:space="preserve"> öröklött (pl.</w:t>
      </w:r>
      <w:r w:rsidR="007A2EFB" w:rsidRPr="00360A40">
        <w:rPr>
          <w:lang w:val="hu-HU"/>
        </w:rPr>
        <w:t xml:space="preserve"> </w:t>
      </w:r>
      <w:r w:rsidRPr="00360A40">
        <w:rPr>
          <w:lang w:val="hu-HU"/>
        </w:rPr>
        <w:t>V. vagy Leiden faktor) vagy szerzett (pl. ATIII-hiány, antifoszfolipid</w:t>
      </w:r>
      <w:r w:rsidR="00F61F5E" w:rsidRPr="00360A40">
        <w:rPr>
          <w:lang w:val="hu-HU"/>
        </w:rPr>
        <w:t>-</w:t>
      </w:r>
      <w:r w:rsidRPr="00360A40">
        <w:rPr>
          <w:lang w:val="hu-HU"/>
        </w:rPr>
        <w:t>szindróma)</w:t>
      </w:r>
      <w:r w:rsidR="00F61F5E" w:rsidRPr="00360A40">
        <w:rPr>
          <w:lang w:val="hu-HU"/>
        </w:rPr>
        <w:t xml:space="preserve"> </w:t>
      </w:r>
      <w:r w:rsidR="0034656D" w:rsidRPr="00360A40">
        <w:rPr>
          <w:lang w:val="hu-HU"/>
        </w:rPr>
        <w:t>kockázati tényezők</w:t>
      </w:r>
      <w:r w:rsidRPr="00360A40">
        <w:rPr>
          <w:lang w:val="hu-HU"/>
        </w:rPr>
        <w:t xml:space="preserve">, </w:t>
      </w:r>
      <w:r w:rsidRPr="00360A40">
        <w:rPr>
          <w:lang w:val="hu-HU"/>
        </w:rPr>
        <w:lastRenderedPageBreak/>
        <w:t>előrehaladott életkor, hosszabb időszakokon át mozgásukban korlátozott betegek, malignitások, fogamzásgátlók és hormonpótló kezelések, műtét/trauma, elhízás és dohányzás. A vérlemezkeszámot gondosan ellenőrizni kell, és amennyiben a vérlemezkeszám meghaladja a kitűzött célértéket, fontolóra kell venni az eltrombopag dózisának csökkentését vagy az eltrombopag-kezelés leállítását (lásd 4.2</w:t>
      </w:r>
      <w:r w:rsidR="007A2EFB" w:rsidRPr="00360A40">
        <w:rPr>
          <w:lang w:val="hu-HU"/>
        </w:rPr>
        <w:t> </w:t>
      </w:r>
      <w:r w:rsidRPr="00360A40">
        <w:rPr>
          <w:lang w:val="hu-HU"/>
        </w:rPr>
        <w:t>pont). Az előny/kockázat-arányt mérlegelni kell azoknál a betegeknél, akiknél bármilyen eredetű TEE kockázata fennáll.</w:t>
      </w:r>
    </w:p>
    <w:p w14:paraId="68E66DB1" w14:textId="77777777" w:rsidR="002D66F3" w:rsidRPr="00360A40" w:rsidRDefault="002D66F3" w:rsidP="00360A40">
      <w:pPr>
        <w:pStyle w:val="Szvegtrzs"/>
        <w:kinsoku w:val="0"/>
        <w:overflowPunct w:val="0"/>
        <w:ind w:left="0"/>
        <w:rPr>
          <w:lang w:val="hu-HU"/>
        </w:rPr>
      </w:pPr>
    </w:p>
    <w:p w14:paraId="11A1AC96" w14:textId="087EDC61" w:rsidR="000C6781" w:rsidRPr="00360A40" w:rsidRDefault="000C6781" w:rsidP="00360A40">
      <w:pPr>
        <w:pStyle w:val="Szvegtrzs"/>
        <w:kinsoku w:val="0"/>
        <w:overflowPunct w:val="0"/>
        <w:ind w:left="0"/>
        <w:rPr>
          <w:lang w:val="hu-HU"/>
        </w:rPr>
      </w:pPr>
      <w:r w:rsidRPr="00360A40">
        <w:rPr>
          <w:lang w:val="hu-HU"/>
        </w:rPr>
        <w:t xml:space="preserve">Egy </w:t>
      </w:r>
      <w:r w:rsidR="000B2308">
        <w:rPr>
          <w:lang w:val="hu-HU"/>
        </w:rPr>
        <w:t xml:space="preserve">refrakter </w:t>
      </w:r>
      <w:r w:rsidRPr="00360A40">
        <w:rPr>
          <w:lang w:val="hu-HU"/>
        </w:rPr>
        <w:t>SAA-s betegek bevonásával végzett klinikai vizsgálatban nem azonosítottak TEE esetet, azonban ezeknek az eseményeknek a kockázata nem zárható ki ebben a betegcsoportban, mivel a vizsgált betegszám alacsony volt. Mivel a SAA-s betegek számára a gyógyszer az engedélyezett legnagyobb dózisban javasolt (150 mg/nap), valamint a reakció természetéből is adódóan, ebben a betegcsoportban TEE bekövetkezhet.</w:t>
      </w:r>
    </w:p>
    <w:p w14:paraId="656B6237" w14:textId="77777777" w:rsidR="000C6781" w:rsidRPr="00360A40" w:rsidRDefault="000C6781" w:rsidP="00360A40">
      <w:pPr>
        <w:pStyle w:val="Szvegtrzs"/>
        <w:kinsoku w:val="0"/>
        <w:overflowPunct w:val="0"/>
        <w:ind w:left="0"/>
        <w:rPr>
          <w:lang w:val="hu-HU"/>
        </w:rPr>
      </w:pPr>
    </w:p>
    <w:p w14:paraId="675B373C" w14:textId="489BA2C6" w:rsidR="002D66F3" w:rsidRPr="00360A40" w:rsidRDefault="002D66F3" w:rsidP="00360A40">
      <w:pPr>
        <w:pStyle w:val="Szvegtrzs"/>
        <w:kinsoku w:val="0"/>
        <w:overflowPunct w:val="0"/>
        <w:ind w:left="0"/>
        <w:rPr>
          <w:lang w:val="hu-HU"/>
        </w:rPr>
      </w:pPr>
      <w:r w:rsidRPr="00360A40">
        <w:rPr>
          <w:lang w:val="hu-HU"/>
        </w:rPr>
        <w:t>Az eltrombopag nem alkalmazható májkárosodásban szenvedő (Child–Pugh pontszám ≥</w:t>
      </w:r>
      <w:r w:rsidR="007A2EFB" w:rsidRPr="00360A40">
        <w:rPr>
          <w:lang w:val="hu-HU"/>
        </w:rPr>
        <w:t> </w:t>
      </w:r>
      <w:r w:rsidRPr="00360A40">
        <w:rPr>
          <w:lang w:val="hu-HU"/>
        </w:rPr>
        <w:t>5) ITP-s betegeknél, kivéve, ha a várható előny meghaladja a vena portae thrombosis ismert kockázatát. Ha a kezelést előnyösnek értékelik, májkárosodásban szenvedő betegeknél az eltrombopag adásakor elővigyázatosság szükséges (lásd 4.2 és 4.8</w:t>
      </w:r>
      <w:r w:rsidR="007A2EFB" w:rsidRPr="00360A40">
        <w:rPr>
          <w:lang w:val="hu-HU"/>
        </w:rPr>
        <w:t> </w:t>
      </w:r>
      <w:r w:rsidRPr="00360A40">
        <w:rPr>
          <w:lang w:val="hu-HU"/>
        </w:rPr>
        <w:t>pont).</w:t>
      </w:r>
    </w:p>
    <w:p w14:paraId="3162F2A2" w14:textId="77777777" w:rsidR="002D66F3" w:rsidRPr="00360A40" w:rsidRDefault="002D66F3" w:rsidP="00360A40">
      <w:pPr>
        <w:pStyle w:val="Szvegtrzs"/>
        <w:kinsoku w:val="0"/>
        <w:overflowPunct w:val="0"/>
        <w:ind w:left="0"/>
        <w:rPr>
          <w:lang w:val="hu-HU"/>
        </w:rPr>
      </w:pPr>
    </w:p>
    <w:p w14:paraId="3C02F1AA" w14:textId="1E9AEF58" w:rsidR="002D66F3" w:rsidRPr="00360A40" w:rsidRDefault="002D66F3" w:rsidP="00360A40">
      <w:pPr>
        <w:pStyle w:val="Szvegtrzs"/>
        <w:kinsoku w:val="0"/>
        <w:overflowPunct w:val="0"/>
        <w:ind w:left="0"/>
        <w:rPr>
          <w:lang w:val="hu-HU"/>
        </w:rPr>
      </w:pPr>
      <w:r w:rsidRPr="00360A40">
        <w:rPr>
          <w:u w:val="single"/>
          <w:lang w:val="hu-HU"/>
        </w:rPr>
        <w:t>Vérzés az eltrombo</w:t>
      </w:r>
      <w:r w:rsidR="00CB244B">
        <w:rPr>
          <w:u w:val="single"/>
          <w:lang w:val="hu-HU"/>
        </w:rPr>
        <w:t>pag-kezelés leá</w:t>
      </w:r>
      <w:r w:rsidRPr="00360A40">
        <w:rPr>
          <w:u w:val="single"/>
          <w:lang w:val="hu-HU"/>
        </w:rPr>
        <w:t>llítása után</w:t>
      </w:r>
    </w:p>
    <w:p w14:paraId="57FDE52B" w14:textId="77777777" w:rsidR="002D66F3" w:rsidRPr="00360A40" w:rsidRDefault="002D66F3" w:rsidP="00360A40">
      <w:pPr>
        <w:pStyle w:val="Szvegtrzs"/>
        <w:kinsoku w:val="0"/>
        <w:overflowPunct w:val="0"/>
        <w:ind w:left="0"/>
        <w:rPr>
          <w:lang w:val="hu-HU"/>
        </w:rPr>
      </w:pPr>
    </w:p>
    <w:p w14:paraId="424D775D" w14:textId="07331ADF" w:rsidR="002D66F3" w:rsidRPr="00360A40" w:rsidRDefault="002D66F3" w:rsidP="00360A40">
      <w:pPr>
        <w:pStyle w:val="Szvegtrzs"/>
        <w:kinsoku w:val="0"/>
        <w:overflowPunct w:val="0"/>
        <w:ind w:left="0"/>
        <w:rPr>
          <w:lang w:val="hu-HU"/>
        </w:rPr>
      </w:pPr>
      <w:r w:rsidRPr="00360A40">
        <w:rPr>
          <w:lang w:val="hu-HU"/>
        </w:rPr>
        <w:t xml:space="preserve">Az eltrombopag-kezelés befejezése után </w:t>
      </w:r>
      <w:r w:rsidR="00795530" w:rsidRPr="00360A40">
        <w:rPr>
          <w:lang w:val="hu-HU"/>
        </w:rPr>
        <w:t xml:space="preserve">az ITP-s betegeknél </w:t>
      </w:r>
      <w:r w:rsidRPr="00360A40">
        <w:rPr>
          <w:lang w:val="hu-HU"/>
        </w:rPr>
        <w:t>valószínű a thrombocytopenia kiújulása. Az eltrombo</w:t>
      </w:r>
      <w:r w:rsidR="00CB244B">
        <w:rPr>
          <w:lang w:val="hu-HU"/>
        </w:rPr>
        <w:t>pag-kezelés leá</w:t>
      </w:r>
      <w:r w:rsidRPr="00360A40">
        <w:rPr>
          <w:lang w:val="hu-HU"/>
        </w:rPr>
        <w:t>llítását követően a vérlemezkeszám a betegek többségénél 2</w:t>
      </w:r>
      <w:r w:rsidR="007A2EFB" w:rsidRPr="00360A40">
        <w:rPr>
          <w:lang w:val="hu-HU"/>
        </w:rPr>
        <w:t> </w:t>
      </w:r>
      <w:r w:rsidRPr="00360A40">
        <w:rPr>
          <w:lang w:val="hu-HU"/>
        </w:rPr>
        <w:t>hét alatt visszatér a kiindulási szintre, ami növeli a vérzés kockázatát, sőt bizonyos esetekben vérzést okozhat. Ez a kockázat fokozódik, ha az eltrombopag-kezelést véralvadásgátlók vagy thrombocyta-aggregációt gátló szerek adása mellett hagyják abba. Az eltrombopag-kezelés leállítása esetén javasolt az ITP kezelésének az érvényben lévő terápiás protokollok szerinti újraindítása. További kezelésként szükséges lehet még az antikoaguláns és/vagy a thrombocytagátló szerek leállítása, a véralvadásgátlás felfüggesztése vagy a thrombocyta pótlás. Az eltrombo</w:t>
      </w:r>
      <w:r w:rsidR="00CB244B">
        <w:rPr>
          <w:lang w:val="hu-HU"/>
        </w:rPr>
        <w:t>pag-kezelés leá</w:t>
      </w:r>
      <w:r w:rsidRPr="00360A40">
        <w:rPr>
          <w:lang w:val="hu-HU"/>
        </w:rPr>
        <w:t>llítása után a vérlemezkeszámot 4</w:t>
      </w:r>
      <w:r w:rsidR="007A2EFB" w:rsidRPr="00360A40">
        <w:rPr>
          <w:lang w:val="hu-HU"/>
        </w:rPr>
        <w:t> </w:t>
      </w:r>
      <w:r w:rsidRPr="00360A40">
        <w:rPr>
          <w:lang w:val="hu-HU"/>
        </w:rPr>
        <w:t>hétig hetente monitorozni kell.</w:t>
      </w:r>
    </w:p>
    <w:p w14:paraId="30E91556" w14:textId="77777777" w:rsidR="002D66F3" w:rsidRPr="00360A40" w:rsidRDefault="002D66F3" w:rsidP="00360A40">
      <w:pPr>
        <w:pStyle w:val="Szvegtrzs"/>
        <w:kinsoku w:val="0"/>
        <w:overflowPunct w:val="0"/>
        <w:ind w:left="0"/>
        <w:rPr>
          <w:lang w:val="hu-HU"/>
        </w:rPr>
      </w:pPr>
    </w:p>
    <w:p w14:paraId="78E442F4" w14:textId="4E9AA3BE" w:rsidR="002D66F3" w:rsidRPr="00360A40" w:rsidRDefault="002D66F3" w:rsidP="00360A40">
      <w:pPr>
        <w:pStyle w:val="Szvegtrzs"/>
        <w:kinsoku w:val="0"/>
        <w:overflowPunct w:val="0"/>
        <w:ind w:left="0"/>
        <w:rPr>
          <w:lang w:val="hu-HU"/>
        </w:rPr>
      </w:pPr>
      <w:r w:rsidRPr="00360A40">
        <w:rPr>
          <w:lang w:val="hu-HU"/>
        </w:rPr>
        <w:t xml:space="preserve">HCV klinikai vizsgálatokban </w:t>
      </w:r>
      <w:r w:rsidR="00CB244B">
        <w:rPr>
          <w:lang w:val="hu-HU"/>
        </w:rPr>
        <w:t xml:space="preserve">a </w:t>
      </w:r>
      <w:r w:rsidRPr="00360A40">
        <w:rPr>
          <w:lang w:val="hu-HU"/>
        </w:rPr>
        <w:t xml:space="preserve">peginterferon, ribavirin és eltrombopag </w:t>
      </w:r>
      <w:r w:rsidR="00CB244B">
        <w:rPr>
          <w:lang w:val="hu-HU"/>
        </w:rPr>
        <w:t xml:space="preserve">alkalmazásának </w:t>
      </w:r>
      <w:r w:rsidRPr="00360A40">
        <w:rPr>
          <w:lang w:val="hu-HU"/>
        </w:rPr>
        <w:t xml:space="preserve">leállítása után nagyobb gyakorisággal jelentettek gastrointestinalis vérzést, beleértve a súlyos és halálos eseteket is. A kezelés leállítása után, a betegeknél gondosan vizsgálni kell a gastrointestinalis vérzésre utaló </w:t>
      </w:r>
      <w:r w:rsidR="00262D96">
        <w:rPr>
          <w:lang w:val="hu-HU"/>
        </w:rPr>
        <w:t>jeleket</w:t>
      </w:r>
      <w:r w:rsidRPr="00360A40">
        <w:rPr>
          <w:lang w:val="hu-HU"/>
        </w:rPr>
        <w:t xml:space="preserve"> és tüneteket.</w:t>
      </w:r>
    </w:p>
    <w:p w14:paraId="67E98C1D" w14:textId="77777777" w:rsidR="002D66F3" w:rsidRPr="00360A40" w:rsidRDefault="002D66F3" w:rsidP="00360A40">
      <w:pPr>
        <w:pStyle w:val="Szvegtrzs"/>
        <w:kinsoku w:val="0"/>
        <w:overflowPunct w:val="0"/>
        <w:ind w:left="0"/>
        <w:rPr>
          <w:lang w:val="hu-HU"/>
        </w:rPr>
      </w:pPr>
    </w:p>
    <w:p w14:paraId="05B12FF2" w14:textId="77777777" w:rsidR="002D66F3" w:rsidRPr="00360A40" w:rsidRDefault="002D66F3" w:rsidP="00360A40">
      <w:pPr>
        <w:pStyle w:val="Szvegtrzs"/>
        <w:kinsoku w:val="0"/>
        <w:overflowPunct w:val="0"/>
        <w:ind w:left="0"/>
        <w:rPr>
          <w:lang w:val="hu-HU"/>
        </w:rPr>
      </w:pPr>
      <w:r w:rsidRPr="00360A40">
        <w:rPr>
          <w:u w:val="single"/>
          <w:lang w:val="hu-HU"/>
        </w:rPr>
        <w:t>Retikulinképződés a csontvelőben és a csontvelőfibrózis kockázata</w:t>
      </w:r>
    </w:p>
    <w:p w14:paraId="7989109B" w14:textId="77777777" w:rsidR="002D66F3" w:rsidRPr="00360A40" w:rsidRDefault="002D66F3" w:rsidP="00360A40">
      <w:pPr>
        <w:pStyle w:val="Szvegtrzs"/>
        <w:kinsoku w:val="0"/>
        <w:overflowPunct w:val="0"/>
        <w:ind w:left="0"/>
        <w:rPr>
          <w:lang w:val="hu-HU"/>
        </w:rPr>
      </w:pPr>
    </w:p>
    <w:p w14:paraId="1A4F0545" w14:textId="77777777" w:rsidR="002D66F3" w:rsidRPr="00360A40" w:rsidRDefault="002D66F3" w:rsidP="00360A40">
      <w:pPr>
        <w:pStyle w:val="Szvegtrzs"/>
        <w:kinsoku w:val="0"/>
        <w:overflowPunct w:val="0"/>
        <w:ind w:left="0"/>
        <w:rPr>
          <w:lang w:val="hu-HU"/>
        </w:rPr>
      </w:pPr>
      <w:r w:rsidRPr="00360A40">
        <w:rPr>
          <w:lang w:val="hu-HU"/>
        </w:rPr>
        <w:t>Az eltrombopag fokozhatja a csontvelőben a retikulinrostok képződésének vagy azok progressziójának a kockázatát. Ennek jelentőségét, más thrombopoietin-receptor- (TPO-R) agonistákhoz hasonlóan, még nem határozták meg.</w:t>
      </w:r>
    </w:p>
    <w:p w14:paraId="6489DE63" w14:textId="77777777" w:rsidR="002D66F3" w:rsidRPr="00360A40" w:rsidRDefault="002D66F3" w:rsidP="00360A40">
      <w:pPr>
        <w:pStyle w:val="Szvegtrzs"/>
        <w:kinsoku w:val="0"/>
        <w:overflowPunct w:val="0"/>
        <w:ind w:left="0"/>
        <w:rPr>
          <w:lang w:val="hu-HU"/>
        </w:rPr>
      </w:pPr>
    </w:p>
    <w:p w14:paraId="18257042" w14:textId="64364A84" w:rsidR="002D66F3" w:rsidRPr="00360A40" w:rsidRDefault="002D66F3" w:rsidP="00360A40">
      <w:pPr>
        <w:pStyle w:val="Szvegtrzs"/>
        <w:kinsoku w:val="0"/>
        <w:overflowPunct w:val="0"/>
        <w:ind w:left="0"/>
        <w:rPr>
          <w:lang w:val="hu-HU"/>
        </w:rPr>
      </w:pPr>
      <w:r w:rsidRPr="00360A40">
        <w:rPr>
          <w:lang w:val="hu-HU"/>
        </w:rPr>
        <w:t>Az eltrombopag-kezelés elkezdése előtt a kóros sejtmorfológiai eltérések ellenőrzése érdekében figyelmesen meg kell vizsgálni a perifériás vérkenetet. A stabil eltrombopag-dózis elérése után havonta el kell végezni a teljes vérképvizsgálatot, a fehérvérsejtszám minőségi összetételének meghatározásával. Ha éretlen vagy dysplasiás sejtek láthatók, meg kell vizsgálni a perifériás vérkenetet az új vagy súlyosbodó kóros morfológiai eltérések (pl. könnycsepp alakú és magot tartalmazó vörösvérsejtek, éretlen fehérvérsejtek), vagy a cytopenia/cytopeniák szempontjából. Ha a betegnél új, vagy súlyosbodó kóros morfológiai eltérések, vagy cytopeniák alakulnak ki, le kell állítani az eltrombopag-kezelést, és meg kell fontolni a csontvelő</w:t>
      </w:r>
      <w:r w:rsidR="001A5EAF" w:rsidRPr="00360A40">
        <w:rPr>
          <w:lang w:val="hu-HU"/>
        </w:rPr>
        <w:t>-</w:t>
      </w:r>
      <w:r w:rsidRPr="00360A40">
        <w:rPr>
          <w:lang w:val="hu-HU"/>
        </w:rPr>
        <w:t>biopsziát csontvelőfestéssel a fibrosis kimutatására.</w:t>
      </w:r>
    </w:p>
    <w:p w14:paraId="1C85F980" w14:textId="77777777" w:rsidR="00A218FB" w:rsidRPr="00360A40" w:rsidRDefault="00A218FB" w:rsidP="00360A40">
      <w:pPr>
        <w:pStyle w:val="Szvegtrzs"/>
        <w:kinsoku w:val="0"/>
        <w:overflowPunct w:val="0"/>
        <w:ind w:left="0"/>
        <w:rPr>
          <w:lang w:val="hu-HU"/>
        </w:rPr>
      </w:pPr>
    </w:p>
    <w:p w14:paraId="75480504" w14:textId="77777777" w:rsidR="002D66F3" w:rsidRPr="00360A40" w:rsidRDefault="002D66F3" w:rsidP="00360A40">
      <w:pPr>
        <w:pStyle w:val="Szvegtrzs"/>
        <w:kinsoku w:val="0"/>
        <w:overflowPunct w:val="0"/>
        <w:ind w:left="0"/>
        <w:rPr>
          <w:lang w:val="hu-HU"/>
        </w:rPr>
      </w:pPr>
      <w:r w:rsidRPr="00360A40">
        <w:rPr>
          <w:u w:val="single"/>
          <w:lang w:val="hu-HU"/>
        </w:rPr>
        <w:t>Fennálló myelodysplasiás szindróma (MDS) progressziója</w:t>
      </w:r>
    </w:p>
    <w:p w14:paraId="66F57059" w14:textId="77777777" w:rsidR="002D66F3" w:rsidRPr="00360A40" w:rsidRDefault="002D66F3" w:rsidP="00360A40">
      <w:pPr>
        <w:pStyle w:val="Szvegtrzs"/>
        <w:kinsoku w:val="0"/>
        <w:overflowPunct w:val="0"/>
        <w:ind w:left="0"/>
        <w:rPr>
          <w:lang w:val="hu-HU"/>
        </w:rPr>
      </w:pPr>
    </w:p>
    <w:p w14:paraId="70E3F6F2" w14:textId="3E78330A" w:rsidR="002D66F3" w:rsidRPr="00360A40" w:rsidRDefault="002D66F3" w:rsidP="00360A40">
      <w:pPr>
        <w:pStyle w:val="Szvegtrzs"/>
        <w:kinsoku w:val="0"/>
        <w:overflowPunct w:val="0"/>
        <w:ind w:left="0"/>
        <w:rPr>
          <w:lang w:val="hu-HU"/>
        </w:rPr>
      </w:pPr>
      <w:r w:rsidRPr="00360A40">
        <w:rPr>
          <w:lang w:val="hu-HU"/>
        </w:rPr>
        <w:t>Elméleti megfontolások alapján a TPO-R-agonisták fokozhatják a már fennálló, rosszindulatú hematológiai betegségek, pl. az MDS progresszióját. A TPO-R-agonisták növekedési faktorok, melyek a thrombopoietikus progenitor sejtek expanziójához, differenciálódásához és vérlemezke termelődéshez vezetnek. A TPO-R főként a myeloid sejtvonal sejtjeinek felszínén expresszálódik.</w:t>
      </w:r>
    </w:p>
    <w:p w14:paraId="7485A257" w14:textId="77777777" w:rsidR="002D66F3" w:rsidRPr="00360A40" w:rsidRDefault="002D66F3" w:rsidP="00360A40">
      <w:pPr>
        <w:pStyle w:val="Szvegtrzs"/>
        <w:kinsoku w:val="0"/>
        <w:overflowPunct w:val="0"/>
        <w:ind w:left="0"/>
        <w:rPr>
          <w:lang w:val="hu-HU"/>
        </w:rPr>
      </w:pPr>
    </w:p>
    <w:p w14:paraId="45B1CA55" w14:textId="1D889BD9" w:rsidR="002D66F3" w:rsidRPr="00360A40" w:rsidRDefault="002D66F3" w:rsidP="00360A40">
      <w:pPr>
        <w:pStyle w:val="Szvegtrzs"/>
        <w:kinsoku w:val="0"/>
        <w:overflowPunct w:val="0"/>
        <w:ind w:left="0"/>
        <w:rPr>
          <w:lang w:val="hu-HU"/>
        </w:rPr>
      </w:pPr>
      <w:r w:rsidRPr="00360A40">
        <w:rPr>
          <w:lang w:val="hu-HU"/>
        </w:rPr>
        <w:t>TPO-R-agonistákkal MDS-ben szenvedő betegek</w:t>
      </w:r>
      <w:r w:rsidR="00262D96">
        <w:rPr>
          <w:lang w:val="hu-HU"/>
        </w:rPr>
        <w:t>kel</w:t>
      </w:r>
      <w:r w:rsidRPr="00360A40">
        <w:rPr>
          <w:lang w:val="hu-HU"/>
        </w:rPr>
        <w:t xml:space="preserve"> végzett klinikai vizsgálatokban a blaszt-sejtek számának átmeneti emelkedését figyelték meg, és az MDS betegség akut myeloid leukaemiává (AML) történő progressziójával járó eseteket is jelentettek.</w:t>
      </w:r>
    </w:p>
    <w:p w14:paraId="50ABF9EB" w14:textId="77777777" w:rsidR="002D66F3" w:rsidRPr="00360A40" w:rsidRDefault="002D66F3" w:rsidP="00360A40">
      <w:pPr>
        <w:pStyle w:val="Szvegtrzs"/>
        <w:kinsoku w:val="0"/>
        <w:overflowPunct w:val="0"/>
        <w:ind w:left="0"/>
        <w:rPr>
          <w:lang w:val="hu-HU"/>
        </w:rPr>
      </w:pPr>
    </w:p>
    <w:p w14:paraId="709F7A72" w14:textId="4D8835DA" w:rsidR="002D66F3" w:rsidRPr="00360A40" w:rsidRDefault="002D66F3" w:rsidP="00360A40">
      <w:pPr>
        <w:pStyle w:val="Szvegtrzs"/>
        <w:kinsoku w:val="0"/>
        <w:overflowPunct w:val="0"/>
        <w:ind w:left="0"/>
        <w:rPr>
          <w:lang w:val="hu-HU"/>
        </w:rPr>
      </w:pPr>
      <w:r w:rsidRPr="00360A40">
        <w:rPr>
          <w:lang w:val="hu-HU"/>
        </w:rPr>
        <w:t xml:space="preserve">Az ITP </w:t>
      </w:r>
      <w:r w:rsidR="000B2308">
        <w:rPr>
          <w:lang w:val="hu-HU"/>
        </w:rPr>
        <w:t xml:space="preserve">és az SAA </w:t>
      </w:r>
      <w:r w:rsidRPr="00360A40">
        <w:rPr>
          <w:lang w:val="hu-HU"/>
        </w:rPr>
        <w:t>diagnózisát felnőtt és idős korú betegeknél a thrombocytopeniával járó egyéb klinikai kórképek kizárásával meg kell erősíteni, különösen az MDS diagnózisát kell kizárni. A betegség lefolyása és a kezelés során mérlegelni kell a csontvelő aspiráció és a biopszia elvégzését, különösen 60</w:t>
      </w:r>
      <w:r w:rsidR="007A2EFB" w:rsidRPr="00360A40">
        <w:rPr>
          <w:lang w:val="hu-HU"/>
        </w:rPr>
        <w:t> </w:t>
      </w:r>
      <w:r w:rsidRPr="00360A40">
        <w:rPr>
          <w:lang w:val="hu-HU"/>
        </w:rPr>
        <w:t>év feletti betegeknél, azoknál, akiknél szisztémás tünetek, illetve kóros jelek állnak fenn, pl. a perifériás blasztok számának emelkedése.</w:t>
      </w:r>
    </w:p>
    <w:p w14:paraId="31294B98" w14:textId="77777777" w:rsidR="002D66F3" w:rsidRPr="00360A40" w:rsidRDefault="002D66F3" w:rsidP="00360A40">
      <w:pPr>
        <w:pStyle w:val="Szvegtrzs"/>
        <w:kinsoku w:val="0"/>
        <w:overflowPunct w:val="0"/>
        <w:ind w:left="0"/>
        <w:rPr>
          <w:lang w:val="hu-HU"/>
        </w:rPr>
      </w:pPr>
    </w:p>
    <w:p w14:paraId="1845DA84" w14:textId="62B73A27" w:rsidR="002D66F3" w:rsidRPr="00360A40" w:rsidRDefault="002D66F3" w:rsidP="00360A40">
      <w:pPr>
        <w:pStyle w:val="Szvegtrzs"/>
        <w:kinsoku w:val="0"/>
        <w:overflowPunct w:val="0"/>
        <w:ind w:left="0"/>
        <w:rPr>
          <w:lang w:val="hu-HU"/>
        </w:rPr>
      </w:pPr>
      <w:r w:rsidRPr="00360A40">
        <w:rPr>
          <w:lang w:val="hu-HU"/>
        </w:rPr>
        <w:t>A</w:t>
      </w:r>
      <w:r w:rsidR="007A2EFB" w:rsidRPr="00360A40">
        <w:rPr>
          <w:lang w:val="hu-HU"/>
        </w:rPr>
        <w:t>z</w:t>
      </w:r>
      <w:r w:rsidR="00A87068" w:rsidRPr="00360A40">
        <w:rPr>
          <w:lang w:val="hu-HU"/>
        </w:rPr>
        <w:t xml:space="preserve"> e</w:t>
      </w:r>
      <w:r w:rsidR="004873CF" w:rsidRPr="00360A40">
        <w:rPr>
          <w:lang w:val="hu-HU"/>
        </w:rPr>
        <w:t xml:space="preserve">ltrombopag </w:t>
      </w:r>
      <w:r w:rsidRPr="00360A40">
        <w:rPr>
          <w:lang w:val="hu-HU"/>
        </w:rPr>
        <w:t>hatásosságát és biztonságosságát az MDS miatt kialakult thrombocytopenia kezelésében nem igazolták. A</w:t>
      </w:r>
      <w:r w:rsidR="007A2EFB" w:rsidRPr="00360A40">
        <w:rPr>
          <w:lang w:val="hu-HU"/>
        </w:rPr>
        <w:t>z</w:t>
      </w:r>
      <w:r w:rsidRPr="00360A40">
        <w:rPr>
          <w:lang w:val="hu-HU"/>
        </w:rPr>
        <w:t xml:space="preserve"> </w:t>
      </w:r>
      <w:r w:rsidR="00824CAB">
        <w:rPr>
          <w:lang w:val="hu-HU"/>
        </w:rPr>
        <w:t>e</w:t>
      </w:r>
      <w:r w:rsidR="007A2EFB" w:rsidRPr="00360A40">
        <w:rPr>
          <w:lang w:val="hu-HU"/>
        </w:rPr>
        <w:t xml:space="preserve">ltrombopag </w:t>
      </w:r>
      <w:r w:rsidRPr="00360A40">
        <w:rPr>
          <w:lang w:val="hu-HU"/>
        </w:rPr>
        <w:t>a klinikai vizsgálatokon kívül nem alkalmazható az MDS miatt kialakuló thrombocytopeniában.</w:t>
      </w:r>
    </w:p>
    <w:p w14:paraId="4ADCBAB1" w14:textId="77777777" w:rsidR="002D66F3" w:rsidRPr="00360A40" w:rsidRDefault="002D66F3" w:rsidP="00360A40">
      <w:pPr>
        <w:pStyle w:val="Szvegtrzs"/>
        <w:kinsoku w:val="0"/>
        <w:overflowPunct w:val="0"/>
        <w:ind w:left="0"/>
        <w:rPr>
          <w:lang w:val="hu-HU"/>
        </w:rPr>
      </w:pPr>
    </w:p>
    <w:p w14:paraId="7AF6E7B4" w14:textId="2A3EC595" w:rsidR="000C6781" w:rsidRPr="00360A40" w:rsidRDefault="000C6781" w:rsidP="00360A40">
      <w:pPr>
        <w:pStyle w:val="Szvegtrzs"/>
        <w:kinsoku w:val="0"/>
        <w:overflowPunct w:val="0"/>
        <w:ind w:left="0"/>
        <w:rPr>
          <w:u w:val="single"/>
          <w:lang w:val="hu-HU"/>
        </w:rPr>
      </w:pPr>
      <w:r w:rsidRPr="00360A40">
        <w:rPr>
          <w:u w:val="single"/>
          <w:lang w:val="hu-HU"/>
        </w:rPr>
        <w:t>SAA-s betegek c</w:t>
      </w:r>
      <w:r w:rsidR="00BD2A13">
        <w:rPr>
          <w:u w:val="single"/>
          <w:lang w:val="hu-HU"/>
        </w:rPr>
        <w:t>itogen</w:t>
      </w:r>
      <w:r w:rsidRPr="00360A40">
        <w:rPr>
          <w:u w:val="single"/>
          <w:lang w:val="hu-HU"/>
        </w:rPr>
        <w:t>etikai rendellenességei és MDS/AML-be való progressziója</w:t>
      </w:r>
    </w:p>
    <w:p w14:paraId="4D274861" w14:textId="77777777" w:rsidR="000C6781" w:rsidRPr="00360A40" w:rsidRDefault="000C6781" w:rsidP="00360A40">
      <w:pPr>
        <w:pStyle w:val="Szvegtrzs"/>
        <w:kinsoku w:val="0"/>
        <w:overflowPunct w:val="0"/>
        <w:ind w:left="0"/>
        <w:rPr>
          <w:lang w:val="hu-HU"/>
        </w:rPr>
      </w:pPr>
    </w:p>
    <w:p w14:paraId="10685F68" w14:textId="1AE0CD15" w:rsidR="000C6781" w:rsidRPr="00360A40" w:rsidRDefault="000C6781" w:rsidP="00360A40">
      <w:pPr>
        <w:pStyle w:val="Szvegtrzs"/>
        <w:kinsoku w:val="0"/>
        <w:overflowPunct w:val="0"/>
        <w:ind w:left="0"/>
        <w:rPr>
          <w:lang w:val="hu-HU"/>
        </w:rPr>
      </w:pPr>
      <w:r w:rsidRPr="00360A40">
        <w:rPr>
          <w:lang w:val="hu-HU"/>
        </w:rPr>
        <w:t>Ismeretes, hogy SAA-s betegeknél előfordulnak c</w:t>
      </w:r>
      <w:r w:rsidR="00BD2A13">
        <w:rPr>
          <w:lang w:val="hu-HU"/>
        </w:rPr>
        <w:t>itogen</w:t>
      </w:r>
      <w:r w:rsidRPr="00360A40">
        <w:rPr>
          <w:lang w:val="hu-HU"/>
        </w:rPr>
        <w:t>etikai rendellenességek. Nem ismert, hogy az eltrombopag fokozza-e a c</w:t>
      </w:r>
      <w:r w:rsidR="00BD2A13">
        <w:rPr>
          <w:lang w:val="hu-HU"/>
        </w:rPr>
        <w:t>itogen</w:t>
      </w:r>
      <w:r w:rsidRPr="00360A40">
        <w:rPr>
          <w:lang w:val="hu-HU"/>
        </w:rPr>
        <w:t>etikai rendellenességek kockázatát SAA-s betegeknél. Az 50 mg/nap eltrombopag kezdő dózissal (amelyet 2 hetente növeltek maximum 150 mg/nap dózisra) végzett II. fázisú, refrakter SAA klinikai vizsgálatban (ELT112523) az új c</w:t>
      </w:r>
      <w:r w:rsidR="00BD2A13">
        <w:rPr>
          <w:lang w:val="hu-HU"/>
        </w:rPr>
        <w:t>itogen</w:t>
      </w:r>
      <w:r w:rsidRPr="00360A40">
        <w:rPr>
          <w:lang w:val="hu-HU"/>
        </w:rPr>
        <w:t>etikai rendellenességek incidenciája 17,1% volt (7/41 felnőtt beteg, akik közül 4-nél 7-es kromoszómaelváltozás állt fenn). A c</w:t>
      </w:r>
      <w:r w:rsidR="00BD2A13">
        <w:rPr>
          <w:lang w:val="hu-HU"/>
        </w:rPr>
        <w:t>itogen</w:t>
      </w:r>
      <w:r w:rsidRPr="00360A40">
        <w:rPr>
          <w:lang w:val="hu-HU"/>
        </w:rPr>
        <w:t>etikai rendellenesség kialakulásáig eltelt időtartam medián értéke a vizsgálatban 2,9 hónap volt.</w:t>
      </w:r>
    </w:p>
    <w:p w14:paraId="20A8B6B2" w14:textId="77777777" w:rsidR="000C6781" w:rsidRPr="00360A40" w:rsidRDefault="000C6781" w:rsidP="00360A40">
      <w:pPr>
        <w:pStyle w:val="Szvegtrzs"/>
        <w:kinsoku w:val="0"/>
        <w:overflowPunct w:val="0"/>
        <w:ind w:left="0"/>
        <w:rPr>
          <w:lang w:val="hu-HU"/>
        </w:rPr>
      </w:pPr>
    </w:p>
    <w:p w14:paraId="24B21FDC" w14:textId="5736936F" w:rsidR="000C6781" w:rsidRPr="00360A40" w:rsidRDefault="000C6781" w:rsidP="00360A40">
      <w:pPr>
        <w:pStyle w:val="Szvegtrzs"/>
        <w:kinsoku w:val="0"/>
        <w:overflowPunct w:val="0"/>
        <w:ind w:left="0"/>
        <w:rPr>
          <w:lang w:val="hu-HU"/>
        </w:rPr>
      </w:pPr>
      <w:r w:rsidRPr="00360A40">
        <w:rPr>
          <w:lang w:val="hu-HU"/>
        </w:rPr>
        <w:t>A 150 mg/nap eltrombopag-dózissal (figyelembe véve az etnikai hovatartozás és az életkor alapján szükséges módosításokat) végzett II. fázisú, refrakter SAA klinikai vizsgálatban (ELT116826) az új c</w:t>
      </w:r>
      <w:r w:rsidR="00BD2A13">
        <w:rPr>
          <w:lang w:val="hu-HU"/>
        </w:rPr>
        <w:t>itogen</w:t>
      </w:r>
      <w:r w:rsidRPr="00360A40">
        <w:rPr>
          <w:lang w:val="hu-HU"/>
        </w:rPr>
        <w:t>etikai rendellenességek incidenciája 22,6% volt (7/31 felnőtt beteg, akik közül 3-nál 7-es kromoszómaelváltozás állt fenn). Mind a 7 betegnél normál c</w:t>
      </w:r>
      <w:r w:rsidR="00BD2A13">
        <w:rPr>
          <w:lang w:val="hu-HU"/>
        </w:rPr>
        <w:t>itogen</w:t>
      </w:r>
      <w:r w:rsidRPr="00360A40">
        <w:rPr>
          <w:lang w:val="hu-HU"/>
        </w:rPr>
        <w:t>etikai eredmények voltak a vizsgálat megkezdésekor. Hat betegnél fordult elő c</w:t>
      </w:r>
      <w:r w:rsidR="00BD2A13">
        <w:rPr>
          <w:lang w:val="hu-HU"/>
        </w:rPr>
        <w:t>itogen</w:t>
      </w:r>
      <w:r w:rsidRPr="00360A40">
        <w:rPr>
          <w:lang w:val="hu-HU"/>
        </w:rPr>
        <w:t>etikai rendellenesség az eltrombo</w:t>
      </w:r>
      <w:r w:rsidR="000B2308">
        <w:rPr>
          <w:lang w:val="hu-HU"/>
        </w:rPr>
        <w:t>pag-ter</w:t>
      </w:r>
      <w:r w:rsidRPr="00360A40">
        <w:rPr>
          <w:lang w:val="hu-HU"/>
        </w:rPr>
        <w:t>ápia 3. hónapjában, egy betegnél pedig a 6. hónapban.</w:t>
      </w:r>
    </w:p>
    <w:p w14:paraId="5D14D9A2" w14:textId="77777777" w:rsidR="000C6781" w:rsidRPr="00360A40" w:rsidRDefault="000C6781" w:rsidP="00360A40">
      <w:pPr>
        <w:pStyle w:val="Szvegtrzs"/>
        <w:kinsoku w:val="0"/>
        <w:overflowPunct w:val="0"/>
        <w:ind w:left="0"/>
        <w:rPr>
          <w:lang w:val="hu-HU"/>
        </w:rPr>
      </w:pPr>
    </w:p>
    <w:p w14:paraId="002EAA24" w14:textId="1577D04A" w:rsidR="000C6781" w:rsidRPr="00360A40" w:rsidRDefault="000C6781" w:rsidP="00360A40">
      <w:pPr>
        <w:pStyle w:val="Szvegtrzs"/>
        <w:kinsoku w:val="0"/>
        <w:overflowPunct w:val="0"/>
        <w:ind w:left="0"/>
        <w:rPr>
          <w:lang w:val="hu-HU"/>
        </w:rPr>
      </w:pPr>
      <w:r w:rsidRPr="00360A40">
        <w:rPr>
          <w:lang w:val="hu-HU"/>
        </w:rPr>
        <w:t>Az SAA-ban végzett eltrombopag-kezelés klinikai vizsgálataiban a betegek 4%-ánál (5/133) diagnosztizáltak MDS-t. Az eltrombopag-kezelés megkezdésétől a diagnózisig eltelt időtartam medián értéke 3 hónap volt.</w:t>
      </w:r>
    </w:p>
    <w:p w14:paraId="66315194" w14:textId="77777777" w:rsidR="000C6781" w:rsidRPr="00360A40" w:rsidRDefault="000C6781" w:rsidP="00360A40">
      <w:pPr>
        <w:pStyle w:val="Szvegtrzs"/>
        <w:kinsoku w:val="0"/>
        <w:overflowPunct w:val="0"/>
        <w:ind w:left="0"/>
        <w:rPr>
          <w:lang w:val="hu-HU"/>
        </w:rPr>
      </w:pPr>
    </w:p>
    <w:p w14:paraId="6C58F251" w14:textId="23598879" w:rsidR="000C6781" w:rsidRPr="00360A40" w:rsidRDefault="000C6781" w:rsidP="00360A40">
      <w:pPr>
        <w:pStyle w:val="Szvegtrzs"/>
        <w:kinsoku w:val="0"/>
        <w:overflowPunct w:val="0"/>
        <w:ind w:left="0"/>
        <w:rPr>
          <w:lang w:val="hu-HU"/>
        </w:rPr>
      </w:pPr>
      <w:r w:rsidRPr="00360A40">
        <w:rPr>
          <w:lang w:val="hu-HU"/>
        </w:rPr>
        <w:t>Azoknál az SAA-s betegeknél, akik refrakterek a korábbi immunszuppresszív terápiára, vagy jelentős immunszuppresszív előkezelésben részesültek, ajánlott csontvelő aspirációval c</w:t>
      </w:r>
      <w:r w:rsidR="00BD2A13">
        <w:rPr>
          <w:lang w:val="hu-HU"/>
        </w:rPr>
        <w:t>itogen</w:t>
      </w:r>
      <w:r w:rsidRPr="00360A40">
        <w:rPr>
          <w:lang w:val="hu-HU"/>
        </w:rPr>
        <w:t>etikai vizsgálatot végezni az eltrombopag-kezelés megkezdésekor, a kezelés 3. hónapjában</w:t>
      </w:r>
      <w:r w:rsidR="00262D96">
        <w:rPr>
          <w:lang w:val="hu-HU"/>
        </w:rPr>
        <w:t>, majd 6 hónappal ezt követően</w:t>
      </w:r>
      <w:r w:rsidRPr="00360A40">
        <w:rPr>
          <w:lang w:val="hu-HU"/>
        </w:rPr>
        <w:t>. Új c</w:t>
      </w:r>
      <w:r w:rsidR="00BD2A13">
        <w:rPr>
          <w:lang w:val="hu-HU"/>
        </w:rPr>
        <w:t>itogen</w:t>
      </w:r>
      <w:r w:rsidRPr="00360A40">
        <w:rPr>
          <w:lang w:val="hu-HU"/>
        </w:rPr>
        <w:t>etikai rendellenesség észlelése esetén értékelni kell, hogy helyes-e az eltrombopag-kezelés folytatása.</w:t>
      </w:r>
    </w:p>
    <w:p w14:paraId="48481884" w14:textId="77777777" w:rsidR="000C6781" w:rsidRPr="00360A40" w:rsidRDefault="000C6781" w:rsidP="00360A40">
      <w:pPr>
        <w:pStyle w:val="Szvegtrzs"/>
        <w:kinsoku w:val="0"/>
        <w:overflowPunct w:val="0"/>
        <w:ind w:left="0"/>
        <w:rPr>
          <w:lang w:val="hu-HU"/>
        </w:rPr>
      </w:pPr>
    </w:p>
    <w:p w14:paraId="64C41466" w14:textId="77777777" w:rsidR="002D66F3" w:rsidRPr="00360A40" w:rsidRDefault="002D66F3" w:rsidP="00360A40">
      <w:pPr>
        <w:pStyle w:val="Szvegtrzs"/>
        <w:kinsoku w:val="0"/>
        <w:overflowPunct w:val="0"/>
        <w:ind w:left="0"/>
        <w:rPr>
          <w:lang w:val="hu-HU"/>
        </w:rPr>
      </w:pPr>
      <w:r w:rsidRPr="00360A40">
        <w:rPr>
          <w:u w:val="single"/>
          <w:lang w:val="hu-HU"/>
        </w:rPr>
        <w:t>Szemészeti elváltozások</w:t>
      </w:r>
    </w:p>
    <w:p w14:paraId="514F822B" w14:textId="77777777" w:rsidR="002D66F3" w:rsidRPr="00360A40" w:rsidRDefault="002D66F3" w:rsidP="00360A40">
      <w:pPr>
        <w:pStyle w:val="Szvegtrzs"/>
        <w:kinsoku w:val="0"/>
        <w:overflowPunct w:val="0"/>
        <w:ind w:left="0"/>
        <w:rPr>
          <w:lang w:val="hu-HU"/>
        </w:rPr>
      </w:pPr>
    </w:p>
    <w:p w14:paraId="561CF7E0" w14:textId="3CD55A35" w:rsidR="002D66F3" w:rsidRPr="00360A40" w:rsidRDefault="002D66F3" w:rsidP="00360A40">
      <w:pPr>
        <w:pStyle w:val="Szvegtrzs"/>
        <w:kinsoku w:val="0"/>
        <w:overflowPunct w:val="0"/>
        <w:ind w:left="0"/>
        <w:rPr>
          <w:lang w:val="hu-HU"/>
        </w:rPr>
      </w:pPr>
      <w:r w:rsidRPr="00360A40">
        <w:rPr>
          <w:lang w:val="hu-HU"/>
        </w:rPr>
        <w:t>Toxikológiai vizsgálatokban az eltrombopag rágcsálók</w:t>
      </w:r>
      <w:r w:rsidR="005D6C3D">
        <w:rPr>
          <w:lang w:val="hu-HU"/>
        </w:rPr>
        <w:t>nál</w:t>
      </w:r>
      <w:r w:rsidRPr="00360A40">
        <w:rPr>
          <w:lang w:val="hu-HU"/>
        </w:rPr>
        <w:t xml:space="preserve"> szürkehályogot okozott (lásd 5.3</w:t>
      </w:r>
      <w:r w:rsidR="0029328F" w:rsidRPr="00360A40">
        <w:rPr>
          <w:lang w:val="hu-HU"/>
        </w:rPr>
        <w:t> </w:t>
      </w:r>
      <w:r w:rsidRPr="00360A40">
        <w:rPr>
          <w:lang w:val="hu-HU"/>
        </w:rPr>
        <w:t>pont). Interferon alapú kezelésben részesülő, thrombocytopeniás HCV-s betegekkel végzett kontrollos vizsgálatokban (n</w:t>
      </w:r>
      <w:r w:rsidR="0029328F" w:rsidRPr="00360A40">
        <w:rPr>
          <w:lang w:val="hu-HU"/>
        </w:rPr>
        <w:t> </w:t>
      </w:r>
      <w:r w:rsidRPr="00360A40">
        <w:rPr>
          <w:lang w:val="hu-HU"/>
        </w:rPr>
        <w:t>=</w:t>
      </w:r>
      <w:r w:rsidR="0029328F" w:rsidRPr="00360A40">
        <w:rPr>
          <w:lang w:val="hu-HU"/>
        </w:rPr>
        <w:t> </w:t>
      </w:r>
      <w:r w:rsidRPr="00360A40">
        <w:rPr>
          <w:lang w:val="hu-HU"/>
        </w:rPr>
        <w:t>1439), az eltrombopaggal kezelt csoportba tartozók 8%-ánál, illetve a placebóval kezelt csoportba tartozók 5%-ánál jelentették a meglévő szürkehályog progresszióját vagy következményes szürkehályogot. Retinabevérzéseket, többségében 1-es vagy 2-es fokozatúakat, jelentettek interferont, ribavirint és eltrombopagot kapó HCV-betegek esetén (2% az</w:t>
      </w:r>
      <w:r w:rsidR="0029328F" w:rsidRPr="00360A40">
        <w:rPr>
          <w:lang w:val="hu-HU"/>
        </w:rPr>
        <w:t xml:space="preserve"> </w:t>
      </w:r>
      <w:r w:rsidRPr="00360A40">
        <w:rPr>
          <w:lang w:val="hu-HU"/>
        </w:rPr>
        <w:t>eltrombopag-csoportban és 2% a placebocsoportban). Előfordultak vérzések a retina felületén (preretinálisan), a retina alatt (subretinalisan) vagy a retina szövetén belül. Ajánlott a betegek rutinszerű szemészeti szűrése.</w:t>
      </w:r>
    </w:p>
    <w:p w14:paraId="305E2FF5" w14:textId="77777777" w:rsidR="002D66F3" w:rsidRPr="00360A40" w:rsidRDefault="002D66F3" w:rsidP="00360A40">
      <w:pPr>
        <w:pStyle w:val="Szvegtrzs"/>
        <w:kinsoku w:val="0"/>
        <w:overflowPunct w:val="0"/>
        <w:ind w:left="0"/>
        <w:rPr>
          <w:lang w:val="hu-HU"/>
        </w:rPr>
      </w:pPr>
    </w:p>
    <w:p w14:paraId="28628CD7" w14:textId="77777777" w:rsidR="002D66F3" w:rsidRPr="00360A40" w:rsidRDefault="002D66F3" w:rsidP="00360A40">
      <w:pPr>
        <w:pStyle w:val="Szvegtrzs"/>
        <w:kinsoku w:val="0"/>
        <w:overflowPunct w:val="0"/>
        <w:ind w:left="0"/>
        <w:rPr>
          <w:lang w:val="hu-HU"/>
        </w:rPr>
      </w:pPr>
      <w:r w:rsidRPr="00360A40">
        <w:rPr>
          <w:u w:val="single"/>
          <w:lang w:val="hu-HU"/>
        </w:rPr>
        <w:t>QT/QTc-megnyúlás</w:t>
      </w:r>
    </w:p>
    <w:p w14:paraId="67C1EED7" w14:textId="77777777" w:rsidR="002D66F3" w:rsidRPr="00360A40" w:rsidRDefault="002D66F3" w:rsidP="00360A40">
      <w:pPr>
        <w:pStyle w:val="Szvegtrzs"/>
        <w:kinsoku w:val="0"/>
        <w:overflowPunct w:val="0"/>
        <w:ind w:left="0"/>
        <w:rPr>
          <w:lang w:val="hu-HU"/>
        </w:rPr>
      </w:pPr>
    </w:p>
    <w:p w14:paraId="15F4AD09" w14:textId="094EA52D" w:rsidR="002D66F3" w:rsidRPr="00360A40" w:rsidRDefault="002D66F3" w:rsidP="00360A40">
      <w:pPr>
        <w:pStyle w:val="Szvegtrzs"/>
        <w:kinsoku w:val="0"/>
        <w:overflowPunct w:val="0"/>
        <w:ind w:left="0"/>
        <w:rPr>
          <w:lang w:val="hu-HU"/>
        </w:rPr>
      </w:pPr>
      <w:r w:rsidRPr="00360A40">
        <w:rPr>
          <w:lang w:val="hu-HU"/>
        </w:rPr>
        <w:t>Egy egészséges önkénteseket bevonó QTc-vizsgálat, amelyben napi 150</w:t>
      </w:r>
      <w:r w:rsidR="0029328F" w:rsidRPr="00360A40">
        <w:rPr>
          <w:lang w:val="hu-HU"/>
        </w:rPr>
        <w:t> </w:t>
      </w:r>
      <w:r w:rsidRPr="00360A40">
        <w:rPr>
          <w:lang w:val="hu-HU"/>
        </w:rPr>
        <w:t>mg eltrombopagot adagoltak, nem mutatott a cardialis repolarisatióra gyakorolt, klinikailag számottevő hatást. A QTc-</w:t>
      </w:r>
      <w:r w:rsidRPr="00360A40">
        <w:rPr>
          <w:lang w:val="hu-HU"/>
        </w:rPr>
        <w:lastRenderedPageBreak/>
        <w:t>me</w:t>
      </w:r>
      <w:r w:rsidR="004C3553" w:rsidRPr="00360A40">
        <w:rPr>
          <w:lang w:val="hu-HU"/>
        </w:rPr>
        <w:t>g</w:t>
      </w:r>
      <w:r w:rsidRPr="00360A40">
        <w:rPr>
          <w:lang w:val="hu-HU"/>
        </w:rPr>
        <w:t>nyúlásáról számoltak be ITP-s és thrombocytopeniás HCV-betegekkel végzett klinikai vizsgálatok során. Ezen QTc-megnyúlások klinikai jelentősége nem ismert.</w:t>
      </w:r>
    </w:p>
    <w:p w14:paraId="669F0091" w14:textId="77777777" w:rsidR="002D66F3" w:rsidRPr="00360A40" w:rsidRDefault="002D66F3" w:rsidP="00360A40">
      <w:pPr>
        <w:pStyle w:val="Szvegtrzs"/>
        <w:kinsoku w:val="0"/>
        <w:overflowPunct w:val="0"/>
        <w:ind w:left="0"/>
        <w:rPr>
          <w:lang w:val="hu-HU"/>
        </w:rPr>
      </w:pPr>
    </w:p>
    <w:p w14:paraId="7CE5B3C2" w14:textId="77777777" w:rsidR="002D66F3" w:rsidRPr="00360A40" w:rsidRDefault="002D66F3" w:rsidP="00360A40">
      <w:pPr>
        <w:pStyle w:val="Szvegtrzs"/>
        <w:kinsoku w:val="0"/>
        <w:overflowPunct w:val="0"/>
        <w:ind w:left="0"/>
        <w:rPr>
          <w:lang w:val="hu-HU"/>
        </w:rPr>
      </w:pPr>
      <w:r w:rsidRPr="00360A40">
        <w:rPr>
          <w:u w:val="single"/>
          <w:lang w:val="hu-HU"/>
        </w:rPr>
        <w:t>Az eltrombopagra adott terápiás válasz megszűnése</w:t>
      </w:r>
    </w:p>
    <w:p w14:paraId="132E07B3" w14:textId="77777777" w:rsidR="002D66F3" w:rsidRPr="00360A40" w:rsidRDefault="002D66F3" w:rsidP="00360A40">
      <w:pPr>
        <w:pStyle w:val="Szvegtrzs"/>
        <w:kinsoku w:val="0"/>
        <w:overflowPunct w:val="0"/>
        <w:ind w:left="0"/>
        <w:rPr>
          <w:lang w:val="hu-HU"/>
        </w:rPr>
      </w:pPr>
    </w:p>
    <w:p w14:paraId="67EA18FE" w14:textId="77777777" w:rsidR="002D66F3" w:rsidRPr="00360A40" w:rsidRDefault="002D66F3" w:rsidP="00360A40">
      <w:pPr>
        <w:pStyle w:val="Szvegtrzs"/>
        <w:kinsoku w:val="0"/>
        <w:overflowPunct w:val="0"/>
        <w:ind w:left="0"/>
        <w:rPr>
          <w:lang w:val="hu-HU"/>
        </w:rPr>
      </w:pPr>
      <w:r w:rsidRPr="00360A40">
        <w:rPr>
          <w:lang w:val="hu-HU"/>
        </w:rPr>
        <w:t>Ha megszűnik a terápiás válasz, vagy nem sikerül a vérlemezkeszámot az eltrombopag-kezeléssel az ajánlott dózistartományban tartani, mielőbb meg kell keresni a kiváltó tényezőket, beleértve a retikulin felszaporodását a csontvelőben.</w:t>
      </w:r>
    </w:p>
    <w:p w14:paraId="1ACDC69B" w14:textId="77777777" w:rsidR="002D66F3" w:rsidRPr="00360A40" w:rsidRDefault="002D66F3" w:rsidP="00360A40">
      <w:pPr>
        <w:pStyle w:val="Szvegtrzs"/>
        <w:kinsoku w:val="0"/>
        <w:overflowPunct w:val="0"/>
        <w:ind w:left="0"/>
        <w:rPr>
          <w:lang w:val="hu-HU"/>
        </w:rPr>
      </w:pPr>
    </w:p>
    <w:p w14:paraId="6348E539" w14:textId="77777777" w:rsidR="002D66F3" w:rsidRPr="00360A40" w:rsidRDefault="002D66F3" w:rsidP="00360A40">
      <w:pPr>
        <w:pStyle w:val="Szvegtrzs"/>
        <w:kinsoku w:val="0"/>
        <w:overflowPunct w:val="0"/>
        <w:ind w:left="0"/>
        <w:rPr>
          <w:lang w:val="hu-HU"/>
        </w:rPr>
      </w:pPr>
      <w:r w:rsidRPr="00360A40">
        <w:rPr>
          <w:u w:val="single"/>
          <w:lang w:val="hu-HU"/>
        </w:rPr>
        <w:t>Gyermekek és serdülők</w:t>
      </w:r>
    </w:p>
    <w:p w14:paraId="7E8EAF65" w14:textId="77777777" w:rsidR="002D66F3" w:rsidRPr="00360A40" w:rsidRDefault="002D66F3" w:rsidP="00360A40">
      <w:pPr>
        <w:pStyle w:val="Szvegtrzs"/>
        <w:kinsoku w:val="0"/>
        <w:overflowPunct w:val="0"/>
        <w:ind w:left="0"/>
        <w:rPr>
          <w:lang w:val="hu-HU"/>
        </w:rPr>
      </w:pPr>
    </w:p>
    <w:p w14:paraId="4CEBCA43" w14:textId="77777777" w:rsidR="0029328F" w:rsidRPr="00360A40" w:rsidRDefault="002D66F3" w:rsidP="00360A40">
      <w:pPr>
        <w:pStyle w:val="Szvegtrzs"/>
        <w:kinsoku w:val="0"/>
        <w:overflowPunct w:val="0"/>
        <w:ind w:left="0"/>
        <w:rPr>
          <w:lang w:val="hu-HU"/>
        </w:rPr>
      </w:pPr>
      <w:r w:rsidRPr="00360A40">
        <w:rPr>
          <w:lang w:val="hu-HU"/>
        </w:rPr>
        <w:t>Az ITP-vel kapcsolatos fenti figyelmeztetések és óvintézkedések érvényesek gyermekek esetében is.</w:t>
      </w:r>
    </w:p>
    <w:p w14:paraId="6E447BFB" w14:textId="77777777" w:rsidR="0029328F" w:rsidRPr="00360A40" w:rsidRDefault="0029328F" w:rsidP="00360A40">
      <w:pPr>
        <w:pStyle w:val="Szvegtrzs"/>
        <w:kinsoku w:val="0"/>
        <w:overflowPunct w:val="0"/>
        <w:ind w:left="0"/>
        <w:rPr>
          <w:lang w:val="hu-HU"/>
        </w:rPr>
      </w:pPr>
    </w:p>
    <w:p w14:paraId="42EBA0EA" w14:textId="29236273" w:rsidR="002D66F3" w:rsidRPr="00360A40" w:rsidRDefault="002D66F3" w:rsidP="00360A40">
      <w:pPr>
        <w:pStyle w:val="Szvegtrzs"/>
        <w:kinsoku w:val="0"/>
        <w:overflowPunct w:val="0"/>
        <w:ind w:left="0"/>
        <w:rPr>
          <w:lang w:val="hu-HU"/>
        </w:rPr>
      </w:pPr>
      <w:r w:rsidRPr="00360A40">
        <w:rPr>
          <w:u w:val="single"/>
          <w:lang w:val="hu-HU"/>
        </w:rPr>
        <w:t>Laboratóriumi vizsgálatokra gyakorolt hatás</w:t>
      </w:r>
    </w:p>
    <w:p w14:paraId="2A26053D" w14:textId="77777777" w:rsidR="0029328F" w:rsidRPr="00360A40" w:rsidRDefault="0029328F" w:rsidP="00360A40">
      <w:pPr>
        <w:pStyle w:val="Szvegtrzs"/>
        <w:kinsoku w:val="0"/>
        <w:overflowPunct w:val="0"/>
        <w:ind w:left="0"/>
        <w:rPr>
          <w:lang w:val="hu-HU"/>
        </w:rPr>
      </w:pPr>
    </w:p>
    <w:p w14:paraId="64890826" w14:textId="54C62D03" w:rsidR="002D66F3" w:rsidRPr="00360A40" w:rsidRDefault="002D66F3" w:rsidP="00360A40">
      <w:pPr>
        <w:pStyle w:val="Szvegtrzs"/>
        <w:kinsoku w:val="0"/>
        <w:overflowPunct w:val="0"/>
        <w:ind w:left="0"/>
        <w:rPr>
          <w:lang w:val="hu-HU"/>
        </w:rPr>
      </w:pPr>
      <w:r w:rsidRPr="00360A40">
        <w:rPr>
          <w:lang w:val="hu-HU"/>
        </w:rPr>
        <w:t xml:space="preserve">Az eltrombopag erőteljesen színezett, így várható, hogy bizonyos laboratóriumi vizsgálatokra hatással lehet. </w:t>
      </w:r>
      <w:r w:rsidR="0029328F" w:rsidRPr="00360A40">
        <w:rPr>
          <w:lang w:val="hu-HU"/>
        </w:rPr>
        <w:t>Eltrombopag</w:t>
      </w:r>
      <w:r w:rsidR="005D6C3D">
        <w:rPr>
          <w:lang w:val="hu-HU"/>
        </w:rPr>
        <w:t>o</w:t>
      </w:r>
      <w:r w:rsidRPr="00360A40">
        <w:rPr>
          <w:lang w:val="hu-HU"/>
        </w:rPr>
        <w:t>t szedő betegeknél arról számoltak be, hogy a gyógyszer a szérum elszíneződését okozhatja, és zavarhatja az összbilirubin-, illetve a szérumkreatinin</w:t>
      </w:r>
      <w:r w:rsidR="00BD2A13">
        <w:rPr>
          <w:lang w:val="hu-HU"/>
        </w:rPr>
        <w:t>szint-</w:t>
      </w:r>
      <w:r w:rsidRPr="00360A40">
        <w:rPr>
          <w:lang w:val="hu-HU"/>
        </w:rPr>
        <w:t>vizsgálatokat. Amennyiben a laboratóriumi eredmények és a klinikai megfigyelések inkonzisztensek, egy ismételt vizsgálat más módszerrel történő elvégzése segíthet meghatározni az eredmény validitását.</w:t>
      </w:r>
    </w:p>
    <w:p w14:paraId="780A7D28" w14:textId="77777777" w:rsidR="002D66F3" w:rsidRPr="00360A40" w:rsidRDefault="002D66F3" w:rsidP="00360A40">
      <w:pPr>
        <w:pStyle w:val="Szvegtrzs"/>
        <w:kinsoku w:val="0"/>
        <w:overflowPunct w:val="0"/>
        <w:ind w:left="0"/>
        <w:rPr>
          <w:lang w:val="hu-HU"/>
        </w:rPr>
      </w:pPr>
    </w:p>
    <w:p w14:paraId="45706230" w14:textId="51B9B4D7" w:rsidR="002D66F3" w:rsidRPr="00360A40" w:rsidRDefault="002D66F3" w:rsidP="00360A40">
      <w:pPr>
        <w:pStyle w:val="Szvegtrzs"/>
        <w:kinsoku w:val="0"/>
        <w:overflowPunct w:val="0"/>
        <w:ind w:left="0"/>
        <w:rPr>
          <w:lang w:val="hu-HU"/>
        </w:rPr>
      </w:pPr>
      <w:r w:rsidRPr="00360A40">
        <w:rPr>
          <w:u w:val="single"/>
          <w:lang w:val="hu-HU"/>
        </w:rPr>
        <w:t>Nátriumtartalom</w:t>
      </w:r>
    </w:p>
    <w:p w14:paraId="0373B29E" w14:textId="77777777" w:rsidR="002D66F3" w:rsidRPr="00360A40" w:rsidRDefault="002D66F3" w:rsidP="00360A40">
      <w:pPr>
        <w:pStyle w:val="Szvegtrzs"/>
        <w:kinsoku w:val="0"/>
        <w:overflowPunct w:val="0"/>
        <w:ind w:left="0"/>
        <w:rPr>
          <w:lang w:val="hu-HU"/>
        </w:rPr>
      </w:pPr>
    </w:p>
    <w:p w14:paraId="08980F73" w14:textId="107E70B6" w:rsidR="002D66F3" w:rsidRPr="00360A40" w:rsidRDefault="002D66F3" w:rsidP="00360A40">
      <w:pPr>
        <w:pStyle w:val="Szvegtrzs"/>
        <w:kinsoku w:val="0"/>
        <w:overflowPunct w:val="0"/>
        <w:ind w:left="0"/>
        <w:rPr>
          <w:lang w:val="hu-HU"/>
        </w:rPr>
      </w:pPr>
      <w:r w:rsidRPr="00360A40">
        <w:rPr>
          <w:lang w:val="hu-HU"/>
        </w:rPr>
        <w:t>A készítmény kevesebb mint 1</w:t>
      </w:r>
      <w:r w:rsidR="0029328F" w:rsidRPr="00360A40">
        <w:rPr>
          <w:lang w:val="hu-HU"/>
        </w:rPr>
        <w:t> </w:t>
      </w:r>
      <w:r w:rsidRPr="00360A40">
        <w:rPr>
          <w:lang w:val="hu-HU"/>
        </w:rPr>
        <w:t>mmol (23</w:t>
      </w:r>
      <w:r w:rsidR="0029328F" w:rsidRPr="00360A40">
        <w:rPr>
          <w:lang w:val="hu-HU"/>
        </w:rPr>
        <w:t> </w:t>
      </w:r>
      <w:r w:rsidRPr="00360A40">
        <w:rPr>
          <w:lang w:val="hu-HU"/>
        </w:rPr>
        <w:t>mg) nátriumot tartalmaz filmtablettánként, azaz gyakorlatilag „nátriummentes”.</w:t>
      </w:r>
    </w:p>
    <w:p w14:paraId="4C955D28" w14:textId="77777777" w:rsidR="002D66F3" w:rsidRPr="00360A40" w:rsidRDefault="002D66F3" w:rsidP="00360A40">
      <w:pPr>
        <w:pStyle w:val="Szvegtrzs"/>
        <w:kinsoku w:val="0"/>
        <w:overflowPunct w:val="0"/>
        <w:ind w:left="0"/>
        <w:rPr>
          <w:lang w:val="hu-HU"/>
        </w:rPr>
      </w:pPr>
    </w:p>
    <w:p w14:paraId="1923B215" w14:textId="5B5F6C43" w:rsidR="002D66F3" w:rsidRPr="00360A40" w:rsidRDefault="00A218FB" w:rsidP="00360A40">
      <w:pPr>
        <w:pStyle w:val="Cmsor1"/>
        <w:keepNext/>
        <w:widowControl/>
        <w:kinsoku w:val="0"/>
        <w:overflowPunct w:val="0"/>
        <w:ind w:left="0" w:firstLine="0"/>
        <w:rPr>
          <w:b w:val="0"/>
          <w:bCs w:val="0"/>
          <w:lang w:val="hu-HU"/>
        </w:rPr>
      </w:pPr>
      <w:r w:rsidRPr="00360A40">
        <w:rPr>
          <w:lang w:val="hu-HU"/>
        </w:rPr>
        <w:t>4.5</w:t>
      </w:r>
      <w:r w:rsidRPr="00360A40">
        <w:rPr>
          <w:lang w:val="hu-HU"/>
        </w:rPr>
        <w:tab/>
      </w:r>
      <w:r w:rsidR="002D66F3" w:rsidRPr="00360A40">
        <w:rPr>
          <w:lang w:val="hu-HU"/>
        </w:rPr>
        <w:t>Gyógyszerkölcsönhatások és egyéb interakciók</w:t>
      </w:r>
    </w:p>
    <w:p w14:paraId="09738E59" w14:textId="77777777" w:rsidR="002D66F3" w:rsidRPr="00360A40" w:rsidRDefault="002D66F3" w:rsidP="00360A40">
      <w:pPr>
        <w:pStyle w:val="Szvegtrzs"/>
        <w:keepNext/>
        <w:widowControl/>
        <w:kinsoku w:val="0"/>
        <w:overflowPunct w:val="0"/>
        <w:ind w:left="0"/>
        <w:rPr>
          <w:b/>
          <w:bCs/>
          <w:lang w:val="hu-HU"/>
        </w:rPr>
      </w:pPr>
    </w:p>
    <w:p w14:paraId="3128A115" w14:textId="77777777" w:rsidR="002D66F3" w:rsidRPr="00360A40" w:rsidRDefault="002D66F3" w:rsidP="00360A40">
      <w:pPr>
        <w:pStyle w:val="Szvegtrzs"/>
        <w:keepNext/>
        <w:widowControl/>
        <w:kinsoku w:val="0"/>
        <w:overflowPunct w:val="0"/>
        <w:ind w:left="0"/>
        <w:rPr>
          <w:lang w:val="hu-HU"/>
        </w:rPr>
      </w:pPr>
      <w:r w:rsidRPr="00360A40">
        <w:rPr>
          <w:u w:val="single"/>
          <w:lang w:val="hu-HU"/>
        </w:rPr>
        <w:t>Az eltrombopag hatása más gyógyszerekre</w:t>
      </w:r>
    </w:p>
    <w:p w14:paraId="7EB877AB" w14:textId="77777777" w:rsidR="002D66F3" w:rsidRPr="00360A40" w:rsidRDefault="002D66F3" w:rsidP="00360A40">
      <w:pPr>
        <w:pStyle w:val="Szvegtrzs"/>
        <w:kinsoku w:val="0"/>
        <w:overflowPunct w:val="0"/>
        <w:ind w:left="0"/>
        <w:rPr>
          <w:lang w:val="hu-HU"/>
        </w:rPr>
      </w:pPr>
    </w:p>
    <w:p w14:paraId="05D3E18C" w14:textId="77777777" w:rsidR="002D66F3" w:rsidRPr="00360A40" w:rsidRDefault="002D66F3" w:rsidP="00360A40">
      <w:pPr>
        <w:pStyle w:val="Szvegtrzs"/>
        <w:kinsoku w:val="0"/>
        <w:overflowPunct w:val="0"/>
        <w:ind w:left="0"/>
        <w:rPr>
          <w:lang w:val="hu-HU"/>
        </w:rPr>
      </w:pPr>
      <w:r w:rsidRPr="00360A40">
        <w:rPr>
          <w:i/>
          <w:iCs/>
          <w:u w:val="single"/>
          <w:lang w:val="hu-HU"/>
        </w:rPr>
        <w:t>HMG CoA-reduktázgátlók</w:t>
      </w:r>
    </w:p>
    <w:p w14:paraId="2C80663E" w14:textId="77777777" w:rsidR="002D66F3" w:rsidRPr="00360A40" w:rsidRDefault="002D66F3" w:rsidP="00360A40">
      <w:pPr>
        <w:pStyle w:val="Szvegtrzs"/>
        <w:kinsoku w:val="0"/>
        <w:overflowPunct w:val="0"/>
        <w:ind w:left="0"/>
        <w:rPr>
          <w:i/>
          <w:iCs/>
          <w:lang w:val="hu-HU"/>
        </w:rPr>
      </w:pPr>
    </w:p>
    <w:p w14:paraId="54DF1CB5" w14:textId="3B66DAFC" w:rsidR="002D66F3" w:rsidRPr="00360A40" w:rsidRDefault="002D66F3" w:rsidP="00360A40">
      <w:pPr>
        <w:pStyle w:val="Szvegtrzs"/>
        <w:kinsoku w:val="0"/>
        <w:overflowPunct w:val="0"/>
        <w:ind w:left="0"/>
        <w:rPr>
          <w:lang w:val="hu-HU"/>
        </w:rPr>
      </w:pPr>
      <w:r w:rsidRPr="00360A40">
        <w:rPr>
          <w:lang w:val="hu-HU"/>
        </w:rPr>
        <w:t>Napi egyszeri 75</w:t>
      </w:r>
      <w:r w:rsidR="0029328F" w:rsidRPr="00360A40">
        <w:rPr>
          <w:lang w:val="hu-HU"/>
        </w:rPr>
        <w:t> </w:t>
      </w:r>
      <w:r w:rsidRPr="00360A40">
        <w:rPr>
          <w:lang w:val="hu-HU"/>
        </w:rPr>
        <w:t>mg eltrombopag az OATP1B1 és BCRP-szubsztrát rozuvasztatin egyszeri 10</w:t>
      </w:r>
      <w:r w:rsidR="0029328F" w:rsidRPr="00360A40">
        <w:rPr>
          <w:lang w:val="hu-HU"/>
        </w:rPr>
        <w:t> </w:t>
      </w:r>
      <w:r w:rsidRPr="00360A40">
        <w:rPr>
          <w:lang w:val="hu-HU"/>
        </w:rPr>
        <w:t>mg adagjával együtt adva 5</w:t>
      </w:r>
      <w:r w:rsidR="0029328F" w:rsidRPr="00360A40">
        <w:rPr>
          <w:lang w:val="hu-HU"/>
        </w:rPr>
        <w:t> </w:t>
      </w:r>
      <w:r w:rsidRPr="00360A40">
        <w:rPr>
          <w:lang w:val="hu-HU"/>
        </w:rPr>
        <w:t>napon át 39</w:t>
      </w:r>
      <w:r w:rsidR="0029328F" w:rsidRPr="00360A40">
        <w:rPr>
          <w:lang w:val="hu-HU"/>
        </w:rPr>
        <w:t> </w:t>
      </w:r>
      <w:r w:rsidRPr="00360A40">
        <w:rPr>
          <w:lang w:val="hu-HU"/>
        </w:rPr>
        <w:t>egészséges felnőttnek, 103%-kal növelte a plazma rozuvasztatin C</w:t>
      </w:r>
      <w:r w:rsidR="00577A0B" w:rsidRPr="00577A0B">
        <w:rPr>
          <w:vertAlign w:val="subscript"/>
          <w:lang w:val="hu-HU"/>
        </w:rPr>
        <w:t>max</w:t>
      </w:r>
      <w:r w:rsidRPr="00360A40">
        <w:rPr>
          <w:lang w:val="hu-HU"/>
        </w:rPr>
        <w:t>-értékét (90%-os CI: 82%, 126%) és 55%-kal az AUC</w:t>
      </w:r>
      <w:r w:rsidR="009F216E" w:rsidRPr="009F216E">
        <w:rPr>
          <w:vertAlign w:val="subscript"/>
          <w:lang w:val="hu-HU"/>
        </w:rPr>
        <w:t>0-∞</w:t>
      </w:r>
      <w:r w:rsidRPr="00360A40">
        <w:rPr>
          <w:lang w:val="hu-HU"/>
        </w:rPr>
        <w:t>-értékét (90%-os konfidencia intervallum [CI]: 42%, 69%). Kölcsönhatásokra számítani lehet más HMG-CoA-reduktázgátlókkal is, beleértve az atorvasztatint, fluvasztatint, lovasztatint, pravasztatint és a szimvasztatint. Eltrombopaggal történő egyidejű alkalmazás esetén mérlegelni kell a sztatinok dózisának csökkentését, és gondosan monotorozni kell azok mellékhatásait (lásd 5.2</w:t>
      </w:r>
      <w:r w:rsidR="0029328F" w:rsidRPr="00360A40">
        <w:rPr>
          <w:lang w:val="hu-HU"/>
        </w:rPr>
        <w:t> </w:t>
      </w:r>
      <w:r w:rsidRPr="00360A40">
        <w:rPr>
          <w:lang w:val="hu-HU"/>
        </w:rPr>
        <w:t>pont).</w:t>
      </w:r>
    </w:p>
    <w:p w14:paraId="64DF515A" w14:textId="77777777" w:rsidR="00A218FB" w:rsidRPr="00360A40" w:rsidRDefault="00A218FB" w:rsidP="00360A40">
      <w:pPr>
        <w:pStyle w:val="Szvegtrzs"/>
        <w:kinsoku w:val="0"/>
        <w:overflowPunct w:val="0"/>
        <w:ind w:left="0"/>
        <w:rPr>
          <w:lang w:val="hu-HU"/>
        </w:rPr>
      </w:pPr>
    </w:p>
    <w:p w14:paraId="2827367E" w14:textId="77777777" w:rsidR="002D66F3" w:rsidRPr="00360A40" w:rsidRDefault="002D66F3" w:rsidP="00360A40">
      <w:pPr>
        <w:pStyle w:val="Szvegtrzs"/>
        <w:kinsoku w:val="0"/>
        <w:overflowPunct w:val="0"/>
        <w:ind w:left="0"/>
        <w:rPr>
          <w:lang w:val="hu-HU"/>
        </w:rPr>
      </w:pPr>
      <w:r w:rsidRPr="00360A40">
        <w:rPr>
          <w:i/>
          <w:iCs/>
          <w:u w:val="single"/>
          <w:lang w:val="hu-HU"/>
        </w:rPr>
        <w:t>OATP1B1 és BCRP-szubsztrátok</w:t>
      </w:r>
    </w:p>
    <w:p w14:paraId="036254D2" w14:textId="77777777" w:rsidR="002D66F3" w:rsidRPr="00360A40" w:rsidRDefault="002D66F3" w:rsidP="00360A40">
      <w:pPr>
        <w:pStyle w:val="Szvegtrzs"/>
        <w:kinsoku w:val="0"/>
        <w:overflowPunct w:val="0"/>
        <w:ind w:left="0"/>
        <w:rPr>
          <w:i/>
          <w:iCs/>
          <w:lang w:val="hu-HU"/>
        </w:rPr>
      </w:pPr>
    </w:p>
    <w:p w14:paraId="6E5CB5FB" w14:textId="347F223C" w:rsidR="002D66F3" w:rsidRPr="00360A40" w:rsidRDefault="002D66F3" w:rsidP="00360A40">
      <w:pPr>
        <w:pStyle w:val="Szvegtrzs"/>
        <w:kinsoku w:val="0"/>
        <w:overflowPunct w:val="0"/>
        <w:ind w:left="0"/>
        <w:rPr>
          <w:lang w:val="hu-HU"/>
        </w:rPr>
      </w:pPr>
      <w:r w:rsidRPr="00360A40">
        <w:rPr>
          <w:lang w:val="hu-HU"/>
        </w:rPr>
        <w:t>Eltrombopag és OATP1B1 (pl. metotrexát), valamint BCRP- (pl. topotekán és metotrexát) szubsztrátok együttes alkalmazásakor körültekintően kell eljárni (lásd 5.2</w:t>
      </w:r>
      <w:r w:rsidR="0029328F" w:rsidRPr="00360A40">
        <w:rPr>
          <w:lang w:val="hu-HU"/>
        </w:rPr>
        <w:t> </w:t>
      </w:r>
      <w:r w:rsidRPr="00360A40">
        <w:rPr>
          <w:lang w:val="hu-HU"/>
        </w:rPr>
        <w:t>pont).</w:t>
      </w:r>
    </w:p>
    <w:p w14:paraId="75BE5923" w14:textId="77777777" w:rsidR="002D66F3" w:rsidRPr="00360A40" w:rsidRDefault="002D66F3" w:rsidP="00360A40">
      <w:pPr>
        <w:pStyle w:val="Szvegtrzs"/>
        <w:kinsoku w:val="0"/>
        <w:overflowPunct w:val="0"/>
        <w:ind w:left="0"/>
        <w:rPr>
          <w:lang w:val="hu-HU"/>
        </w:rPr>
      </w:pPr>
    </w:p>
    <w:p w14:paraId="226E96C4" w14:textId="77777777" w:rsidR="002D66F3" w:rsidRPr="00360A40" w:rsidRDefault="002D66F3" w:rsidP="00360A40">
      <w:pPr>
        <w:pStyle w:val="Szvegtrzs"/>
        <w:kinsoku w:val="0"/>
        <w:overflowPunct w:val="0"/>
        <w:ind w:left="0"/>
        <w:rPr>
          <w:lang w:val="hu-HU"/>
        </w:rPr>
      </w:pPr>
      <w:r w:rsidRPr="00360A40">
        <w:rPr>
          <w:i/>
          <w:iCs/>
          <w:u w:val="single"/>
          <w:lang w:val="hu-HU"/>
        </w:rPr>
        <w:t>Citokróm P450-szubsztrátok</w:t>
      </w:r>
    </w:p>
    <w:p w14:paraId="079AAB35" w14:textId="77777777" w:rsidR="002D66F3" w:rsidRPr="00360A40" w:rsidRDefault="002D66F3" w:rsidP="00360A40">
      <w:pPr>
        <w:pStyle w:val="Szvegtrzs"/>
        <w:kinsoku w:val="0"/>
        <w:overflowPunct w:val="0"/>
        <w:ind w:left="0"/>
        <w:rPr>
          <w:i/>
          <w:iCs/>
          <w:lang w:val="hu-HU"/>
        </w:rPr>
      </w:pPr>
    </w:p>
    <w:p w14:paraId="403108C9" w14:textId="59575CDF" w:rsidR="002D66F3" w:rsidRPr="00360A40" w:rsidRDefault="002D66F3" w:rsidP="00360A40">
      <w:pPr>
        <w:pStyle w:val="Szvegtrzs"/>
        <w:kinsoku w:val="0"/>
        <w:overflowPunct w:val="0"/>
        <w:ind w:left="0"/>
        <w:rPr>
          <w:lang w:val="hu-HU"/>
        </w:rPr>
      </w:pPr>
      <w:r w:rsidRPr="00360A40">
        <w:rPr>
          <w:lang w:val="hu-HU"/>
        </w:rPr>
        <w:t>Emberi májmikroszómákkal végzett vizsgálatokban az eltrombopag (100</w:t>
      </w:r>
      <w:r w:rsidR="0029328F" w:rsidRPr="00360A40">
        <w:rPr>
          <w:lang w:val="hu-HU"/>
        </w:rPr>
        <w:t> </w:t>
      </w:r>
      <w:r w:rsidR="00B77ABF" w:rsidRPr="00B77ABF">
        <w:rPr>
          <w:lang w:val="hu-HU"/>
        </w:rPr>
        <w:t>μ</w:t>
      </w:r>
      <w:r w:rsidRPr="00360A40">
        <w:rPr>
          <w:lang w:val="hu-HU"/>
        </w:rPr>
        <w:t xml:space="preserve">M-ig) </w:t>
      </w:r>
      <w:r w:rsidRPr="00360A40">
        <w:rPr>
          <w:i/>
          <w:iCs/>
          <w:lang w:val="hu-HU"/>
        </w:rPr>
        <w:t xml:space="preserve">in vitro </w:t>
      </w:r>
      <w:r w:rsidRPr="00360A40">
        <w:rPr>
          <w:lang w:val="hu-HU"/>
        </w:rPr>
        <w:t>nem gátolta az 1A2, 2A6, 2C19, 2D6, 2E1, 3A4/5, és 4A9/11 CYP450 enzimeket, továbbá paklitaxel és diklofenak tesztszubsztrátok használata esetén a CYP2C8 és CYP2C9 inhibitora volt. 7</w:t>
      </w:r>
      <w:r w:rsidR="0029328F" w:rsidRPr="00360A40">
        <w:rPr>
          <w:lang w:val="hu-HU"/>
        </w:rPr>
        <w:t> </w:t>
      </w:r>
      <w:r w:rsidRPr="00360A40">
        <w:rPr>
          <w:lang w:val="hu-HU"/>
        </w:rPr>
        <w:t>napon át, naponta egyszeri 75</w:t>
      </w:r>
      <w:r w:rsidR="0029328F" w:rsidRPr="00360A40">
        <w:rPr>
          <w:lang w:val="hu-HU"/>
        </w:rPr>
        <w:t> </w:t>
      </w:r>
      <w:r w:rsidRPr="00360A40">
        <w:rPr>
          <w:lang w:val="hu-HU"/>
        </w:rPr>
        <w:t>mg eltrombopag, 24</w:t>
      </w:r>
      <w:r w:rsidR="0029328F" w:rsidRPr="00360A40">
        <w:rPr>
          <w:lang w:val="hu-HU"/>
        </w:rPr>
        <w:t> </w:t>
      </w:r>
      <w:r w:rsidRPr="00360A40">
        <w:rPr>
          <w:lang w:val="hu-HU"/>
        </w:rPr>
        <w:t xml:space="preserve">egészséges férfi önkéntesnek adva, nem gátolta és nem is indukálta az 1A2 (koffein), a 2C19 (omeprazol), a 2C9 (flurbiprofen) vagy a 3A4 (midazolam) próbaszubtrátjainak metabolizmusát </w:t>
      </w:r>
      <w:r w:rsidR="005D6C3D">
        <w:rPr>
          <w:lang w:val="hu-HU"/>
        </w:rPr>
        <w:t>embereknél</w:t>
      </w:r>
      <w:r w:rsidRPr="00360A40">
        <w:rPr>
          <w:lang w:val="hu-HU"/>
        </w:rPr>
        <w:t>. Az eltrombopag és a CYP450</w:t>
      </w:r>
      <w:r w:rsidR="005D6C3D">
        <w:rPr>
          <w:lang w:val="hu-HU"/>
        </w:rPr>
        <w:t xml:space="preserve"> </w:t>
      </w:r>
      <w:r w:rsidRPr="00360A40">
        <w:rPr>
          <w:lang w:val="hu-HU"/>
        </w:rPr>
        <w:t>szubsztrátjainak egyidejű alkalmazása</w:t>
      </w:r>
      <w:r w:rsidR="0029328F" w:rsidRPr="00360A40">
        <w:rPr>
          <w:lang w:val="hu-HU"/>
        </w:rPr>
        <w:t xml:space="preserve"> </w:t>
      </w:r>
      <w:r w:rsidRPr="00360A40">
        <w:rPr>
          <w:lang w:val="hu-HU"/>
        </w:rPr>
        <w:t>esetén nem várható klinikailag jelentős kölcsönhatás (lásd 5.2</w:t>
      </w:r>
      <w:r w:rsidR="0029328F" w:rsidRPr="00360A40">
        <w:rPr>
          <w:lang w:val="hu-HU"/>
        </w:rPr>
        <w:t> </w:t>
      </w:r>
      <w:r w:rsidRPr="00360A40">
        <w:rPr>
          <w:lang w:val="hu-HU"/>
        </w:rPr>
        <w:t>pont).</w:t>
      </w:r>
    </w:p>
    <w:p w14:paraId="342AE6C7" w14:textId="77777777" w:rsidR="002D66F3" w:rsidRPr="00360A40" w:rsidRDefault="002D66F3" w:rsidP="00360A40">
      <w:pPr>
        <w:pStyle w:val="Szvegtrzs"/>
        <w:kinsoku w:val="0"/>
        <w:overflowPunct w:val="0"/>
        <w:ind w:left="0"/>
        <w:rPr>
          <w:lang w:val="hu-HU"/>
        </w:rPr>
      </w:pPr>
    </w:p>
    <w:p w14:paraId="6CE43F60" w14:textId="509C9EBE" w:rsidR="002D66F3" w:rsidRPr="00360A40" w:rsidRDefault="002D66F3" w:rsidP="00360A40">
      <w:pPr>
        <w:pStyle w:val="Szvegtrzs"/>
        <w:kinsoku w:val="0"/>
        <w:overflowPunct w:val="0"/>
        <w:ind w:left="0"/>
        <w:rPr>
          <w:lang w:val="hu-HU"/>
        </w:rPr>
      </w:pPr>
      <w:r w:rsidRPr="00360A40">
        <w:rPr>
          <w:i/>
          <w:iCs/>
          <w:u w:val="single"/>
          <w:lang w:val="hu-HU"/>
        </w:rPr>
        <w:t>HCV-proteáz</w:t>
      </w:r>
      <w:r w:rsidR="002827B0">
        <w:rPr>
          <w:i/>
          <w:iCs/>
          <w:u w:val="single"/>
          <w:lang w:val="hu-HU"/>
        </w:rPr>
        <w:t>-</w:t>
      </w:r>
      <w:r w:rsidRPr="00360A40">
        <w:rPr>
          <w:i/>
          <w:iCs/>
          <w:u w:val="single"/>
          <w:lang w:val="hu-HU"/>
        </w:rPr>
        <w:t>gátlók</w:t>
      </w:r>
    </w:p>
    <w:p w14:paraId="0B6032F9" w14:textId="77777777" w:rsidR="002D66F3" w:rsidRPr="00360A40" w:rsidRDefault="002D66F3" w:rsidP="00360A40">
      <w:pPr>
        <w:pStyle w:val="Szvegtrzs"/>
        <w:kinsoku w:val="0"/>
        <w:overflowPunct w:val="0"/>
        <w:ind w:left="0"/>
        <w:rPr>
          <w:i/>
          <w:iCs/>
          <w:lang w:val="hu-HU"/>
        </w:rPr>
      </w:pPr>
    </w:p>
    <w:p w14:paraId="04903FEB" w14:textId="2F7B360D" w:rsidR="002D66F3" w:rsidRPr="00360A40" w:rsidRDefault="002D66F3" w:rsidP="00360A40">
      <w:pPr>
        <w:pStyle w:val="Szvegtrzs"/>
        <w:kinsoku w:val="0"/>
        <w:overflowPunct w:val="0"/>
        <w:ind w:left="0"/>
        <w:rPr>
          <w:lang w:val="hu-HU"/>
        </w:rPr>
      </w:pPr>
      <w:r w:rsidRPr="00360A40">
        <w:rPr>
          <w:lang w:val="hu-HU"/>
        </w:rPr>
        <w:lastRenderedPageBreak/>
        <w:t>Nincs szükség dózismódosításra, ha az eltrombopagot telaprevirrel vagy boceprevirrel adják együtt. Egyszeri 200</w:t>
      </w:r>
      <w:r w:rsidR="0029328F" w:rsidRPr="00360A40">
        <w:rPr>
          <w:lang w:val="hu-HU"/>
        </w:rPr>
        <w:t> </w:t>
      </w:r>
      <w:r w:rsidRPr="00360A40">
        <w:rPr>
          <w:lang w:val="hu-HU"/>
        </w:rPr>
        <w:t>mg eltrombopag 8</w:t>
      </w:r>
      <w:r w:rsidR="0029328F" w:rsidRPr="00360A40">
        <w:rPr>
          <w:lang w:val="hu-HU"/>
        </w:rPr>
        <w:t> </w:t>
      </w:r>
      <w:r w:rsidRPr="00360A40">
        <w:rPr>
          <w:lang w:val="hu-HU"/>
        </w:rPr>
        <w:t>óránként ismételt 750</w:t>
      </w:r>
      <w:r w:rsidR="0029328F" w:rsidRPr="00360A40">
        <w:rPr>
          <w:lang w:val="hu-HU"/>
        </w:rPr>
        <w:t> </w:t>
      </w:r>
      <w:r w:rsidRPr="00360A40">
        <w:rPr>
          <w:lang w:val="hu-HU"/>
        </w:rPr>
        <w:t>mg telaprevirrel való egyidejű alkalmazása nem változtatta meg a telaprevir plazmaexpozícióját.</w:t>
      </w:r>
    </w:p>
    <w:p w14:paraId="2CF0DC76" w14:textId="77777777" w:rsidR="002D66F3" w:rsidRPr="00360A40" w:rsidRDefault="002D66F3" w:rsidP="00360A40">
      <w:pPr>
        <w:pStyle w:val="Szvegtrzs"/>
        <w:kinsoku w:val="0"/>
        <w:overflowPunct w:val="0"/>
        <w:ind w:left="0"/>
        <w:rPr>
          <w:lang w:val="hu-HU"/>
        </w:rPr>
      </w:pPr>
    </w:p>
    <w:p w14:paraId="5C8F84A9" w14:textId="231B7B69" w:rsidR="009107E5" w:rsidRPr="00360A40" w:rsidRDefault="002D66F3" w:rsidP="00360A40">
      <w:pPr>
        <w:pStyle w:val="Szvegtrzs"/>
        <w:kinsoku w:val="0"/>
        <w:overflowPunct w:val="0"/>
        <w:ind w:left="0"/>
        <w:rPr>
          <w:lang w:val="hu-HU"/>
        </w:rPr>
      </w:pPr>
      <w:r w:rsidRPr="00360A40">
        <w:rPr>
          <w:lang w:val="hu-HU"/>
        </w:rPr>
        <w:t>Egyszeri 200</w:t>
      </w:r>
      <w:r w:rsidR="0029328F" w:rsidRPr="00360A40">
        <w:rPr>
          <w:lang w:val="hu-HU"/>
        </w:rPr>
        <w:t> </w:t>
      </w:r>
      <w:r w:rsidRPr="00360A40">
        <w:rPr>
          <w:lang w:val="hu-HU"/>
        </w:rPr>
        <w:t>mg eltrombopag 8</w:t>
      </w:r>
      <w:r w:rsidR="0029328F" w:rsidRPr="00360A40">
        <w:rPr>
          <w:lang w:val="hu-HU"/>
        </w:rPr>
        <w:t> </w:t>
      </w:r>
      <w:r w:rsidRPr="00360A40">
        <w:rPr>
          <w:lang w:val="hu-HU"/>
        </w:rPr>
        <w:t>óránként ismételt 800</w:t>
      </w:r>
      <w:r w:rsidR="0029328F" w:rsidRPr="00360A40">
        <w:rPr>
          <w:lang w:val="hu-HU"/>
        </w:rPr>
        <w:t> </w:t>
      </w:r>
      <w:r w:rsidRPr="00360A40">
        <w:rPr>
          <w:lang w:val="hu-HU"/>
        </w:rPr>
        <w:t>mg boceprevirrel való egyidejű alkalmazása nem változtatta meg a boceprevir AUC</w:t>
      </w:r>
      <w:r w:rsidR="00577A0B" w:rsidRPr="00577A0B">
        <w:rPr>
          <w:vertAlign w:val="subscript"/>
          <w:lang w:val="hu-HU"/>
        </w:rPr>
        <w:t>(0-τ)</w:t>
      </w:r>
      <w:r w:rsidRPr="00360A40">
        <w:rPr>
          <w:lang w:val="hu-HU"/>
        </w:rPr>
        <w:t>-értékét, azonban a C</w:t>
      </w:r>
      <w:r w:rsidR="00577A0B" w:rsidRPr="00577A0B">
        <w:rPr>
          <w:vertAlign w:val="subscript"/>
          <w:lang w:val="hu-HU"/>
        </w:rPr>
        <w:t>max</w:t>
      </w:r>
      <w:r w:rsidRPr="00360A40">
        <w:rPr>
          <w:lang w:val="hu-HU"/>
        </w:rPr>
        <w:t>-ot 20%-kal növelte, míg a C</w:t>
      </w:r>
      <w:r w:rsidRPr="00360A40">
        <w:rPr>
          <w:vertAlign w:val="subscript"/>
          <w:lang w:val="hu-HU"/>
        </w:rPr>
        <w:t>min</w:t>
      </w:r>
      <w:r w:rsidR="00FB21EF" w:rsidRPr="00360A40">
        <w:rPr>
          <w:lang w:val="hu-HU"/>
        </w:rPr>
        <w:noBreakHyphen/>
      </w:r>
      <w:r w:rsidRPr="00360A40">
        <w:rPr>
          <w:lang w:val="hu-HU"/>
        </w:rPr>
        <w:t>t 32%-kal csökkentette. A C</w:t>
      </w:r>
      <w:r w:rsidRPr="00360A40">
        <w:rPr>
          <w:vertAlign w:val="subscript"/>
          <w:lang w:val="hu-HU"/>
        </w:rPr>
        <w:t>min</w:t>
      </w:r>
      <w:r w:rsidRPr="00360A40">
        <w:rPr>
          <w:lang w:val="hu-HU"/>
        </w:rPr>
        <w:t xml:space="preserve"> csökkenésének klinikai jelentőségét nem igazolták. A</w:t>
      </w:r>
      <w:r w:rsidR="009107E5" w:rsidRPr="00360A40">
        <w:rPr>
          <w:lang w:val="hu-HU"/>
        </w:rPr>
        <w:t xml:space="preserve"> </w:t>
      </w:r>
      <w:r w:rsidRPr="00360A40">
        <w:rPr>
          <w:lang w:val="hu-HU"/>
        </w:rPr>
        <w:t>HCV-szuppresszió fokozott klinikai és laboratóriumi ellenőrzése javasolt.</w:t>
      </w:r>
    </w:p>
    <w:p w14:paraId="3529C8AD" w14:textId="77777777" w:rsidR="009107E5" w:rsidRPr="00360A40" w:rsidRDefault="009107E5" w:rsidP="00360A40">
      <w:pPr>
        <w:pStyle w:val="Szvegtrzs"/>
        <w:kinsoku w:val="0"/>
        <w:overflowPunct w:val="0"/>
        <w:ind w:left="0"/>
        <w:rPr>
          <w:lang w:val="hu-HU"/>
        </w:rPr>
      </w:pPr>
    </w:p>
    <w:p w14:paraId="386909EF" w14:textId="67DCD661" w:rsidR="002D66F3" w:rsidRPr="00360A40" w:rsidRDefault="002D66F3" w:rsidP="00360A40">
      <w:pPr>
        <w:pStyle w:val="Szvegtrzs"/>
        <w:kinsoku w:val="0"/>
        <w:overflowPunct w:val="0"/>
        <w:ind w:left="0"/>
        <w:rPr>
          <w:lang w:val="hu-HU"/>
        </w:rPr>
      </w:pPr>
      <w:r w:rsidRPr="00360A40">
        <w:rPr>
          <w:u w:val="single"/>
          <w:lang w:val="hu-HU"/>
        </w:rPr>
        <w:t>Egyéb gyógyszerek hatása az eltrombopagra</w:t>
      </w:r>
    </w:p>
    <w:p w14:paraId="29329C50" w14:textId="77777777" w:rsidR="00E44F3B" w:rsidRPr="00360A40" w:rsidRDefault="00E44F3B" w:rsidP="00360A40">
      <w:pPr>
        <w:pStyle w:val="Szvegtrzs"/>
        <w:kinsoku w:val="0"/>
        <w:overflowPunct w:val="0"/>
        <w:ind w:left="0"/>
        <w:rPr>
          <w:i/>
          <w:iCs/>
          <w:u w:val="single"/>
          <w:lang w:val="hu-HU"/>
        </w:rPr>
      </w:pPr>
    </w:p>
    <w:p w14:paraId="30AEE061" w14:textId="4C16FE9D" w:rsidR="002D66F3" w:rsidRPr="00360A40" w:rsidRDefault="002D66F3" w:rsidP="00360A40">
      <w:pPr>
        <w:pStyle w:val="Szvegtrzs"/>
        <w:kinsoku w:val="0"/>
        <w:overflowPunct w:val="0"/>
        <w:ind w:left="0"/>
        <w:rPr>
          <w:lang w:val="hu-HU"/>
        </w:rPr>
      </w:pPr>
      <w:r w:rsidRPr="00360A40">
        <w:rPr>
          <w:i/>
          <w:iCs/>
          <w:u w:val="single"/>
          <w:lang w:val="hu-HU"/>
        </w:rPr>
        <w:t>Ciklosporin</w:t>
      </w:r>
    </w:p>
    <w:p w14:paraId="3FE2B8D0" w14:textId="77777777" w:rsidR="002D66F3" w:rsidRPr="00360A40" w:rsidRDefault="002D66F3" w:rsidP="00360A40">
      <w:pPr>
        <w:pStyle w:val="Szvegtrzs"/>
        <w:kinsoku w:val="0"/>
        <w:overflowPunct w:val="0"/>
        <w:ind w:left="0"/>
        <w:rPr>
          <w:i/>
          <w:iCs/>
          <w:lang w:val="hu-HU"/>
        </w:rPr>
      </w:pPr>
    </w:p>
    <w:p w14:paraId="5522D08E" w14:textId="5625EF10" w:rsidR="002D66F3" w:rsidRPr="00360A40" w:rsidRDefault="002D66F3" w:rsidP="00360A40">
      <w:pPr>
        <w:pStyle w:val="Szvegtrzs"/>
        <w:kinsoku w:val="0"/>
        <w:overflowPunct w:val="0"/>
        <w:ind w:left="0"/>
        <w:rPr>
          <w:lang w:val="hu-HU"/>
        </w:rPr>
      </w:pPr>
      <w:r w:rsidRPr="00360A40">
        <w:rPr>
          <w:lang w:val="hu-HU"/>
        </w:rPr>
        <w:t>200</w:t>
      </w:r>
      <w:r w:rsidR="00492043" w:rsidRPr="00360A40">
        <w:rPr>
          <w:lang w:val="hu-HU"/>
        </w:rPr>
        <w:t> </w:t>
      </w:r>
      <w:r w:rsidRPr="00360A40">
        <w:rPr>
          <w:lang w:val="hu-HU"/>
        </w:rPr>
        <w:t>mg és 600</w:t>
      </w:r>
      <w:r w:rsidR="00492043" w:rsidRPr="00360A40">
        <w:rPr>
          <w:lang w:val="hu-HU"/>
        </w:rPr>
        <w:t> </w:t>
      </w:r>
      <w:r w:rsidRPr="00360A40">
        <w:rPr>
          <w:lang w:val="hu-HU"/>
        </w:rPr>
        <w:t>mg ciklosporin (BCRP inhibitor), illetve eltrombopag együttes adása során az eltrombopag expozíciójának csökkenését észlelték. A 200</w:t>
      </w:r>
      <w:r w:rsidR="00492043" w:rsidRPr="00360A40">
        <w:rPr>
          <w:lang w:val="hu-HU"/>
        </w:rPr>
        <w:t> </w:t>
      </w:r>
      <w:r w:rsidRPr="00360A40">
        <w:rPr>
          <w:lang w:val="hu-HU"/>
        </w:rPr>
        <w:t>mg ciklosporin együttes alkalmazása 25%-kal csökkentette az eltrombopag C</w:t>
      </w:r>
      <w:r w:rsidR="00577A0B" w:rsidRPr="00577A0B">
        <w:rPr>
          <w:vertAlign w:val="subscript"/>
          <w:lang w:val="hu-HU"/>
        </w:rPr>
        <w:t>max</w:t>
      </w:r>
      <w:r w:rsidRPr="00360A40">
        <w:rPr>
          <w:lang w:val="hu-HU"/>
        </w:rPr>
        <w:t>- és 18%-kal az AUC</w:t>
      </w:r>
      <w:r w:rsidR="009F216E" w:rsidRPr="009F216E">
        <w:rPr>
          <w:vertAlign w:val="subscript"/>
          <w:lang w:val="hu-HU"/>
        </w:rPr>
        <w:t>0-∞</w:t>
      </w:r>
      <w:r w:rsidRPr="00360A40">
        <w:rPr>
          <w:lang w:val="hu-HU"/>
        </w:rPr>
        <w:t>-értékét. A 600</w:t>
      </w:r>
      <w:r w:rsidR="00492043" w:rsidRPr="00360A40">
        <w:rPr>
          <w:lang w:val="hu-HU"/>
        </w:rPr>
        <w:t> </w:t>
      </w:r>
      <w:r w:rsidRPr="00360A40">
        <w:rPr>
          <w:lang w:val="hu-HU"/>
        </w:rPr>
        <w:t>mg ciklosporin együttes alkalmazása 39%-kal csökkentette az eltrombopag C</w:t>
      </w:r>
      <w:r w:rsidR="00577A0B" w:rsidRPr="00577A0B">
        <w:rPr>
          <w:vertAlign w:val="subscript"/>
          <w:lang w:val="hu-HU"/>
        </w:rPr>
        <w:t>max</w:t>
      </w:r>
      <w:r w:rsidRPr="00360A40">
        <w:rPr>
          <w:lang w:val="hu-HU"/>
        </w:rPr>
        <w:t>- és 24%-kal az AUC</w:t>
      </w:r>
      <w:r w:rsidR="009F216E" w:rsidRPr="009F216E">
        <w:rPr>
          <w:vertAlign w:val="subscript"/>
          <w:lang w:val="hu-HU"/>
        </w:rPr>
        <w:t>0-∞</w:t>
      </w:r>
      <w:r w:rsidRPr="00360A40">
        <w:rPr>
          <w:lang w:val="hu-HU"/>
        </w:rPr>
        <w:t>-értékét. A kezelés során az eltrombopag dózismódosítása a beteg vérlemezkeszáma alapján engedélyezett (lásd</w:t>
      </w:r>
      <w:r w:rsidR="00492043" w:rsidRPr="00360A40">
        <w:rPr>
          <w:lang w:val="hu-HU"/>
        </w:rPr>
        <w:t xml:space="preserve"> </w:t>
      </w:r>
      <w:r w:rsidRPr="00360A40">
        <w:rPr>
          <w:lang w:val="hu-HU"/>
        </w:rPr>
        <w:t>4.2</w:t>
      </w:r>
      <w:r w:rsidR="00492043" w:rsidRPr="00360A40">
        <w:rPr>
          <w:lang w:val="hu-HU"/>
        </w:rPr>
        <w:t> </w:t>
      </w:r>
      <w:r w:rsidRPr="00360A40">
        <w:rPr>
          <w:lang w:val="hu-HU"/>
        </w:rPr>
        <w:t>pont). Ha az eltrombopagot ciklsoporinnal együttesen alkalmazzák, a vérlemezkeszámot 2-3</w:t>
      </w:r>
      <w:r w:rsidR="00492043" w:rsidRPr="00360A40">
        <w:rPr>
          <w:lang w:val="hu-HU"/>
        </w:rPr>
        <w:t> </w:t>
      </w:r>
      <w:r w:rsidRPr="00360A40">
        <w:rPr>
          <w:lang w:val="hu-HU"/>
        </w:rPr>
        <w:t>héten keresztül legalább hetente kell ellenőrizni. A vérlemezkeszám alapján szükségessé válhat az eltrombopag dózisának növelése.</w:t>
      </w:r>
    </w:p>
    <w:p w14:paraId="33A7BF36" w14:textId="77777777" w:rsidR="002D66F3" w:rsidRPr="00360A40" w:rsidRDefault="002D66F3" w:rsidP="00360A40">
      <w:pPr>
        <w:pStyle w:val="Szvegtrzs"/>
        <w:kinsoku w:val="0"/>
        <w:overflowPunct w:val="0"/>
        <w:ind w:left="0"/>
        <w:rPr>
          <w:lang w:val="hu-HU"/>
        </w:rPr>
      </w:pPr>
    </w:p>
    <w:p w14:paraId="455F5C79" w14:textId="77777777" w:rsidR="002D66F3" w:rsidRPr="00360A40" w:rsidRDefault="002D66F3" w:rsidP="00360A40">
      <w:pPr>
        <w:pStyle w:val="Szvegtrzs"/>
        <w:kinsoku w:val="0"/>
        <w:overflowPunct w:val="0"/>
        <w:ind w:left="0"/>
        <w:rPr>
          <w:lang w:val="hu-HU"/>
        </w:rPr>
      </w:pPr>
      <w:r w:rsidRPr="00360A40">
        <w:rPr>
          <w:i/>
          <w:iCs/>
          <w:u w:val="single"/>
          <w:lang w:val="hu-HU"/>
        </w:rPr>
        <w:t>Polivalens kationok (kelátképzés)</w:t>
      </w:r>
    </w:p>
    <w:p w14:paraId="766B7056" w14:textId="77777777" w:rsidR="002D66F3" w:rsidRPr="00360A40" w:rsidRDefault="002D66F3" w:rsidP="00360A40">
      <w:pPr>
        <w:pStyle w:val="Szvegtrzs"/>
        <w:kinsoku w:val="0"/>
        <w:overflowPunct w:val="0"/>
        <w:ind w:left="0"/>
        <w:rPr>
          <w:i/>
          <w:iCs/>
          <w:lang w:val="hu-HU"/>
        </w:rPr>
      </w:pPr>
    </w:p>
    <w:p w14:paraId="2459CF95" w14:textId="2D1C761D" w:rsidR="002D66F3" w:rsidRPr="00360A40" w:rsidRDefault="002D66F3" w:rsidP="00360A40">
      <w:pPr>
        <w:pStyle w:val="Szvegtrzs"/>
        <w:kinsoku w:val="0"/>
        <w:overflowPunct w:val="0"/>
        <w:ind w:left="0"/>
        <w:rPr>
          <w:lang w:val="hu-HU"/>
        </w:rPr>
      </w:pPr>
      <w:r w:rsidRPr="00360A40">
        <w:rPr>
          <w:lang w:val="hu-HU"/>
        </w:rPr>
        <w:t>Az eltrombopag kelátot képez a polivalens kationokkal, így a vassal, a kalciummal, a magnéziummal, az alumíniummal, a szelénnel és a cinkkel. Egyetlen 75</w:t>
      </w:r>
      <w:r w:rsidR="00492043" w:rsidRPr="00360A40">
        <w:rPr>
          <w:lang w:val="hu-HU"/>
        </w:rPr>
        <w:t> </w:t>
      </w:r>
      <w:r w:rsidRPr="00360A40">
        <w:rPr>
          <w:lang w:val="hu-HU"/>
        </w:rPr>
        <w:t>mg-os eltrombopag adag és egy polivalens kationt tartalmazó antacid (1524</w:t>
      </w:r>
      <w:r w:rsidR="00492043" w:rsidRPr="00360A40">
        <w:rPr>
          <w:lang w:val="hu-HU"/>
        </w:rPr>
        <w:t> </w:t>
      </w:r>
      <w:r w:rsidRPr="00360A40">
        <w:rPr>
          <w:lang w:val="hu-HU"/>
        </w:rPr>
        <w:t>mg alumínium-hidroxid és 1425</w:t>
      </w:r>
      <w:r w:rsidR="00492043" w:rsidRPr="00360A40">
        <w:rPr>
          <w:lang w:val="hu-HU"/>
        </w:rPr>
        <w:t> </w:t>
      </w:r>
      <w:r w:rsidRPr="00360A40">
        <w:rPr>
          <w:lang w:val="hu-HU"/>
        </w:rPr>
        <w:t>mg magnézium-karbonát) együttes adásakor 70%-kal csökkent a plazma-eltrombopag-AUC</w:t>
      </w:r>
      <w:r w:rsidR="009F216E" w:rsidRPr="009F216E">
        <w:rPr>
          <w:vertAlign w:val="subscript"/>
          <w:lang w:val="hu-HU"/>
        </w:rPr>
        <w:t>0-∞</w:t>
      </w:r>
      <w:r w:rsidRPr="00360A40">
        <w:rPr>
          <w:lang w:val="hu-HU"/>
        </w:rPr>
        <w:t>-értéke (90%-os CI: 64%, 76%), és</w:t>
      </w:r>
      <w:r w:rsidR="009107E5" w:rsidRPr="00360A40">
        <w:rPr>
          <w:lang w:val="hu-HU"/>
        </w:rPr>
        <w:t xml:space="preserve"> </w:t>
      </w:r>
      <w:r w:rsidRPr="00360A40">
        <w:rPr>
          <w:lang w:val="hu-HU"/>
        </w:rPr>
        <w:t>70%-kal a C</w:t>
      </w:r>
      <w:r w:rsidR="00577A0B" w:rsidRPr="00577A0B">
        <w:rPr>
          <w:vertAlign w:val="subscript"/>
          <w:lang w:val="hu-HU"/>
        </w:rPr>
        <w:t>max</w:t>
      </w:r>
      <w:r w:rsidRPr="00360A40">
        <w:rPr>
          <w:lang w:val="hu-HU"/>
        </w:rPr>
        <w:t>-értéke (90%-os CI: 62%, 76%). Az eltrombopagot legalább két órával előbb vagy négy órával később kell bevenni, mint bármilyen más készítményt, mint például az antacidákat, a tejtermékeket vagy polivalens kationokat tartalmazó sópótlókat, hogy az eltrombopag felszívódása ne csökkenjen jelentős mértékben a kelátképzés miatt (lásd 4.2 és 5.2</w:t>
      </w:r>
      <w:r w:rsidR="00492043" w:rsidRPr="00360A40">
        <w:rPr>
          <w:lang w:val="hu-HU"/>
        </w:rPr>
        <w:t> </w:t>
      </w:r>
      <w:r w:rsidRPr="00360A40">
        <w:rPr>
          <w:lang w:val="hu-HU"/>
        </w:rPr>
        <w:t>pont).</w:t>
      </w:r>
    </w:p>
    <w:p w14:paraId="50AADFA8" w14:textId="77777777" w:rsidR="009107E5" w:rsidRPr="00360A40" w:rsidRDefault="009107E5" w:rsidP="00360A40">
      <w:pPr>
        <w:pStyle w:val="Szvegtrzs"/>
        <w:kinsoku w:val="0"/>
        <w:overflowPunct w:val="0"/>
        <w:ind w:left="0"/>
        <w:rPr>
          <w:i/>
          <w:iCs/>
          <w:u w:val="single"/>
          <w:lang w:val="hu-HU"/>
        </w:rPr>
      </w:pPr>
    </w:p>
    <w:p w14:paraId="77E7084F" w14:textId="1EEBA1CC" w:rsidR="002D66F3" w:rsidRPr="00360A40" w:rsidRDefault="002D66F3" w:rsidP="00360A40">
      <w:pPr>
        <w:pStyle w:val="Szvegtrzs"/>
        <w:kinsoku w:val="0"/>
        <w:overflowPunct w:val="0"/>
        <w:ind w:left="0"/>
        <w:rPr>
          <w:lang w:val="hu-HU"/>
        </w:rPr>
      </w:pPr>
      <w:r w:rsidRPr="00360A40">
        <w:rPr>
          <w:i/>
          <w:iCs/>
          <w:u w:val="single"/>
          <w:lang w:val="hu-HU"/>
        </w:rPr>
        <w:t>Lopinavir/ritonavir</w:t>
      </w:r>
    </w:p>
    <w:p w14:paraId="7536A832" w14:textId="77777777" w:rsidR="002D66F3" w:rsidRPr="00360A40" w:rsidRDefault="002D66F3" w:rsidP="00360A40">
      <w:pPr>
        <w:pStyle w:val="Szvegtrzs"/>
        <w:kinsoku w:val="0"/>
        <w:overflowPunct w:val="0"/>
        <w:ind w:left="0"/>
        <w:rPr>
          <w:i/>
          <w:iCs/>
          <w:lang w:val="hu-HU"/>
        </w:rPr>
      </w:pPr>
    </w:p>
    <w:p w14:paraId="4CDF7CC6" w14:textId="37EBF39A" w:rsidR="002D66F3" w:rsidRPr="00360A40" w:rsidRDefault="002D66F3" w:rsidP="00360A40">
      <w:pPr>
        <w:pStyle w:val="Szvegtrzs"/>
        <w:kinsoku w:val="0"/>
        <w:overflowPunct w:val="0"/>
        <w:ind w:left="0"/>
        <w:rPr>
          <w:lang w:val="hu-HU"/>
        </w:rPr>
      </w:pPr>
      <w:r w:rsidRPr="00360A40">
        <w:rPr>
          <w:lang w:val="hu-HU"/>
        </w:rPr>
        <w:t>Eltrombopag és lopinavir/ritonavir együttadása esetén csökkenhet az eltrombopag koncentrációja. Egy vizsgálat, melybe 40 egészséges önkéntest vontak be, azt mutatta, hogy egyszeri 100</w:t>
      </w:r>
      <w:r w:rsidR="00492043" w:rsidRPr="00360A40">
        <w:rPr>
          <w:lang w:val="hu-HU"/>
        </w:rPr>
        <w:t> </w:t>
      </w:r>
      <w:r w:rsidRPr="00360A40">
        <w:rPr>
          <w:lang w:val="hu-HU"/>
        </w:rPr>
        <w:t>mg-os eltrombopag-dózis együttadása ismételten adott lopinavirral/ritonavirral (naponta kétszer 400/100</w:t>
      </w:r>
      <w:r w:rsidR="00492043" w:rsidRPr="00360A40">
        <w:rPr>
          <w:lang w:val="hu-HU"/>
        </w:rPr>
        <w:t> </w:t>
      </w:r>
      <w:r w:rsidRPr="00360A40">
        <w:rPr>
          <w:lang w:val="hu-HU"/>
        </w:rPr>
        <w:t>mg) az eltrombopag plazma AUC</w:t>
      </w:r>
      <w:r w:rsidR="009F216E" w:rsidRPr="009F216E">
        <w:rPr>
          <w:vertAlign w:val="subscript"/>
          <w:lang w:val="hu-HU"/>
        </w:rPr>
        <w:t>0-∞</w:t>
      </w:r>
      <w:r w:rsidRPr="00360A40">
        <w:rPr>
          <w:lang w:val="hu-HU"/>
        </w:rPr>
        <w:t>-értékének 17%-os csökkenését eredményezte (90%-os CI: 6,6%, 26,6%). Ezért eltrombopag és lopinavir/ritonavir együttadása esetén elővigyázatosság szükséges. A vérlemezkeszámot gondosan ellenőrizni kell a lopinavir/ritonavir-kezelés megkezdése, vagy abbahagyása esetén, hogy az orvos az eltrombopag adagját helyesen tudja meghatározni.</w:t>
      </w:r>
    </w:p>
    <w:p w14:paraId="34C2A673" w14:textId="77777777" w:rsidR="002D66F3" w:rsidRPr="00360A40" w:rsidRDefault="002D66F3" w:rsidP="00360A40">
      <w:pPr>
        <w:pStyle w:val="Szvegtrzs"/>
        <w:kinsoku w:val="0"/>
        <w:overflowPunct w:val="0"/>
        <w:ind w:left="0"/>
        <w:rPr>
          <w:lang w:val="hu-HU"/>
        </w:rPr>
      </w:pPr>
    </w:p>
    <w:p w14:paraId="2A78608C" w14:textId="77777777" w:rsidR="002D66F3" w:rsidRPr="00360A40" w:rsidRDefault="002D66F3" w:rsidP="00360A40">
      <w:pPr>
        <w:pStyle w:val="Szvegtrzs"/>
        <w:kinsoku w:val="0"/>
        <w:overflowPunct w:val="0"/>
        <w:ind w:left="0"/>
        <w:rPr>
          <w:lang w:val="hu-HU"/>
        </w:rPr>
      </w:pPr>
      <w:r w:rsidRPr="00360A40">
        <w:rPr>
          <w:i/>
          <w:iCs/>
          <w:u w:val="single"/>
          <w:lang w:val="hu-HU"/>
        </w:rPr>
        <w:t>CYP1A2- és CYP2C8-gátlók és -induktorok</w:t>
      </w:r>
    </w:p>
    <w:p w14:paraId="671C9B5F" w14:textId="77777777" w:rsidR="002D66F3" w:rsidRPr="00360A40" w:rsidRDefault="002D66F3" w:rsidP="00360A40">
      <w:pPr>
        <w:pStyle w:val="Szvegtrzs"/>
        <w:kinsoku w:val="0"/>
        <w:overflowPunct w:val="0"/>
        <w:ind w:left="0"/>
        <w:rPr>
          <w:i/>
          <w:iCs/>
          <w:lang w:val="hu-HU"/>
        </w:rPr>
      </w:pPr>
    </w:p>
    <w:p w14:paraId="4F817469" w14:textId="35639B85" w:rsidR="002D66F3" w:rsidRPr="00360A40" w:rsidRDefault="002D66F3" w:rsidP="00360A40">
      <w:pPr>
        <w:pStyle w:val="Szvegtrzs"/>
        <w:kinsoku w:val="0"/>
        <w:overflowPunct w:val="0"/>
        <w:ind w:left="0"/>
        <w:rPr>
          <w:lang w:val="hu-HU"/>
        </w:rPr>
      </w:pPr>
      <w:r w:rsidRPr="00360A40">
        <w:rPr>
          <w:lang w:val="hu-HU"/>
        </w:rPr>
        <w:t>Az eltrombopag többféle úton metabolizálódik, beleértve a CYP1A2, CYP2C8, UGT1A1 és UGT1A3 enzimeket (lásd 5.2</w:t>
      </w:r>
      <w:r w:rsidR="00492043" w:rsidRPr="00360A40">
        <w:rPr>
          <w:lang w:val="hu-HU"/>
        </w:rPr>
        <w:t> </w:t>
      </w:r>
      <w:r w:rsidRPr="00360A40">
        <w:rPr>
          <w:lang w:val="hu-HU"/>
        </w:rPr>
        <w:t>pont). Azok a gyógyszerek, amelyek egyetlen enzimet gátolnak vagy indukálnak, nem valószínű, hogy jelentős mértékben befolyásolják az eltrombopag plazmakocentrációját; míg azok a gyógyszerek, amelyek több enzimet is gátolnak vagy indukálnak, képesek az eltrombopag koncentrációját növelni (pl. fluvoxamin) vagy csökkenteni (pl. rifampicin).</w:t>
      </w:r>
    </w:p>
    <w:p w14:paraId="345BC560" w14:textId="77777777" w:rsidR="002D66F3" w:rsidRPr="00360A40" w:rsidRDefault="002D66F3" w:rsidP="00360A40">
      <w:pPr>
        <w:pStyle w:val="Szvegtrzs"/>
        <w:kinsoku w:val="0"/>
        <w:overflowPunct w:val="0"/>
        <w:ind w:left="0"/>
        <w:rPr>
          <w:lang w:val="hu-HU"/>
        </w:rPr>
      </w:pPr>
    </w:p>
    <w:p w14:paraId="3FAFB690" w14:textId="21B5C6CE" w:rsidR="002D66F3" w:rsidRPr="00360A40" w:rsidRDefault="002D66F3" w:rsidP="00360A40">
      <w:pPr>
        <w:pStyle w:val="Szvegtrzs"/>
        <w:kinsoku w:val="0"/>
        <w:overflowPunct w:val="0"/>
        <w:ind w:left="0"/>
        <w:rPr>
          <w:lang w:val="hu-HU"/>
        </w:rPr>
      </w:pPr>
      <w:r w:rsidRPr="00360A40">
        <w:rPr>
          <w:i/>
          <w:iCs/>
          <w:u w:val="single"/>
          <w:lang w:val="hu-HU"/>
        </w:rPr>
        <w:t>HCV-proteáz</w:t>
      </w:r>
      <w:r w:rsidR="002827B0">
        <w:rPr>
          <w:i/>
          <w:iCs/>
          <w:u w:val="single"/>
          <w:lang w:val="hu-HU"/>
        </w:rPr>
        <w:t>-</w:t>
      </w:r>
      <w:r w:rsidRPr="00360A40">
        <w:rPr>
          <w:i/>
          <w:iCs/>
          <w:u w:val="single"/>
          <w:lang w:val="hu-HU"/>
        </w:rPr>
        <w:t>gátlók</w:t>
      </w:r>
    </w:p>
    <w:p w14:paraId="52FB7F1D" w14:textId="77777777" w:rsidR="002D66F3" w:rsidRPr="00360A40" w:rsidRDefault="002D66F3" w:rsidP="00360A40">
      <w:pPr>
        <w:pStyle w:val="Szvegtrzs"/>
        <w:kinsoku w:val="0"/>
        <w:overflowPunct w:val="0"/>
        <w:ind w:left="0"/>
        <w:rPr>
          <w:i/>
          <w:iCs/>
          <w:lang w:val="hu-HU"/>
        </w:rPr>
      </w:pPr>
    </w:p>
    <w:p w14:paraId="15485C58" w14:textId="24D55D14" w:rsidR="002D66F3" w:rsidRPr="00360A40" w:rsidRDefault="002D66F3" w:rsidP="00360A40">
      <w:pPr>
        <w:pStyle w:val="Szvegtrzs"/>
        <w:kinsoku w:val="0"/>
        <w:overflowPunct w:val="0"/>
        <w:ind w:left="0"/>
        <w:rPr>
          <w:lang w:val="hu-HU"/>
        </w:rPr>
      </w:pPr>
      <w:r w:rsidRPr="00360A40">
        <w:rPr>
          <w:lang w:val="hu-HU"/>
        </w:rPr>
        <w:t>Egy gyógyszer–gyógyszer farmakokinetikai interakció vizsgálat eredményei alapján a 8</w:t>
      </w:r>
      <w:r w:rsidR="00492043" w:rsidRPr="00360A40">
        <w:rPr>
          <w:lang w:val="hu-HU"/>
        </w:rPr>
        <w:t> </w:t>
      </w:r>
      <w:r w:rsidRPr="00360A40">
        <w:rPr>
          <w:lang w:val="hu-HU"/>
        </w:rPr>
        <w:t>óránként ismételten adagolt 800</w:t>
      </w:r>
      <w:r w:rsidR="00492043" w:rsidRPr="00360A40">
        <w:rPr>
          <w:lang w:val="hu-HU"/>
        </w:rPr>
        <w:t> </w:t>
      </w:r>
      <w:r w:rsidRPr="00360A40">
        <w:rPr>
          <w:lang w:val="hu-HU"/>
        </w:rPr>
        <w:t>mg boceprevir vagy 8</w:t>
      </w:r>
      <w:r w:rsidR="00492043" w:rsidRPr="00360A40">
        <w:rPr>
          <w:lang w:val="hu-HU"/>
        </w:rPr>
        <w:t> </w:t>
      </w:r>
      <w:r w:rsidRPr="00360A40">
        <w:rPr>
          <w:lang w:val="hu-HU"/>
        </w:rPr>
        <w:t>óránként ismételten adagolt 750</w:t>
      </w:r>
      <w:r w:rsidR="00492043" w:rsidRPr="00360A40">
        <w:rPr>
          <w:lang w:val="hu-HU"/>
        </w:rPr>
        <w:t> </w:t>
      </w:r>
      <w:r w:rsidRPr="00360A40">
        <w:rPr>
          <w:lang w:val="hu-HU"/>
        </w:rPr>
        <w:t>mg telaprevir 200</w:t>
      </w:r>
      <w:r w:rsidR="00492043" w:rsidRPr="00360A40">
        <w:rPr>
          <w:lang w:val="hu-HU"/>
        </w:rPr>
        <w:t> </w:t>
      </w:r>
      <w:r w:rsidRPr="00360A40">
        <w:rPr>
          <w:lang w:val="hu-HU"/>
        </w:rPr>
        <w:t>mg egyszeri dózisú eltrombopaggal történő együttadása nem befolyásolta jelentős mértékben az eltrombopag plazmaexpozícióját.</w:t>
      </w:r>
    </w:p>
    <w:p w14:paraId="140B6986" w14:textId="77777777" w:rsidR="002D66F3" w:rsidRPr="00360A40" w:rsidRDefault="002D66F3" w:rsidP="00360A40">
      <w:pPr>
        <w:pStyle w:val="Szvegtrzs"/>
        <w:kinsoku w:val="0"/>
        <w:overflowPunct w:val="0"/>
        <w:ind w:left="0"/>
        <w:rPr>
          <w:lang w:val="hu-HU"/>
        </w:rPr>
      </w:pPr>
    </w:p>
    <w:p w14:paraId="14DBED15" w14:textId="77777777" w:rsidR="002D66F3" w:rsidRPr="00360A40" w:rsidRDefault="002D66F3" w:rsidP="00360A40">
      <w:pPr>
        <w:pStyle w:val="Szvegtrzs"/>
        <w:kinsoku w:val="0"/>
        <w:overflowPunct w:val="0"/>
        <w:ind w:left="0"/>
        <w:rPr>
          <w:lang w:val="hu-HU"/>
        </w:rPr>
      </w:pPr>
      <w:r w:rsidRPr="00360A40">
        <w:rPr>
          <w:u w:val="single"/>
          <w:lang w:val="hu-HU"/>
        </w:rPr>
        <w:t>ITP kezelésére használt gyógyszerek</w:t>
      </w:r>
    </w:p>
    <w:p w14:paraId="54230955" w14:textId="77777777" w:rsidR="002D66F3" w:rsidRPr="00360A40" w:rsidRDefault="002D66F3" w:rsidP="00360A40">
      <w:pPr>
        <w:pStyle w:val="Szvegtrzs"/>
        <w:kinsoku w:val="0"/>
        <w:overflowPunct w:val="0"/>
        <w:ind w:left="0"/>
        <w:rPr>
          <w:lang w:val="hu-HU"/>
        </w:rPr>
      </w:pPr>
    </w:p>
    <w:p w14:paraId="5F29DF63" w14:textId="14852F65" w:rsidR="002D66F3" w:rsidRPr="00360A40" w:rsidRDefault="002D66F3" w:rsidP="00360A40">
      <w:pPr>
        <w:pStyle w:val="Szvegtrzs"/>
        <w:kinsoku w:val="0"/>
        <w:overflowPunct w:val="0"/>
        <w:ind w:left="0"/>
        <w:rPr>
          <w:lang w:val="hu-HU"/>
        </w:rPr>
      </w:pPr>
      <w:r w:rsidRPr="00360A40">
        <w:rPr>
          <w:lang w:val="hu-HU"/>
        </w:rPr>
        <w:t>Klinikai vizsgálatokban az eltrombopagot az ITP kezelésére alkalmazott következő gyógyszerekkel adták együtt: kortikoszteroidok, danazol és/vagy azatioprin, intravénás immunglobulin (IVIG), és anti-D immunglobulin. Az eltrombopag és az ITP-re adott más gyógyszerek kombinációban történő alkalmazása esetén a vérlemezkeszám monitorozása szükséges, a javasolt vérlemezkeszám határértékek túllépésének elkerülése céljából (lásd 4.2</w:t>
      </w:r>
      <w:r w:rsidR="00492043" w:rsidRPr="00360A40">
        <w:rPr>
          <w:lang w:val="hu-HU"/>
        </w:rPr>
        <w:t> </w:t>
      </w:r>
      <w:r w:rsidRPr="00360A40">
        <w:rPr>
          <w:lang w:val="hu-HU"/>
        </w:rPr>
        <w:t>pont).</w:t>
      </w:r>
    </w:p>
    <w:p w14:paraId="646BCD2D" w14:textId="77777777" w:rsidR="002D66F3" w:rsidRPr="00360A40" w:rsidRDefault="002D66F3" w:rsidP="00360A40">
      <w:pPr>
        <w:pStyle w:val="Szvegtrzs"/>
        <w:kinsoku w:val="0"/>
        <w:overflowPunct w:val="0"/>
        <w:ind w:left="0"/>
        <w:rPr>
          <w:lang w:val="hu-HU"/>
        </w:rPr>
      </w:pPr>
    </w:p>
    <w:p w14:paraId="16AB2CFD" w14:textId="77777777" w:rsidR="002D66F3" w:rsidRPr="00360A40" w:rsidRDefault="002D66F3" w:rsidP="00360A40">
      <w:pPr>
        <w:pStyle w:val="Szvegtrzs"/>
        <w:kinsoku w:val="0"/>
        <w:overflowPunct w:val="0"/>
        <w:ind w:left="0"/>
        <w:rPr>
          <w:lang w:val="hu-HU"/>
        </w:rPr>
      </w:pPr>
      <w:r w:rsidRPr="00360A40">
        <w:rPr>
          <w:u w:val="single"/>
          <w:lang w:val="hu-HU"/>
        </w:rPr>
        <w:t>Kölcsönhatás élelmiszerekkel</w:t>
      </w:r>
    </w:p>
    <w:p w14:paraId="3FE9A021" w14:textId="77777777" w:rsidR="002D66F3" w:rsidRPr="00360A40" w:rsidRDefault="002D66F3" w:rsidP="00360A40">
      <w:pPr>
        <w:pStyle w:val="Szvegtrzs"/>
        <w:kinsoku w:val="0"/>
        <w:overflowPunct w:val="0"/>
        <w:ind w:left="0"/>
        <w:rPr>
          <w:lang w:val="hu-HU"/>
        </w:rPr>
      </w:pPr>
    </w:p>
    <w:p w14:paraId="00B0F100" w14:textId="71ED3635" w:rsidR="002D66F3" w:rsidRPr="00360A40" w:rsidRDefault="002D66F3" w:rsidP="00360A40">
      <w:pPr>
        <w:pStyle w:val="Szvegtrzs"/>
        <w:kinsoku w:val="0"/>
        <w:overflowPunct w:val="0"/>
        <w:ind w:left="0"/>
        <w:rPr>
          <w:lang w:val="hu-HU"/>
        </w:rPr>
      </w:pPr>
      <w:r w:rsidRPr="00360A40">
        <w:rPr>
          <w:lang w:val="hu-HU"/>
        </w:rPr>
        <w:t>Az eltrombopag tabletta vagy por belsőleges szuszpenzióhoz magas kalciumtartalmú étellel (pl. tejtermékeket tartalmazó étkezés) történő adása jelentősen csökkentette az eltrombopag AUC</w:t>
      </w:r>
      <w:r w:rsidRPr="00360A40">
        <w:rPr>
          <w:vertAlign w:val="subscript"/>
          <w:lang w:val="hu-HU"/>
        </w:rPr>
        <w:t>0-∞</w:t>
      </w:r>
      <w:r w:rsidRPr="00360A40">
        <w:rPr>
          <w:lang w:val="hu-HU"/>
        </w:rPr>
        <w:t>-t és C</w:t>
      </w:r>
      <w:r w:rsidR="00577A0B" w:rsidRPr="00577A0B">
        <w:rPr>
          <w:vertAlign w:val="subscript"/>
          <w:lang w:val="hu-HU"/>
        </w:rPr>
        <w:t>max</w:t>
      </w:r>
      <w:r w:rsidRPr="00360A40">
        <w:rPr>
          <w:lang w:val="hu-HU"/>
        </w:rPr>
        <w:t>-ot. Ezzel szemben az eltrombopagnak 2</w:t>
      </w:r>
      <w:r w:rsidR="00492043" w:rsidRPr="00360A40">
        <w:rPr>
          <w:lang w:val="hu-HU"/>
        </w:rPr>
        <w:t> </w:t>
      </w:r>
      <w:r w:rsidRPr="00360A40">
        <w:rPr>
          <w:lang w:val="hu-HU"/>
        </w:rPr>
        <w:t>órával a magas kalciumtartalmú étel előtt vagy 4</w:t>
      </w:r>
      <w:r w:rsidR="00FB21EF" w:rsidRPr="00360A40">
        <w:rPr>
          <w:lang w:val="hu-HU"/>
        </w:rPr>
        <w:t> </w:t>
      </w:r>
      <w:r w:rsidRPr="00360A40">
        <w:rPr>
          <w:lang w:val="hu-HU"/>
        </w:rPr>
        <w:t>órával azután történő, vagy alacsony kalciumtartalmú étellel [&lt;</w:t>
      </w:r>
      <w:r w:rsidR="00492043" w:rsidRPr="00360A40">
        <w:rPr>
          <w:lang w:val="hu-HU"/>
        </w:rPr>
        <w:t> </w:t>
      </w:r>
      <w:r w:rsidRPr="00360A40">
        <w:rPr>
          <w:lang w:val="hu-HU"/>
        </w:rPr>
        <w:t>50</w:t>
      </w:r>
      <w:r w:rsidR="00492043" w:rsidRPr="00360A40">
        <w:rPr>
          <w:lang w:val="hu-HU"/>
        </w:rPr>
        <w:t> </w:t>
      </w:r>
      <w:r w:rsidRPr="00360A40">
        <w:rPr>
          <w:lang w:val="hu-HU"/>
        </w:rPr>
        <w:t>mg kalcium] történő együtt adása nem változtatta meg klinikailag jelentős mértékben a plazma eltrombopag-expozíciót (lásd 4.2</w:t>
      </w:r>
      <w:r w:rsidR="00492043" w:rsidRPr="00360A40">
        <w:rPr>
          <w:lang w:val="hu-HU"/>
        </w:rPr>
        <w:t> </w:t>
      </w:r>
      <w:r w:rsidRPr="00360A40">
        <w:rPr>
          <w:lang w:val="hu-HU"/>
        </w:rPr>
        <w:t>pont).</w:t>
      </w:r>
    </w:p>
    <w:p w14:paraId="1F1A4CC4" w14:textId="77777777" w:rsidR="002D66F3" w:rsidRPr="00360A40" w:rsidRDefault="002D66F3" w:rsidP="00360A40">
      <w:pPr>
        <w:pStyle w:val="Szvegtrzs"/>
        <w:kinsoku w:val="0"/>
        <w:overflowPunct w:val="0"/>
        <w:ind w:left="0"/>
        <w:rPr>
          <w:lang w:val="hu-HU"/>
        </w:rPr>
      </w:pPr>
    </w:p>
    <w:p w14:paraId="4EFFC4C9" w14:textId="3445723C" w:rsidR="002D66F3" w:rsidRPr="00360A40" w:rsidRDefault="002D66F3" w:rsidP="00360A40">
      <w:pPr>
        <w:pStyle w:val="Szvegtrzs"/>
        <w:kinsoku w:val="0"/>
        <w:overflowPunct w:val="0"/>
        <w:ind w:left="0"/>
        <w:rPr>
          <w:lang w:val="hu-HU"/>
        </w:rPr>
      </w:pPr>
      <w:r w:rsidRPr="00360A40">
        <w:rPr>
          <w:lang w:val="hu-HU"/>
        </w:rPr>
        <w:t>Standard, magas kalóriájú, magas zsírtartalmú, tejtermékeket is tartalmazó reggeli mellett tabletta formájában adott egyetlen 50</w:t>
      </w:r>
      <w:r w:rsidR="00492043" w:rsidRPr="00360A40">
        <w:rPr>
          <w:lang w:val="hu-HU"/>
        </w:rPr>
        <w:t> </w:t>
      </w:r>
      <w:r w:rsidRPr="00360A40">
        <w:rPr>
          <w:lang w:val="hu-HU"/>
        </w:rPr>
        <w:t>mg-os eltrombopag</w:t>
      </w:r>
      <w:r w:rsidR="00492043" w:rsidRPr="00360A40">
        <w:rPr>
          <w:lang w:val="hu-HU"/>
        </w:rPr>
        <w:t xml:space="preserve"> </w:t>
      </w:r>
      <w:r w:rsidRPr="00360A40">
        <w:rPr>
          <w:lang w:val="hu-HU"/>
        </w:rPr>
        <w:t>dózis az átlagos plazma-eltrombopag-AUC</w:t>
      </w:r>
      <w:r w:rsidRPr="00360A40">
        <w:rPr>
          <w:vertAlign w:val="subscript"/>
          <w:lang w:val="hu-HU"/>
        </w:rPr>
        <w:t>0-∞</w:t>
      </w:r>
      <w:r w:rsidRPr="00360A40">
        <w:rPr>
          <w:lang w:val="hu-HU"/>
        </w:rPr>
        <w:t>-t 59%-kal, és az átlagos C</w:t>
      </w:r>
      <w:r w:rsidR="00577A0B" w:rsidRPr="00577A0B">
        <w:rPr>
          <w:vertAlign w:val="subscript"/>
          <w:lang w:val="hu-HU"/>
        </w:rPr>
        <w:t>max</w:t>
      </w:r>
      <w:r w:rsidRPr="00360A40">
        <w:rPr>
          <w:lang w:val="hu-HU"/>
        </w:rPr>
        <w:t>-ot 65%-kal csökkentette.</w:t>
      </w:r>
    </w:p>
    <w:p w14:paraId="452D203C" w14:textId="77777777" w:rsidR="002D66F3" w:rsidRPr="00360A40" w:rsidRDefault="002D66F3" w:rsidP="00360A40">
      <w:pPr>
        <w:pStyle w:val="Szvegtrzs"/>
        <w:kinsoku w:val="0"/>
        <w:overflowPunct w:val="0"/>
        <w:ind w:left="0"/>
        <w:rPr>
          <w:lang w:val="hu-HU"/>
        </w:rPr>
      </w:pPr>
    </w:p>
    <w:p w14:paraId="6F3A6B6C" w14:textId="0D641F41" w:rsidR="002D66F3" w:rsidRPr="00360A40" w:rsidRDefault="002D66F3" w:rsidP="00360A40">
      <w:pPr>
        <w:pStyle w:val="Szvegtrzs"/>
        <w:kinsoku w:val="0"/>
        <w:overflowPunct w:val="0"/>
        <w:ind w:left="0"/>
        <w:rPr>
          <w:lang w:val="hu-HU"/>
        </w:rPr>
      </w:pPr>
      <w:r w:rsidRPr="00360A40">
        <w:rPr>
          <w:lang w:val="hu-HU"/>
        </w:rPr>
        <w:t>Egyszeri 25</w:t>
      </w:r>
      <w:r w:rsidR="00492043" w:rsidRPr="00360A40">
        <w:rPr>
          <w:lang w:val="hu-HU"/>
        </w:rPr>
        <w:t> </w:t>
      </w:r>
      <w:r w:rsidRPr="00360A40">
        <w:rPr>
          <w:lang w:val="hu-HU"/>
        </w:rPr>
        <w:t>mg-os adag eltrombopag por belsőleges szuszpenzióhoz alkalmazása magas kalciumtartalmú, mérsékelt zsír- és mérsékelt kalóriatartalmú étel fogyasztása mellett az átlagos AUC</w:t>
      </w:r>
      <w:r w:rsidRPr="00360A40">
        <w:rPr>
          <w:vertAlign w:val="subscript"/>
          <w:lang w:val="hu-HU"/>
        </w:rPr>
        <w:t>0-∞</w:t>
      </w:r>
      <w:r w:rsidRPr="00360A40">
        <w:rPr>
          <w:lang w:val="hu-HU"/>
        </w:rPr>
        <w:t xml:space="preserve"> 75%-kal, és az átlagos C</w:t>
      </w:r>
      <w:r w:rsidR="00577A0B" w:rsidRPr="00577A0B">
        <w:rPr>
          <w:vertAlign w:val="subscript"/>
          <w:lang w:val="hu-HU"/>
        </w:rPr>
        <w:t>max</w:t>
      </w:r>
      <w:r w:rsidRPr="00360A40">
        <w:rPr>
          <w:lang w:val="hu-HU"/>
        </w:rPr>
        <w:t xml:space="preserve"> 79%-kal csökkent. Ez a csökkenés azonban mérséklődött, ha az egyszeri 25</w:t>
      </w:r>
      <w:r w:rsidR="00492043" w:rsidRPr="00360A40">
        <w:rPr>
          <w:lang w:val="hu-HU"/>
        </w:rPr>
        <w:t> </w:t>
      </w:r>
      <w:r w:rsidRPr="00360A40">
        <w:rPr>
          <w:lang w:val="hu-HU"/>
        </w:rPr>
        <w:t>mg-os adag eltrombopag por belsőleges szuszpenzióhoz alkalmazása 2</w:t>
      </w:r>
      <w:r w:rsidR="00492043" w:rsidRPr="00360A40">
        <w:rPr>
          <w:lang w:val="hu-HU"/>
        </w:rPr>
        <w:t> </w:t>
      </w:r>
      <w:r w:rsidRPr="00360A40">
        <w:rPr>
          <w:lang w:val="hu-HU"/>
        </w:rPr>
        <w:t>órával a magas kalciumtartalmú étel fogyasztása előtt történt (az átlagos AUC</w:t>
      </w:r>
      <w:r w:rsidRPr="00360A40">
        <w:rPr>
          <w:vertAlign w:val="subscript"/>
          <w:lang w:val="hu-HU"/>
        </w:rPr>
        <w:t>0-∞</w:t>
      </w:r>
      <w:r w:rsidRPr="00360A40">
        <w:rPr>
          <w:lang w:val="hu-HU"/>
        </w:rPr>
        <w:t xml:space="preserve"> 20%-kal és az átlagos C</w:t>
      </w:r>
      <w:r w:rsidR="00577A0B" w:rsidRPr="00577A0B">
        <w:rPr>
          <w:vertAlign w:val="subscript"/>
          <w:lang w:val="hu-HU"/>
        </w:rPr>
        <w:t>max</w:t>
      </w:r>
      <w:r w:rsidRPr="00360A40">
        <w:rPr>
          <w:lang w:val="hu-HU"/>
        </w:rPr>
        <w:t xml:space="preserve"> 14%-kal csökkent).</w:t>
      </w:r>
    </w:p>
    <w:p w14:paraId="3E4A1080" w14:textId="77777777" w:rsidR="00AC2CB4" w:rsidRPr="00360A40" w:rsidRDefault="00AC2CB4" w:rsidP="00360A40">
      <w:pPr>
        <w:pStyle w:val="Szvegtrzs"/>
        <w:kinsoku w:val="0"/>
        <w:overflowPunct w:val="0"/>
        <w:ind w:left="0"/>
        <w:rPr>
          <w:lang w:val="hu-HU"/>
        </w:rPr>
      </w:pPr>
    </w:p>
    <w:p w14:paraId="0FD766C1" w14:textId="3C264BF8" w:rsidR="002D66F3" w:rsidRPr="00360A40" w:rsidRDefault="002D66F3" w:rsidP="00360A40">
      <w:pPr>
        <w:pStyle w:val="Szvegtrzs"/>
        <w:kinsoku w:val="0"/>
        <w:overflowPunct w:val="0"/>
        <w:ind w:left="0"/>
        <w:rPr>
          <w:lang w:val="hu-HU"/>
        </w:rPr>
      </w:pPr>
      <w:r w:rsidRPr="00360A40">
        <w:rPr>
          <w:lang w:val="hu-HU"/>
        </w:rPr>
        <w:t>Kalória- és zsírtartalomától függetlenül az alacsony kalciumtartalmú étel (&lt;</w:t>
      </w:r>
      <w:r w:rsidR="00492043" w:rsidRPr="00360A40">
        <w:rPr>
          <w:lang w:val="hu-HU"/>
        </w:rPr>
        <w:t> </w:t>
      </w:r>
      <w:r w:rsidRPr="00360A40">
        <w:rPr>
          <w:lang w:val="hu-HU"/>
        </w:rPr>
        <w:t>50</w:t>
      </w:r>
      <w:r w:rsidR="00492043" w:rsidRPr="00360A40">
        <w:rPr>
          <w:lang w:val="hu-HU"/>
        </w:rPr>
        <w:t> </w:t>
      </w:r>
      <w:r w:rsidRPr="00360A40">
        <w:rPr>
          <w:lang w:val="hu-HU"/>
        </w:rPr>
        <w:t>mg kalcium), beleértve a gyümölcsöt, sovány sonkát, marhahúst és természetes (hozzáadott kalciumot, magnéziumot vagy vasat nem tartalmazó) gyümölcslevet, természetes szójatejet és természetes gabonát, nem befolyásolta jelentősen a plazma eltrombopag-expozíciót (lásd 4.2 és 4.5</w:t>
      </w:r>
      <w:r w:rsidR="00492043" w:rsidRPr="00360A40">
        <w:rPr>
          <w:lang w:val="hu-HU"/>
        </w:rPr>
        <w:t> </w:t>
      </w:r>
      <w:r w:rsidRPr="00360A40">
        <w:rPr>
          <w:lang w:val="hu-HU"/>
        </w:rPr>
        <w:t>pont).</w:t>
      </w:r>
    </w:p>
    <w:p w14:paraId="558DB89A" w14:textId="77777777" w:rsidR="002D66F3" w:rsidRPr="00360A40" w:rsidRDefault="002D66F3" w:rsidP="00360A40">
      <w:pPr>
        <w:pStyle w:val="Szvegtrzs"/>
        <w:kinsoku w:val="0"/>
        <w:overflowPunct w:val="0"/>
        <w:ind w:left="0"/>
        <w:rPr>
          <w:lang w:val="hu-HU"/>
        </w:rPr>
      </w:pPr>
    </w:p>
    <w:p w14:paraId="38EFD884" w14:textId="4FEB6EF3" w:rsidR="002D66F3" w:rsidRPr="00360A40" w:rsidRDefault="00AC2CB4" w:rsidP="00360A40">
      <w:pPr>
        <w:pStyle w:val="Cmsor1"/>
        <w:kinsoku w:val="0"/>
        <w:overflowPunct w:val="0"/>
        <w:ind w:left="0" w:firstLine="0"/>
        <w:rPr>
          <w:b w:val="0"/>
          <w:bCs w:val="0"/>
          <w:lang w:val="hu-HU"/>
        </w:rPr>
      </w:pPr>
      <w:r w:rsidRPr="00360A40">
        <w:rPr>
          <w:lang w:val="hu-HU"/>
        </w:rPr>
        <w:t>4.6</w:t>
      </w:r>
      <w:r w:rsidRPr="00360A40">
        <w:rPr>
          <w:lang w:val="hu-HU"/>
        </w:rPr>
        <w:tab/>
      </w:r>
      <w:r w:rsidR="002D66F3" w:rsidRPr="00360A40">
        <w:rPr>
          <w:lang w:val="hu-HU"/>
        </w:rPr>
        <w:t>Termékenység, terhesség és szoptatás</w:t>
      </w:r>
    </w:p>
    <w:p w14:paraId="6452215C" w14:textId="77777777" w:rsidR="002D66F3" w:rsidRPr="00360A40" w:rsidRDefault="002D66F3" w:rsidP="00360A40">
      <w:pPr>
        <w:pStyle w:val="Szvegtrzs"/>
        <w:kinsoku w:val="0"/>
        <w:overflowPunct w:val="0"/>
        <w:ind w:left="0"/>
        <w:rPr>
          <w:b/>
          <w:bCs/>
          <w:lang w:val="hu-HU"/>
        </w:rPr>
      </w:pPr>
    </w:p>
    <w:p w14:paraId="3DD6A55B" w14:textId="77777777" w:rsidR="002D66F3" w:rsidRPr="002827B0" w:rsidRDefault="002D66F3" w:rsidP="00360A40">
      <w:pPr>
        <w:pStyle w:val="Szvegtrzs"/>
        <w:kinsoku w:val="0"/>
        <w:overflowPunct w:val="0"/>
        <w:ind w:left="0"/>
        <w:rPr>
          <w:lang w:val="hu-HU"/>
        </w:rPr>
      </w:pPr>
      <w:r w:rsidRPr="009F4BD6">
        <w:rPr>
          <w:iCs/>
          <w:u w:val="single"/>
          <w:lang w:val="hu-HU"/>
        </w:rPr>
        <w:t>Terhesség</w:t>
      </w:r>
    </w:p>
    <w:p w14:paraId="6E927337" w14:textId="77777777" w:rsidR="002D66F3" w:rsidRPr="00360A40" w:rsidRDefault="002D66F3" w:rsidP="00360A40">
      <w:pPr>
        <w:pStyle w:val="Szvegtrzs"/>
        <w:kinsoku w:val="0"/>
        <w:overflowPunct w:val="0"/>
        <w:ind w:left="0"/>
        <w:rPr>
          <w:i/>
          <w:iCs/>
          <w:lang w:val="hu-HU"/>
        </w:rPr>
      </w:pPr>
    </w:p>
    <w:p w14:paraId="035AF90C" w14:textId="478D3D31" w:rsidR="002D66F3" w:rsidRPr="00360A40" w:rsidRDefault="002D66F3" w:rsidP="002827B0">
      <w:pPr>
        <w:pStyle w:val="Szvegtrzs"/>
        <w:kinsoku w:val="0"/>
        <w:overflowPunct w:val="0"/>
        <w:ind w:left="0"/>
        <w:rPr>
          <w:lang w:val="hu-HU"/>
        </w:rPr>
      </w:pPr>
      <w:r w:rsidRPr="00360A40">
        <w:rPr>
          <w:lang w:val="hu-HU"/>
        </w:rPr>
        <w:t>Az eltrombopag terhes nők</w:t>
      </w:r>
      <w:r w:rsidR="002827B0">
        <w:rPr>
          <w:lang w:val="hu-HU"/>
        </w:rPr>
        <w:t>nél</w:t>
      </w:r>
      <w:r w:rsidRPr="00360A40">
        <w:rPr>
          <w:lang w:val="hu-HU"/>
        </w:rPr>
        <w:t xml:space="preserve"> történő </w:t>
      </w:r>
      <w:r w:rsidR="002827B0" w:rsidRPr="002827B0">
        <w:rPr>
          <w:lang w:val="hu-HU"/>
        </w:rPr>
        <w:t>alkalmazásáról nincsenek adatok, vagy korlátozott mennyiségű adat áll rendelkezésre.</w:t>
      </w:r>
      <w:r w:rsidR="002827B0">
        <w:rPr>
          <w:lang w:val="hu-HU"/>
        </w:rPr>
        <w:t xml:space="preserve"> </w:t>
      </w:r>
      <w:r w:rsidR="002827B0" w:rsidRPr="002827B0">
        <w:rPr>
          <w:lang w:val="hu-HU"/>
        </w:rPr>
        <w:t>Az állatokkal végzett vizsgálatok reprodukciós toxicitást igazoltak</w:t>
      </w:r>
      <w:r w:rsidRPr="00360A40">
        <w:rPr>
          <w:lang w:val="hu-HU"/>
        </w:rPr>
        <w:t xml:space="preserve"> (lásd 5.3</w:t>
      </w:r>
      <w:r w:rsidR="006D0A8B" w:rsidRPr="00360A40">
        <w:rPr>
          <w:lang w:val="hu-HU"/>
        </w:rPr>
        <w:t> </w:t>
      </w:r>
      <w:r w:rsidRPr="00360A40">
        <w:rPr>
          <w:lang w:val="hu-HU"/>
        </w:rPr>
        <w:t xml:space="preserve">pont). </w:t>
      </w:r>
      <w:r w:rsidR="005D6C3D">
        <w:rPr>
          <w:lang w:val="hu-HU"/>
        </w:rPr>
        <w:t>Embereknél</w:t>
      </w:r>
      <w:r w:rsidRPr="00360A40">
        <w:rPr>
          <w:lang w:val="hu-HU"/>
        </w:rPr>
        <w:t xml:space="preserve"> a </w:t>
      </w:r>
      <w:r w:rsidR="002827B0">
        <w:rPr>
          <w:lang w:val="hu-HU"/>
        </w:rPr>
        <w:t xml:space="preserve">lehetséges kockázat mértéke </w:t>
      </w:r>
      <w:r w:rsidRPr="00360A40">
        <w:rPr>
          <w:lang w:val="hu-HU"/>
        </w:rPr>
        <w:t>nem ismert.</w:t>
      </w:r>
    </w:p>
    <w:p w14:paraId="541102C5" w14:textId="77777777" w:rsidR="002D66F3" w:rsidRPr="00360A40" w:rsidRDefault="002D66F3" w:rsidP="00360A40">
      <w:pPr>
        <w:pStyle w:val="Szvegtrzs"/>
        <w:kinsoku w:val="0"/>
        <w:overflowPunct w:val="0"/>
        <w:ind w:left="0"/>
        <w:rPr>
          <w:lang w:val="hu-HU"/>
        </w:rPr>
      </w:pPr>
    </w:p>
    <w:p w14:paraId="2BA42F5C" w14:textId="7930C9CE" w:rsidR="002D66F3" w:rsidRPr="00360A40" w:rsidRDefault="002D66F3" w:rsidP="00360A40">
      <w:pPr>
        <w:pStyle w:val="Szvegtrzs"/>
        <w:kinsoku w:val="0"/>
        <w:overflowPunct w:val="0"/>
        <w:ind w:left="0"/>
        <w:rPr>
          <w:lang w:val="hu-HU"/>
        </w:rPr>
      </w:pPr>
      <w:r w:rsidRPr="00360A40">
        <w:rPr>
          <w:lang w:val="hu-HU"/>
        </w:rPr>
        <w:t>A</w:t>
      </w:r>
      <w:r w:rsidR="006D0A8B" w:rsidRPr="00360A40">
        <w:rPr>
          <w:lang w:val="hu-HU"/>
        </w:rPr>
        <w:t>z</w:t>
      </w:r>
      <w:r w:rsidRPr="00360A40">
        <w:rPr>
          <w:lang w:val="hu-HU"/>
        </w:rPr>
        <w:t xml:space="preserve"> </w:t>
      </w:r>
      <w:r w:rsidR="004873CF" w:rsidRPr="00360A40">
        <w:rPr>
          <w:lang w:val="hu-HU"/>
        </w:rPr>
        <w:t xml:space="preserve">Eltrombopag </w:t>
      </w:r>
      <w:r w:rsidR="00182D80" w:rsidRPr="00360A40">
        <w:rPr>
          <w:lang w:val="hu-HU"/>
        </w:rPr>
        <w:t>Vipharm</w:t>
      </w:r>
      <w:r w:rsidR="00342A5C" w:rsidRPr="00360A40">
        <w:rPr>
          <w:lang w:val="hu-HU"/>
        </w:rPr>
        <w:t xml:space="preserve"> </w:t>
      </w:r>
      <w:r w:rsidR="002827B0">
        <w:rPr>
          <w:lang w:val="hu-HU"/>
        </w:rPr>
        <w:t xml:space="preserve">alkalmazása </w:t>
      </w:r>
      <w:r w:rsidRPr="00360A40">
        <w:rPr>
          <w:lang w:val="hu-HU"/>
        </w:rPr>
        <w:t>nem javasolt terhesség alatt.</w:t>
      </w:r>
    </w:p>
    <w:p w14:paraId="54B9B68F" w14:textId="77777777" w:rsidR="002D66F3" w:rsidRPr="00360A40" w:rsidRDefault="002D66F3" w:rsidP="00360A40">
      <w:pPr>
        <w:pStyle w:val="Szvegtrzs"/>
        <w:kinsoku w:val="0"/>
        <w:overflowPunct w:val="0"/>
        <w:ind w:left="0"/>
        <w:rPr>
          <w:lang w:val="hu-HU"/>
        </w:rPr>
      </w:pPr>
    </w:p>
    <w:p w14:paraId="739D797E" w14:textId="107164E9" w:rsidR="002D66F3" w:rsidRPr="002827B0" w:rsidRDefault="002D66F3" w:rsidP="00360A40">
      <w:pPr>
        <w:pStyle w:val="Szvegtrzs"/>
        <w:kinsoku w:val="0"/>
        <w:overflowPunct w:val="0"/>
        <w:ind w:left="0"/>
        <w:rPr>
          <w:lang w:val="hu-HU"/>
        </w:rPr>
      </w:pPr>
      <w:r w:rsidRPr="009F4BD6">
        <w:rPr>
          <w:iCs/>
          <w:u w:val="single"/>
          <w:lang w:val="hu-HU"/>
        </w:rPr>
        <w:t xml:space="preserve">Fogamzóképes nők / fogamzásgátlás férfiaknál és nőknél </w:t>
      </w:r>
    </w:p>
    <w:p w14:paraId="7B4AC60A" w14:textId="77777777" w:rsidR="002D66F3" w:rsidRPr="00360A40" w:rsidRDefault="002D66F3" w:rsidP="00360A40">
      <w:pPr>
        <w:pStyle w:val="Szvegtrzs"/>
        <w:kinsoku w:val="0"/>
        <w:overflowPunct w:val="0"/>
        <w:ind w:left="0"/>
        <w:rPr>
          <w:i/>
          <w:iCs/>
          <w:lang w:val="hu-HU"/>
        </w:rPr>
      </w:pPr>
    </w:p>
    <w:p w14:paraId="7E9C63CB" w14:textId="31BE8388" w:rsidR="002D66F3" w:rsidRPr="00360A40" w:rsidRDefault="002D66F3" w:rsidP="00360A40">
      <w:pPr>
        <w:pStyle w:val="Szvegtrzs"/>
        <w:kinsoku w:val="0"/>
        <w:overflowPunct w:val="0"/>
        <w:ind w:left="0"/>
        <w:rPr>
          <w:lang w:val="hu-HU"/>
        </w:rPr>
      </w:pPr>
      <w:r w:rsidRPr="00360A40">
        <w:rPr>
          <w:lang w:val="hu-HU"/>
        </w:rPr>
        <w:t>A</w:t>
      </w:r>
      <w:r w:rsidR="006D0A8B" w:rsidRPr="00360A40">
        <w:rPr>
          <w:lang w:val="hu-HU"/>
        </w:rPr>
        <w:t>z</w:t>
      </w:r>
      <w:r w:rsidRPr="00360A40">
        <w:rPr>
          <w:lang w:val="hu-HU"/>
        </w:rPr>
        <w:t xml:space="preserve"> </w:t>
      </w:r>
      <w:r w:rsidR="004873CF" w:rsidRPr="00360A40">
        <w:rPr>
          <w:lang w:val="hu-HU"/>
        </w:rPr>
        <w:t xml:space="preserve">Eltrombopag </w:t>
      </w:r>
      <w:r w:rsidR="00182D80" w:rsidRPr="00360A40">
        <w:rPr>
          <w:lang w:val="hu-HU"/>
        </w:rPr>
        <w:t>Vipharm</w:t>
      </w:r>
      <w:r w:rsidRPr="00360A40">
        <w:rPr>
          <w:lang w:val="hu-HU"/>
        </w:rPr>
        <w:t xml:space="preserve"> nem javasolt fogamzásgátlást nem alkalmazó, fogamzóképes nőknek.</w:t>
      </w:r>
    </w:p>
    <w:p w14:paraId="50AD4DD1" w14:textId="77777777" w:rsidR="002D66F3" w:rsidRPr="00360A40" w:rsidRDefault="002D66F3" w:rsidP="00360A40">
      <w:pPr>
        <w:pStyle w:val="Szvegtrzs"/>
        <w:kinsoku w:val="0"/>
        <w:overflowPunct w:val="0"/>
        <w:ind w:left="0"/>
        <w:rPr>
          <w:lang w:val="hu-HU"/>
        </w:rPr>
      </w:pPr>
    </w:p>
    <w:p w14:paraId="238F3A7F" w14:textId="77777777" w:rsidR="002D66F3" w:rsidRPr="002827B0" w:rsidRDefault="002D66F3" w:rsidP="00360A40">
      <w:pPr>
        <w:pStyle w:val="Szvegtrzs"/>
        <w:kinsoku w:val="0"/>
        <w:overflowPunct w:val="0"/>
        <w:ind w:left="0"/>
        <w:rPr>
          <w:lang w:val="hu-HU"/>
        </w:rPr>
      </w:pPr>
      <w:r w:rsidRPr="009F4BD6">
        <w:rPr>
          <w:iCs/>
          <w:u w:val="single"/>
          <w:lang w:val="hu-HU"/>
        </w:rPr>
        <w:t>Szoptatás</w:t>
      </w:r>
    </w:p>
    <w:p w14:paraId="48C3DF5F" w14:textId="77777777" w:rsidR="002D66F3" w:rsidRPr="00360A40" w:rsidRDefault="002D66F3" w:rsidP="00360A40">
      <w:pPr>
        <w:pStyle w:val="Szvegtrzs"/>
        <w:kinsoku w:val="0"/>
        <w:overflowPunct w:val="0"/>
        <w:ind w:left="0"/>
        <w:rPr>
          <w:i/>
          <w:iCs/>
          <w:lang w:val="hu-HU"/>
        </w:rPr>
      </w:pPr>
    </w:p>
    <w:p w14:paraId="1D5D130F" w14:textId="4877394B" w:rsidR="002D66F3" w:rsidRPr="00360A40" w:rsidRDefault="002D66F3" w:rsidP="00360A40">
      <w:pPr>
        <w:pStyle w:val="Szvegtrzs"/>
        <w:kinsoku w:val="0"/>
        <w:overflowPunct w:val="0"/>
        <w:ind w:left="0"/>
        <w:rPr>
          <w:lang w:val="hu-HU"/>
        </w:rPr>
      </w:pPr>
      <w:r w:rsidRPr="00360A40">
        <w:rPr>
          <w:lang w:val="hu-HU"/>
        </w:rPr>
        <w:t>Nem ismert, hogy az eltrombopag</w:t>
      </w:r>
      <w:r w:rsidR="002827B0">
        <w:rPr>
          <w:lang w:val="hu-HU"/>
        </w:rPr>
        <w:t>,</w:t>
      </w:r>
      <w:r w:rsidRPr="00360A40">
        <w:rPr>
          <w:lang w:val="hu-HU"/>
        </w:rPr>
        <w:t xml:space="preserve"> ill. metabolitjai kiválasztódnak-e a </w:t>
      </w:r>
      <w:r w:rsidR="002827B0">
        <w:rPr>
          <w:lang w:val="hu-HU"/>
        </w:rPr>
        <w:t xml:space="preserve">humán </w:t>
      </w:r>
      <w:r w:rsidRPr="00360A40">
        <w:rPr>
          <w:lang w:val="hu-HU"/>
        </w:rPr>
        <w:t>anyatejbe. Az állatokon végzett kísérletek arra utalnak, hogy az eltrombopag valószínűleg kiválasztódik az anyatejbe (lásd 5.3</w:t>
      </w:r>
      <w:r w:rsidR="006D0A8B" w:rsidRPr="00360A40">
        <w:rPr>
          <w:lang w:val="hu-HU"/>
        </w:rPr>
        <w:t> </w:t>
      </w:r>
      <w:r w:rsidRPr="00360A40">
        <w:rPr>
          <w:lang w:val="hu-HU"/>
        </w:rPr>
        <w:t xml:space="preserve">pont); ezért a szoptatott csecsemőre vonatkozó kockázat nem zárható ki. </w:t>
      </w:r>
      <w:r w:rsidR="002827B0">
        <w:rPr>
          <w:lang w:val="hu-HU"/>
        </w:rPr>
        <w:t>A</w:t>
      </w:r>
      <w:r w:rsidR="00FB21EF" w:rsidRPr="00360A40">
        <w:rPr>
          <w:lang w:val="hu-HU"/>
        </w:rPr>
        <w:t>z</w:t>
      </w:r>
      <w:r w:rsidRPr="00360A40">
        <w:rPr>
          <w:lang w:val="hu-HU"/>
        </w:rPr>
        <w:t xml:space="preserve"> </w:t>
      </w:r>
      <w:r w:rsidR="00FB21EF" w:rsidRPr="00360A40">
        <w:rPr>
          <w:lang w:val="hu-HU"/>
        </w:rPr>
        <w:t>Eltrombopag Vipharm</w:t>
      </w:r>
      <w:r w:rsidR="002827B0" w:rsidRPr="008E7A1E">
        <w:rPr>
          <w:lang w:val="hu-HU"/>
        </w:rPr>
        <w:t xml:space="preserve"> </w:t>
      </w:r>
      <w:r w:rsidR="002827B0" w:rsidRPr="002827B0">
        <w:rPr>
          <w:lang w:val="hu-HU"/>
        </w:rPr>
        <w:t>alkalmazása előtt el kell dönteni, hogy a szoptatást függesztik fel, vagy a kezelést szakítják meg /halasztják el – figyelembe véve a szoptatás előnyét a gyermek, illetve a kezelés előnyét az anya szempontjából</w:t>
      </w:r>
      <w:r w:rsidRPr="00360A40">
        <w:rPr>
          <w:lang w:val="hu-HU"/>
        </w:rPr>
        <w:t>.</w:t>
      </w:r>
    </w:p>
    <w:p w14:paraId="16B0EE3C" w14:textId="77777777" w:rsidR="002D66F3" w:rsidRPr="00360A40" w:rsidRDefault="002D66F3" w:rsidP="00360A40">
      <w:pPr>
        <w:pStyle w:val="Szvegtrzs"/>
        <w:kinsoku w:val="0"/>
        <w:overflowPunct w:val="0"/>
        <w:ind w:left="0"/>
        <w:rPr>
          <w:lang w:val="hu-HU"/>
        </w:rPr>
      </w:pPr>
    </w:p>
    <w:p w14:paraId="1CB027BA" w14:textId="77777777" w:rsidR="002D66F3" w:rsidRPr="002827B0" w:rsidRDefault="002D66F3" w:rsidP="00360A40">
      <w:pPr>
        <w:pStyle w:val="Szvegtrzs"/>
        <w:kinsoku w:val="0"/>
        <w:overflowPunct w:val="0"/>
        <w:ind w:left="0"/>
        <w:rPr>
          <w:lang w:val="hu-HU"/>
        </w:rPr>
      </w:pPr>
      <w:r w:rsidRPr="009F4BD6">
        <w:rPr>
          <w:iCs/>
          <w:u w:val="single"/>
          <w:lang w:val="hu-HU"/>
        </w:rPr>
        <w:t>Termékenység</w:t>
      </w:r>
    </w:p>
    <w:p w14:paraId="2CF0B954" w14:textId="77777777" w:rsidR="002D66F3" w:rsidRPr="00360A40" w:rsidRDefault="002D66F3" w:rsidP="00360A40">
      <w:pPr>
        <w:pStyle w:val="Szvegtrzs"/>
        <w:kinsoku w:val="0"/>
        <w:overflowPunct w:val="0"/>
        <w:ind w:left="0"/>
        <w:rPr>
          <w:i/>
          <w:iCs/>
          <w:lang w:val="hu-HU"/>
        </w:rPr>
      </w:pPr>
    </w:p>
    <w:p w14:paraId="2A028C2E" w14:textId="4F5FDDE0" w:rsidR="002D66F3" w:rsidRPr="00360A40" w:rsidRDefault="002D66F3" w:rsidP="00360A40">
      <w:pPr>
        <w:pStyle w:val="Szvegtrzs"/>
        <w:kinsoku w:val="0"/>
        <w:overflowPunct w:val="0"/>
        <w:ind w:left="0"/>
        <w:rPr>
          <w:lang w:val="hu-HU"/>
        </w:rPr>
      </w:pPr>
      <w:r w:rsidRPr="00360A40">
        <w:rPr>
          <w:lang w:val="hu-HU"/>
        </w:rPr>
        <w:t>A humán alkalmazással összevethető mértékű expozíciók mellett nem tapasztaltak a hím vagy nőstény patkányok termékenységére gyakorolt hatást. Mindamellett az emberekre gyakorolt kockázat nem zárható ki (lásd 5.3</w:t>
      </w:r>
      <w:r w:rsidR="006D0A8B" w:rsidRPr="00360A40">
        <w:rPr>
          <w:lang w:val="hu-HU"/>
        </w:rPr>
        <w:t> </w:t>
      </w:r>
      <w:r w:rsidRPr="00360A40">
        <w:rPr>
          <w:lang w:val="hu-HU"/>
        </w:rPr>
        <w:t>pont).</w:t>
      </w:r>
    </w:p>
    <w:p w14:paraId="3EC8912F" w14:textId="77777777" w:rsidR="002D66F3" w:rsidRPr="00360A40" w:rsidRDefault="002D66F3" w:rsidP="00360A40">
      <w:pPr>
        <w:pStyle w:val="Szvegtrzs"/>
        <w:kinsoku w:val="0"/>
        <w:overflowPunct w:val="0"/>
        <w:ind w:left="0"/>
        <w:rPr>
          <w:lang w:val="hu-HU"/>
        </w:rPr>
      </w:pPr>
    </w:p>
    <w:p w14:paraId="2F769510" w14:textId="38C9F87B" w:rsidR="002D66F3" w:rsidRPr="00360A40" w:rsidRDefault="00AC2CB4" w:rsidP="00360A40">
      <w:pPr>
        <w:pStyle w:val="Cmsor1"/>
        <w:kinsoku w:val="0"/>
        <w:overflowPunct w:val="0"/>
        <w:ind w:left="0" w:firstLine="0"/>
        <w:rPr>
          <w:b w:val="0"/>
          <w:bCs w:val="0"/>
          <w:lang w:val="hu-HU"/>
        </w:rPr>
      </w:pPr>
      <w:r w:rsidRPr="00360A40">
        <w:rPr>
          <w:lang w:val="hu-HU"/>
        </w:rPr>
        <w:t>4.7</w:t>
      </w:r>
      <w:r w:rsidRPr="00360A40">
        <w:rPr>
          <w:lang w:val="hu-HU"/>
        </w:rPr>
        <w:tab/>
      </w:r>
      <w:r w:rsidR="002D66F3" w:rsidRPr="00360A40">
        <w:rPr>
          <w:lang w:val="hu-HU"/>
        </w:rPr>
        <w:t>A készítmény hatásai a gépjárművezetéshez és a gépek kezeléséhez szükséges képességekre</w:t>
      </w:r>
    </w:p>
    <w:p w14:paraId="73414A3F" w14:textId="77777777" w:rsidR="002D66F3" w:rsidRPr="00360A40" w:rsidRDefault="002D66F3" w:rsidP="00360A40">
      <w:pPr>
        <w:pStyle w:val="Szvegtrzs"/>
        <w:kinsoku w:val="0"/>
        <w:overflowPunct w:val="0"/>
        <w:ind w:left="0"/>
        <w:rPr>
          <w:b/>
          <w:bCs/>
          <w:lang w:val="hu-HU"/>
        </w:rPr>
      </w:pPr>
    </w:p>
    <w:p w14:paraId="2ACA3F03" w14:textId="5A5E156E" w:rsidR="002D66F3" w:rsidRPr="00360A40" w:rsidRDefault="002D66F3" w:rsidP="00360A40">
      <w:pPr>
        <w:pStyle w:val="Szvegtrzs"/>
        <w:kinsoku w:val="0"/>
        <w:overflowPunct w:val="0"/>
        <w:ind w:left="0"/>
        <w:rPr>
          <w:lang w:val="hu-HU"/>
        </w:rPr>
      </w:pPr>
      <w:r w:rsidRPr="00360A40">
        <w:rPr>
          <w:lang w:val="hu-HU"/>
        </w:rPr>
        <w:t xml:space="preserve">Az </w:t>
      </w:r>
      <w:r w:rsidR="00A24C53" w:rsidRPr="00360A40">
        <w:rPr>
          <w:lang w:val="hu-HU"/>
        </w:rPr>
        <w:t xml:space="preserve">Eltrombopag Vipharm </w:t>
      </w:r>
      <w:r w:rsidRPr="00360A40">
        <w:rPr>
          <w:lang w:val="hu-HU"/>
        </w:rPr>
        <w:t xml:space="preserve">elhanyagolható mértékben befolyásolja a gépjárművezetéshez és a gépek kezeléshez szükséges képességeket. A beteg </w:t>
      </w:r>
      <w:r w:rsidR="00A24C53" w:rsidRPr="00360A40">
        <w:rPr>
          <w:lang w:val="hu-HU"/>
        </w:rPr>
        <w:t>klinikai állapotát és az eltrombopag mellékhatás-profilját</w:t>
      </w:r>
      <w:r w:rsidR="005045B1">
        <w:rPr>
          <w:lang w:val="hu-HU"/>
        </w:rPr>
        <w:t xml:space="preserve"> </w:t>
      </w:r>
      <w:r w:rsidR="00A24C53" w:rsidRPr="00360A40">
        <w:rPr>
          <w:lang w:val="hu-HU"/>
        </w:rPr>
        <w:t>– ideértve a szédülést és az éberség hiányát</w:t>
      </w:r>
      <w:r w:rsidR="005045B1">
        <w:rPr>
          <w:lang w:val="hu-HU"/>
        </w:rPr>
        <w:t xml:space="preserve"> </w:t>
      </w:r>
      <w:r w:rsidR="00A24C53" w:rsidRPr="00360A40">
        <w:rPr>
          <w:lang w:val="hu-HU"/>
        </w:rPr>
        <w:t xml:space="preserve">– figyelembe kell venni annak megítélésekor, hogy a beteg </w:t>
      </w:r>
      <w:r w:rsidR="00A24C53" w:rsidRPr="00360A40">
        <w:t xml:space="preserve">képes-e olyan </w:t>
      </w:r>
      <w:r w:rsidR="00A24C53" w:rsidRPr="00360A40">
        <w:rPr>
          <w:lang w:val="hu-HU"/>
        </w:rPr>
        <w:t xml:space="preserve">tevékenységeket </w:t>
      </w:r>
      <w:r w:rsidR="00A24C53" w:rsidRPr="00360A40">
        <w:t>végezni,</w:t>
      </w:r>
      <w:r w:rsidR="00A24C53" w:rsidRPr="00360A40">
        <w:rPr>
          <w:lang w:val="hu-HU"/>
        </w:rPr>
        <w:t xml:space="preserve"> amelyek í</w:t>
      </w:r>
      <w:r w:rsidRPr="00360A40">
        <w:rPr>
          <w:lang w:val="hu-HU"/>
        </w:rPr>
        <w:t>télőképesség</w:t>
      </w:r>
      <w:r w:rsidR="00A24C53" w:rsidRPr="00360A40">
        <w:rPr>
          <w:lang w:val="hu-HU"/>
        </w:rPr>
        <w:t>e</w:t>
      </w:r>
      <w:r w:rsidRPr="00360A40">
        <w:rPr>
          <w:lang w:val="hu-HU"/>
        </w:rPr>
        <w:t xml:space="preserve">t, motorikus és kognitív </w:t>
      </w:r>
      <w:r w:rsidR="00A24C53" w:rsidRPr="00360A40">
        <w:rPr>
          <w:lang w:val="hu-HU"/>
        </w:rPr>
        <w:t xml:space="preserve">képességeket </w:t>
      </w:r>
      <w:r w:rsidRPr="00360A40">
        <w:rPr>
          <w:lang w:val="hu-HU"/>
        </w:rPr>
        <w:t>igény</w:t>
      </w:r>
      <w:r w:rsidR="00A24C53" w:rsidRPr="00360A40">
        <w:rPr>
          <w:lang w:val="hu-HU"/>
        </w:rPr>
        <w:t>elnek.</w:t>
      </w:r>
    </w:p>
    <w:p w14:paraId="2BE00DC3" w14:textId="77777777" w:rsidR="002D66F3" w:rsidRPr="00360A40" w:rsidRDefault="002D66F3" w:rsidP="00360A40">
      <w:pPr>
        <w:pStyle w:val="Szvegtrzs"/>
        <w:kinsoku w:val="0"/>
        <w:overflowPunct w:val="0"/>
        <w:ind w:left="0"/>
        <w:rPr>
          <w:lang w:val="hu-HU"/>
        </w:rPr>
      </w:pPr>
    </w:p>
    <w:p w14:paraId="4D7CCA1B" w14:textId="73FE8141" w:rsidR="002D66F3" w:rsidRPr="00360A40" w:rsidRDefault="00AC2CB4" w:rsidP="00360A40">
      <w:pPr>
        <w:pStyle w:val="Cmsor1"/>
        <w:tabs>
          <w:tab w:val="left" w:pos="687"/>
        </w:tabs>
        <w:kinsoku w:val="0"/>
        <w:overflowPunct w:val="0"/>
        <w:ind w:left="0" w:firstLine="0"/>
        <w:rPr>
          <w:b w:val="0"/>
          <w:bCs w:val="0"/>
          <w:lang w:val="hu-HU"/>
        </w:rPr>
      </w:pPr>
      <w:r w:rsidRPr="00360A40">
        <w:rPr>
          <w:lang w:val="hu-HU"/>
        </w:rPr>
        <w:t>4.8</w:t>
      </w:r>
      <w:r w:rsidRPr="00360A40">
        <w:rPr>
          <w:lang w:val="hu-HU"/>
        </w:rPr>
        <w:tab/>
      </w:r>
      <w:r w:rsidR="002D66F3" w:rsidRPr="00360A40">
        <w:rPr>
          <w:lang w:val="hu-HU"/>
        </w:rPr>
        <w:t>Nemkívánatos hatások, mellékhatások</w:t>
      </w:r>
    </w:p>
    <w:p w14:paraId="47624699" w14:textId="77777777" w:rsidR="002D66F3" w:rsidRPr="00360A40" w:rsidRDefault="002D66F3" w:rsidP="00360A40">
      <w:pPr>
        <w:pStyle w:val="Szvegtrzs"/>
        <w:kinsoku w:val="0"/>
        <w:overflowPunct w:val="0"/>
        <w:ind w:left="0"/>
        <w:rPr>
          <w:b/>
          <w:bCs/>
          <w:lang w:val="hu-HU"/>
        </w:rPr>
      </w:pPr>
    </w:p>
    <w:p w14:paraId="203B3ECA" w14:textId="77777777" w:rsidR="002D66F3" w:rsidRPr="00360A40" w:rsidRDefault="002D66F3" w:rsidP="00360A40">
      <w:pPr>
        <w:pStyle w:val="Szvegtrzs"/>
        <w:kinsoku w:val="0"/>
        <w:overflowPunct w:val="0"/>
        <w:ind w:left="0"/>
        <w:rPr>
          <w:lang w:val="hu-HU"/>
        </w:rPr>
      </w:pPr>
      <w:r w:rsidRPr="00360A40">
        <w:rPr>
          <w:u w:val="single"/>
          <w:lang w:val="hu-HU"/>
        </w:rPr>
        <w:t>A biztonságossági profil összefoglalása</w:t>
      </w:r>
    </w:p>
    <w:p w14:paraId="1BE491BE" w14:textId="77777777" w:rsidR="002D66F3" w:rsidRPr="00360A40" w:rsidRDefault="002D66F3" w:rsidP="00360A40">
      <w:pPr>
        <w:pStyle w:val="Szvegtrzs"/>
        <w:kinsoku w:val="0"/>
        <w:overflowPunct w:val="0"/>
        <w:ind w:left="0"/>
        <w:rPr>
          <w:lang w:val="hu-HU"/>
        </w:rPr>
      </w:pPr>
    </w:p>
    <w:p w14:paraId="2AB7EF01" w14:textId="6F98C352" w:rsidR="002D66F3" w:rsidRPr="00360A40" w:rsidRDefault="002D66F3" w:rsidP="00360A40">
      <w:pPr>
        <w:pStyle w:val="Szvegtrzs"/>
        <w:kinsoku w:val="0"/>
        <w:overflowPunct w:val="0"/>
        <w:ind w:left="0"/>
        <w:rPr>
          <w:lang w:val="hu-HU"/>
        </w:rPr>
      </w:pPr>
      <w:r w:rsidRPr="00360A40">
        <w:rPr>
          <w:i/>
          <w:iCs/>
          <w:u w:val="single"/>
          <w:lang w:val="hu-HU"/>
        </w:rPr>
        <w:t xml:space="preserve">Immunológiai eredetű thrombocytopenia felnőtteknél, illetve gyermekeknél és serdülőknél </w:t>
      </w:r>
    </w:p>
    <w:p w14:paraId="6D58D00E" w14:textId="77777777" w:rsidR="002D66F3" w:rsidRPr="00360A40" w:rsidRDefault="002D66F3" w:rsidP="00360A40">
      <w:pPr>
        <w:pStyle w:val="Szvegtrzs"/>
        <w:kinsoku w:val="0"/>
        <w:overflowPunct w:val="0"/>
        <w:ind w:left="0"/>
        <w:rPr>
          <w:i/>
          <w:iCs/>
          <w:lang w:val="hu-HU"/>
        </w:rPr>
      </w:pPr>
    </w:p>
    <w:p w14:paraId="03328900" w14:textId="17F563E3" w:rsidR="002D66F3" w:rsidRPr="00360A40" w:rsidRDefault="002D66F3" w:rsidP="00360A40">
      <w:pPr>
        <w:pStyle w:val="Szvegtrzs"/>
        <w:kinsoku w:val="0"/>
        <w:overflowPunct w:val="0"/>
        <w:ind w:left="0"/>
        <w:rPr>
          <w:lang w:val="hu-HU"/>
        </w:rPr>
      </w:pPr>
      <w:r w:rsidRPr="00360A40">
        <w:rPr>
          <w:lang w:val="hu-HU"/>
        </w:rPr>
        <w:t>A nyílt elrendezésű, befejezett TRA108057 (REPEAT), TRA105325 (EXTEND) és TRA112940 vizsgálatokból (N</w:t>
      </w:r>
      <w:r w:rsidR="006D0A8B" w:rsidRPr="00360A40">
        <w:rPr>
          <w:lang w:val="hu-HU"/>
        </w:rPr>
        <w:t> </w:t>
      </w:r>
      <w:r w:rsidRPr="00360A40">
        <w:rPr>
          <w:lang w:val="hu-HU"/>
        </w:rPr>
        <w:t>=</w:t>
      </w:r>
      <w:r w:rsidR="006D0A8B" w:rsidRPr="00360A40">
        <w:rPr>
          <w:lang w:val="hu-HU"/>
        </w:rPr>
        <w:t> </w:t>
      </w:r>
      <w:r w:rsidRPr="00360A40">
        <w:rPr>
          <w:lang w:val="hu-HU"/>
        </w:rPr>
        <w:t>360) származó adatok mellett, a</w:t>
      </w:r>
      <w:r w:rsidR="00306E76" w:rsidRPr="00360A40">
        <w:rPr>
          <w:lang w:val="hu-HU"/>
        </w:rPr>
        <w:t>z</w:t>
      </w:r>
      <w:r w:rsidRPr="00360A40">
        <w:rPr>
          <w:lang w:val="hu-HU"/>
        </w:rPr>
        <w:t xml:space="preserve"> </w:t>
      </w:r>
      <w:r w:rsidR="0076371A" w:rsidRPr="00360A40">
        <w:rPr>
          <w:lang w:val="hu-HU"/>
        </w:rPr>
        <w:t>eltrombopag</w:t>
      </w:r>
      <w:r w:rsidRPr="00360A40">
        <w:rPr>
          <w:lang w:val="hu-HU"/>
        </w:rPr>
        <w:t xml:space="preserve"> biztonságosságát felnőtt betegeknél (N</w:t>
      </w:r>
      <w:r w:rsidR="006D0A8B" w:rsidRPr="00360A40">
        <w:rPr>
          <w:lang w:val="hu-HU"/>
        </w:rPr>
        <w:t> </w:t>
      </w:r>
      <w:r w:rsidRPr="00360A40">
        <w:rPr>
          <w:lang w:val="hu-HU"/>
        </w:rPr>
        <w:t>=</w:t>
      </w:r>
      <w:r w:rsidR="006D0A8B" w:rsidRPr="00360A40">
        <w:rPr>
          <w:lang w:val="hu-HU"/>
        </w:rPr>
        <w:t> </w:t>
      </w:r>
      <w:r w:rsidRPr="00360A40">
        <w:rPr>
          <w:lang w:val="hu-HU"/>
        </w:rPr>
        <w:t>763) az összesített, kettős vak, placebokontrollos TRA100773A és B, TRA102537 (RAISE) és TRA113765 vizsgálatok alapján értékelték, amelyekben 403</w:t>
      </w:r>
      <w:r w:rsidR="006D0A8B" w:rsidRPr="00360A40">
        <w:rPr>
          <w:lang w:val="hu-HU"/>
        </w:rPr>
        <w:t> </w:t>
      </w:r>
      <w:r w:rsidRPr="00360A40">
        <w:rPr>
          <w:lang w:val="hu-HU"/>
        </w:rPr>
        <w:t xml:space="preserve">beteg kapott </w:t>
      </w:r>
      <w:r w:rsidR="0076371A" w:rsidRPr="00360A40">
        <w:rPr>
          <w:lang w:val="hu-HU"/>
        </w:rPr>
        <w:t>e</w:t>
      </w:r>
      <w:r w:rsidR="004873CF" w:rsidRPr="00360A40">
        <w:rPr>
          <w:lang w:val="hu-HU"/>
        </w:rPr>
        <w:t>ltrombopag</w:t>
      </w:r>
      <w:r w:rsidR="002827B0">
        <w:rPr>
          <w:lang w:val="hu-HU"/>
        </w:rPr>
        <w:t>o</w:t>
      </w:r>
      <w:r w:rsidRPr="00360A40">
        <w:rPr>
          <w:lang w:val="hu-HU"/>
        </w:rPr>
        <w:t>t, 179 pedig placebót (lásd 5.1</w:t>
      </w:r>
      <w:r w:rsidR="006D0A8B" w:rsidRPr="00360A40">
        <w:rPr>
          <w:lang w:val="hu-HU"/>
        </w:rPr>
        <w:t> </w:t>
      </w:r>
      <w:r w:rsidRPr="00360A40">
        <w:rPr>
          <w:lang w:val="hu-HU"/>
        </w:rPr>
        <w:t>pont). A betegek legtovább 8</w:t>
      </w:r>
      <w:r w:rsidR="006D0A8B" w:rsidRPr="00360A40">
        <w:rPr>
          <w:lang w:val="hu-HU"/>
        </w:rPr>
        <w:t> </w:t>
      </w:r>
      <w:r w:rsidRPr="00360A40">
        <w:rPr>
          <w:lang w:val="hu-HU"/>
        </w:rPr>
        <w:t xml:space="preserve">évig kapták a vizsgálati készítményt (az EXTEND vizsgálatban). A legjelentősebb súlyos mellékhatások a hepatotoxicitás, illetve a thromboticus/thromboemboliás események voltak. A leggyakoribb (a betegek legalább 10%-ánál előforduló) mellékhatások a hányinger, hasmenés, emelkedett </w:t>
      </w:r>
      <w:r w:rsidR="000E25D3" w:rsidRPr="00360A40">
        <w:t>glutamát-piruvát-transzamináz</w:t>
      </w:r>
      <w:r w:rsidRPr="00360A40">
        <w:rPr>
          <w:lang w:val="hu-HU"/>
        </w:rPr>
        <w:t>-szint és hátfájás voltak.</w:t>
      </w:r>
    </w:p>
    <w:p w14:paraId="37D2BD21" w14:textId="77777777" w:rsidR="00AC2CB4" w:rsidRPr="00360A40" w:rsidRDefault="00AC2CB4" w:rsidP="00360A40">
      <w:pPr>
        <w:pStyle w:val="Szvegtrzs"/>
        <w:kinsoku w:val="0"/>
        <w:overflowPunct w:val="0"/>
        <w:ind w:left="0"/>
        <w:rPr>
          <w:lang w:val="hu-HU"/>
        </w:rPr>
      </w:pPr>
    </w:p>
    <w:p w14:paraId="6CEF69A7" w14:textId="5CFA31A7" w:rsidR="002D66F3" w:rsidRPr="00360A40" w:rsidRDefault="002D66F3" w:rsidP="00360A40">
      <w:pPr>
        <w:pStyle w:val="Szvegtrzs"/>
        <w:kinsoku w:val="0"/>
        <w:overflowPunct w:val="0"/>
        <w:ind w:left="0"/>
        <w:rPr>
          <w:lang w:val="hu-HU"/>
        </w:rPr>
      </w:pPr>
      <w:r w:rsidRPr="00360A40">
        <w:rPr>
          <w:lang w:val="hu-HU"/>
        </w:rPr>
        <w:t>A</w:t>
      </w:r>
      <w:r w:rsidR="00AC2CB4" w:rsidRPr="00360A40">
        <w:rPr>
          <w:lang w:val="hu-HU"/>
        </w:rPr>
        <w:t>z</w:t>
      </w:r>
      <w:r w:rsidRPr="00360A40">
        <w:rPr>
          <w:lang w:val="hu-HU"/>
        </w:rPr>
        <w:t xml:space="preserve"> </w:t>
      </w:r>
      <w:r w:rsidR="0044668E" w:rsidRPr="00360A40">
        <w:rPr>
          <w:lang w:val="hu-HU"/>
        </w:rPr>
        <w:t>e</w:t>
      </w:r>
      <w:r w:rsidR="004873CF" w:rsidRPr="00360A40">
        <w:rPr>
          <w:lang w:val="hu-HU"/>
        </w:rPr>
        <w:t xml:space="preserve">ltrombopag </w:t>
      </w:r>
      <w:r w:rsidRPr="00360A40">
        <w:rPr>
          <w:lang w:val="hu-HU"/>
        </w:rPr>
        <w:t>biztonságosságát előzőleg ITP miatt már kezelt gyermekeknél és serdülőknél (1–17</w:t>
      </w:r>
      <w:r w:rsidR="006D0A8B" w:rsidRPr="00360A40">
        <w:rPr>
          <w:lang w:val="hu-HU"/>
        </w:rPr>
        <w:t> </w:t>
      </w:r>
      <w:r w:rsidRPr="00360A40">
        <w:rPr>
          <w:lang w:val="hu-HU"/>
        </w:rPr>
        <w:t>éves) két vizsgálatban igazolták (N</w:t>
      </w:r>
      <w:r w:rsidR="006D0A8B" w:rsidRPr="00360A40">
        <w:rPr>
          <w:lang w:val="hu-HU"/>
        </w:rPr>
        <w:t> </w:t>
      </w:r>
      <w:r w:rsidRPr="00360A40">
        <w:rPr>
          <w:lang w:val="hu-HU"/>
        </w:rPr>
        <w:t>=</w:t>
      </w:r>
      <w:r w:rsidR="006D0A8B" w:rsidRPr="00360A40">
        <w:rPr>
          <w:lang w:val="hu-HU"/>
        </w:rPr>
        <w:t> </w:t>
      </w:r>
      <w:r w:rsidRPr="00360A40">
        <w:rPr>
          <w:lang w:val="hu-HU"/>
        </w:rPr>
        <w:t>171) (lásd 5.1</w:t>
      </w:r>
      <w:r w:rsidR="006D0A8B" w:rsidRPr="00360A40">
        <w:rPr>
          <w:lang w:val="hu-HU"/>
        </w:rPr>
        <w:t> </w:t>
      </w:r>
      <w:r w:rsidRPr="00360A40">
        <w:rPr>
          <w:lang w:val="hu-HU"/>
        </w:rPr>
        <w:t xml:space="preserve">pont). A PETIT2 (TRA115450) egy kétrészes, kettős vak és nyílt rendezésű, randomizált, placebokontrollos vizsgálat volt. A betegeket 2:1 arányban randomizálták </w:t>
      </w:r>
      <w:r w:rsidR="00835DBB" w:rsidRPr="00360A40">
        <w:rPr>
          <w:lang w:val="hu-HU"/>
        </w:rPr>
        <w:t>eltrombopag</w:t>
      </w:r>
      <w:r w:rsidRPr="00360A40">
        <w:rPr>
          <w:lang w:val="hu-HU"/>
        </w:rPr>
        <w:t xml:space="preserve"> (n</w:t>
      </w:r>
      <w:r w:rsidR="006D0A8B" w:rsidRPr="00360A40">
        <w:rPr>
          <w:lang w:val="hu-HU"/>
        </w:rPr>
        <w:t> </w:t>
      </w:r>
      <w:r w:rsidRPr="00360A40">
        <w:rPr>
          <w:lang w:val="hu-HU"/>
        </w:rPr>
        <w:t>=</w:t>
      </w:r>
      <w:r w:rsidR="006D0A8B" w:rsidRPr="00360A40">
        <w:rPr>
          <w:lang w:val="hu-HU"/>
        </w:rPr>
        <w:t> </w:t>
      </w:r>
      <w:r w:rsidRPr="00360A40">
        <w:rPr>
          <w:lang w:val="hu-HU"/>
        </w:rPr>
        <w:t>63) vagy placebo (n</w:t>
      </w:r>
      <w:r w:rsidR="006D0A8B" w:rsidRPr="00360A40">
        <w:rPr>
          <w:lang w:val="hu-HU"/>
        </w:rPr>
        <w:t> </w:t>
      </w:r>
      <w:r w:rsidRPr="00360A40">
        <w:rPr>
          <w:lang w:val="hu-HU"/>
        </w:rPr>
        <w:t>=</w:t>
      </w:r>
      <w:r w:rsidR="006D0A8B" w:rsidRPr="00360A40">
        <w:rPr>
          <w:lang w:val="hu-HU"/>
        </w:rPr>
        <w:t> </w:t>
      </w:r>
      <w:r w:rsidRPr="00360A40">
        <w:rPr>
          <w:lang w:val="hu-HU"/>
        </w:rPr>
        <w:t>29) készítménnyel történő 13</w:t>
      </w:r>
      <w:r w:rsidR="006D0A8B" w:rsidRPr="00360A40">
        <w:rPr>
          <w:lang w:val="hu-HU"/>
        </w:rPr>
        <w:t> </w:t>
      </w:r>
      <w:r w:rsidRPr="00360A40">
        <w:rPr>
          <w:lang w:val="hu-HU"/>
        </w:rPr>
        <w:t xml:space="preserve">hetes kezelésre a vizsgálat randomizált időszakában. A PETIT (TRA108062) egy háromrészes, többszakaszos, nyílt és kettős vak elrendezésű, randomizált, placebokontrollos vizsgálat volt. A betegeket 2:1 arányban randomizálták </w:t>
      </w:r>
      <w:r w:rsidR="0044668E" w:rsidRPr="00360A40">
        <w:rPr>
          <w:lang w:val="hu-HU"/>
        </w:rPr>
        <w:t>e</w:t>
      </w:r>
      <w:r w:rsidR="004873CF" w:rsidRPr="00360A40">
        <w:rPr>
          <w:lang w:val="hu-HU"/>
        </w:rPr>
        <w:t xml:space="preserve">ltrombopag </w:t>
      </w:r>
      <w:r w:rsidRPr="00360A40">
        <w:rPr>
          <w:lang w:val="hu-HU"/>
        </w:rPr>
        <w:t>(n</w:t>
      </w:r>
      <w:r w:rsidR="006D0A8B" w:rsidRPr="00360A40">
        <w:rPr>
          <w:lang w:val="hu-HU"/>
        </w:rPr>
        <w:t> </w:t>
      </w:r>
      <w:r w:rsidRPr="00360A40">
        <w:rPr>
          <w:lang w:val="hu-HU"/>
        </w:rPr>
        <w:t>=</w:t>
      </w:r>
      <w:r w:rsidR="006D0A8B" w:rsidRPr="00360A40">
        <w:rPr>
          <w:lang w:val="hu-HU"/>
        </w:rPr>
        <w:t> </w:t>
      </w:r>
      <w:r w:rsidRPr="00360A40">
        <w:rPr>
          <w:lang w:val="hu-HU"/>
        </w:rPr>
        <w:t>44) vagy placebo- (n</w:t>
      </w:r>
      <w:r w:rsidR="006D0A8B" w:rsidRPr="00360A40">
        <w:rPr>
          <w:lang w:val="hu-HU"/>
        </w:rPr>
        <w:t> </w:t>
      </w:r>
      <w:r w:rsidRPr="00360A40">
        <w:rPr>
          <w:lang w:val="hu-HU"/>
        </w:rPr>
        <w:t>=</w:t>
      </w:r>
      <w:r w:rsidR="006D0A8B" w:rsidRPr="00360A40">
        <w:rPr>
          <w:lang w:val="hu-HU"/>
        </w:rPr>
        <w:t> </w:t>
      </w:r>
      <w:r w:rsidRPr="00360A40">
        <w:rPr>
          <w:lang w:val="hu-HU"/>
        </w:rPr>
        <w:t>21) készítménnyel történő 7</w:t>
      </w:r>
      <w:r w:rsidR="006D0A8B" w:rsidRPr="00360A40">
        <w:rPr>
          <w:lang w:val="hu-HU"/>
        </w:rPr>
        <w:t> </w:t>
      </w:r>
      <w:r w:rsidRPr="00360A40">
        <w:rPr>
          <w:lang w:val="hu-HU"/>
        </w:rPr>
        <w:t>hetes kezelésre. A mellékhatások jellege a felnőtteknél tapasztaltakkal összevethető volt, néhány további mellékhatással kiegészülve, amelyek az alábbi táblázatban ♦ jelzéssel szerepelnek. Az 1</w:t>
      </w:r>
      <w:r w:rsidR="006D0A8B" w:rsidRPr="00360A40">
        <w:rPr>
          <w:lang w:val="hu-HU"/>
        </w:rPr>
        <w:t> </w:t>
      </w:r>
      <w:r w:rsidRPr="00360A40">
        <w:rPr>
          <w:lang w:val="hu-HU"/>
        </w:rPr>
        <w:t>éves vagy annál idősebb,</w:t>
      </w:r>
      <w:r w:rsidR="00AC2CB4" w:rsidRPr="00360A40">
        <w:rPr>
          <w:lang w:val="hu-HU"/>
        </w:rPr>
        <w:t xml:space="preserve"> </w:t>
      </w:r>
      <w:r w:rsidRPr="00360A40">
        <w:rPr>
          <w:lang w:val="hu-HU"/>
        </w:rPr>
        <w:t>ITP-s gyermekkorú betegek körében a leggyakoribb mellékhatások (legalább 3%, és magasabb, mint a placebo esetén) a felső légúti fertőzés, nasopharyngitis, köhögés, láz, hasi fájdalom, a száj-garat fájdalma, fogfájás, illetve orrfolyás voltak.</w:t>
      </w:r>
    </w:p>
    <w:p w14:paraId="37B52A5F" w14:textId="77777777" w:rsidR="002D66F3" w:rsidRPr="00360A40" w:rsidRDefault="002D66F3" w:rsidP="00360A40">
      <w:pPr>
        <w:pStyle w:val="Szvegtrzs"/>
        <w:kinsoku w:val="0"/>
        <w:overflowPunct w:val="0"/>
        <w:ind w:left="0"/>
        <w:rPr>
          <w:lang w:val="hu-HU"/>
        </w:rPr>
      </w:pPr>
    </w:p>
    <w:p w14:paraId="3C275E58" w14:textId="77777777" w:rsidR="002D66F3" w:rsidRPr="00360A40" w:rsidRDefault="002D66F3" w:rsidP="00360A40">
      <w:pPr>
        <w:pStyle w:val="Szvegtrzs"/>
        <w:kinsoku w:val="0"/>
        <w:overflowPunct w:val="0"/>
        <w:ind w:left="0"/>
        <w:rPr>
          <w:lang w:val="hu-HU"/>
        </w:rPr>
      </w:pPr>
      <w:r w:rsidRPr="00360A40">
        <w:rPr>
          <w:i/>
          <w:iCs/>
          <w:u w:val="single"/>
          <w:lang w:val="hu-HU"/>
        </w:rPr>
        <w:t xml:space="preserve">Thrombocytopenia HCV-fertőzéssel felnőtt betegeknél </w:t>
      </w:r>
    </w:p>
    <w:p w14:paraId="4D5B3C05" w14:textId="77777777" w:rsidR="002D66F3" w:rsidRPr="00360A40" w:rsidRDefault="002D66F3" w:rsidP="00360A40">
      <w:pPr>
        <w:pStyle w:val="Szvegtrzs"/>
        <w:kinsoku w:val="0"/>
        <w:overflowPunct w:val="0"/>
        <w:ind w:left="0"/>
        <w:rPr>
          <w:i/>
          <w:iCs/>
          <w:lang w:val="hu-HU"/>
        </w:rPr>
      </w:pPr>
    </w:p>
    <w:p w14:paraId="401A74CB" w14:textId="2556A0CC" w:rsidR="002D66F3" w:rsidRPr="00360A40" w:rsidRDefault="002D66F3" w:rsidP="00360A40">
      <w:pPr>
        <w:pStyle w:val="Szvegtrzs"/>
        <w:kinsoku w:val="0"/>
        <w:overflowPunct w:val="0"/>
        <w:ind w:left="0"/>
        <w:rPr>
          <w:lang w:val="hu-HU"/>
        </w:rPr>
      </w:pPr>
      <w:r w:rsidRPr="00360A40">
        <w:rPr>
          <w:lang w:val="hu-HU"/>
        </w:rPr>
        <w:t>Az ENABLE 1 (TPL103922 n</w:t>
      </w:r>
      <w:r w:rsidR="006D0A8B" w:rsidRPr="00360A40">
        <w:rPr>
          <w:lang w:val="hu-HU"/>
        </w:rPr>
        <w:t> </w:t>
      </w:r>
      <w:r w:rsidRPr="00360A40">
        <w:rPr>
          <w:lang w:val="hu-HU"/>
        </w:rPr>
        <w:t>=</w:t>
      </w:r>
      <w:r w:rsidR="006D0A8B" w:rsidRPr="00360A40">
        <w:rPr>
          <w:lang w:val="hu-HU"/>
        </w:rPr>
        <w:t> </w:t>
      </w:r>
      <w:r w:rsidRPr="00360A40">
        <w:rPr>
          <w:lang w:val="hu-HU"/>
        </w:rPr>
        <w:t>716, 715</w:t>
      </w:r>
      <w:r w:rsidR="00AD17A9" w:rsidRPr="00360A40">
        <w:rPr>
          <w:lang w:val="hu-HU"/>
        </w:rPr>
        <w:t> </w:t>
      </w:r>
      <w:r w:rsidRPr="00360A40">
        <w:rPr>
          <w:lang w:val="hu-HU"/>
        </w:rPr>
        <w:t>főt kezeltek eltrombopaggal) és az ENABLE 2 (TPL108390 n</w:t>
      </w:r>
      <w:r w:rsidR="006D0A8B" w:rsidRPr="00360A40">
        <w:rPr>
          <w:lang w:val="hu-HU"/>
        </w:rPr>
        <w:t> </w:t>
      </w:r>
      <w:r w:rsidRPr="00360A40">
        <w:rPr>
          <w:lang w:val="hu-HU"/>
        </w:rPr>
        <w:t>=</w:t>
      </w:r>
      <w:r w:rsidR="006D0A8B" w:rsidRPr="00360A40">
        <w:rPr>
          <w:lang w:val="hu-HU"/>
        </w:rPr>
        <w:t> </w:t>
      </w:r>
      <w:r w:rsidRPr="00360A40">
        <w:rPr>
          <w:lang w:val="hu-HU"/>
        </w:rPr>
        <w:t>805) randomizált, kettős vak, placebokontrollos, multicentrikus vizsgálatok voltak, a</w:t>
      </w:r>
      <w:r w:rsidR="00306E76" w:rsidRPr="00360A40">
        <w:rPr>
          <w:lang w:val="hu-HU"/>
        </w:rPr>
        <w:t>z</w:t>
      </w:r>
      <w:r w:rsidRPr="00360A40">
        <w:rPr>
          <w:lang w:val="hu-HU"/>
        </w:rPr>
        <w:t xml:space="preserve"> </w:t>
      </w:r>
      <w:r w:rsidR="0044668E" w:rsidRPr="00360A40">
        <w:rPr>
          <w:lang w:val="hu-HU"/>
        </w:rPr>
        <w:t>e</w:t>
      </w:r>
      <w:r w:rsidR="004873CF" w:rsidRPr="00360A40">
        <w:rPr>
          <w:lang w:val="hu-HU"/>
        </w:rPr>
        <w:t xml:space="preserve">ltrombopag </w:t>
      </w:r>
      <w:r w:rsidRPr="00360A40">
        <w:rPr>
          <w:lang w:val="hu-HU"/>
        </w:rPr>
        <w:t>hatásosságának és biztonságosságának értékelésére, HCV-fertőzésben szenvedő thrombocytopeniás betegeknél, akik egyébként alkalmasak az antivirális terápia megkezdésére. A HCV-vizsgálatokban a biztonságossági populáció magában foglalt minden olyan beteget, aki az ENABLE 1 vizsgálat 2. részében (</w:t>
      </w:r>
      <w:r w:rsidR="0044668E" w:rsidRPr="00360A40">
        <w:rPr>
          <w:lang w:val="hu-HU"/>
        </w:rPr>
        <w:t>e</w:t>
      </w:r>
      <w:r w:rsidR="004873CF" w:rsidRPr="00360A40">
        <w:rPr>
          <w:lang w:val="hu-HU"/>
        </w:rPr>
        <w:t xml:space="preserve">ltrombopag </w:t>
      </w:r>
      <w:r w:rsidRPr="00360A40">
        <w:rPr>
          <w:lang w:val="hu-HU"/>
        </w:rPr>
        <w:t>-kezelés n</w:t>
      </w:r>
      <w:r w:rsidR="006D0A8B" w:rsidRPr="00360A40">
        <w:rPr>
          <w:lang w:val="hu-HU"/>
        </w:rPr>
        <w:t> </w:t>
      </w:r>
      <w:r w:rsidRPr="00360A40">
        <w:rPr>
          <w:lang w:val="hu-HU"/>
        </w:rPr>
        <w:t>=</w:t>
      </w:r>
      <w:r w:rsidR="006D0A8B" w:rsidRPr="00360A40">
        <w:rPr>
          <w:lang w:val="hu-HU"/>
        </w:rPr>
        <w:t> </w:t>
      </w:r>
      <w:r w:rsidRPr="00360A40">
        <w:rPr>
          <w:lang w:val="hu-HU"/>
        </w:rPr>
        <w:t>450, placebokezelés n</w:t>
      </w:r>
      <w:r w:rsidR="006D0A8B" w:rsidRPr="00360A40">
        <w:rPr>
          <w:lang w:val="hu-HU"/>
        </w:rPr>
        <w:t> </w:t>
      </w:r>
      <w:r w:rsidRPr="00360A40">
        <w:rPr>
          <w:lang w:val="hu-HU"/>
        </w:rPr>
        <w:t>=</w:t>
      </w:r>
      <w:r w:rsidR="006D0A8B" w:rsidRPr="00360A40">
        <w:rPr>
          <w:lang w:val="hu-HU"/>
        </w:rPr>
        <w:t> </w:t>
      </w:r>
      <w:r w:rsidRPr="00360A40">
        <w:rPr>
          <w:lang w:val="hu-HU"/>
        </w:rPr>
        <w:t>232) és az ENABLE 2 (</w:t>
      </w:r>
      <w:r w:rsidR="0044668E" w:rsidRPr="00360A40">
        <w:rPr>
          <w:lang w:val="hu-HU"/>
        </w:rPr>
        <w:t>e</w:t>
      </w:r>
      <w:r w:rsidR="004873CF" w:rsidRPr="00360A40">
        <w:rPr>
          <w:lang w:val="hu-HU"/>
        </w:rPr>
        <w:t xml:space="preserve">ltrombopag </w:t>
      </w:r>
      <w:r w:rsidR="0044668E" w:rsidRPr="00360A40">
        <w:rPr>
          <w:lang w:val="hu-HU"/>
        </w:rPr>
        <w:t>–</w:t>
      </w:r>
      <w:r w:rsidRPr="00360A40">
        <w:rPr>
          <w:lang w:val="hu-HU"/>
        </w:rPr>
        <w:t>kezelés</w:t>
      </w:r>
      <w:r w:rsidR="0044668E" w:rsidRPr="00360A40">
        <w:rPr>
          <w:lang w:val="hu-HU"/>
        </w:rPr>
        <w:t xml:space="preserve"> </w:t>
      </w:r>
      <w:r w:rsidRPr="00360A40">
        <w:rPr>
          <w:lang w:val="hu-HU"/>
        </w:rPr>
        <w:t>n</w:t>
      </w:r>
      <w:r w:rsidR="006D0A8B" w:rsidRPr="00360A40">
        <w:rPr>
          <w:lang w:val="hu-HU"/>
        </w:rPr>
        <w:t> </w:t>
      </w:r>
      <w:r w:rsidRPr="00360A40">
        <w:rPr>
          <w:lang w:val="hu-HU"/>
        </w:rPr>
        <w:t>=</w:t>
      </w:r>
      <w:r w:rsidR="006D0A8B" w:rsidRPr="00360A40">
        <w:rPr>
          <w:lang w:val="hu-HU"/>
        </w:rPr>
        <w:t> </w:t>
      </w:r>
      <w:r w:rsidRPr="00360A40">
        <w:rPr>
          <w:lang w:val="hu-HU"/>
        </w:rPr>
        <w:t>506, placebokezelés n</w:t>
      </w:r>
      <w:r w:rsidR="006D0A8B" w:rsidRPr="00360A40">
        <w:rPr>
          <w:lang w:val="hu-HU"/>
        </w:rPr>
        <w:t> </w:t>
      </w:r>
      <w:r w:rsidRPr="00360A40">
        <w:rPr>
          <w:lang w:val="hu-HU"/>
        </w:rPr>
        <w:t>=</w:t>
      </w:r>
      <w:r w:rsidR="006D0A8B" w:rsidRPr="00360A40">
        <w:rPr>
          <w:lang w:val="hu-HU"/>
        </w:rPr>
        <w:t> </w:t>
      </w:r>
      <w:r w:rsidRPr="00360A40">
        <w:rPr>
          <w:lang w:val="hu-HU"/>
        </w:rPr>
        <w:t>252) vizsgálat során kettős vak elrendezésben vizsgálati készítményt kaptak. A betegeket a kapott kezelés szerint elemezték (teljes biztonságossági kettős vak populáció,</w:t>
      </w:r>
      <w:r w:rsidR="00306E76" w:rsidRPr="00360A40">
        <w:rPr>
          <w:lang w:val="hu-HU"/>
        </w:rPr>
        <w:t xml:space="preserve"> eltrombopag</w:t>
      </w:r>
      <w:r w:rsidR="004873CF" w:rsidRPr="00360A40">
        <w:rPr>
          <w:lang w:val="hu-HU"/>
        </w:rPr>
        <w:t xml:space="preserve"> </w:t>
      </w:r>
      <w:r w:rsidRPr="00360A40">
        <w:rPr>
          <w:lang w:val="hu-HU"/>
        </w:rPr>
        <w:t>n</w:t>
      </w:r>
      <w:r w:rsidR="006D0A8B" w:rsidRPr="00360A40">
        <w:rPr>
          <w:lang w:val="hu-HU"/>
        </w:rPr>
        <w:t> </w:t>
      </w:r>
      <w:r w:rsidRPr="00360A40">
        <w:rPr>
          <w:lang w:val="hu-HU"/>
        </w:rPr>
        <w:t>=</w:t>
      </w:r>
      <w:r w:rsidR="006D0A8B" w:rsidRPr="00360A40">
        <w:rPr>
          <w:lang w:val="hu-HU"/>
        </w:rPr>
        <w:t> </w:t>
      </w:r>
      <w:r w:rsidRPr="00360A40">
        <w:rPr>
          <w:lang w:val="hu-HU"/>
        </w:rPr>
        <w:t>955 és placebo n</w:t>
      </w:r>
      <w:r w:rsidR="006D0A8B" w:rsidRPr="00360A40">
        <w:rPr>
          <w:lang w:val="hu-HU"/>
        </w:rPr>
        <w:t> </w:t>
      </w:r>
      <w:r w:rsidRPr="00360A40">
        <w:rPr>
          <w:lang w:val="hu-HU"/>
        </w:rPr>
        <w:t>=</w:t>
      </w:r>
      <w:r w:rsidR="006D0A8B" w:rsidRPr="00360A40">
        <w:rPr>
          <w:lang w:val="hu-HU"/>
        </w:rPr>
        <w:t> </w:t>
      </w:r>
      <w:r w:rsidRPr="00360A40">
        <w:rPr>
          <w:lang w:val="hu-HU"/>
        </w:rPr>
        <w:t>484). A legjelentősebb súlyos mellékhatások a hepatotoxicitás, illetve a thromboticus/thromboemboliás események voltak. A leggyakoribb (a betegek legalább 10%-ánál előforduló) mellékhatások a fejfájás, anaemia, étvágycsökkenés, köhögés, hányinger, hasmenés, hyperbilirubinaemia, alopecia, viszketés, izomfájdalom, láz, fáradtság, influenzaszerű megbetegedés, gyengeség, hidegrázás és oedema voltak.</w:t>
      </w:r>
    </w:p>
    <w:p w14:paraId="79543CB5" w14:textId="77777777" w:rsidR="002D66F3" w:rsidRPr="00360A40" w:rsidRDefault="002D66F3" w:rsidP="00360A40">
      <w:pPr>
        <w:pStyle w:val="Szvegtrzs"/>
        <w:kinsoku w:val="0"/>
        <w:overflowPunct w:val="0"/>
        <w:ind w:left="0"/>
        <w:rPr>
          <w:lang w:val="hu-HU"/>
        </w:rPr>
      </w:pPr>
    </w:p>
    <w:p w14:paraId="3D450A8A" w14:textId="77777777" w:rsidR="006D76A7" w:rsidRPr="00360A40" w:rsidRDefault="006D76A7" w:rsidP="00360A40">
      <w:pPr>
        <w:pStyle w:val="Szvegtrzs"/>
        <w:kinsoku w:val="0"/>
        <w:overflowPunct w:val="0"/>
        <w:ind w:left="0"/>
        <w:rPr>
          <w:i/>
          <w:iCs/>
          <w:u w:val="single"/>
          <w:lang w:val="hu-HU"/>
        </w:rPr>
      </w:pPr>
      <w:r w:rsidRPr="00360A40">
        <w:rPr>
          <w:i/>
          <w:iCs/>
          <w:u w:val="single"/>
          <w:lang w:val="hu-HU"/>
        </w:rPr>
        <w:t>Súlyos aplasticus anaemia felnőtt betegeknél</w:t>
      </w:r>
    </w:p>
    <w:p w14:paraId="257D5E68" w14:textId="77777777" w:rsidR="006D76A7" w:rsidRPr="00360A40" w:rsidRDefault="006D76A7" w:rsidP="00360A40">
      <w:pPr>
        <w:pStyle w:val="Szvegtrzs"/>
        <w:kinsoku w:val="0"/>
        <w:overflowPunct w:val="0"/>
        <w:ind w:left="0"/>
        <w:rPr>
          <w:lang w:val="hu-HU"/>
        </w:rPr>
      </w:pPr>
    </w:p>
    <w:p w14:paraId="0686BDEA" w14:textId="4A192CB7" w:rsidR="006D76A7" w:rsidRPr="00360A40" w:rsidRDefault="006D76A7" w:rsidP="00360A40">
      <w:pPr>
        <w:pStyle w:val="Szvegtrzs"/>
        <w:kinsoku w:val="0"/>
        <w:overflowPunct w:val="0"/>
        <w:ind w:left="0"/>
        <w:rPr>
          <w:lang w:val="hu-HU"/>
        </w:rPr>
      </w:pPr>
      <w:r w:rsidRPr="00360A40">
        <w:rPr>
          <w:lang w:val="hu-HU"/>
        </w:rPr>
        <w:t>Az eltrombopag biztonságosságát súlyos aplasticus anaemiában egy egykaros, nyílt elrendezésű vizsgálatban értékelték (n=43), amelyben 11 beteget (26%) kezeltek 6 hónapnál, és 7 beteget (16%) egy évnél tovább (lásd 5.1 pont). A leggyakoribb (a betegek legalább 10%-ánál előforduló) mellékhatások a fejfájás, szédülés, köhögés, szájgarat-fájdalom, orrfolyás, hányinger, hasmenés, hasi fájdalom, emelkedett transzamináz-szint, ízületi fájdalom, végtagfájdalom, izomgörcsök, fáradtság, illetve láz voltak.</w:t>
      </w:r>
    </w:p>
    <w:p w14:paraId="30E71650" w14:textId="77777777" w:rsidR="006D76A7" w:rsidRPr="00360A40" w:rsidRDefault="006D76A7" w:rsidP="00360A40">
      <w:pPr>
        <w:pStyle w:val="Szvegtrzs"/>
        <w:kinsoku w:val="0"/>
        <w:overflowPunct w:val="0"/>
        <w:ind w:left="0"/>
        <w:rPr>
          <w:lang w:val="hu-HU"/>
        </w:rPr>
      </w:pPr>
    </w:p>
    <w:p w14:paraId="2FA9F4B9" w14:textId="77777777" w:rsidR="002D66F3" w:rsidRPr="00360A40" w:rsidRDefault="002D66F3" w:rsidP="00360A40">
      <w:pPr>
        <w:pStyle w:val="Szvegtrzs"/>
        <w:kinsoku w:val="0"/>
        <w:overflowPunct w:val="0"/>
        <w:ind w:left="0"/>
        <w:rPr>
          <w:lang w:val="hu-HU"/>
        </w:rPr>
      </w:pPr>
      <w:r w:rsidRPr="00360A40">
        <w:rPr>
          <w:u w:val="single"/>
          <w:lang w:val="hu-HU"/>
        </w:rPr>
        <w:t>A mellékhatások felsorolása</w:t>
      </w:r>
    </w:p>
    <w:p w14:paraId="261E388C" w14:textId="77777777" w:rsidR="002D66F3" w:rsidRPr="00360A40" w:rsidRDefault="002D66F3" w:rsidP="00360A40">
      <w:pPr>
        <w:pStyle w:val="Szvegtrzs"/>
        <w:kinsoku w:val="0"/>
        <w:overflowPunct w:val="0"/>
        <w:ind w:left="0"/>
        <w:rPr>
          <w:lang w:val="hu-HU"/>
        </w:rPr>
      </w:pPr>
    </w:p>
    <w:p w14:paraId="706C1671" w14:textId="40D8434C" w:rsidR="002D66F3" w:rsidRPr="00360A40" w:rsidRDefault="002D66F3" w:rsidP="00360A40">
      <w:pPr>
        <w:pStyle w:val="Szvegtrzs"/>
        <w:kinsoku w:val="0"/>
        <w:overflowPunct w:val="0"/>
        <w:ind w:left="0"/>
        <w:rPr>
          <w:lang w:val="hu-HU"/>
        </w:rPr>
      </w:pPr>
      <w:r w:rsidRPr="00360A40">
        <w:rPr>
          <w:lang w:val="hu-HU"/>
        </w:rPr>
        <w:t>Az ITP-s felnőttekkel végzett (N</w:t>
      </w:r>
      <w:r w:rsidR="006E08B2" w:rsidRPr="00360A40">
        <w:rPr>
          <w:lang w:val="hu-HU"/>
        </w:rPr>
        <w:t> </w:t>
      </w:r>
      <w:r w:rsidRPr="00360A40">
        <w:rPr>
          <w:lang w:val="hu-HU"/>
        </w:rPr>
        <w:t>=</w:t>
      </w:r>
      <w:r w:rsidR="006E08B2" w:rsidRPr="00360A40">
        <w:rPr>
          <w:lang w:val="hu-HU"/>
        </w:rPr>
        <w:t> </w:t>
      </w:r>
      <w:r w:rsidRPr="00360A40">
        <w:rPr>
          <w:lang w:val="hu-HU"/>
        </w:rPr>
        <w:t>763), az ITP-s gyermekekkel és serdülőkkel végzett (N</w:t>
      </w:r>
      <w:r w:rsidR="006E08B2" w:rsidRPr="00360A40">
        <w:rPr>
          <w:lang w:val="hu-HU"/>
        </w:rPr>
        <w:t> </w:t>
      </w:r>
      <w:r w:rsidRPr="00360A40">
        <w:rPr>
          <w:lang w:val="hu-HU"/>
        </w:rPr>
        <w:t>=</w:t>
      </w:r>
      <w:r w:rsidR="006E08B2" w:rsidRPr="00360A40">
        <w:rPr>
          <w:lang w:val="hu-HU"/>
        </w:rPr>
        <w:t> </w:t>
      </w:r>
      <w:r w:rsidRPr="00360A40">
        <w:rPr>
          <w:lang w:val="hu-HU"/>
        </w:rPr>
        <w:t>171), a HCV</w:t>
      </w:r>
      <w:r w:rsidR="00395A6F" w:rsidRPr="00360A40">
        <w:rPr>
          <w:lang w:val="hu-HU"/>
        </w:rPr>
        <w:t>-vizsgálatok</w:t>
      </w:r>
      <w:r w:rsidRPr="00360A40">
        <w:rPr>
          <w:lang w:val="hu-HU"/>
        </w:rPr>
        <w:t xml:space="preserve"> (N</w:t>
      </w:r>
      <w:r w:rsidR="006E08B2" w:rsidRPr="00360A40">
        <w:rPr>
          <w:lang w:val="hu-HU"/>
        </w:rPr>
        <w:t> </w:t>
      </w:r>
      <w:r w:rsidRPr="00360A40">
        <w:rPr>
          <w:lang w:val="hu-HU"/>
        </w:rPr>
        <w:t>=</w:t>
      </w:r>
      <w:r w:rsidR="006E08B2" w:rsidRPr="00360A40">
        <w:rPr>
          <w:lang w:val="hu-HU"/>
        </w:rPr>
        <w:t> </w:t>
      </w:r>
      <w:r w:rsidRPr="00360A40">
        <w:rPr>
          <w:lang w:val="hu-HU"/>
        </w:rPr>
        <w:t>1520)</w:t>
      </w:r>
      <w:r w:rsidR="00465689">
        <w:rPr>
          <w:lang w:val="hu-HU"/>
        </w:rPr>
        <w:t>, valamint az SAA-vizsgálatok (N = 43)</w:t>
      </w:r>
      <w:r w:rsidRPr="00360A40">
        <w:rPr>
          <w:lang w:val="hu-HU"/>
        </w:rPr>
        <w:t xml:space="preserve"> során, továbbá a forgalombahozatalt követő jelentésekben előforduló mellékhatások az alábbiakban a MedDRA szervrendszer szerinti osztályozásban és gyakoriság szerint kerülnek felsorolásra. Az egyes szervrendszer</w:t>
      </w:r>
      <w:r w:rsidR="002827B0">
        <w:rPr>
          <w:lang w:val="hu-HU"/>
        </w:rPr>
        <w:t>i kategóriákban</w:t>
      </w:r>
      <w:r w:rsidRPr="00360A40">
        <w:rPr>
          <w:lang w:val="hu-HU"/>
        </w:rPr>
        <w:t xml:space="preserve"> a mellékhatások gyakoriság szerinti sorrendben szerepelnek úgy, hogy a leggyakoribb mellékhatás szerepel először. Az egyes mellékhatások megfelelő gyakorisági kategóriája a következő megegyezésen alapul (CIOMS III): nagyon gyakori (≥</w:t>
      </w:r>
      <w:r w:rsidR="006E08B2" w:rsidRPr="00360A40">
        <w:rPr>
          <w:lang w:val="hu-HU"/>
        </w:rPr>
        <w:t> </w:t>
      </w:r>
      <w:r w:rsidRPr="00360A40">
        <w:rPr>
          <w:lang w:val="hu-HU"/>
        </w:rPr>
        <w:t>1/10); gyakori (≥</w:t>
      </w:r>
      <w:r w:rsidR="006E08B2" w:rsidRPr="00360A40">
        <w:rPr>
          <w:lang w:val="hu-HU"/>
        </w:rPr>
        <w:t> </w:t>
      </w:r>
      <w:r w:rsidRPr="00360A40">
        <w:rPr>
          <w:lang w:val="hu-HU"/>
        </w:rPr>
        <w:t>1/100</w:t>
      </w:r>
      <w:r w:rsidR="006E08B2" w:rsidRPr="00360A40">
        <w:rPr>
          <w:lang w:val="hu-HU"/>
        </w:rPr>
        <w:t> </w:t>
      </w:r>
      <w:r w:rsidRPr="00360A40">
        <w:rPr>
          <w:lang w:val="hu-HU"/>
        </w:rPr>
        <w:t>–</w:t>
      </w:r>
      <w:r w:rsidR="006E08B2" w:rsidRPr="00360A40">
        <w:rPr>
          <w:lang w:val="hu-HU"/>
        </w:rPr>
        <w:t> </w:t>
      </w:r>
      <w:r w:rsidRPr="00360A40">
        <w:rPr>
          <w:lang w:val="hu-HU"/>
        </w:rPr>
        <w:t>&lt;</w:t>
      </w:r>
      <w:r w:rsidR="006E08B2" w:rsidRPr="00360A40">
        <w:rPr>
          <w:lang w:val="hu-HU"/>
        </w:rPr>
        <w:t> </w:t>
      </w:r>
      <w:r w:rsidRPr="00360A40">
        <w:rPr>
          <w:lang w:val="hu-HU"/>
        </w:rPr>
        <w:t>1/10); nem gyakori (≥</w:t>
      </w:r>
      <w:r w:rsidR="006E08B2" w:rsidRPr="00360A40">
        <w:rPr>
          <w:lang w:val="hu-HU"/>
        </w:rPr>
        <w:t> </w:t>
      </w:r>
      <w:r w:rsidRPr="00360A40">
        <w:rPr>
          <w:lang w:val="hu-HU"/>
        </w:rPr>
        <w:t>1/1000</w:t>
      </w:r>
      <w:r w:rsidR="006E08B2" w:rsidRPr="00360A40">
        <w:rPr>
          <w:lang w:val="hu-HU"/>
        </w:rPr>
        <w:t> </w:t>
      </w:r>
      <w:r w:rsidRPr="00360A40">
        <w:rPr>
          <w:lang w:val="hu-HU"/>
        </w:rPr>
        <w:t>–</w:t>
      </w:r>
      <w:r w:rsidR="006E08B2" w:rsidRPr="00360A40">
        <w:rPr>
          <w:lang w:val="hu-HU"/>
        </w:rPr>
        <w:t> </w:t>
      </w:r>
      <w:r w:rsidRPr="00360A40">
        <w:rPr>
          <w:lang w:val="hu-HU"/>
        </w:rPr>
        <w:t>&lt;</w:t>
      </w:r>
      <w:r w:rsidR="006E08B2" w:rsidRPr="00360A40">
        <w:rPr>
          <w:lang w:val="hu-HU"/>
        </w:rPr>
        <w:t> </w:t>
      </w:r>
      <w:r w:rsidRPr="00360A40">
        <w:rPr>
          <w:lang w:val="hu-HU"/>
        </w:rPr>
        <w:t>1/100); ritka (≥</w:t>
      </w:r>
      <w:r w:rsidR="006E08B2" w:rsidRPr="00360A40">
        <w:rPr>
          <w:lang w:val="hu-HU"/>
        </w:rPr>
        <w:t> </w:t>
      </w:r>
      <w:r w:rsidRPr="00360A40">
        <w:rPr>
          <w:lang w:val="hu-HU"/>
        </w:rPr>
        <w:t>1/10</w:t>
      </w:r>
      <w:r w:rsidR="006E08B2" w:rsidRPr="00360A40">
        <w:rPr>
          <w:lang w:val="hu-HU"/>
        </w:rPr>
        <w:t> </w:t>
      </w:r>
      <w:r w:rsidRPr="00360A40">
        <w:rPr>
          <w:lang w:val="hu-HU"/>
        </w:rPr>
        <w:t>000</w:t>
      </w:r>
      <w:r w:rsidR="006E08B2" w:rsidRPr="00360A40">
        <w:rPr>
          <w:lang w:val="hu-HU"/>
        </w:rPr>
        <w:t> </w:t>
      </w:r>
      <w:r w:rsidRPr="00360A40">
        <w:rPr>
          <w:lang w:val="hu-HU"/>
        </w:rPr>
        <w:t>–</w:t>
      </w:r>
      <w:r w:rsidR="006E08B2" w:rsidRPr="00360A40">
        <w:rPr>
          <w:lang w:val="hu-HU"/>
        </w:rPr>
        <w:t> </w:t>
      </w:r>
      <w:r w:rsidRPr="00360A40">
        <w:rPr>
          <w:lang w:val="hu-HU"/>
        </w:rPr>
        <w:t>&lt;</w:t>
      </w:r>
      <w:r w:rsidR="006E08B2" w:rsidRPr="00360A40">
        <w:rPr>
          <w:lang w:val="hu-HU"/>
        </w:rPr>
        <w:t> </w:t>
      </w:r>
      <w:r w:rsidRPr="00360A40">
        <w:rPr>
          <w:lang w:val="hu-HU"/>
        </w:rPr>
        <w:t>1/1000); nem ismert (a gyakoriság a rendelkezésre álló adatokból nem állapítható meg).</w:t>
      </w:r>
    </w:p>
    <w:p w14:paraId="255EB8AF" w14:textId="77777777" w:rsidR="00AC2CB4" w:rsidRPr="00360A40" w:rsidRDefault="00AC2CB4" w:rsidP="00360A40">
      <w:pPr>
        <w:pStyle w:val="Szvegtrzs"/>
        <w:kinsoku w:val="0"/>
        <w:overflowPunct w:val="0"/>
        <w:ind w:left="0"/>
        <w:rPr>
          <w:lang w:val="hu-HU"/>
        </w:rPr>
      </w:pPr>
    </w:p>
    <w:p w14:paraId="609FF2F7" w14:textId="77777777" w:rsidR="002D66F3" w:rsidRPr="00360A40" w:rsidRDefault="002D66F3" w:rsidP="00360A40">
      <w:pPr>
        <w:pStyle w:val="Cmsor1"/>
        <w:kinsoku w:val="0"/>
        <w:overflowPunct w:val="0"/>
        <w:ind w:left="0" w:firstLine="0"/>
        <w:rPr>
          <w:b w:val="0"/>
          <w:bCs w:val="0"/>
          <w:lang w:val="hu-HU"/>
        </w:rPr>
      </w:pPr>
      <w:r w:rsidRPr="00360A40">
        <w:rPr>
          <w:lang w:val="hu-HU"/>
        </w:rPr>
        <w:t>ITP vizsgálati csoport</w:t>
      </w:r>
    </w:p>
    <w:p w14:paraId="7338C6D1" w14:textId="77777777" w:rsidR="002D66F3" w:rsidRPr="00360A40" w:rsidRDefault="002D66F3" w:rsidP="00360A40">
      <w:pPr>
        <w:pStyle w:val="Szvegtrzs"/>
        <w:kinsoku w:val="0"/>
        <w:overflowPunct w:val="0"/>
        <w:ind w:left="0"/>
        <w:rPr>
          <w:b/>
          <w:bCs/>
          <w:lang w:val="hu-HU"/>
        </w:rPr>
      </w:pPr>
    </w:p>
    <w:tbl>
      <w:tblPr>
        <w:tblW w:w="9214" w:type="dxa"/>
        <w:tblInd w:w="-5" w:type="dxa"/>
        <w:tblLayout w:type="fixed"/>
        <w:tblCellMar>
          <w:left w:w="0" w:type="dxa"/>
          <w:right w:w="0" w:type="dxa"/>
        </w:tblCellMar>
        <w:tblLook w:val="0000" w:firstRow="0" w:lastRow="0" w:firstColumn="0" w:lastColumn="0" w:noHBand="0" w:noVBand="0"/>
      </w:tblPr>
      <w:tblGrid>
        <w:gridCol w:w="2694"/>
        <w:gridCol w:w="1417"/>
        <w:gridCol w:w="5103"/>
      </w:tblGrid>
      <w:tr w:rsidR="002D66F3" w:rsidRPr="00360A40" w14:paraId="32F29134" w14:textId="77777777" w:rsidTr="00650C6D">
        <w:trPr>
          <w:trHeight w:hRule="exact" w:val="516"/>
        </w:trPr>
        <w:tc>
          <w:tcPr>
            <w:tcW w:w="2694" w:type="dxa"/>
            <w:tcBorders>
              <w:top w:val="single" w:sz="4" w:space="0" w:color="000000"/>
              <w:left w:val="single" w:sz="4" w:space="0" w:color="000000"/>
              <w:bottom w:val="single" w:sz="4" w:space="0" w:color="000000"/>
              <w:right w:val="single" w:sz="4" w:space="0" w:color="000000"/>
            </w:tcBorders>
          </w:tcPr>
          <w:p w14:paraId="64303F01" w14:textId="21B2D188" w:rsidR="002D66F3" w:rsidRPr="00360A40" w:rsidRDefault="002827B0" w:rsidP="00360A40">
            <w:pPr>
              <w:pStyle w:val="TableParagraph"/>
              <w:kinsoku w:val="0"/>
              <w:overflowPunct w:val="0"/>
              <w:ind w:left="102"/>
              <w:rPr>
                <w:sz w:val="22"/>
                <w:szCs w:val="22"/>
                <w:lang w:val="hu-HU"/>
              </w:rPr>
            </w:pPr>
            <w:bookmarkStart w:id="0" w:name="_Hlk173851674"/>
            <w:r>
              <w:rPr>
                <w:b/>
                <w:bCs/>
                <w:sz w:val="22"/>
                <w:szCs w:val="22"/>
                <w:lang w:val="hu-HU"/>
              </w:rPr>
              <w:t>Szervrendszeri kategória</w:t>
            </w:r>
          </w:p>
        </w:tc>
        <w:tc>
          <w:tcPr>
            <w:tcW w:w="1417" w:type="dxa"/>
            <w:tcBorders>
              <w:top w:val="single" w:sz="4" w:space="0" w:color="000000"/>
              <w:left w:val="single" w:sz="4" w:space="0" w:color="000000"/>
              <w:bottom w:val="single" w:sz="4" w:space="0" w:color="000000"/>
              <w:right w:val="single" w:sz="4" w:space="0" w:color="000000"/>
            </w:tcBorders>
          </w:tcPr>
          <w:p w14:paraId="29EDE59A" w14:textId="77777777" w:rsidR="002D66F3" w:rsidRPr="00360A40" w:rsidRDefault="002D66F3" w:rsidP="00360A40">
            <w:pPr>
              <w:pStyle w:val="TableParagraph"/>
              <w:kinsoku w:val="0"/>
              <w:overflowPunct w:val="0"/>
              <w:ind w:left="102"/>
              <w:rPr>
                <w:sz w:val="22"/>
                <w:szCs w:val="22"/>
                <w:lang w:val="hu-HU"/>
              </w:rPr>
            </w:pPr>
            <w:r w:rsidRPr="00360A40">
              <w:rPr>
                <w:b/>
                <w:bCs/>
                <w:sz w:val="22"/>
                <w:szCs w:val="22"/>
                <w:lang w:val="hu-HU"/>
              </w:rPr>
              <w:t>Gyakoriság</w:t>
            </w:r>
          </w:p>
        </w:tc>
        <w:tc>
          <w:tcPr>
            <w:tcW w:w="5103" w:type="dxa"/>
            <w:tcBorders>
              <w:top w:val="single" w:sz="4" w:space="0" w:color="000000"/>
              <w:left w:val="single" w:sz="4" w:space="0" w:color="000000"/>
              <w:bottom w:val="single" w:sz="4" w:space="0" w:color="000000"/>
              <w:right w:val="single" w:sz="4" w:space="0" w:color="000000"/>
            </w:tcBorders>
          </w:tcPr>
          <w:p w14:paraId="268E0F6D" w14:textId="77777777" w:rsidR="002D66F3" w:rsidRPr="00360A40" w:rsidRDefault="002D66F3" w:rsidP="00360A40">
            <w:pPr>
              <w:pStyle w:val="TableParagraph"/>
              <w:kinsoku w:val="0"/>
              <w:overflowPunct w:val="0"/>
              <w:ind w:left="100"/>
              <w:rPr>
                <w:sz w:val="22"/>
                <w:szCs w:val="22"/>
                <w:lang w:val="hu-HU"/>
              </w:rPr>
            </w:pPr>
            <w:r w:rsidRPr="00360A40">
              <w:rPr>
                <w:b/>
                <w:bCs/>
                <w:sz w:val="22"/>
                <w:szCs w:val="22"/>
                <w:lang w:val="hu-HU"/>
              </w:rPr>
              <w:t>Mellékhatás</w:t>
            </w:r>
          </w:p>
        </w:tc>
      </w:tr>
      <w:tr w:rsidR="002D66F3" w:rsidRPr="00360A40" w14:paraId="69447D44" w14:textId="77777777" w:rsidTr="00650C6D">
        <w:trPr>
          <w:trHeight w:hRule="exact" w:val="522"/>
        </w:trPr>
        <w:tc>
          <w:tcPr>
            <w:tcW w:w="2694" w:type="dxa"/>
            <w:vMerge w:val="restart"/>
            <w:tcBorders>
              <w:top w:val="single" w:sz="4" w:space="0" w:color="000000"/>
              <w:left w:val="single" w:sz="4" w:space="0" w:color="000000"/>
              <w:bottom w:val="single" w:sz="4" w:space="0" w:color="000000"/>
              <w:right w:val="single" w:sz="4" w:space="0" w:color="000000"/>
            </w:tcBorders>
          </w:tcPr>
          <w:p w14:paraId="1EB9521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Fertőző betegségek és parazitafertőzések</w:t>
            </w:r>
          </w:p>
        </w:tc>
        <w:tc>
          <w:tcPr>
            <w:tcW w:w="1417" w:type="dxa"/>
            <w:tcBorders>
              <w:top w:val="single" w:sz="4" w:space="0" w:color="000000"/>
              <w:left w:val="single" w:sz="4" w:space="0" w:color="000000"/>
              <w:bottom w:val="single" w:sz="4" w:space="0" w:color="000000"/>
              <w:right w:val="single" w:sz="4" w:space="0" w:color="000000"/>
            </w:tcBorders>
          </w:tcPr>
          <w:p w14:paraId="468FA3F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Nagyon gyakori</w:t>
            </w:r>
          </w:p>
        </w:tc>
        <w:tc>
          <w:tcPr>
            <w:tcW w:w="5103" w:type="dxa"/>
            <w:tcBorders>
              <w:top w:val="single" w:sz="4" w:space="0" w:color="000000"/>
              <w:left w:val="single" w:sz="4" w:space="0" w:color="000000"/>
              <w:bottom w:val="single" w:sz="4" w:space="0" w:color="000000"/>
              <w:right w:val="single" w:sz="4" w:space="0" w:color="000000"/>
            </w:tcBorders>
          </w:tcPr>
          <w:p w14:paraId="0F91D92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Nasopharyngitis</w:t>
            </w:r>
            <w:r w:rsidRPr="009F4BD6">
              <w:rPr>
                <w:sz w:val="22"/>
                <w:szCs w:val="22"/>
                <w:vertAlign w:val="superscript"/>
                <w:lang w:val="hu-HU"/>
              </w:rPr>
              <w:t>♦</w:t>
            </w:r>
            <w:r w:rsidRPr="00360A40">
              <w:rPr>
                <w:sz w:val="22"/>
                <w:szCs w:val="22"/>
                <w:lang w:val="hu-HU"/>
              </w:rPr>
              <w:t>, felső légúti fertőzés</w:t>
            </w:r>
            <w:r w:rsidRPr="009F4BD6">
              <w:rPr>
                <w:sz w:val="22"/>
                <w:szCs w:val="22"/>
                <w:vertAlign w:val="superscript"/>
                <w:lang w:val="hu-HU"/>
              </w:rPr>
              <w:t>♦</w:t>
            </w:r>
          </w:p>
        </w:tc>
      </w:tr>
      <w:tr w:rsidR="002D66F3" w:rsidRPr="00360A40" w14:paraId="572AF75C" w14:textId="77777777" w:rsidTr="00650C6D">
        <w:trPr>
          <w:trHeight w:hRule="exact" w:val="947"/>
        </w:trPr>
        <w:tc>
          <w:tcPr>
            <w:tcW w:w="2694" w:type="dxa"/>
            <w:vMerge/>
            <w:tcBorders>
              <w:top w:val="single" w:sz="4" w:space="0" w:color="000000"/>
              <w:left w:val="single" w:sz="4" w:space="0" w:color="000000"/>
              <w:bottom w:val="single" w:sz="4" w:space="0" w:color="000000"/>
              <w:right w:val="single" w:sz="4" w:space="0" w:color="000000"/>
            </w:tcBorders>
          </w:tcPr>
          <w:p w14:paraId="03867A37"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590B41A8"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1FE2B448" w14:textId="472A5128" w:rsidR="002D66F3" w:rsidRPr="00360A40" w:rsidRDefault="002D66F3" w:rsidP="00360A40">
            <w:pPr>
              <w:pStyle w:val="TableParagraph"/>
              <w:kinsoku w:val="0"/>
              <w:overflowPunct w:val="0"/>
              <w:ind w:left="100"/>
              <w:rPr>
                <w:sz w:val="22"/>
                <w:szCs w:val="22"/>
                <w:lang w:val="hu-HU"/>
              </w:rPr>
            </w:pPr>
            <w:r w:rsidRPr="00360A40">
              <w:rPr>
                <w:sz w:val="22"/>
                <w:szCs w:val="22"/>
                <w:lang w:val="hu-HU"/>
              </w:rPr>
              <w:t>Pharyngitis, influenza, oralis herpes, pneumonia, sinusitis, tonsillitis, légúti</w:t>
            </w:r>
            <w:r w:rsidR="00306E76" w:rsidRPr="00360A40">
              <w:rPr>
                <w:sz w:val="22"/>
                <w:szCs w:val="22"/>
                <w:lang w:val="hu-HU"/>
              </w:rPr>
              <w:t xml:space="preserve"> </w:t>
            </w:r>
            <w:r w:rsidRPr="00360A40">
              <w:rPr>
                <w:sz w:val="22"/>
                <w:szCs w:val="22"/>
                <w:lang w:val="hu-HU"/>
              </w:rPr>
              <w:t>fertőzések, gingivitis</w:t>
            </w:r>
          </w:p>
        </w:tc>
      </w:tr>
      <w:tr w:rsidR="002D66F3" w:rsidRPr="00360A40" w14:paraId="4292AAF7" w14:textId="77777777" w:rsidTr="00650C6D">
        <w:trPr>
          <w:trHeight w:hRule="exact" w:val="516"/>
        </w:trPr>
        <w:tc>
          <w:tcPr>
            <w:tcW w:w="2694" w:type="dxa"/>
            <w:vMerge/>
            <w:tcBorders>
              <w:top w:val="single" w:sz="4" w:space="0" w:color="000000"/>
              <w:left w:val="single" w:sz="4" w:space="0" w:color="000000"/>
              <w:bottom w:val="single" w:sz="4" w:space="0" w:color="000000"/>
              <w:right w:val="single" w:sz="4" w:space="0" w:color="000000"/>
            </w:tcBorders>
          </w:tcPr>
          <w:p w14:paraId="26607005"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5CB6435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57430E91"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Bőrfertőzés</w:t>
            </w:r>
          </w:p>
        </w:tc>
      </w:tr>
      <w:tr w:rsidR="002D66F3" w:rsidRPr="00360A40" w14:paraId="16F1ACAE" w14:textId="77777777" w:rsidTr="00650C6D">
        <w:trPr>
          <w:trHeight w:hRule="exact" w:val="1022"/>
        </w:trPr>
        <w:tc>
          <w:tcPr>
            <w:tcW w:w="2694" w:type="dxa"/>
            <w:tcBorders>
              <w:top w:val="single" w:sz="4" w:space="0" w:color="000000"/>
              <w:left w:val="single" w:sz="4" w:space="0" w:color="000000"/>
              <w:bottom w:val="single" w:sz="4" w:space="0" w:color="000000"/>
              <w:right w:val="single" w:sz="4" w:space="0" w:color="000000"/>
            </w:tcBorders>
          </w:tcPr>
          <w:p w14:paraId="0FB59AD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Jó-, rosszindulatú és nem meghatározott daganatok (beleértve a cisztákat és polipokat is)</w:t>
            </w:r>
          </w:p>
        </w:tc>
        <w:tc>
          <w:tcPr>
            <w:tcW w:w="1417" w:type="dxa"/>
            <w:tcBorders>
              <w:top w:val="single" w:sz="4" w:space="0" w:color="000000"/>
              <w:left w:val="single" w:sz="4" w:space="0" w:color="000000"/>
              <w:bottom w:val="single" w:sz="4" w:space="0" w:color="000000"/>
              <w:right w:val="single" w:sz="4" w:space="0" w:color="000000"/>
            </w:tcBorders>
          </w:tcPr>
          <w:p w14:paraId="45025DD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06D79166"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Rectosigmoidealis carcinoma</w:t>
            </w:r>
          </w:p>
        </w:tc>
      </w:tr>
      <w:tr w:rsidR="002D66F3" w:rsidRPr="00360A40" w14:paraId="6238C460" w14:textId="77777777" w:rsidTr="00650C6D">
        <w:trPr>
          <w:trHeight w:hRule="exact" w:val="868"/>
        </w:trPr>
        <w:tc>
          <w:tcPr>
            <w:tcW w:w="2694" w:type="dxa"/>
            <w:vMerge w:val="restart"/>
            <w:tcBorders>
              <w:top w:val="single" w:sz="4" w:space="0" w:color="000000"/>
              <w:left w:val="single" w:sz="4" w:space="0" w:color="000000"/>
              <w:bottom w:val="single" w:sz="4" w:space="0" w:color="000000"/>
              <w:right w:val="single" w:sz="4" w:space="0" w:color="000000"/>
            </w:tcBorders>
          </w:tcPr>
          <w:p w14:paraId="507A52A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Vérképzőszervi és nyirokrendszeri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7FC1700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3AF4F3C6" w14:textId="77777777" w:rsidR="002D66F3" w:rsidRPr="00360A40" w:rsidRDefault="002D66F3" w:rsidP="00360A40">
            <w:pPr>
              <w:pStyle w:val="TableParagraph"/>
              <w:kinsoku w:val="0"/>
              <w:overflowPunct w:val="0"/>
              <w:ind w:left="142" w:firstLine="1"/>
              <w:rPr>
                <w:sz w:val="22"/>
                <w:szCs w:val="22"/>
                <w:lang w:val="hu-HU"/>
              </w:rPr>
            </w:pPr>
            <w:r w:rsidRPr="00360A40">
              <w:rPr>
                <w:sz w:val="22"/>
                <w:szCs w:val="22"/>
                <w:lang w:val="hu-HU"/>
              </w:rPr>
              <w:t>Anaemia, eosinophilia, leukocytosis, thrombocytopenia, csökkent hemoglobinszint, csökkent fehérvérsejtszám</w:t>
            </w:r>
          </w:p>
        </w:tc>
      </w:tr>
      <w:tr w:rsidR="002D66F3" w:rsidRPr="00360A40" w14:paraId="37D88534" w14:textId="77777777" w:rsidTr="00650C6D">
        <w:trPr>
          <w:trHeight w:hRule="exact" w:val="1122"/>
        </w:trPr>
        <w:tc>
          <w:tcPr>
            <w:tcW w:w="2694" w:type="dxa"/>
            <w:vMerge/>
            <w:tcBorders>
              <w:top w:val="single" w:sz="4" w:space="0" w:color="000000"/>
              <w:left w:val="single" w:sz="4" w:space="0" w:color="000000"/>
              <w:bottom w:val="single" w:sz="4" w:space="0" w:color="000000"/>
              <w:right w:val="single" w:sz="4" w:space="0" w:color="000000"/>
            </w:tcBorders>
          </w:tcPr>
          <w:p w14:paraId="36D281B9"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44C770C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323F0CB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Anisocytosis, haemolyticus anaemia, myelocytosis, emelkedett stab neutrophilszám, myelocyták jelenléte, emelkedett vérlemezkeszám, emelkedett hemoglobinszint</w:t>
            </w:r>
          </w:p>
        </w:tc>
      </w:tr>
      <w:tr w:rsidR="002D66F3" w:rsidRPr="00360A40" w14:paraId="03623AF7" w14:textId="77777777" w:rsidTr="00650C6D">
        <w:trPr>
          <w:trHeight w:hRule="exact" w:val="516"/>
        </w:trPr>
        <w:tc>
          <w:tcPr>
            <w:tcW w:w="2694" w:type="dxa"/>
            <w:tcBorders>
              <w:top w:val="single" w:sz="4" w:space="0" w:color="000000"/>
              <w:left w:val="single" w:sz="4" w:space="0" w:color="000000"/>
              <w:bottom w:val="single" w:sz="4" w:space="0" w:color="000000"/>
              <w:right w:val="single" w:sz="4" w:space="0" w:color="000000"/>
            </w:tcBorders>
          </w:tcPr>
          <w:p w14:paraId="087AEDDE"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Immunrendszeri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6F04062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086E1D2F"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Túlérzékenység</w:t>
            </w:r>
          </w:p>
        </w:tc>
      </w:tr>
      <w:tr w:rsidR="002D66F3" w:rsidRPr="00360A40" w14:paraId="04ED1DD3" w14:textId="77777777" w:rsidTr="00650C6D">
        <w:trPr>
          <w:trHeight w:hRule="exact" w:val="589"/>
        </w:trPr>
        <w:tc>
          <w:tcPr>
            <w:tcW w:w="2694" w:type="dxa"/>
            <w:vMerge w:val="restart"/>
            <w:tcBorders>
              <w:top w:val="single" w:sz="4" w:space="0" w:color="000000"/>
              <w:left w:val="single" w:sz="4" w:space="0" w:color="000000"/>
              <w:bottom w:val="single" w:sz="4" w:space="0" w:color="000000"/>
              <w:right w:val="single" w:sz="4" w:space="0" w:color="000000"/>
            </w:tcBorders>
          </w:tcPr>
          <w:p w14:paraId="6A7CD39E"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Anyagcsere és táplálkozási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51CF55F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1A21274B"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Hypokalaemia, étvágycsökkenés, a húgysavszint emelkedése a vérben</w:t>
            </w:r>
          </w:p>
        </w:tc>
      </w:tr>
      <w:tr w:rsidR="002D66F3" w:rsidRPr="00360A40" w14:paraId="7146EE10" w14:textId="77777777" w:rsidTr="00650C6D">
        <w:trPr>
          <w:trHeight w:hRule="exact" w:val="516"/>
        </w:trPr>
        <w:tc>
          <w:tcPr>
            <w:tcW w:w="2694" w:type="dxa"/>
            <w:vMerge/>
            <w:tcBorders>
              <w:top w:val="single" w:sz="4" w:space="0" w:color="000000"/>
              <w:left w:val="single" w:sz="4" w:space="0" w:color="000000"/>
              <w:bottom w:val="single" w:sz="4" w:space="0" w:color="000000"/>
              <w:right w:val="single" w:sz="4" w:space="0" w:color="000000"/>
            </w:tcBorders>
          </w:tcPr>
          <w:p w14:paraId="179DD643"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1D317B1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0E4B13E5"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Anorexia, köszvény, hypocalcaemia</w:t>
            </w:r>
          </w:p>
        </w:tc>
      </w:tr>
      <w:tr w:rsidR="002D66F3" w:rsidRPr="00360A40" w14:paraId="279441E5" w14:textId="77777777" w:rsidTr="00650C6D">
        <w:trPr>
          <w:trHeight w:hRule="exact" w:val="266"/>
        </w:trPr>
        <w:tc>
          <w:tcPr>
            <w:tcW w:w="2694" w:type="dxa"/>
            <w:vMerge w:val="restart"/>
            <w:tcBorders>
              <w:top w:val="single" w:sz="4" w:space="0" w:color="000000"/>
              <w:left w:val="single" w:sz="4" w:space="0" w:color="000000"/>
              <w:bottom w:val="single" w:sz="4" w:space="0" w:color="000000"/>
              <w:right w:val="single" w:sz="4" w:space="0" w:color="000000"/>
            </w:tcBorders>
          </w:tcPr>
          <w:p w14:paraId="4927CCA7"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Pszichiátriai kórképek</w:t>
            </w:r>
          </w:p>
        </w:tc>
        <w:tc>
          <w:tcPr>
            <w:tcW w:w="1417" w:type="dxa"/>
            <w:tcBorders>
              <w:top w:val="single" w:sz="4" w:space="0" w:color="000000"/>
              <w:left w:val="single" w:sz="4" w:space="0" w:color="000000"/>
              <w:bottom w:val="single" w:sz="4" w:space="0" w:color="000000"/>
              <w:right w:val="single" w:sz="4" w:space="0" w:color="000000"/>
            </w:tcBorders>
          </w:tcPr>
          <w:p w14:paraId="16E311C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202E342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Alvászavar, depressio</w:t>
            </w:r>
          </w:p>
        </w:tc>
      </w:tr>
      <w:tr w:rsidR="002D66F3" w:rsidRPr="00360A40" w14:paraId="27B95CC1" w14:textId="77777777" w:rsidTr="00650C6D">
        <w:trPr>
          <w:trHeight w:hRule="exact" w:val="516"/>
        </w:trPr>
        <w:tc>
          <w:tcPr>
            <w:tcW w:w="2694" w:type="dxa"/>
            <w:vMerge/>
            <w:tcBorders>
              <w:top w:val="single" w:sz="4" w:space="0" w:color="000000"/>
              <w:left w:val="single" w:sz="4" w:space="0" w:color="000000"/>
              <w:bottom w:val="single" w:sz="4" w:space="0" w:color="000000"/>
              <w:right w:val="single" w:sz="4" w:space="0" w:color="000000"/>
            </w:tcBorders>
          </w:tcPr>
          <w:p w14:paraId="7DB0B3B9"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7EEBAF9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32BD6AD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Apátia, hangulatváltozás, könnyezés</w:t>
            </w:r>
          </w:p>
        </w:tc>
      </w:tr>
      <w:tr w:rsidR="002D66F3" w:rsidRPr="00360A40" w14:paraId="5C9A1A2D" w14:textId="77777777" w:rsidTr="00650C6D">
        <w:trPr>
          <w:trHeight w:hRule="exact" w:val="265"/>
        </w:trPr>
        <w:tc>
          <w:tcPr>
            <w:tcW w:w="2694" w:type="dxa"/>
            <w:vMerge w:val="restart"/>
            <w:tcBorders>
              <w:top w:val="single" w:sz="4" w:space="0" w:color="000000"/>
              <w:left w:val="single" w:sz="4" w:space="0" w:color="000000"/>
              <w:bottom w:val="single" w:sz="4" w:space="0" w:color="000000"/>
              <w:right w:val="single" w:sz="4" w:space="0" w:color="000000"/>
            </w:tcBorders>
          </w:tcPr>
          <w:p w14:paraId="0D2821F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 xml:space="preserve">Idegrendszeri betegségek és </w:t>
            </w:r>
            <w:r w:rsidRPr="00360A40">
              <w:rPr>
                <w:sz w:val="22"/>
                <w:szCs w:val="22"/>
                <w:lang w:val="hu-HU"/>
              </w:rPr>
              <w:lastRenderedPageBreak/>
              <w:t>tünetek</w:t>
            </w:r>
          </w:p>
        </w:tc>
        <w:tc>
          <w:tcPr>
            <w:tcW w:w="1417" w:type="dxa"/>
            <w:tcBorders>
              <w:top w:val="single" w:sz="4" w:space="0" w:color="000000"/>
              <w:left w:val="single" w:sz="4" w:space="0" w:color="000000"/>
              <w:bottom w:val="single" w:sz="4" w:space="0" w:color="000000"/>
              <w:right w:val="single" w:sz="4" w:space="0" w:color="000000"/>
            </w:tcBorders>
          </w:tcPr>
          <w:p w14:paraId="57ACEAD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lastRenderedPageBreak/>
              <w:t>Gyakori</w:t>
            </w:r>
          </w:p>
        </w:tc>
        <w:tc>
          <w:tcPr>
            <w:tcW w:w="5103" w:type="dxa"/>
            <w:tcBorders>
              <w:top w:val="single" w:sz="4" w:space="0" w:color="000000"/>
              <w:left w:val="single" w:sz="4" w:space="0" w:color="000000"/>
              <w:bottom w:val="single" w:sz="4" w:space="0" w:color="000000"/>
              <w:right w:val="single" w:sz="4" w:space="0" w:color="000000"/>
            </w:tcBorders>
          </w:tcPr>
          <w:p w14:paraId="1FBACEB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Paraesthesia, hypaesthesia, aluszékonyság, migrén</w:t>
            </w:r>
          </w:p>
        </w:tc>
      </w:tr>
      <w:tr w:rsidR="002D66F3" w:rsidRPr="00360A40" w14:paraId="6F9BB1CC" w14:textId="77777777" w:rsidTr="00650C6D">
        <w:trPr>
          <w:trHeight w:hRule="exact" w:val="1399"/>
        </w:trPr>
        <w:tc>
          <w:tcPr>
            <w:tcW w:w="2694" w:type="dxa"/>
            <w:vMerge/>
            <w:tcBorders>
              <w:top w:val="single" w:sz="4" w:space="0" w:color="000000"/>
              <w:left w:val="single" w:sz="4" w:space="0" w:color="000000"/>
              <w:bottom w:val="single" w:sz="4" w:space="0" w:color="000000"/>
              <w:right w:val="single" w:sz="4" w:space="0" w:color="000000"/>
            </w:tcBorders>
          </w:tcPr>
          <w:p w14:paraId="1EEB114F"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B03B8D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18D6482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Tremor, egyensúlyzavar, dysaesthesia, hemiparesis, aurával járó migrén, perifériás neuropathia, perifériás szenzoros neuropathia, beszédzavar, toxikus neuropathia, vascularis fejfájás</w:t>
            </w:r>
          </w:p>
        </w:tc>
      </w:tr>
      <w:tr w:rsidR="002D66F3" w:rsidRPr="00360A40" w14:paraId="6ABAD2D1" w14:textId="77777777" w:rsidTr="00650C6D">
        <w:trPr>
          <w:trHeight w:hRule="exact" w:val="516"/>
        </w:trPr>
        <w:tc>
          <w:tcPr>
            <w:tcW w:w="2694" w:type="dxa"/>
            <w:vMerge w:val="restart"/>
            <w:tcBorders>
              <w:top w:val="single" w:sz="4" w:space="0" w:color="000000"/>
              <w:left w:val="single" w:sz="4" w:space="0" w:color="000000"/>
              <w:bottom w:val="single" w:sz="4" w:space="0" w:color="000000"/>
              <w:right w:val="single" w:sz="4" w:space="0" w:color="000000"/>
            </w:tcBorders>
          </w:tcPr>
          <w:p w14:paraId="4300DBF1" w14:textId="2A2DD377" w:rsidR="002D66F3" w:rsidRPr="00360A40" w:rsidRDefault="002D66F3" w:rsidP="00360A40">
            <w:pPr>
              <w:pStyle w:val="TableParagraph"/>
              <w:kinsoku w:val="0"/>
              <w:overflowPunct w:val="0"/>
              <w:ind w:left="102"/>
              <w:rPr>
                <w:sz w:val="22"/>
                <w:szCs w:val="22"/>
                <w:lang w:val="hu-HU"/>
              </w:rPr>
            </w:pPr>
            <w:r w:rsidRPr="00360A40">
              <w:rPr>
                <w:sz w:val="22"/>
                <w:szCs w:val="22"/>
                <w:lang w:val="hu-HU"/>
              </w:rPr>
              <w:t xml:space="preserve">Szembetegségek és </w:t>
            </w:r>
            <w:r w:rsidR="00765939" w:rsidRPr="00360A40">
              <w:rPr>
                <w:sz w:val="22"/>
                <w:szCs w:val="22"/>
                <w:lang w:val="hu-HU"/>
              </w:rPr>
              <w:t xml:space="preserve">szemészeti </w:t>
            </w:r>
            <w:r w:rsidRPr="00360A40">
              <w:rPr>
                <w:sz w:val="22"/>
                <w:szCs w:val="22"/>
                <w:lang w:val="hu-HU"/>
              </w:rPr>
              <w:t>tünetek</w:t>
            </w:r>
          </w:p>
        </w:tc>
        <w:tc>
          <w:tcPr>
            <w:tcW w:w="1417" w:type="dxa"/>
            <w:tcBorders>
              <w:top w:val="single" w:sz="4" w:space="0" w:color="000000"/>
              <w:left w:val="single" w:sz="4" w:space="0" w:color="000000"/>
              <w:bottom w:val="single" w:sz="4" w:space="0" w:color="000000"/>
              <w:right w:val="single" w:sz="4" w:space="0" w:color="000000"/>
            </w:tcBorders>
          </w:tcPr>
          <w:p w14:paraId="130277B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60B7155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Száraz szem, homályos látás, fájdalom a szemben, csökkent látásélesség</w:t>
            </w:r>
          </w:p>
        </w:tc>
      </w:tr>
      <w:tr w:rsidR="002D66F3" w:rsidRPr="00360A40" w14:paraId="5A5449E3" w14:textId="77777777" w:rsidTr="00650C6D">
        <w:trPr>
          <w:trHeight w:hRule="exact" w:val="1470"/>
        </w:trPr>
        <w:tc>
          <w:tcPr>
            <w:tcW w:w="2694" w:type="dxa"/>
            <w:vMerge/>
            <w:tcBorders>
              <w:top w:val="single" w:sz="4" w:space="0" w:color="000000"/>
              <w:left w:val="single" w:sz="4" w:space="0" w:color="000000"/>
              <w:bottom w:val="single" w:sz="4" w:space="0" w:color="000000"/>
              <w:right w:val="single" w:sz="4" w:space="0" w:color="000000"/>
            </w:tcBorders>
          </w:tcPr>
          <w:p w14:paraId="1C3693D0"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74D15E0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1F1095E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Szemlencse homály, astigmatismus, cataracta corticalis, fokozott könnyezés, retina vérzés, retina pigment epitheliopathia, látásromlás, kóros látásélességi vizsgálati eredmények, blepharitis, keratoconjunctivitis sicca</w:t>
            </w:r>
          </w:p>
        </w:tc>
      </w:tr>
      <w:tr w:rsidR="002D66F3" w:rsidRPr="00360A40" w14:paraId="5F91BF41" w14:textId="77777777" w:rsidTr="00650C6D">
        <w:trPr>
          <w:trHeight w:hRule="exact" w:val="769"/>
        </w:trPr>
        <w:tc>
          <w:tcPr>
            <w:tcW w:w="2694" w:type="dxa"/>
            <w:tcBorders>
              <w:top w:val="single" w:sz="4" w:space="0" w:color="000000"/>
              <w:left w:val="single" w:sz="4" w:space="0" w:color="000000"/>
              <w:bottom w:val="single" w:sz="4" w:space="0" w:color="000000"/>
              <w:right w:val="single" w:sz="4" w:space="0" w:color="000000"/>
            </w:tcBorders>
          </w:tcPr>
          <w:p w14:paraId="6EA36A6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fül és az egyensúlyérzékelő szerv betegségei és tünetei</w:t>
            </w:r>
          </w:p>
        </w:tc>
        <w:tc>
          <w:tcPr>
            <w:tcW w:w="1417" w:type="dxa"/>
            <w:tcBorders>
              <w:top w:val="single" w:sz="4" w:space="0" w:color="000000"/>
              <w:left w:val="single" w:sz="4" w:space="0" w:color="000000"/>
              <w:bottom w:val="single" w:sz="4" w:space="0" w:color="000000"/>
              <w:right w:val="single" w:sz="4" w:space="0" w:color="000000"/>
            </w:tcBorders>
          </w:tcPr>
          <w:p w14:paraId="0E368CB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5DC166CD" w14:textId="3D785482" w:rsidR="002D66F3" w:rsidRPr="00360A40" w:rsidRDefault="002D66F3" w:rsidP="00360A40">
            <w:pPr>
              <w:pStyle w:val="TableParagraph"/>
              <w:kinsoku w:val="0"/>
              <w:overflowPunct w:val="0"/>
              <w:ind w:left="100"/>
              <w:rPr>
                <w:sz w:val="22"/>
                <w:szCs w:val="22"/>
                <w:lang w:val="hu-HU"/>
              </w:rPr>
            </w:pPr>
            <w:r w:rsidRPr="00360A40">
              <w:rPr>
                <w:sz w:val="22"/>
                <w:szCs w:val="22"/>
                <w:lang w:val="hu-HU"/>
              </w:rPr>
              <w:t>Fülfájás, vertig</w:t>
            </w:r>
            <w:r w:rsidR="00765939" w:rsidRPr="00360A40">
              <w:rPr>
                <w:sz w:val="22"/>
                <w:szCs w:val="22"/>
                <w:lang w:val="hu-HU"/>
              </w:rPr>
              <w:t>o</w:t>
            </w:r>
          </w:p>
        </w:tc>
      </w:tr>
      <w:tr w:rsidR="002D66F3" w:rsidRPr="00360A40" w14:paraId="21399339" w14:textId="77777777" w:rsidTr="00650C6D">
        <w:trPr>
          <w:trHeight w:hRule="exact" w:val="1076"/>
        </w:trPr>
        <w:tc>
          <w:tcPr>
            <w:tcW w:w="2694" w:type="dxa"/>
            <w:tcBorders>
              <w:top w:val="single" w:sz="4" w:space="0" w:color="000000"/>
              <w:left w:val="single" w:sz="4" w:space="0" w:color="000000"/>
              <w:bottom w:val="single" w:sz="4" w:space="0" w:color="000000"/>
              <w:right w:val="single" w:sz="4" w:space="0" w:color="000000"/>
            </w:tcBorders>
          </w:tcPr>
          <w:p w14:paraId="7563195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Szívbetegségek és a szívvel kapcsolatos tünetek</w:t>
            </w:r>
          </w:p>
        </w:tc>
        <w:tc>
          <w:tcPr>
            <w:tcW w:w="1417" w:type="dxa"/>
            <w:tcBorders>
              <w:top w:val="single" w:sz="4" w:space="0" w:color="000000"/>
              <w:left w:val="single" w:sz="4" w:space="0" w:color="000000"/>
              <w:bottom w:val="single" w:sz="4" w:space="0" w:color="000000"/>
              <w:right w:val="single" w:sz="4" w:space="0" w:color="000000"/>
            </w:tcBorders>
          </w:tcPr>
          <w:p w14:paraId="75CF5087"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2D51410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Tachycardia, akut myocardialis infarctus, cardiovascularis betegségek, cyanosis, sinus tachycardia, elektrokardiagramon QT-megnyúlás</w:t>
            </w:r>
          </w:p>
        </w:tc>
      </w:tr>
      <w:tr w:rsidR="002D66F3" w:rsidRPr="00360A40" w14:paraId="7914AD2F"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4232FC27"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Érbetegségek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39002E6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5701BF4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Mélyvénás thrombosis, haematoma, hőhullámok</w:t>
            </w:r>
          </w:p>
        </w:tc>
      </w:tr>
      <w:tr w:rsidR="002D66F3" w:rsidRPr="00360A40" w14:paraId="3D689650"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2944D777"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510ABF94"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24647852"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Embolia, felületes thrombophlebitis, kipirulás</w:t>
            </w:r>
          </w:p>
        </w:tc>
      </w:tr>
      <w:tr w:rsidR="002D66F3" w:rsidRPr="00360A40" w14:paraId="5E132E53"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705B619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Légzőrendszeri, mellkasi és mediastinalis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7CBABDB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Nagyon gyakori</w:t>
            </w:r>
          </w:p>
        </w:tc>
        <w:tc>
          <w:tcPr>
            <w:tcW w:w="5103" w:type="dxa"/>
            <w:tcBorders>
              <w:top w:val="single" w:sz="4" w:space="0" w:color="000000"/>
              <w:left w:val="single" w:sz="4" w:space="0" w:color="000000"/>
              <w:bottom w:val="single" w:sz="4" w:space="0" w:color="000000"/>
              <w:right w:val="single" w:sz="4" w:space="0" w:color="000000"/>
            </w:tcBorders>
          </w:tcPr>
          <w:p w14:paraId="230DA8D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Köhögés</w:t>
            </w:r>
            <w:r w:rsidRPr="009F4BD6">
              <w:rPr>
                <w:sz w:val="22"/>
                <w:szCs w:val="22"/>
                <w:vertAlign w:val="superscript"/>
                <w:lang w:val="hu-HU"/>
              </w:rPr>
              <w:t>♦</w:t>
            </w:r>
          </w:p>
        </w:tc>
      </w:tr>
      <w:tr w:rsidR="002D66F3" w:rsidRPr="00360A40" w14:paraId="0F81AFA3"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20E50769"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0D5A182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545D047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Oropharyngealis fájdalom</w:t>
            </w:r>
            <w:r w:rsidRPr="009F4BD6">
              <w:rPr>
                <w:sz w:val="22"/>
                <w:szCs w:val="22"/>
                <w:vertAlign w:val="superscript"/>
                <w:lang w:val="hu-HU"/>
              </w:rPr>
              <w:t>♦</w:t>
            </w:r>
            <w:r w:rsidRPr="00360A40">
              <w:rPr>
                <w:sz w:val="22"/>
                <w:szCs w:val="22"/>
                <w:lang w:val="hu-HU"/>
              </w:rPr>
              <w:t>, rhinorrhoea</w:t>
            </w:r>
            <w:r w:rsidRPr="009F4BD6">
              <w:rPr>
                <w:sz w:val="22"/>
                <w:szCs w:val="22"/>
                <w:vertAlign w:val="superscript"/>
                <w:lang w:val="hu-HU"/>
              </w:rPr>
              <w:t>♦</w:t>
            </w:r>
          </w:p>
        </w:tc>
      </w:tr>
      <w:tr w:rsidR="002D66F3" w:rsidRPr="00360A40" w14:paraId="6BCB4E92"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7D3BC898"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798B5AE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722AB76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Tüdőembolia, pulmonalis infarctus, kellemetlen érzés az orrban, oropharyngealis hólyagképződés, sinus betegség, alvási apnoe szindróma</w:t>
            </w:r>
          </w:p>
        </w:tc>
      </w:tr>
      <w:tr w:rsidR="002D66F3" w:rsidRPr="00360A40" w14:paraId="4C7BB3B6"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71923AF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Emésztőrendszeri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11EDD0C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Nagyon gyakori</w:t>
            </w:r>
          </w:p>
        </w:tc>
        <w:tc>
          <w:tcPr>
            <w:tcW w:w="5103" w:type="dxa"/>
            <w:tcBorders>
              <w:top w:val="single" w:sz="4" w:space="0" w:color="000000"/>
              <w:left w:val="single" w:sz="4" w:space="0" w:color="000000"/>
              <w:bottom w:val="single" w:sz="4" w:space="0" w:color="000000"/>
              <w:right w:val="single" w:sz="4" w:space="0" w:color="000000"/>
            </w:tcBorders>
          </w:tcPr>
          <w:p w14:paraId="6B70410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Hányinger, hasmenés</w:t>
            </w:r>
          </w:p>
        </w:tc>
      </w:tr>
      <w:tr w:rsidR="002D66F3" w:rsidRPr="00360A40" w14:paraId="78732162"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40AA24DC"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5A54DA4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04476F4D" w14:textId="07636E95" w:rsidR="002D66F3" w:rsidRPr="00360A40" w:rsidRDefault="002D66F3" w:rsidP="00360A40">
            <w:pPr>
              <w:pStyle w:val="TableParagraph"/>
              <w:kinsoku w:val="0"/>
              <w:overflowPunct w:val="0"/>
              <w:ind w:left="100"/>
              <w:rPr>
                <w:sz w:val="22"/>
                <w:szCs w:val="22"/>
                <w:lang w:val="hu-HU"/>
              </w:rPr>
            </w:pPr>
            <w:r w:rsidRPr="00360A40">
              <w:rPr>
                <w:sz w:val="22"/>
                <w:szCs w:val="22"/>
                <w:lang w:val="hu-HU"/>
              </w:rPr>
              <w:t>Szájnyálkahártya</w:t>
            </w:r>
            <w:r w:rsidR="007838D5" w:rsidRPr="00360A40">
              <w:rPr>
                <w:sz w:val="22"/>
                <w:szCs w:val="22"/>
                <w:lang w:val="hu-HU"/>
              </w:rPr>
              <w:t>-</w:t>
            </w:r>
            <w:r w:rsidRPr="00360A40">
              <w:rPr>
                <w:sz w:val="22"/>
                <w:szCs w:val="22"/>
                <w:lang w:val="hu-HU"/>
              </w:rPr>
              <w:t>fekély, fogfájás</w:t>
            </w:r>
            <w:r w:rsidRPr="009F4BD6">
              <w:rPr>
                <w:sz w:val="22"/>
                <w:szCs w:val="22"/>
                <w:vertAlign w:val="superscript"/>
                <w:lang w:val="hu-HU"/>
              </w:rPr>
              <w:t>♦</w:t>
            </w:r>
            <w:r w:rsidRPr="00360A40">
              <w:rPr>
                <w:sz w:val="22"/>
                <w:szCs w:val="22"/>
                <w:lang w:val="hu-HU"/>
              </w:rPr>
              <w:t>, hányás, hasi fájdalom*, a szájnyálkahártya vérzése, flatulentia</w:t>
            </w:r>
          </w:p>
          <w:p w14:paraId="4385A0B5"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 ITP-s gyermekeknél</w:t>
            </w:r>
          </w:p>
        </w:tc>
      </w:tr>
      <w:tr w:rsidR="002D66F3" w:rsidRPr="00360A40" w14:paraId="127F8DD2"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73D4A070"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F1BE1F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2BB9D07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Szájszárazság, a nyelv fájdalma, a has nyomásérzékenysége, a széklet elszíneződése, ételmérgezés, gyakori székletürítés, haematemesis, oralis diszkomfort</w:t>
            </w:r>
          </w:p>
        </w:tc>
      </w:tr>
      <w:tr w:rsidR="002D66F3" w:rsidRPr="00360A40" w14:paraId="3E2B3B48"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42707F4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Máj- és epebetegségek, illetve tünetek</w:t>
            </w:r>
          </w:p>
        </w:tc>
        <w:tc>
          <w:tcPr>
            <w:tcW w:w="1417" w:type="dxa"/>
            <w:tcBorders>
              <w:top w:val="single" w:sz="4" w:space="0" w:color="000000"/>
              <w:left w:val="single" w:sz="4" w:space="0" w:color="000000"/>
              <w:bottom w:val="single" w:sz="4" w:space="0" w:color="000000"/>
              <w:right w:val="single" w:sz="4" w:space="0" w:color="000000"/>
            </w:tcBorders>
          </w:tcPr>
          <w:p w14:paraId="70D01717"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Nagyon gyakori</w:t>
            </w:r>
          </w:p>
        </w:tc>
        <w:tc>
          <w:tcPr>
            <w:tcW w:w="5103" w:type="dxa"/>
            <w:tcBorders>
              <w:top w:val="single" w:sz="4" w:space="0" w:color="000000"/>
              <w:left w:val="single" w:sz="4" w:space="0" w:color="000000"/>
              <w:bottom w:val="single" w:sz="4" w:space="0" w:color="000000"/>
              <w:right w:val="single" w:sz="4" w:space="0" w:color="000000"/>
            </w:tcBorders>
          </w:tcPr>
          <w:p w14:paraId="7A12CC0E" w14:textId="06A28198" w:rsidR="002D66F3" w:rsidRPr="00360A40" w:rsidRDefault="002D66F3" w:rsidP="00360A40">
            <w:pPr>
              <w:pStyle w:val="TableParagraph"/>
              <w:kinsoku w:val="0"/>
              <w:overflowPunct w:val="0"/>
              <w:ind w:left="100"/>
              <w:rPr>
                <w:sz w:val="22"/>
                <w:szCs w:val="22"/>
                <w:lang w:val="hu-HU"/>
              </w:rPr>
            </w:pPr>
            <w:r w:rsidRPr="00360A40">
              <w:rPr>
                <w:sz w:val="22"/>
                <w:szCs w:val="22"/>
                <w:lang w:val="hu-HU"/>
              </w:rPr>
              <w:t xml:space="preserve">Emelkedett </w:t>
            </w:r>
            <w:r w:rsidR="007838D5" w:rsidRPr="00360A40">
              <w:rPr>
                <w:sz w:val="22"/>
                <w:szCs w:val="22"/>
                <w:lang w:val="hu-HU"/>
              </w:rPr>
              <w:t>glutamát-piruvát-transzamináz</w:t>
            </w:r>
            <w:r w:rsidRPr="00360A40">
              <w:rPr>
                <w:sz w:val="22"/>
                <w:szCs w:val="22"/>
                <w:lang w:val="hu-HU"/>
              </w:rPr>
              <w:t>-szint†</w:t>
            </w:r>
          </w:p>
        </w:tc>
      </w:tr>
      <w:tr w:rsidR="002D66F3" w:rsidRPr="00360A40" w14:paraId="17DB33D6"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1B8E1F49"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652FD1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28C49029" w14:textId="235260B0" w:rsidR="002D66F3" w:rsidRPr="00360A40" w:rsidRDefault="002D66F3" w:rsidP="00360A40">
            <w:pPr>
              <w:pStyle w:val="Default"/>
              <w:rPr>
                <w:color w:val="auto"/>
                <w:sz w:val="22"/>
                <w:szCs w:val="22"/>
              </w:rPr>
            </w:pPr>
            <w:r w:rsidRPr="00360A40">
              <w:rPr>
                <w:color w:val="auto"/>
                <w:sz w:val="22"/>
                <w:szCs w:val="22"/>
              </w:rPr>
              <w:t xml:space="preserve">Emelkedett </w:t>
            </w:r>
            <w:r w:rsidR="007838D5" w:rsidRPr="00360A40">
              <w:rPr>
                <w:color w:val="auto"/>
                <w:sz w:val="22"/>
                <w:szCs w:val="22"/>
              </w:rPr>
              <w:t>glutamát-oxálacetát-transzamináz</w:t>
            </w:r>
            <w:r w:rsidRPr="00360A40">
              <w:rPr>
                <w:color w:val="auto"/>
                <w:sz w:val="22"/>
                <w:szCs w:val="22"/>
              </w:rPr>
              <w:t>-szint†, hyperbilirubinaemia, kóros májfunkció</w:t>
            </w:r>
          </w:p>
        </w:tc>
      </w:tr>
      <w:tr w:rsidR="002D66F3" w:rsidRPr="00360A40" w14:paraId="60FF34B6"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4F606265"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FABABB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37E82C7B"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Cholestasis, hepaticus laesio, hepatitis, gyógyszer okozta májkárosodás</w:t>
            </w:r>
          </w:p>
        </w:tc>
      </w:tr>
      <w:tr w:rsidR="002D66F3" w:rsidRPr="00360A40" w14:paraId="727BA73C"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399615A4"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bőr és a bőr alatti szövet betegségei és tünetei</w:t>
            </w:r>
          </w:p>
        </w:tc>
        <w:tc>
          <w:tcPr>
            <w:tcW w:w="1417" w:type="dxa"/>
            <w:tcBorders>
              <w:top w:val="single" w:sz="4" w:space="0" w:color="000000"/>
              <w:left w:val="single" w:sz="4" w:space="0" w:color="000000"/>
              <w:bottom w:val="single" w:sz="4" w:space="0" w:color="000000"/>
              <w:right w:val="single" w:sz="4" w:space="0" w:color="000000"/>
            </w:tcBorders>
          </w:tcPr>
          <w:p w14:paraId="4DC90128"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333E276F"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Bőrkiütés, alopecia, hyperhydrosis, generalizált pruritus, petechiák</w:t>
            </w:r>
          </w:p>
        </w:tc>
      </w:tr>
      <w:tr w:rsidR="002D66F3" w:rsidRPr="00360A40" w14:paraId="36B0EF66"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0CCBA7CE"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7BF138D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701D7F7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Urticaria, dermatosis, hideg verejték, erythema, melanosis, pigmentációs zavarok, a bőr elszíneződése, bőrhámlás</w:t>
            </w:r>
          </w:p>
        </w:tc>
      </w:tr>
      <w:tr w:rsidR="002D66F3" w:rsidRPr="00360A40" w14:paraId="1A73FABC"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3CDCE1D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csont- és izomrendszer, valamint a kötőszövet betegségei és tünetei</w:t>
            </w:r>
          </w:p>
        </w:tc>
        <w:tc>
          <w:tcPr>
            <w:tcW w:w="1417" w:type="dxa"/>
            <w:tcBorders>
              <w:top w:val="single" w:sz="4" w:space="0" w:color="000000"/>
              <w:left w:val="single" w:sz="4" w:space="0" w:color="000000"/>
              <w:bottom w:val="single" w:sz="4" w:space="0" w:color="000000"/>
              <w:right w:val="single" w:sz="4" w:space="0" w:color="000000"/>
            </w:tcBorders>
          </w:tcPr>
          <w:p w14:paraId="00CFC687"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Nagyon gyakori</w:t>
            </w:r>
          </w:p>
        </w:tc>
        <w:tc>
          <w:tcPr>
            <w:tcW w:w="5103" w:type="dxa"/>
            <w:tcBorders>
              <w:top w:val="single" w:sz="4" w:space="0" w:color="000000"/>
              <w:left w:val="single" w:sz="4" w:space="0" w:color="000000"/>
              <w:bottom w:val="single" w:sz="4" w:space="0" w:color="000000"/>
              <w:right w:val="single" w:sz="4" w:space="0" w:color="000000"/>
            </w:tcBorders>
          </w:tcPr>
          <w:p w14:paraId="3DFFD3F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Hátfájás</w:t>
            </w:r>
          </w:p>
        </w:tc>
      </w:tr>
      <w:tr w:rsidR="002D66F3" w:rsidRPr="00360A40" w14:paraId="0BA7CBC6"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6E66C63A"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77CF874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6F863B8F"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Myalgia, izomgörcs, musculoskeletalis fájdalmak, csontfájdalom</w:t>
            </w:r>
          </w:p>
        </w:tc>
      </w:tr>
      <w:tr w:rsidR="002D66F3" w:rsidRPr="00360A40" w14:paraId="1043AF23"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3F4110EB"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E32E4B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417DC036"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Izomgyengeség</w:t>
            </w:r>
          </w:p>
        </w:tc>
      </w:tr>
      <w:tr w:rsidR="002D66F3" w:rsidRPr="00360A40" w14:paraId="37A42DC8" w14:textId="77777777" w:rsidTr="00650C6D">
        <w:trPr>
          <w:trHeight w:val="910"/>
        </w:trPr>
        <w:tc>
          <w:tcPr>
            <w:tcW w:w="2694" w:type="dxa"/>
            <w:vMerge w:val="restart"/>
            <w:tcBorders>
              <w:top w:val="single" w:sz="4" w:space="0" w:color="000000"/>
              <w:left w:val="single" w:sz="4" w:space="0" w:color="000000"/>
              <w:bottom w:val="single" w:sz="4" w:space="0" w:color="000000"/>
              <w:right w:val="single" w:sz="4" w:space="0" w:color="000000"/>
            </w:tcBorders>
          </w:tcPr>
          <w:p w14:paraId="0FA28B3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lastRenderedPageBreak/>
              <w:t>Vese- és húgyúti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69C2702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6354649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Proteinuria, a kreatininszint emelkedése a vérben, thromboticus microangiopathia veseelégtelenséggel‡</w:t>
            </w:r>
          </w:p>
        </w:tc>
      </w:tr>
      <w:tr w:rsidR="002D66F3" w:rsidRPr="00360A40" w14:paraId="2FC54346"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307D1039"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48E427E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73DAE662"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Veseelégtelenség, leukocyturia, lupus nephritis, éjszakai vizelés, a karbamidszint emelkedése a vérben, a protein/kreatinin arány emelkedése a vizeletben</w:t>
            </w:r>
          </w:p>
        </w:tc>
      </w:tr>
      <w:tr w:rsidR="002D66F3" w:rsidRPr="00360A40" w14:paraId="50D70FD0" w14:textId="77777777" w:rsidTr="00650C6D">
        <w:tc>
          <w:tcPr>
            <w:tcW w:w="2694" w:type="dxa"/>
            <w:tcBorders>
              <w:top w:val="single" w:sz="4" w:space="0" w:color="000000"/>
              <w:left w:val="single" w:sz="4" w:space="0" w:color="000000"/>
              <w:bottom w:val="single" w:sz="4" w:space="0" w:color="000000"/>
              <w:right w:val="single" w:sz="4" w:space="0" w:color="000000"/>
            </w:tcBorders>
          </w:tcPr>
          <w:p w14:paraId="3DB2B011"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nemi szervekkel és az emlőkkel kapcsolatos betegségek és tünetek</w:t>
            </w:r>
          </w:p>
        </w:tc>
        <w:tc>
          <w:tcPr>
            <w:tcW w:w="1417" w:type="dxa"/>
            <w:tcBorders>
              <w:top w:val="single" w:sz="4" w:space="0" w:color="000000"/>
              <w:left w:val="single" w:sz="4" w:space="0" w:color="000000"/>
              <w:bottom w:val="single" w:sz="4" w:space="0" w:color="000000"/>
              <w:right w:val="single" w:sz="4" w:space="0" w:color="000000"/>
            </w:tcBorders>
          </w:tcPr>
          <w:p w14:paraId="0B195BA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66DD3F6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Menorrhagia</w:t>
            </w:r>
          </w:p>
        </w:tc>
      </w:tr>
      <w:tr w:rsidR="002D66F3" w:rsidRPr="00360A40" w14:paraId="382A00EA"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658688E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Általános tünetek, az alkalmazás helyén fellépő reakciók</w:t>
            </w:r>
          </w:p>
        </w:tc>
        <w:tc>
          <w:tcPr>
            <w:tcW w:w="1417" w:type="dxa"/>
            <w:tcBorders>
              <w:top w:val="single" w:sz="4" w:space="0" w:color="000000"/>
              <w:left w:val="single" w:sz="4" w:space="0" w:color="000000"/>
              <w:bottom w:val="single" w:sz="4" w:space="0" w:color="000000"/>
              <w:right w:val="single" w:sz="4" w:space="0" w:color="000000"/>
            </w:tcBorders>
          </w:tcPr>
          <w:p w14:paraId="753E3CA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6FA920B0"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Láz*, mellkasi fájdalom, asthenia</w:t>
            </w:r>
          </w:p>
          <w:p w14:paraId="4657FA4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 ITP-s gyermekeknél</w:t>
            </w:r>
          </w:p>
        </w:tc>
      </w:tr>
      <w:tr w:rsidR="002D66F3" w:rsidRPr="00360A40" w14:paraId="50DEFB00"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3E71D98A"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30B35661"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6B059982"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Forróságérzés, vérzés az érfalszúrás helyén, idegesség, sebgyulladás, rossz közérzet, idegentest érzés</w:t>
            </w:r>
          </w:p>
        </w:tc>
      </w:tr>
      <w:tr w:rsidR="002D66F3" w:rsidRPr="00360A40" w14:paraId="1668AF2D" w14:textId="77777777" w:rsidTr="00650C6D">
        <w:tc>
          <w:tcPr>
            <w:tcW w:w="2694" w:type="dxa"/>
            <w:vMerge w:val="restart"/>
            <w:tcBorders>
              <w:top w:val="single" w:sz="4" w:space="0" w:color="000000"/>
              <w:left w:val="single" w:sz="4" w:space="0" w:color="000000"/>
              <w:bottom w:val="single" w:sz="4" w:space="0" w:color="000000"/>
              <w:right w:val="single" w:sz="4" w:space="0" w:color="000000"/>
            </w:tcBorders>
          </w:tcPr>
          <w:p w14:paraId="155002B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Laboratóriumi és egyéb vizsgálatok eredményei</w:t>
            </w:r>
          </w:p>
        </w:tc>
        <w:tc>
          <w:tcPr>
            <w:tcW w:w="1417" w:type="dxa"/>
            <w:tcBorders>
              <w:top w:val="single" w:sz="4" w:space="0" w:color="000000"/>
              <w:left w:val="single" w:sz="4" w:space="0" w:color="000000"/>
              <w:bottom w:val="single" w:sz="4" w:space="0" w:color="000000"/>
              <w:right w:val="single" w:sz="4" w:space="0" w:color="000000"/>
            </w:tcBorders>
          </w:tcPr>
          <w:p w14:paraId="39843C6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Gyakori</w:t>
            </w:r>
          </w:p>
        </w:tc>
        <w:tc>
          <w:tcPr>
            <w:tcW w:w="5103" w:type="dxa"/>
            <w:tcBorders>
              <w:top w:val="single" w:sz="4" w:space="0" w:color="000000"/>
              <w:left w:val="single" w:sz="4" w:space="0" w:color="000000"/>
              <w:bottom w:val="single" w:sz="4" w:space="0" w:color="000000"/>
              <w:right w:val="single" w:sz="4" w:space="0" w:color="000000"/>
            </w:tcBorders>
          </w:tcPr>
          <w:p w14:paraId="210D4DA6" w14:textId="641D1C8E" w:rsidR="002D66F3" w:rsidRPr="00360A40" w:rsidRDefault="002D66F3" w:rsidP="009054EA">
            <w:pPr>
              <w:pStyle w:val="TableParagraph"/>
              <w:kinsoku w:val="0"/>
              <w:overflowPunct w:val="0"/>
              <w:ind w:left="100"/>
              <w:rPr>
                <w:sz w:val="22"/>
                <w:szCs w:val="22"/>
                <w:lang w:val="hu-HU"/>
              </w:rPr>
            </w:pPr>
            <w:r w:rsidRPr="00360A40">
              <w:rPr>
                <w:sz w:val="22"/>
                <w:szCs w:val="22"/>
                <w:lang w:val="hu-HU"/>
              </w:rPr>
              <w:t>Emelkedett szérum alkalikusfoszfatáz</w:t>
            </w:r>
            <w:r w:rsidR="009054EA">
              <w:rPr>
                <w:sz w:val="22"/>
                <w:szCs w:val="22"/>
                <w:lang w:val="hu-HU"/>
              </w:rPr>
              <w:t>-</w:t>
            </w:r>
            <w:r w:rsidRPr="00360A40">
              <w:rPr>
                <w:sz w:val="22"/>
                <w:szCs w:val="22"/>
                <w:lang w:val="hu-HU"/>
              </w:rPr>
              <w:t>szint</w:t>
            </w:r>
          </w:p>
        </w:tc>
      </w:tr>
      <w:tr w:rsidR="002D66F3" w:rsidRPr="00360A40" w14:paraId="1BB5DC5A" w14:textId="77777777" w:rsidTr="00650C6D">
        <w:tc>
          <w:tcPr>
            <w:tcW w:w="2694" w:type="dxa"/>
            <w:vMerge/>
            <w:tcBorders>
              <w:top w:val="single" w:sz="4" w:space="0" w:color="000000"/>
              <w:left w:val="single" w:sz="4" w:space="0" w:color="000000"/>
              <w:bottom w:val="single" w:sz="4" w:space="0" w:color="000000"/>
              <w:right w:val="single" w:sz="4" w:space="0" w:color="000000"/>
            </w:tcBorders>
          </w:tcPr>
          <w:p w14:paraId="49150AF8" w14:textId="77777777" w:rsidR="002D66F3" w:rsidRPr="00360A40" w:rsidRDefault="002D66F3" w:rsidP="00360A40">
            <w:pPr>
              <w:pStyle w:val="TableParagraph"/>
              <w:kinsoku w:val="0"/>
              <w:overflowPunct w:val="0"/>
              <w:ind w:left="100"/>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475299B8"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46E0089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Emelkedett szérum albuminszint, emelkedett összproteinszint, csökkent szérum albuminszint, emelkedett vizelet pH</w:t>
            </w:r>
          </w:p>
        </w:tc>
      </w:tr>
      <w:tr w:rsidR="002D66F3" w:rsidRPr="00360A40" w14:paraId="14AC136A" w14:textId="77777777" w:rsidTr="00650C6D">
        <w:tc>
          <w:tcPr>
            <w:tcW w:w="2694" w:type="dxa"/>
            <w:tcBorders>
              <w:top w:val="single" w:sz="4" w:space="0" w:color="000000"/>
              <w:left w:val="single" w:sz="4" w:space="0" w:color="000000"/>
              <w:bottom w:val="single" w:sz="4" w:space="0" w:color="000000"/>
              <w:right w:val="single" w:sz="4" w:space="0" w:color="000000"/>
            </w:tcBorders>
          </w:tcPr>
          <w:p w14:paraId="2AD32038"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Sérülés, mérgezés és a beavatkozással kapcsolatos szövődmények</w:t>
            </w:r>
          </w:p>
        </w:tc>
        <w:tc>
          <w:tcPr>
            <w:tcW w:w="1417" w:type="dxa"/>
            <w:tcBorders>
              <w:top w:val="single" w:sz="4" w:space="0" w:color="000000"/>
              <w:left w:val="single" w:sz="4" w:space="0" w:color="000000"/>
              <w:bottom w:val="single" w:sz="4" w:space="0" w:color="000000"/>
              <w:right w:val="single" w:sz="4" w:space="0" w:color="000000"/>
            </w:tcBorders>
          </w:tcPr>
          <w:p w14:paraId="0087CEAD"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Nem gyakori</w:t>
            </w:r>
          </w:p>
        </w:tc>
        <w:tc>
          <w:tcPr>
            <w:tcW w:w="5103" w:type="dxa"/>
            <w:tcBorders>
              <w:top w:val="single" w:sz="4" w:space="0" w:color="000000"/>
              <w:left w:val="single" w:sz="4" w:space="0" w:color="000000"/>
              <w:bottom w:val="single" w:sz="4" w:space="0" w:color="000000"/>
              <w:right w:val="single" w:sz="4" w:space="0" w:color="000000"/>
            </w:tcBorders>
          </w:tcPr>
          <w:p w14:paraId="75107D8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Napégés</w:t>
            </w:r>
          </w:p>
        </w:tc>
      </w:tr>
    </w:tbl>
    <w:bookmarkEnd w:id="0"/>
    <w:p w14:paraId="24B222C6" w14:textId="1CB04592" w:rsidR="002D66F3" w:rsidRPr="00360A40" w:rsidRDefault="002D66F3" w:rsidP="00360A40">
      <w:pPr>
        <w:pStyle w:val="Szvegtrzs"/>
        <w:numPr>
          <w:ilvl w:val="0"/>
          <w:numId w:val="11"/>
        </w:numPr>
        <w:kinsoku w:val="0"/>
        <w:overflowPunct w:val="0"/>
        <w:ind w:left="567" w:hanging="567"/>
        <w:rPr>
          <w:lang w:val="hu-HU"/>
        </w:rPr>
      </w:pPr>
      <w:r w:rsidRPr="00360A40">
        <w:rPr>
          <w:lang w:val="hu-HU"/>
        </w:rPr>
        <w:t>A gyermek</w:t>
      </w:r>
      <w:r w:rsidR="002827B0">
        <w:rPr>
          <w:lang w:val="hu-HU"/>
        </w:rPr>
        <w:t>- és serdülőkorú</w:t>
      </w:r>
      <w:r w:rsidRPr="00360A40">
        <w:rPr>
          <w:lang w:val="hu-HU"/>
        </w:rPr>
        <w:t xml:space="preserve"> betegek vizsgálataiban megfigyelt további mellékhatások (1</w:t>
      </w:r>
      <w:r w:rsidR="006E08B2" w:rsidRPr="00360A40">
        <w:rPr>
          <w:lang w:val="hu-HU"/>
        </w:rPr>
        <w:noBreakHyphen/>
      </w:r>
      <w:r w:rsidRPr="00360A40">
        <w:rPr>
          <w:lang w:val="hu-HU"/>
        </w:rPr>
        <w:t>18</w:t>
      </w:r>
      <w:r w:rsidR="006E08B2" w:rsidRPr="00360A40">
        <w:rPr>
          <w:lang w:val="hu-HU"/>
        </w:rPr>
        <w:t> </w:t>
      </w:r>
      <w:r w:rsidRPr="00360A40">
        <w:rPr>
          <w:lang w:val="hu-HU"/>
        </w:rPr>
        <w:t>éves</w:t>
      </w:r>
      <w:r w:rsidR="006E08B2" w:rsidRPr="00360A40">
        <w:rPr>
          <w:lang w:val="hu-HU"/>
        </w:rPr>
        <w:t xml:space="preserve"> </w:t>
      </w:r>
      <w:r w:rsidRPr="00360A40">
        <w:rPr>
          <w:lang w:val="hu-HU"/>
        </w:rPr>
        <w:t>korig).</w:t>
      </w:r>
    </w:p>
    <w:p w14:paraId="60ECC40B" w14:textId="75097482" w:rsidR="002D66F3" w:rsidRPr="00360A40" w:rsidRDefault="002D66F3" w:rsidP="00360A40">
      <w:pPr>
        <w:pStyle w:val="Szvegtrzs"/>
        <w:kinsoku w:val="0"/>
        <w:overflowPunct w:val="0"/>
        <w:ind w:left="567" w:hanging="567"/>
        <w:rPr>
          <w:lang w:val="hu-HU"/>
        </w:rPr>
      </w:pPr>
      <w:r w:rsidRPr="00360A40">
        <w:rPr>
          <w:lang w:val="hu-HU"/>
        </w:rPr>
        <w:t>†</w:t>
      </w:r>
      <w:r w:rsidRPr="00360A40">
        <w:rPr>
          <w:lang w:val="hu-HU"/>
        </w:rPr>
        <w:tab/>
        <w:t xml:space="preserve">Az </w:t>
      </w:r>
      <w:r w:rsidR="00937AF7" w:rsidRPr="00360A40">
        <w:rPr>
          <w:lang w:val="hu-HU"/>
        </w:rPr>
        <w:t>glutamát-piruvát-transzamináz</w:t>
      </w:r>
      <w:r w:rsidRPr="00360A40">
        <w:rPr>
          <w:lang w:val="hu-HU"/>
        </w:rPr>
        <w:t xml:space="preserve">-szint és az </w:t>
      </w:r>
      <w:r w:rsidR="00937AF7" w:rsidRPr="00360A40">
        <w:t>glutamát-oxálacetát-transzamináz</w:t>
      </w:r>
      <w:r w:rsidRPr="00360A40">
        <w:rPr>
          <w:lang w:val="hu-HU"/>
        </w:rPr>
        <w:t>-szint emelkedése előfordulhat párhuzamosan, habár kisebb gyakorisággal.</w:t>
      </w:r>
    </w:p>
    <w:p w14:paraId="3C3AA401" w14:textId="77777777" w:rsidR="002D66F3" w:rsidRPr="00360A40" w:rsidRDefault="002D66F3" w:rsidP="00360A40">
      <w:pPr>
        <w:pStyle w:val="Szvegtrzs"/>
        <w:kinsoku w:val="0"/>
        <w:overflowPunct w:val="0"/>
        <w:ind w:left="567" w:hanging="567"/>
        <w:rPr>
          <w:lang w:val="hu-HU"/>
        </w:rPr>
      </w:pPr>
      <w:r w:rsidRPr="00360A40">
        <w:rPr>
          <w:lang w:val="hu-HU"/>
        </w:rPr>
        <w:t>‡</w:t>
      </w:r>
      <w:r w:rsidRPr="00360A40">
        <w:rPr>
          <w:lang w:val="hu-HU"/>
        </w:rPr>
        <w:tab/>
        <w:t>Csoportosított kifejezés az akut vesekárosodás és a veseelégtelenség preferált kifejezések alapján</w:t>
      </w:r>
    </w:p>
    <w:p w14:paraId="30B29780" w14:textId="77777777" w:rsidR="002D66F3" w:rsidRPr="00360A40" w:rsidRDefault="002D66F3" w:rsidP="00360A40">
      <w:pPr>
        <w:pStyle w:val="Szvegtrzs"/>
        <w:kinsoku w:val="0"/>
        <w:overflowPunct w:val="0"/>
        <w:ind w:left="0"/>
        <w:rPr>
          <w:lang w:val="hu-HU"/>
        </w:rPr>
      </w:pPr>
    </w:p>
    <w:p w14:paraId="4E6ADADF" w14:textId="77777777" w:rsidR="002D66F3" w:rsidRPr="00360A40" w:rsidRDefault="002D66F3" w:rsidP="00360A40">
      <w:pPr>
        <w:pStyle w:val="Cmsor1"/>
        <w:keepNext/>
        <w:widowControl/>
        <w:kinsoku w:val="0"/>
        <w:overflowPunct w:val="0"/>
        <w:ind w:left="0" w:firstLine="0"/>
        <w:rPr>
          <w:b w:val="0"/>
          <w:bCs w:val="0"/>
          <w:lang w:val="hu-HU"/>
        </w:rPr>
      </w:pPr>
      <w:r w:rsidRPr="00360A40">
        <w:rPr>
          <w:lang w:val="hu-HU"/>
        </w:rPr>
        <w:t>HCV vizsgálati csoport (antivirális interferonnal és ribavirin-kezeléssel kombinációban)</w:t>
      </w:r>
    </w:p>
    <w:p w14:paraId="745B80E3" w14:textId="77777777" w:rsidR="002D66F3" w:rsidRPr="00360A40" w:rsidRDefault="002D66F3" w:rsidP="00360A40">
      <w:pPr>
        <w:pStyle w:val="Szvegtrzs"/>
        <w:keepNext/>
        <w:widowControl/>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2986"/>
        <w:gridCol w:w="1340"/>
        <w:gridCol w:w="4463"/>
      </w:tblGrid>
      <w:tr w:rsidR="002D66F3" w:rsidRPr="00360A40" w14:paraId="1C45A7FE" w14:textId="77777777" w:rsidTr="00D25F36">
        <w:trPr>
          <w:trHeight w:hRule="exact" w:val="521"/>
        </w:trPr>
        <w:tc>
          <w:tcPr>
            <w:tcW w:w="2986" w:type="dxa"/>
            <w:tcBorders>
              <w:top w:val="single" w:sz="4" w:space="0" w:color="000000"/>
              <w:left w:val="single" w:sz="4" w:space="0" w:color="000000"/>
              <w:bottom w:val="single" w:sz="4" w:space="0" w:color="000000"/>
              <w:right w:val="single" w:sz="4" w:space="0" w:color="000000"/>
            </w:tcBorders>
          </w:tcPr>
          <w:p w14:paraId="756C8989" w14:textId="3169B5ED" w:rsidR="002D66F3" w:rsidRPr="00360A40" w:rsidRDefault="002827B0" w:rsidP="00360A40">
            <w:pPr>
              <w:pStyle w:val="TableParagraph"/>
              <w:keepNext/>
              <w:widowControl/>
              <w:kinsoku w:val="0"/>
              <w:overflowPunct w:val="0"/>
              <w:ind w:left="102"/>
              <w:rPr>
                <w:sz w:val="22"/>
                <w:szCs w:val="22"/>
                <w:lang w:val="hu-HU"/>
              </w:rPr>
            </w:pPr>
            <w:r>
              <w:rPr>
                <w:b/>
                <w:bCs/>
                <w:sz w:val="22"/>
                <w:szCs w:val="22"/>
                <w:lang w:val="hu-HU"/>
              </w:rPr>
              <w:t>Szervrendszeri kategória</w:t>
            </w:r>
          </w:p>
        </w:tc>
        <w:tc>
          <w:tcPr>
            <w:tcW w:w="1340" w:type="dxa"/>
            <w:tcBorders>
              <w:top w:val="single" w:sz="4" w:space="0" w:color="000000"/>
              <w:left w:val="single" w:sz="4" w:space="0" w:color="000000"/>
              <w:bottom w:val="single" w:sz="4" w:space="0" w:color="000000"/>
              <w:right w:val="single" w:sz="4" w:space="0" w:color="000000"/>
            </w:tcBorders>
          </w:tcPr>
          <w:p w14:paraId="5FE53D63" w14:textId="77777777" w:rsidR="002D66F3" w:rsidRPr="00360A40" w:rsidRDefault="002D66F3" w:rsidP="00360A40">
            <w:pPr>
              <w:pStyle w:val="TableParagraph"/>
              <w:keepNext/>
              <w:widowControl/>
              <w:kinsoku w:val="0"/>
              <w:overflowPunct w:val="0"/>
              <w:ind w:left="100"/>
              <w:rPr>
                <w:sz w:val="22"/>
                <w:szCs w:val="22"/>
                <w:lang w:val="hu-HU"/>
              </w:rPr>
            </w:pPr>
            <w:r w:rsidRPr="00360A40">
              <w:rPr>
                <w:b/>
                <w:bCs/>
                <w:sz w:val="22"/>
                <w:szCs w:val="22"/>
                <w:lang w:val="hu-HU"/>
              </w:rPr>
              <w:t>Gyakoriság</w:t>
            </w:r>
          </w:p>
        </w:tc>
        <w:tc>
          <w:tcPr>
            <w:tcW w:w="4463" w:type="dxa"/>
            <w:tcBorders>
              <w:top w:val="single" w:sz="4" w:space="0" w:color="000000"/>
              <w:left w:val="single" w:sz="4" w:space="0" w:color="000000"/>
              <w:bottom w:val="single" w:sz="4" w:space="0" w:color="000000"/>
              <w:right w:val="single" w:sz="4" w:space="0" w:color="000000"/>
            </w:tcBorders>
          </w:tcPr>
          <w:p w14:paraId="7870D91A" w14:textId="77777777" w:rsidR="002D66F3" w:rsidRPr="00360A40" w:rsidRDefault="002D66F3" w:rsidP="00360A40">
            <w:pPr>
              <w:pStyle w:val="TableParagraph"/>
              <w:keepNext/>
              <w:widowControl/>
              <w:kinsoku w:val="0"/>
              <w:overflowPunct w:val="0"/>
              <w:ind w:left="100"/>
              <w:rPr>
                <w:sz w:val="22"/>
                <w:szCs w:val="22"/>
                <w:lang w:val="hu-HU"/>
              </w:rPr>
            </w:pPr>
            <w:r w:rsidRPr="00360A40">
              <w:rPr>
                <w:b/>
                <w:bCs/>
                <w:sz w:val="22"/>
                <w:szCs w:val="22"/>
                <w:lang w:val="hu-HU"/>
              </w:rPr>
              <w:t>Mellékhatás</w:t>
            </w:r>
          </w:p>
        </w:tc>
      </w:tr>
      <w:tr w:rsidR="002D66F3" w:rsidRPr="00360A40" w14:paraId="0F419FC0" w14:textId="77777777" w:rsidTr="0065036F">
        <w:trPr>
          <w:trHeight w:hRule="exact" w:val="1080"/>
        </w:trPr>
        <w:tc>
          <w:tcPr>
            <w:tcW w:w="2986" w:type="dxa"/>
            <w:vMerge w:val="restart"/>
            <w:tcBorders>
              <w:top w:val="single" w:sz="4" w:space="0" w:color="000000"/>
              <w:left w:val="single" w:sz="4" w:space="0" w:color="000000"/>
              <w:bottom w:val="single" w:sz="4" w:space="0" w:color="000000"/>
              <w:right w:val="single" w:sz="4" w:space="0" w:color="000000"/>
            </w:tcBorders>
          </w:tcPr>
          <w:p w14:paraId="374A8454" w14:textId="77777777"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Fertőző betegségek és parazitafertőzések</w:t>
            </w:r>
          </w:p>
        </w:tc>
        <w:tc>
          <w:tcPr>
            <w:tcW w:w="1340" w:type="dxa"/>
            <w:tcBorders>
              <w:top w:val="single" w:sz="4" w:space="0" w:color="000000"/>
              <w:left w:val="single" w:sz="4" w:space="0" w:color="000000"/>
              <w:bottom w:val="single" w:sz="4" w:space="0" w:color="000000"/>
              <w:right w:val="single" w:sz="4" w:space="0" w:color="000000"/>
            </w:tcBorders>
          </w:tcPr>
          <w:p w14:paraId="40C3682D" w14:textId="77777777" w:rsidR="002D66F3" w:rsidRPr="00360A40" w:rsidRDefault="002D66F3" w:rsidP="00360A40">
            <w:pPr>
              <w:pStyle w:val="TableParagraph"/>
              <w:keepNext/>
              <w:widowControl/>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23806223" w14:textId="77777777" w:rsidR="002D66F3" w:rsidRPr="00360A40" w:rsidRDefault="002D66F3" w:rsidP="00360A40">
            <w:pPr>
              <w:pStyle w:val="TableParagraph"/>
              <w:keepNext/>
              <w:widowControl/>
              <w:kinsoku w:val="0"/>
              <w:overflowPunct w:val="0"/>
              <w:ind w:left="100"/>
              <w:rPr>
                <w:sz w:val="22"/>
                <w:szCs w:val="22"/>
                <w:lang w:val="hu-HU"/>
              </w:rPr>
            </w:pPr>
            <w:r w:rsidRPr="00360A40">
              <w:rPr>
                <w:sz w:val="22"/>
                <w:szCs w:val="22"/>
                <w:lang w:val="hu-HU"/>
              </w:rPr>
              <w:t>Húgyúti fertőzés, felsőlégúti fertőzések, bronchitis, nasopharyngitis, influenza, oralis herpes</w:t>
            </w:r>
          </w:p>
        </w:tc>
      </w:tr>
      <w:tr w:rsidR="002D66F3" w:rsidRPr="00360A40" w14:paraId="6CDB0D02" w14:textId="77777777" w:rsidTr="00D25F36">
        <w:trPr>
          <w:trHeight w:hRule="exact" w:val="516"/>
        </w:trPr>
        <w:tc>
          <w:tcPr>
            <w:tcW w:w="2986" w:type="dxa"/>
            <w:vMerge/>
            <w:tcBorders>
              <w:top w:val="single" w:sz="4" w:space="0" w:color="000000"/>
              <w:left w:val="single" w:sz="4" w:space="0" w:color="000000"/>
              <w:bottom w:val="single" w:sz="4" w:space="0" w:color="000000"/>
              <w:right w:val="single" w:sz="4" w:space="0" w:color="000000"/>
            </w:tcBorders>
          </w:tcPr>
          <w:p w14:paraId="639A43B7"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3024C1D0"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0D2C057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Gastroenteritis, pharyngitis</w:t>
            </w:r>
          </w:p>
        </w:tc>
      </w:tr>
      <w:tr w:rsidR="002D66F3" w:rsidRPr="00360A40" w14:paraId="4592FA5D" w14:textId="77777777" w:rsidTr="00D25F36">
        <w:trPr>
          <w:trHeight w:hRule="exact" w:val="1032"/>
        </w:trPr>
        <w:tc>
          <w:tcPr>
            <w:tcW w:w="2986" w:type="dxa"/>
            <w:tcBorders>
              <w:top w:val="single" w:sz="4" w:space="0" w:color="000000"/>
              <w:left w:val="single" w:sz="4" w:space="0" w:color="000000"/>
              <w:bottom w:val="single" w:sz="4" w:space="0" w:color="000000"/>
              <w:right w:val="single" w:sz="4" w:space="0" w:color="000000"/>
            </w:tcBorders>
          </w:tcPr>
          <w:p w14:paraId="2A8EF0F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Jó-, rosszindulatú és nem meghatározott daganatok (beleértve a cisztákat és polipokat is)</w:t>
            </w:r>
          </w:p>
        </w:tc>
        <w:tc>
          <w:tcPr>
            <w:tcW w:w="1340" w:type="dxa"/>
            <w:tcBorders>
              <w:top w:val="single" w:sz="4" w:space="0" w:color="000000"/>
              <w:left w:val="single" w:sz="4" w:space="0" w:color="000000"/>
              <w:bottom w:val="single" w:sz="4" w:space="0" w:color="000000"/>
              <w:right w:val="single" w:sz="4" w:space="0" w:color="000000"/>
            </w:tcBorders>
          </w:tcPr>
          <w:p w14:paraId="48BE716B"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4D11F93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 máj malignus daganata</w:t>
            </w:r>
          </w:p>
        </w:tc>
      </w:tr>
      <w:tr w:rsidR="002D66F3" w:rsidRPr="00360A40" w14:paraId="716FB99D" w14:textId="77777777" w:rsidTr="00D25F36">
        <w:trPr>
          <w:trHeight w:hRule="exact" w:val="516"/>
        </w:trPr>
        <w:tc>
          <w:tcPr>
            <w:tcW w:w="2986" w:type="dxa"/>
            <w:vMerge w:val="restart"/>
            <w:tcBorders>
              <w:top w:val="single" w:sz="4" w:space="0" w:color="000000"/>
              <w:left w:val="single" w:sz="4" w:space="0" w:color="000000"/>
              <w:bottom w:val="single" w:sz="4" w:space="0" w:color="000000"/>
              <w:right w:val="single" w:sz="4" w:space="0" w:color="000000"/>
            </w:tcBorders>
          </w:tcPr>
          <w:p w14:paraId="329BA8E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Vérképzőszervi és nyirokrendszeri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18AAE3E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6EF61425"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Anaemia</w:t>
            </w:r>
          </w:p>
        </w:tc>
      </w:tr>
      <w:tr w:rsidR="002D66F3" w:rsidRPr="00360A40" w14:paraId="4D239B03" w14:textId="77777777" w:rsidTr="00D25F36">
        <w:trPr>
          <w:trHeight w:hRule="exact" w:val="511"/>
        </w:trPr>
        <w:tc>
          <w:tcPr>
            <w:tcW w:w="2986" w:type="dxa"/>
            <w:vMerge/>
            <w:tcBorders>
              <w:top w:val="single" w:sz="4" w:space="0" w:color="000000"/>
              <w:left w:val="single" w:sz="4" w:space="0" w:color="000000"/>
              <w:bottom w:val="single" w:sz="4" w:space="0" w:color="000000"/>
              <w:right w:val="single" w:sz="4" w:space="0" w:color="000000"/>
            </w:tcBorders>
          </w:tcPr>
          <w:p w14:paraId="6630A4B5"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732BAA8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6D395FF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Lymphopenia</w:t>
            </w:r>
          </w:p>
        </w:tc>
      </w:tr>
      <w:tr w:rsidR="002D66F3" w:rsidRPr="00360A40" w14:paraId="16AD67EA" w14:textId="77777777" w:rsidTr="00D25F36">
        <w:trPr>
          <w:trHeight w:hRule="exact" w:val="516"/>
        </w:trPr>
        <w:tc>
          <w:tcPr>
            <w:tcW w:w="2986" w:type="dxa"/>
            <w:vMerge/>
            <w:tcBorders>
              <w:top w:val="single" w:sz="4" w:space="0" w:color="000000"/>
              <w:left w:val="single" w:sz="4" w:space="0" w:color="000000"/>
              <w:bottom w:val="single" w:sz="4" w:space="0" w:color="000000"/>
              <w:right w:val="single" w:sz="4" w:space="0" w:color="000000"/>
            </w:tcBorders>
          </w:tcPr>
          <w:p w14:paraId="69FEADE9"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6A62AC1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6670F680"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Haemolyticus anaemia</w:t>
            </w:r>
          </w:p>
        </w:tc>
      </w:tr>
      <w:tr w:rsidR="002D66F3" w:rsidRPr="00360A40" w14:paraId="11A3877A" w14:textId="77777777" w:rsidTr="00D25F36">
        <w:trPr>
          <w:trHeight w:hRule="exact" w:val="516"/>
        </w:trPr>
        <w:tc>
          <w:tcPr>
            <w:tcW w:w="2986" w:type="dxa"/>
            <w:vMerge w:val="restart"/>
            <w:tcBorders>
              <w:top w:val="single" w:sz="4" w:space="0" w:color="000000"/>
              <w:left w:val="single" w:sz="4" w:space="0" w:color="000000"/>
              <w:bottom w:val="single" w:sz="4" w:space="0" w:color="000000"/>
              <w:right w:val="single" w:sz="4" w:space="0" w:color="000000"/>
            </w:tcBorders>
          </w:tcPr>
          <w:p w14:paraId="15784690"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Anyagcsere és táplálkozási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4237D1E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727BC78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Csökkent étvágy</w:t>
            </w:r>
          </w:p>
        </w:tc>
      </w:tr>
      <w:tr w:rsidR="002D66F3" w:rsidRPr="00360A40" w14:paraId="1C4F62E5" w14:textId="77777777" w:rsidTr="00D25F36">
        <w:trPr>
          <w:trHeight w:hRule="exact" w:val="511"/>
        </w:trPr>
        <w:tc>
          <w:tcPr>
            <w:tcW w:w="2986" w:type="dxa"/>
            <w:vMerge/>
            <w:tcBorders>
              <w:top w:val="single" w:sz="4" w:space="0" w:color="000000"/>
              <w:left w:val="single" w:sz="4" w:space="0" w:color="000000"/>
              <w:bottom w:val="single" w:sz="4" w:space="0" w:color="000000"/>
              <w:right w:val="single" w:sz="4" w:space="0" w:color="000000"/>
            </w:tcBorders>
          </w:tcPr>
          <w:p w14:paraId="49911495"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5DCF79F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7B879AE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Hyperglykaemia, kóros testtömegcsökkenés</w:t>
            </w:r>
          </w:p>
        </w:tc>
      </w:tr>
      <w:tr w:rsidR="002D66F3" w:rsidRPr="00360A40" w14:paraId="2932FA11" w14:textId="77777777" w:rsidTr="00D25F36">
        <w:trPr>
          <w:trHeight w:hRule="exact" w:val="263"/>
        </w:trPr>
        <w:tc>
          <w:tcPr>
            <w:tcW w:w="2986" w:type="dxa"/>
            <w:vMerge w:val="restart"/>
            <w:tcBorders>
              <w:top w:val="single" w:sz="4" w:space="0" w:color="000000"/>
              <w:left w:val="single" w:sz="4" w:space="0" w:color="000000"/>
              <w:bottom w:val="single" w:sz="4" w:space="0" w:color="000000"/>
              <w:right w:val="single" w:sz="4" w:space="0" w:color="000000"/>
            </w:tcBorders>
          </w:tcPr>
          <w:p w14:paraId="2C91BB24"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Pszichiátriai kórképek</w:t>
            </w:r>
          </w:p>
        </w:tc>
        <w:tc>
          <w:tcPr>
            <w:tcW w:w="1340" w:type="dxa"/>
            <w:tcBorders>
              <w:top w:val="single" w:sz="4" w:space="0" w:color="000000"/>
              <w:left w:val="single" w:sz="4" w:space="0" w:color="000000"/>
              <w:bottom w:val="single" w:sz="4" w:space="0" w:color="000000"/>
              <w:right w:val="single" w:sz="4" w:space="0" w:color="000000"/>
            </w:tcBorders>
          </w:tcPr>
          <w:p w14:paraId="6DC526A6"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3F688E9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Depressio, szorongás, alvászavar</w:t>
            </w:r>
          </w:p>
        </w:tc>
      </w:tr>
      <w:tr w:rsidR="002D66F3" w:rsidRPr="00360A40" w14:paraId="1C3E7C95" w14:textId="77777777" w:rsidTr="00D25F36">
        <w:trPr>
          <w:trHeight w:hRule="exact" w:val="516"/>
        </w:trPr>
        <w:tc>
          <w:tcPr>
            <w:tcW w:w="2986" w:type="dxa"/>
            <w:vMerge/>
            <w:tcBorders>
              <w:top w:val="single" w:sz="4" w:space="0" w:color="000000"/>
              <w:left w:val="single" w:sz="4" w:space="0" w:color="000000"/>
              <w:bottom w:val="single" w:sz="4" w:space="0" w:color="000000"/>
              <w:right w:val="single" w:sz="4" w:space="0" w:color="000000"/>
            </w:tcBorders>
          </w:tcPr>
          <w:p w14:paraId="23B03565"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39FD27A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3FE701D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Zavartság, agitáció</w:t>
            </w:r>
          </w:p>
        </w:tc>
      </w:tr>
      <w:tr w:rsidR="002D66F3" w:rsidRPr="00360A40" w14:paraId="0B895D6E" w14:textId="77777777" w:rsidTr="00D25F36">
        <w:trPr>
          <w:trHeight w:hRule="exact" w:val="521"/>
        </w:trPr>
        <w:tc>
          <w:tcPr>
            <w:tcW w:w="2986" w:type="dxa"/>
            <w:vMerge w:val="restart"/>
            <w:tcBorders>
              <w:top w:val="single" w:sz="4" w:space="0" w:color="000000"/>
              <w:left w:val="single" w:sz="4" w:space="0" w:color="000000"/>
              <w:bottom w:val="single" w:sz="4" w:space="0" w:color="000000"/>
              <w:right w:val="single" w:sz="4" w:space="0" w:color="000000"/>
            </w:tcBorders>
          </w:tcPr>
          <w:p w14:paraId="243E340D"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lastRenderedPageBreak/>
              <w:t>Idegrendszeri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015F9AF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4BC97B3B"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Fejfájás</w:t>
            </w:r>
          </w:p>
        </w:tc>
      </w:tr>
      <w:tr w:rsidR="002D66F3" w:rsidRPr="00360A40" w14:paraId="09B408DA" w14:textId="77777777" w:rsidTr="0065036F">
        <w:trPr>
          <w:trHeight w:hRule="exact" w:val="857"/>
        </w:trPr>
        <w:tc>
          <w:tcPr>
            <w:tcW w:w="2986" w:type="dxa"/>
            <w:vMerge/>
            <w:tcBorders>
              <w:top w:val="single" w:sz="4" w:space="0" w:color="000000"/>
              <w:left w:val="single" w:sz="4" w:space="0" w:color="000000"/>
              <w:bottom w:val="single" w:sz="4" w:space="0" w:color="000000"/>
              <w:right w:val="single" w:sz="4" w:space="0" w:color="000000"/>
            </w:tcBorders>
          </w:tcPr>
          <w:p w14:paraId="2FD1FF7B"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2642E634"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6F862E8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Szédülés, figyelemzavar, ízérzékelési zavar, hepaticus encephalopathia, levertség, memóriazavar, paraesthesia</w:t>
            </w:r>
          </w:p>
        </w:tc>
      </w:tr>
      <w:tr w:rsidR="002D66F3" w:rsidRPr="00360A40" w14:paraId="502E3DC5" w14:textId="77777777" w:rsidTr="00D25F36">
        <w:trPr>
          <w:trHeight w:hRule="exact" w:val="516"/>
        </w:trPr>
        <w:tc>
          <w:tcPr>
            <w:tcW w:w="2986" w:type="dxa"/>
            <w:tcBorders>
              <w:top w:val="single" w:sz="4" w:space="0" w:color="000000"/>
              <w:left w:val="single" w:sz="4" w:space="0" w:color="000000"/>
              <w:bottom w:val="single" w:sz="4" w:space="0" w:color="000000"/>
              <w:right w:val="single" w:sz="4" w:space="0" w:color="000000"/>
            </w:tcBorders>
          </w:tcPr>
          <w:p w14:paraId="5AC446F8" w14:textId="6274CB89" w:rsidR="002D66F3" w:rsidRPr="00360A40" w:rsidRDefault="002D66F3" w:rsidP="00360A40">
            <w:pPr>
              <w:pStyle w:val="TableParagraph"/>
              <w:kinsoku w:val="0"/>
              <w:overflowPunct w:val="0"/>
              <w:ind w:left="102"/>
              <w:rPr>
                <w:sz w:val="22"/>
                <w:szCs w:val="22"/>
                <w:lang w:val="hu-HU"/>
              </w:rPr>
            </w:pPr>
            <w:r w:rsidRPr="00360A40">
              <w:rPr>
                <w:sz w:val="22"/>
                <w:szCs w:val="22"/>
                <w:lang w:val="hu-HU"/>
              </w:rPr>
              <w:t xml:space="preserve">Szembetegségek és </w:t>
            </w:r>
            <w:r w:rsidR="00937AF7" w:rsidRPr="00360A40">
              <w:rPr>
                <w:sz w:val="22"/>
                <w:szCs w:val="22"/>
                <w:lang w:val="hu-HU"/>
              </w:rPr>
              <w:t xml:space="preserve">szemészeti </w:t>
            </w:r>
            <w:r w:rsidRPr="00360A40">
              <w:rPr>
                <w:sz w:val="22"/>
                <w:szCs w:val="22"/>
                <w:lang w:val="hu-HU"/>
              </w:rPr>
              <w:t>tünetek</w:t>
            </w:r>
          </w:p>
        </w:tc>
        <w:tc>
          <w:tcPr>
            <w:tcW w:w="1340" w:type="dxa"/>
            <w:tcBorders>
              <w:top w:val="single" w:sz="4" w:space="0" w:color="000000"/>
              <w:left w:val="single" w:sz="4" w:space="0" w:color="000000"/>
              <w:bottom w:val="single" w:sz="4" w:space="0" w:color="000000"/>
              <w:right w:val="single" w:sz="4" w:space="0" w:color="000000"/>
            </w:tcBorders>
          </w:tcPr>
          <w:p w14:paraId="36E385A4"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518AAD7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Szürkehályog, retinális exszudáció, száraz szem, ocularis icterus, retina vérzés</w:t>
            </w:r>
          </w:p>
        </w:tc>
      </w:tr>
      <w:tr w:rsidR="002D66F3" w:rsidRPr="00360A40" w14:paraId="6C17C135" w14:textId="77777777" w:rsidTr="00D25F36">
        <w:trPr>
          <w:trHeight w:hRule="exact" w:val="521"/>
        </w:trPr>
        <w:tc>
          <w:tcPr>
            <w:tcW w:w="2986" w:type="dxa"/>
            <w:tcBorders>
              <w:top w:val="single" w:sz="4" w:space="0" w:color="000000"/>
              <w:left w:val="single" w:sz="4" w:space="0" w:color="000000"/>
              <w:bottom w:val="single" w:sz="4" w:space="0" w:color="000000"/>
              <w:right w:val="single" w:sz="4" w:space="0" w:color="000000"/>
            </w:tcBorders>
          </w:tcPr>
          <w:p w14:paraId="19049299"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fül és az egyensúlyérzékelő szerv betegségei és tünetei</w:t>
            </w:r>
          </w:p>
        </w:tc>
        <w:tc>
          <w:tcPr>
            <w:tcW w:w="1340" w:type="dxa"/>
            <w:tcBorders>
              <w:top w:val="single" w:sz="4" w:space="0" w:color="000000"/>
              <w:left w:val="single" w:sz="4" w:space="0" w:color="000000"/>
              <w:bottom w:val="single" w:sz="4" w:space="0" w:color="000000"/>
              <w:right w:val="single" w:sz="4" w:space="0" w:color="000000"/>
            </w:tcBorders>
          </w:tcPr>
          <w:p w14:paraId="5F78BDD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3618AFA9" w14:textId="06C79A6A" w:rsidR="002D66F3" w:rsidRPr="00360A40" w:rsidRDefault="002D66F3" w:rsidP="00360A40">
            <w:pPr>
              <w:pStyle w:val="TableParagraph"/>
              <w:kinsoku w:val="0"/>
              <w:overflowPunct w:val="0"/>
              <w:ind w:left="100"/>
              <w:rPr>
                <w:sz w:val="22"/>
                <w:szCs w:val="22"/>
                <w:lang w:val="hu-HU"/>
              </w:rPr>
            </w:pPr>
            <w:r w:rsidRPr="00360A40">
              <w:rPr>
                <w:sz w:val="22"/>
                <w:szCs w:val="22"/>
                <w:lang w:val="hu-HU"/>
              </w:rPr>
              <w:t>Vertig</w:t>
            </w:r>
            <w:r w:rsidR="00937AF7" w:rsidRPr="00360A40">
              <w:rPr>
                <w:sz w:val="22"/>
                <w:szCs w:val="22"/>
                <w:lang w:val="hu-HU"/>
              </w:rPr>
              <w:t>o</w:t>
            </w:r>
          </w:p>
        </w:tc>
      </w:tr>
      <w:tr w:rsidR="002D66F3" w:rsidRPr="00360A40" w14:paraId="7801BD84" w14:textId="77777777" w:rsidTr="00D25F36">
        <w:trPr>
          <w:trHeight w:hRule="exact" w:val="516"/>
        </w:trPr>
        <w:tc>
          <w:tcPr>
            <w:tcW w:w="2986" w:type="dxa"/>
            <w:tcBorders>
              <w:top w:val="single" w:sz="4" w:space="0" w:color="000000"/>
              <w:left w:val="single" w:sz="4" w:space="0" w:color="000000"/>
              <w:bottom w:val="single" w:sz="4" w:space="0" w:color="000000"/>
              <w:right w:val="single" w:sz="4" w:space="0" w:color="000000"/>
            </w:tcBorders>
          </w:tcPr>
          <w:p w14:paraId="665BEDC9"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Szívbetegségek és a szívvel kapcsolatos tünetek</w:t>
            </w:r>
          </w:p>
        </w:tc>
        <w:tc>
          <w:tcPr>
            <w:tcW w:w="1340" w:type="dxa"/>
            <w:tcBorders>
              <w:top w:val="single" w:sz="4" w:space="0" w:color="000000"/>
              <w:left w:val="single" w:sz="4" w:space="0" w:color="000000"/>
              <w:bottom w:val="single" w:sz="4" w:space="0" w:color="000000"/>
              <w:right w:val="single" w:sz="4" w:space="0" w:color="000000"/>
            </w:tcBorders>
          </w:tcPr>
          <w:p w14:paraId="6FBE28A2"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6D29CF4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Palpitatiók</w:t>
            </w:r>
          </w:p>
        </w:tc>
      </w:tr>
      <w:tr w:rsidR="002D66F3" w:rsidRPr="00360A40" w14:paraId="42ACFE63" w14:textId="77777777" w:rsidTr="00D25F36">
        <w:trPr>
          <w:trHeight w:hRule="exact" w:val="521"/>
        </w:trPr>
        <w:tc>
          <w:tcPr>
            <w:tcW w:w="2986" w:type="dxa"/>
            <w:vMerge w:val="restart"/>
            <w:tcBorders>
              <w:top w:val="single" w:sz="4" w:space="0" w:color="000000"/>
              <w:left w:val="single" w:sz="4" w:space="0" w:color="000000"/>
              <w:bottom w:val="single" w:sz="4" w:space="0" w:color="000000"/>
              <w:right w:val="single" w:sz="4" w:space="0" w:color="000000"/>
            </w:tcBorders>
          </w:tcPr>
          <w:p w14:paraId="75D0725A"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Légzőrendszeri, mellkasi és mediastinalis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58BFDB35"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53496B7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Köhögés</w:t>
            </w:r>
          </w:p>
        </w:tc>
      </w:tr>
      <w:tr w:rsidR="002D66F3" w:rsidRPr="00360A40" w14:paraId="476AAB05" w14:textId="77777777" w:rsidTr="0065036F">
        <w:trPr>
          <w:trHeight w:hRule="exact" w:val="899"/>
        </w:trPr>
        <w:tc>
          <w:tcPr>
            <w:tcW w:w="2986" w:type="dxa"/>
            <w:vMerge/>
            <w:tcBorders>
              <w:top w:val="single" w:sz="4" w:space="0" w:color="000000"/>
              <w:left w:val="single" w:sz="4" w:space="0" w:color="000000"/>
              <w:bottom w:val="single" w:sz="4" w:space="0" w:color="000000"/>
              <w:right w:val="single" w:sz="4" w:space="0" w:color="000000"/>
            </w:tcBorders>
          </w:tcPr>
          <w:p w14:paraId="01A7F85B"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23EF6D1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3339B1E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Dyspnoe, oropharyngealis fájdalom, terhelésre jelentkező dyspnoe, produktív köhögés</w:t>
            </w:r>
          </w:p>
        </w:tc>
      </w:tr>
      <w:tr w:rsidR="002D66F3" w:rsidRPr="00360A40" w14:paraId="5F3B38C6" w14:textId="77777777" w:rsidTr="00D25F36">
        <w:trPr>
          <w:trHeight w:hRule="exact" w:val="516"/>
        </w:trPr>
        <w:tc>
          <w:tcPr>
            <w:tcW w:w="2986" w:type="dxa"/>
            <w:vMerge w:val="restart"/>
            <w:tcBorders>
              <w:top w:val="single" w:sz="4" w:space="0" w:color="000000"/>
              <w:left w:val="single" w:sz="4" w:space="0" w:color="000000"/>
              <w:bottom w:val="single" w:sz="4" w:space="0" w:color="000000"/>
              <w:right w:val="single" w:sz="4" w:space="0" w:color="000000"/>
            </w:tcBorders>
          </w:tcPr>
          <w:p w14:paraId="622FB492"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Emésztőrendszeri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5B2F2DCA"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3BFC75A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Hányinger, hasmenés</w:t>
            </w:r>
          </w:p>
        </w:tc>
      </w:tr>
      <w:tr w:rsidR="002D66F3" w:rsidRPr="00360A40" w14:paraId="608FFAB2" w14:textId="77777777" w:rsidTr="0065036F">
        <w:trPr>
          <w:trHeight w:hRule="exact" w:val="1471"/>
        </w:trPr>
        <w:tc>
          <w:tcPr>
            <w:tcW w:w="2986" w:type="dxa"/>
            <w:vMerge/>
            <w:tcBorders>
              <w:top w:val="single" w:sz="4" w:space="0" w:color="000000"/>
              <w:left w:val="single" w:sz="4" w:space="0" w:color="000000"/>
              <w:bottom w:val="single" w:sz="4" w:space="0" w:color="000000"/>
              <w:right w:val="single" w:sz="4" w:space="0" w:color="000000"/>
            </w:tcBorders>
          </w:tcPr>
          <w:p w14:paraId="7DFDF657"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12E075D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4814C9D6" w14:textId="3F750E4E" w:rsidR="002D66F3" w:rsidRPr="00360A40" w:rsidRDefault="002D66F3" w:rsidP="002827B0">
            <w:pPr>
              <w:pStyle w:val="TableParagraph"/>
              <w:kinsoku w:val="0"/>
              <w:overflowPunct w:val="0"/>
              <w:ind w:left="100"/>
              <w:rPr>
                <w:sz w:val="22"/>
                <w:szCs w:val="22"/>
                <w:lang w:val="hu-HU"/>
              </w:rPr>
            </w:pPr>
            <w:r w:rsidRPr="00360A40">
              <w:rPr>
                <w:sz w:val="22"/>
                <w:szCs w:val="22"/>
                <w:lang w:val="hu-HU"/>
              </w:rPr>
              <w:t xml:space="preserve">Hányás, ascites, hasi fájdalom, </w:t>
            </w:r>
            <w:r w:rsidR="002827B0">
              <w:rPr>
                <w:sz w:val="22"/>
                <w:szCs w:val="22"/>
                <w:lang w:val="hu-HU"/>
              </w:rPr>
              <w:t>gyomortáji</w:t>
            </w:r>
            <w:r w:rsidR="002827B0" w:rsidRPr="00360A40">
              <w:rPr>
                <w:sz w:val="22"/>
                <w:szCs w:val="22"/>
                <w:lang w:val="hu-HU"/>
              </w:rPr>
              <w:t xml:space="preserve"> </w:t>
            </w:r>
            <w:r w:rsidRPr="00360A40">
              <w:rPr>
                <w:sz w:val="22"/>
                <w:szCs w:val="22"/>
                <w:lang w:val="hu-HU"/>
              </w:rPr>
              <w:t>fájdalom, dyspepsia, szájszárazság, székrekedés, haspuffadás, fogfájás, stomatitis, gastrooesophagealis reflux betegség, aranyér, hasi diszkomfort, oesophagus varixok</w:t>
            </w:r>
          </w:p>
        </w:tc>
      </w:tr>
      <w:tr w:rsidR="002D66F3" w:rsidRPr="00360A40" w14:paraId="33953E3C" w14:textId="77777777" w:rsidTr="0065036F">
        <w:trPr>
          <w:trHeight w:hRule="exact" w:val="557"/>
        </w:trPr>
        <w:tc>
          <w:tcPr>
            <w:tcW w:w="2986" w:type="dxa"/>
            <w:vMerge/>
            <w:tcBorders>
              <w:top w:val="single" w:sz="4" w:space="0" w:color="000000"/>
              <w:left w:val="single" w:sz="4" w:space="0" w:color="000000"/>
              <w:bottom w:val="single" w:sz="4" w:space="0" w:color="000000"/>
              <w:right w:val="single" w:sz="4" w:space="0" w:color="000000"/>
            </w:tcBorders>
          </w:tcPr>
          <w:p w14:paraId="0E916458"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7AC34A1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30FEA1E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Oesophagus varix vérzés, gastritis, stomatitis aphthosa</w:t>
            </w:r>
          </w:p>
        </w:tc>
      </w:tr>
      <w:tr w:rsidR="002D66F3" w:rsidRPr="00360A40" w14:paraId="29FCB014" w14:textId="77777777" w:rsidTr="0065036F">
        <w:trPr>
          <w:trHeight w:hRule="exact" w:val="849"/>
        </w:trPr>
        <w:tc>
          <w:tcPr>
            <w:tcW w:w="2986" w:type="dxa"/>
            <w:vMerge w:val="restart"/>
            <w:tcBorders>
              <w:top w:val="single" w:sz="4" w:space="0" w:color="000000"/>
              <w:left w:val="single" w:sz="4" w:space="0" w:color="000000"/>
              <w:bottom w:val="single" w:sz="4" w:space="0" w:color="000000"/>
              <w:right w:val="single" w:sz="4" w:space="0" w:color="000000"/>
            </w:tcBorders>
          </w:tcPr>
          <w:p w14:paraId="7F81432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Máj- és epebetegségek, illetve tünetek</w:t>
            </w:r>
          </w:p>
        </w:tc>
        <w:tc>
          <w:tcPr>
            <w:tcW w:w="1340" w:type="dxa"/>
            <w:tcBorders>
              <w:top w:val="single" w:sz="4" w:space="0" w:color="000000"/>
              <w:left w:val="single" w:sz="4" w:space="0" w:color="000000"/>
              <w:bottom w:val="single" w:sz="4" w:space="0" w:color="000000"/>
              <w:right w:val="single" w:sz="4" w:space="0" w:color="000000"/>
            </w:tcBorders>
          </w:tcPr>
          <w:p w14:paraId="1CFB558B"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710D6586"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Hyperbilirubinaemia, sárgaság, májelégtelenség, gyógyszer okozta májkárosodás</w:t>
            </w:r>
          </w:p>
        </w:tc>
      </w:tr>
      <w:tr w:rsidR="002D66F3" w:rsidRPr="00360A40" w14:paraId="6FBAF9D3" w14:textId="77777777" w:rsidTr="00D25F36">
        <w:trPr>
          <w:trHeight w:hRule="exact" w:val="516"/>
        </w:trPr>
        <w:tc>
          <w:tcPr>
            <w:tcW w:w="2986" w:type="dxa"/>
            <w:vMerge/>
            <w:tcBorders>
              <w:top w:val="single" w:sz="4" w:space="0" w:color="000000"/>
              <w:left w:val="single" w:sz="4" w:space="0" w:color="000000"/>
              <w:bottom w:val="single" w:sz="4" w:space="0" w:color="000000"/>
              <w:right w:val="single" w:sz="4" w:space="0" w:color="000000"/>
            </w:tcBorders>
          </w:tcPr>
          <w:p w14:paraId="5DFBC668"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1EF7672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143C7E0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Vena portae thrombosis, májelégtelenség</w:t>
            </w:r>
          </w:p>
        </w:tc>
      </w:tr>
      <w:tr w:rsidR="002D66F3" w:rsidRPr="00360A40" w14:paraId="0BE4F552" w14:textId="77777777" w:rsidTr="00D25F36">
        <w:trPr>
          <w:trHeight w:hRule="exact" w:val="521"/>
        </w:trPr>
        <w:tc>
          <w:tcPr>
            <w:tcW w:w="2986" w:type="dxa"/>
            <w:vMerge w:val="restart"/>
            <w:tcBorders>
              <w:top w:val="single" w:sz="4" w:space="0" w:color="000000"/>
              <w:left w:val="single" w:sz="4" w:space="0" w:color="000000"/>
              <w:bottom w:val="single" w:sz="4" w:space="0" w:color="000000"/>
              <w:right w:val="single" w:sz="4" w:space="0" w:color="000000"/>
            </w:tcBorders>
          </w:tcPr>
          <w:p w14:paraId="1CEE764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bőr és a bőr alatti szövet betegségei és tünetei</w:t>
            </w:r>
          </w:p>
        </w:tc>
        <w:tc>
          <w:tcPr>
            <w:tcW w:w="1340" w:type="dxa"/>
            <w:tcBorders>
              <w:top w:val="single" w:sz="4" w:space="0" w:color="000000"/>
              <w:left w:val="single" w:sz="4" w:space="0" w:color="000000"/>
              <w:bottom w:val="single" w:sz="4" w:space="0" w:color="000000"/>
              <w:right w:val="single" w:sz="4" w:space="0" w:color="000000"/>
            </w:tcBorders>
          </w:tcPr>
          <w:p w14:paraId="033BFA2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2EF86FC7"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Pruritus</w:t>
            </w:r>
          </w:p>
        </w:tc>
      </w:tr>
      <w:tr w:rsidR="002D66F3" w:rsidRPr="00360A40" w14:paraId="2E65405E" w14:textId="77777777" w:rsidTr="0065036F">
        <w:trPr>
          <w:trHeight w:hRule="exact" w:val="818"/>
        </w:trPr>
        <w:tc>
          <w:tcPr>
            <w:tcW w:w="2986" w:type="dxa"/>
            <w:vMerge/>
            <w:tcBorders>
              <w:top w:val="single" w:sz="4" w:space="0" w:color="000000"/>
              <w:left w:val="single" w:sz="4" w:space="0" w:color="000000"/>
              <w:bottom w:val="single" w:sz="4" w:space="0" w:color="000000"/>
              <w:right w:val="single" w:sz="4" w:space="0" w:color="000000"/>
            </w:tcBorders>
          </w:tcPr>
          <w:p w14:paraId="69A414F7"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56C54130"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6862B922"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Bőrkiütés, bőrszárazság, ekcéma, viszkető bőrkiütés, erythema, hyperhidrosis, generalizált pruritus, alopecia</w:t>
            </w:r>
          </w:p>
        </w:tc>
      </w:tr>
      <w:tr w:rsidR="002D66F3" w:rsidRPr="00360A40" w14:paraId="7D6B908D" w14:textId="77777777" w:rsidTr="00D25F36">
        <w:trPr>
          <w:trHeight w:hRule="exact" w:val="532"/>
        </w:trPr>
        <w:tc>
          <w:tcPr>
            <w:tcW w:w="2986" w:type="dxa"/>
            <w:vMerge/>
            <w:tcBorders>
              <w:top w:val="single" w:sz="4" w:space="0" w:color="000000"/>
              <w:left w:val="single" w:sz="4" w:space="0" w:color="000000"/>
              <w:bottom w:val="single" w:sz="4" w:space="0" w:color="000000"/>
              <w:right w:val="single" w:sz="4" w:space="0" w:color="000000"/>
            </w:tcBorders>
          </w:tcPr>
          <w:p w14:paraId="7D632904"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60297A9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32518BC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Bőrelváltozás, bőrelszíneződés, bőr hyperpigmentatio, éjszakai izzadás</w:t>
            </w:r>
          </w:p>
        </w:tc>
      </w:tr>
      <w:tr w:rsidR="002D66F3" w:rsidRPr="00360A40" w14:paraId="345D0B1C" w14:textId="77777777" w:rsidTr="00D25F36">
        <w:trPr>
          <w:trHeight w:hRule="exact" w:val="516"/>
        </w:trPr>
        <w:tc>
          <w:tcPr>
            <w:tcW w:w="2986" w:type="dxa"/>
            <w:vMerge w:val="restart"/>
            <w:tcBorders>
              <w:top w:val="single" w:sz="4" w:space="0" w:color="000000"/>
              <w:left w:val="single" w:sz="4" w:space="0" w:color="000000"/>
              <w:bottom w:val="single" w:sz="4" w:space="0" w:color="000000"/>
              <w:right w:val="single" w:sz="4" w:space="0" w:color="000000"/>
            </w:tcBorders>
          </w:tcPr>
          <w:p w14:paraId="229573D3"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csont- és izomrendszer, valamint a kötőszövet betegségei és tünetei</w:t>
            </w:r>
          </w:p>
        </w:tc>
        <w:tc>
          <w:tcPr>
            <w:tcW w:w="1340" w:type="dxa"/>
            <w:tcBorders>
              <w:top w:val="single" w:sz="4" w:space="0" w:color="000000"/>
              <w:left w:val="single" w:sz="4" w:space="0" w:color="000000"/>
              <w:bottom w:val="single" w:sz="4" w:space="0" w:color="000000"/>
              <w:right w:val="single" w:sz="4" w:space="0" w:color="000000"/>
            </w:tcBorders>
          </w:tcPr>
          <w:p w14:paraId="5A893034"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5C0B30D4"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Myalgia</w:t>
            </w:r>
          </w:p>
        </w:tc>
      </w:tr>
      <w:tr w:rsidR="002D66F3" w:rsidRPr="00360A40" w14:paraId="56C05BFC" w14:textId="77777777" w:rsidTr="0065036F">
        <w:trPr>
          <w:trHeight w:hRule="exact" w:val="1214"/>
        </w:trPr>
        <w:tc>
          <w:tcPr>
            <w:tcW w:w="2986" w:type="dxa"/>
            <w:vMerge/>
            <w:tcBorders>
              <w:top w:val="single" w:sz="4" w:space="0" w:color="000000"/>
              <w:left w:val="single" w:sz="4" w:space="0" w:color="000000"/>
              <w:bottom w:val="single" w:sz="4" w:space="0" w:color="000000"/>
              <w:right w:val="single" w:sz="4" w:space="0" w:color="000000"/>
            </w:tcBorders>
          </w:tcPr>
          <w:p w14:paraId="707FFFB2"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7981374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6D32F3D0"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Arthralgia, izomgörcs, hátfájás, végtagfájdalom, musculoskeletalis fájdalom, csontfájdalom</w:t>
            </w:r>
          </w:p>
        </w:tc>
      </w:tr>
      <w:tr w:rsidR="002D66F3" w:rsidRPr="00360A40" w14:paraId="206B6CBE" w14:textId="77777777" w:rsidTr="0065036F">
        <w:trPr>
          <w:trHeight w:hRule="exact" w:val="860"/>
        </w:trPr>
        <w:tc>
          <w:tcPr>
            <w:tcW w:w="2986" w:type="dxa"/>
            <w:tcBorders>
              <w:top w:val="single" w:sz="4" w:space="0" w:color="000000"/>
              <w:left w:val="single" w:sz="4" w:space="0" w:color="000000"/>
              <w:bottom w:val="single" w:sz="4" w:space="0" w:color="000000"/>
              <w:right w:val="single" w:sz="4" w:space="0" w:color="000000"/>
            </w:tcBorders>
          </w:tcPr>
          <w:p w14:paraId="2C95C244"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Vese- és húgyúti betegségek és tünetek</w:t>
            </w:r>
          </w:p>
        </w:tc>
        <w:tc>
          <w:tcPr>
            <w:tcW w:w="1340" w:type="dxa"/>
            <w:tcBorders>
              <w:top w:val="single" w:sz="4" w:space="0" w:color="000000"/>
              <w:left w:val="single" w:sz="4" w:space="0" w:color="000000"/>
              <w:bottom w:val="single" w:sz="4" w:space="0" w:color="000000"/>
              <w:right w:val="single" w:sz="4" w:space="0" w:color="000000"/>
            </w:tcBorders>
          </w:tcPr>
          <w:p w14:paraId="084A7DE1"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2CCBC5A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Thromboticus microangiopathia akut veseelégtelenséggel†, dysuria</w:t>
            </w:r>
          </w:p>
        </w:tc>
      </w:tr>
      <w:tr w:rsidR="002D66F3" w:rsidRPr="00360A40" w14:paraId="5CCB1C26" w14:textId="77777777" w:rsidTr="0065036F">
        <w:trPr>
          <w:trHeight w:hRule="exact" w:val="574"/>
        </w:trPr>
        <w:tc>
          <w:tcPr>
            <w:tcW w:w="2986" w:type="dxa"/>
            <w:vMerge w:val="restart"/>
            <w:tcBorders>
              <w:top w:val="single" w:sz="4" w:space="0" w:color="000000"/>
              <w:left w:val="single" w:sz="4" w:space="0" w:color="000000"/>
              <w:bottom w:val="single" w:sz="4" w:space="0" w:color="000000"/>
              <w:right w:val="single" w:sz="4" w:space="0" w:color="000000"/>
            </w:tcBorders>
          </w:tcPr>
          <w:p w14:paraId="5437884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Általános tünetek, az alkalmazás helyén fellépő reakciók</w:t>
            </w:r>
          </w:p>
        </w:tc>
        <w:tc>
          <w:tcPr>
            <w:tcW w:w="1340" w:type="dxa"/>
            <w:tcBorders>
              <w:top w:val="single" w:sz="4" w:space="0" w:color="000000"/>
              <w:left w:val="single" w:sz="4" w:space="0" w:color="000000"/>
              <w:bottom w:val="single" w:sz="4" w:space="0" w:color="000000"/>
              <w:right w:val="single" w:sz="4" w:space="0" w:color="000000"/>
            </w:tcBorders>
          </w:tcPr>
          <w:p w14:paraId="71739156"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Nagyon gyakori</w:t>
            </w:r>
          </w:p>
        </w:tc>
        <w:tc>
          <w:tcPr>
            <w:tcW w:w="4463" w:type="dxa"/>
            <w:tcBorders>
              <w:top w:val="single" w:sz="4" w:space="0" w:color="000000"/>
              <w:left w:val="single" w:sz="4" w:space="0" w:color="000000"/>
              <w:bottom w:val="single" w:sz="4" w:space="0" w:color="000000"/>
              <w:right w:val="single" w:sz="4" w:space="0" w:color="000000"/>
            </w:tcBorders>
          </w:tcPr>
          <w:p w14:paraId="799B7B03"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Láz, fáradtság, influenzaszerű megbetegedés, asthenia, hidegrázás</w:t>
            </w:r>
          </w:p>
        </w:tc>
      </w:tr>
      <w:tr w:rsidR="002D66F3" w:rsidRPr="00360A40" w14:paraId="779ECEDF" w14:textId="77777777" w:rsidTr="0065036F">
        <w:trPr>
          <w:trHeight w:hRule="exact" w:val="1134"/>
        </w:trPr>
        <w:tc>
          <w:tcPr>
            <w:tcW w:w="2986" w:type="dxa"/>
            <w:vMerge/>
            <w:tcBorders>
              <w:top w:val="single" w:sz="4" w:space="0" w:color="000000"/>
              <w:left w:val="single" w:sz="4" w:space="0" w:color="000000"/>
              <w:bottom w:val="single" w:sz="4" w:space="0" w:color="000000"/>
              <w:right w:val="single" w:sz="4" w:space="0" w:color="000000"/>
            </w:tcBorders>
          </w:tcPr>
          <w:p w14:paraId="7703B398"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640DCD98"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00953855"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Ingerlékenység, fájdalom, rossz közérzet, az injekció beadási helyén fellépő reakció, nem szíveredetű mellkasi fájdalom, oedema, perifériás oedema</w:t>
            </w:r>
          </w:p>
        </w:tc>
      </w:tr>
      <w:tr w:rsidR="002D66F3" w:rsidRPr="00360A40" w14:paraId="71BDCC25" w14:textId="77777777" w:rsidTr="0065036F">
        <w:trPr>
          <w:trHeight w:hRule="exact" w:val="711"/>
        </w:trPr>
        <w:tc>
          <w:tcPr>
            <w:tcW w:w="2986" w:type="dxa"/>
            <w:vMerge/>
            <w:tcBorders>
              <w:top w:val="single" w:sz="4" w:space="0" w:color="000000"/>
              <w:left w:val="single" w:sz="4" w:space="0" w:color="000000"/>
              <w:bottom w:val="single" w:sz="4" w:space="0" w:color="000000"/>
              <w:right w:val="single" w:sz="4" w:space="0" w:color="000000"/>
            </w:tcBorders>
          </w:tcPr>
          <w:p w14:paraId="2273317B"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383E136D"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407C0AF9"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Az injekció beadási helyén fellépő pruritus, mellkasi diszkomfortérzés</w:t>
            </w:r>
          </w:p>
        </w:tc>
      </w:tr>
      <w:tr w:rsidR="002D66F3" w:rsidRPr="00360A40" w14:paraId="1BB8FE02" w14:textId="77777777" w:rsidTr="0065036F">
        <w:trPr>
          <w:trHeight w:hRule="exact" w:val="2110"/>
        </w:trPr>
        <w:tc>
          <w:tcPr>
            <w:tcW w:w="2986" w:type="dxa"/>
            <w:vMerge w:val="restart"/>
            <w:tcBorders>
              <w:top w:val="single" w:sz="4" w:space="0" w:color="000000"/>
              <w:left w:val="single" w:sz="4" w:space="0" w:color="000000"/>
              <w:bottom w:val="single" w:sz="4" w:space="0" w:color="000000"/>
              <w:right w:val="single" w:sz="4" w:space="0" w:color="000000"/>
            </w:tcBorders>
          </w:tcPr>
          <w:p w14:paraId="194D918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Laboratóriumi és egyéb vizsgálatok eredményei</w:t>
            </w:r>
          </w:p>
        </w:tc>
        <w:tc>
          <w:tcPr>
            <w:tcW w:w="1340" w:type="dxa"/>
            <w:tcBorders>
              <w:top w:val="single" w:sz="4" w:space="0" w:color="000000"/>
              <w:left w:val="single" w:sz="4" w:space="0" w:color="000000"/>
              <w:bottom w:val="single" w:sz="4" w:space="0" w:color="000000"/>
              <w:right w:val="single" w:sz="4" w:space="0" w:color="000000"/>
            </w:tcBorders>
          </w:tcPr>
          <w:p w14:paraId="4FD53CC4"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Gyakori</w:t>
            </w:r>
          </w:p>
        </w:tc>
        <w:tc>
          <w:tcPr>
            <w:tcW w:w="4463" w:type="dxa"/>
            <w:tcBorders>
              <w:top w:val="single" w:sz="4" w:space="0" w:color="000000"/>
              <w:left w:val="single" w:sz="4" w:space="0" w:color="000000"/>
              <w:bottom w:val="single" w:sz="4" w:space="0" w:color="000000"/>
              <w:right w:val="single" w:sz="4" w:space="0" w:color="000000"/>
            </w:tcBorders>
          </w:tcPr>
          <w:p w14:paraId="4288F8AE"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Emelkedett bilirubinszint a vérben, testtömegcsökkenés, csökkent fehérvérsejtszám, csökkent hemoglobinszint, csökkent neutrofilszám, megnyúlt INR („international normalised ratio”), megnyúlt aktivált parciális thromboplastin idő, vércukorszint emelkedés, csökkent albuminszint a vérben</w:t>
            </w:r>
          </w:p>
        </w:tc>
      </w:tr>
      <w:tr w:rsidR="002D66F3" w:rsidRPr="00360A40" w14:paraId="247A94A1" w14:textId="77777777" w:rsidTr="00D25F36">
        <w:trPr>
          <w:trHeight w:hRule="exact" w:val="516"/>
        </w:trPr>
        <w:tc>
          <w:tcPr>
            <w:tcW w:w="2986" w:type="dxa"/>
            <w:vMerge/>
            <w:tcBorders>
              <w:top w:val="single" w:sz="4" w:space="0" w:color="000000"/>
              <w:left w:val="single" w:sz="4" w:space="0" w:color="000000"/>
              <w:bottom w:val="single" w:sz="4" w:space="0" w:color="000000"/>
              <w:right w:val="single" w:sz="4" w:space="0" w:color="000000"/>
            </w:tcBorders>
          </w:tcPr>
          <w:p w14:paraId="22F5618E" w14:textId="77777777" w:rsidR="002D66F3" w:rsidRPr="00360A40" w:rsidRDefault="002D66F3" w:rsidP="00360A40">
            <w:pPr>
              <w:pStyle w:val="TableParagraph"/>
              <w:kinsoku w:val="0"/>
              <w:overflowPunct w:val="0"/>
              <w:ind w:left="100"/>
              <w:rPr>
                <w:sz w:val="22"/>
                <w:szCs w:val="22"/>
                <w:lang w:val="hu-HU"/>
              </w:rPr>
            </w:pPr>
          </w:p>
        </w:tc>
        <w:tc>
          <w:tcPr>
            <w:tcW w:w="1340" w:type="dxa"/>
            <w:tcBorders>
              <w:top w:val="single" w:sz="4" w:space="0" w:color="000000"/>
              <w:left w:val="single" w:sz="4" w:space="0" w:color="000000"/>
              <w:bottom w:val="single" w:sz="4" w:space="0" w:color="000000"/>
              <w:right w:val="single" w:sz="4" w:space="0" w:color="000000"/>
            </w:tcBorders>
          </w:tcPr>
          <w:p w14:paraId="3AAC3B5C" w14:textId="77777777" w:rsidR="002D66F3" w:rsidRPr="00360A40" w:rsidRDefault="002D66F3" w:rsidP="00360A40">
            <w:pPr>
              <w:pStyle w:val="TableParagraph"/>
              <w:kinsoku w:val="0"/>
              <w:overflowPunct w:val="0"/>
              <w:ind w:left="100"/>
              <w:rPr>
                <w:sz w:val="22"/>
                <w:szCs w:val="22"/>
                <w:lang w:val="hu-HU"/>
              </w:rPr>
            </w:pPr>
            <w:r w:rsidRPr="00360A40">
              <w:rPr>
                <w:sz w:val="22"/>
                <w:szCs w:val="22"/>
                <w:lang w:val="hu-HU"/>
              </w:rPr>
              <w:t>Nem gyakori</w:t>
            </w:r>
          </w:p>
        </w:tc>
        <w:tc>
          <w:tcPr>
            <w:tcW w:w="4463" w:type="dxa"/>
            <w:tcBorders>
              <w:top w:val="single" w:sz="4" w:space="0" w:color="000000"/>
              <w:left w:val="single" w:sz="4" w:space="0" w:color="000000"/>
              <w:bottom w:val="single" w:sz="4" w:space="0" w:color="000000"/>
              <w:right w:val="single" w:sz="4" w:space="0" w:color="000000"/>
            </w:tcBorders>
          </w:tcPr>
          <w:p w14:paraId="7C6E09CA" w14:textId="565E61A7" w:rsidR="002D66F3" w:rsidRPr="00360A40" w:rsidRDefault="002D66F3" w:rsidP="00360A40">
            <w:pPr>
              <w:pStyle w:val="TableParagraph"/>
              <w:kinsoku w:val="0"/>
              <w:overflowPunct w:val="0"/>
              <w:ind w:left="100"/>
              <w:rPr>
                <w:sz w:val="22"/>
                <w:szCs w:val="22"/>
                <w:lang w:val="hu-HU"/>
              </w:rPr>
            </w:pPr>
            <w:r w:rsidRPr="00360A40">
              <w:rPr>
                <w:sz w:val="22"/>
                <w:szCs w:val="22"/>
                <w:lang w:val="hu-HU"/>
              </w:rPr>
              <w:t>QT</w:t>
            </w:r>
            <w:r w:rsidR="00D8677A" w:rsidRPr="00360A40">
              <w:rPr>
                <w:sz w:val="22"/>
                <w:szCs w:val="22"/>
                <w:lang w:val="hu-HU"/>
              </w:rPr>
              <w:t>-</w:t>
            </w:r>
            <w:r w:rsidRPr="00360A40">
              <w:rPr>
                <w:sz w:val="22"/>
                <w:szCs w:val="22"/>
                <w:lang w:val="hu-HU"/>
              </w:rPr>
              <w:t>megnyúlás az elektrokardiogramon</w:t>
            </w:r>
          </w:p>
        </w:tc>
      </w:tr>
    </w:tbl>
    <w:p w14:paraId="0DA49CEA" w14:textId="77777777" w:rsidR="002D66F3" w:rsidRPr="00360A40" w:rsidRDefault="002D66F3" w:rsidP="00360A40">
      <w:pPr>
        <w:pStyle w:val="Szvegtrzs"/>
        <w:kinsoku w:val="0"/>
        <w:overflowPunct w:val="0"/>
        <w:ind w:left="567" w:hanging="567"/>
        <w:rPr>
          <w:lang w:val="hu-HU"/>
        </w:rPr>
      </w:pPr>
      <w:r w:rsidRPr="00360A40">
        <w:rPr>
          <w:lang w:val="hu-HU"/>
        </w:rPr>
        <w:t>†</w:t>
      </w:r>
      <w:r w:rsidRPr="00360A40">
        <w:rPr>
          <w:lang w:val="hu-HU"/>
        </w:rPr>
        <w:tab/>
        <w:t>Csoportosított kifejezés az oliguria, veseelégtelenség és vesekárosodás preferált kifejezések alapján</w:t>
      </w:r>
    </w:p>
    <w:p w14:paraId="7F2467DD" w14:textId="77777777" w:rsidR="002D66F3" w:rsidRPr="00360A40" w:rsidRDefault="002D66F3" w:rsidP="00360A40">
      <w:pPr>
        <w:pStyle w:val="Szvegtrzs"/>
        <w:kinsoku w:val="0"/>
        <w:overflowPunct w:val="0"/>
        <w:ind w:left="0"/>
        <w:rPr>
          <w:lang w:val="hu-HU"/>
        </w:rPr>
      </w:pPr>
    </w:p>
    <w:p w14:paraId="59B890B2" w14:textId="1A385334" w:rsidR="003E6483" w:rsidRPr="00360A40" w:rsidRDefault="003E6483" w:rsidP="00360A40">
      <w:pPr>
        <w:pStyle w:val="Szvegtrzs"/>
        <w:kinsoku w:val="0"/>
        <w:overflowPunct w:val="0"/>
        <w:ind w:left="0"/>
        <w:rPr>
          <w:lang w:val="hu-HU"/>
        </w:rPr>
      </w:pPr>
      <w:r w:rsidRPr="00360A40">
        <w:rPr>
          <w:b/>
          <w:bCs/>
          <w:lang w:val="hu-HU"/>
        </w:rPr>
        <w:t>SAA vizsgálati populáció</w:t>
      </w:r>
    </w:p>
    <w:p w14:paraId="054DDF0F" w14:textId="77777777" w:rsidR="003E6483" w:rsidRPr="00360A40" w:rsidRDefault="003E6483" w:rsidP="00360A40">
      <w:pPr>
        <w:pStyle w:val="Szvegtrzs"/>
        <w:kinsoku w:val="0"/>
        <w:overflowPunct w:val="0"/>
        <w:ind w:left="0"/>
        <w:rPr>
          <w:lang w:val="hu-HU"/>
        </w:rPr>
      </w:pPr>
    </w:p>
    <w:tbl>
      <w:tblPr>
        <w:tblW w:w="9214" w:type="dxa"/>
        <w:tblInd w:w="-5" w:type="dxa"/>
        <w:tblLayout w:type="fixed"/>
        <w:tblCellMar>
          <w:left w:w="0" w:type="dxa"/>
          <w:right w:w="0" w:type="dxa"/>
        </w:tblCellMar>
        <w:tblLook w:val="0000" w:firstRow="0" w:lastRow="0" w:firstColumn="0" w:lastColumn="0" w:noHBand="0" w:noVBand="0"/>
      </w:tblPr>
      <w:tblGrid>
        <w:gridCol w:w="2694"/>
        <w:gridCol w:w="1701"/>
        <w:gridCol w:w="4819"/>
      </w:tblGrid>
      <w:tr w:rsidR="003E6483" w:rsidRPr="00360A40" w14:paraId="3852E3BE" w14:textId="77777777" w:rsidTr="008E7A1E">
        <w:trPr>
          <w:trHeight w:hRule="exact" w:val="516"/>
        </w:trPr>
        <w:tc>
          <w:tcPr>
            <w:tcW w:w="2694" w:type="dxa"/>
            <w:tcBorders>
              <w:top w:val="single" w:sz="4" w:space="0" w:color="000000"/>
              <w:left w:val="single" w:sz="4" w:space="0" w:color="000000"/>
              <w:bottom w:val="single" w:sz="4" w:space="0" w:color="000000"/>
              <w:right w:val="single" w:sz="4" w:space="0" w:color="000000"/>
            </w:tcBorders>
          </w:tcPr>
          <w:p w14:paraId="5BA1377B" w14:textId="08B28B93" w:rsidR="003E6483" w:rsidRPr="00360A40" w:rsidRDefault="002827B0" w:rsidP="00360A40">
            <w:pPr>
              <w:pStyle w:val="TableParagraph"/>
              <w:kinsoku w:val="0"/>
              <w:overflowPunct w:val="0"/>
              <w:ind w:left="102"/>
              <w:rPr>
                <w:sz w:val="22"/>
                <w:szCs w:val="22"/>
                <w:lang w:val="hu-HU"/>
              </w:rPr>
            </w:pPr>
            <w:r>
              <w:rPr>
                <w:b/>
                <w:bCs/>
                <w:sz w:val="22"/>
                <w:szCs w:val="22"/>
                <w:lang w:val="hu-HU"/>
              </w:rPr>
              <w:t>Szervrendszeri kategória</w:t>
            </w:r>
          </w:p>
        </w:tc>
        <w:tc>
          <w:tcPr>
            <w:tcW w:w="1701" w:type="dxa"/>
            <w:tcBorders>
              <w:top w:val="single" w:sz="4" w:space="0" w:color="000000"/>
              <w:left w:val="single" w:sz="4" w:space="0" w:color="000000"/>
              <w:bottom w:val="single" w:sz="4" w:space="0" w:color="000000"/>
              <w:right w:val="single" w:sz="4" w:space="0" w:color="000000"/>
            </w:tcBorders>
          </w:tcPr>
          <w:p w14:paraId="52DA4F36" w14:textId="77777777" w:rsidR="003E6483" w:rsidRPr="00360A40" w:rsidRDefault="003E6483" w:rsidP="00360A40">
            <w:pPr>
              <w:pStyle w:val="TableParagraph"/>
              <w:kinsoku w:val="0"/>
              <w:overflowPunct w:val="0"/>
              <w:ind w:left="102"/>
              <w:rPr>
                <w:sz w:val="22"/>
                <w:szCs w:val="22"/>
                <w:lang w:val="hu-HU"/>
              </w:rPr>
            </w:pPr>
            <w:r w:rsidRPr="00360A40">
              <w:rPr>
                <w:b/>
                <w:bCs/>
                <w:sz w:val="22"/>
                <w:szCs w:val="22"/>
                <w:lang w:val="hu-HU"/>
              </w:rPr>
              <w:t>Gyakoriság</w:t>
            </w:r>
          </w:p>
        </w:tc>
        <w:tc>
          <w:tcPr>
            <w:tcW w:w="4819" w:type="dxa"/>
            <w:tcBorders>
              <w:top w:val="single" w:sz="4" w:space="0" w:color="000000"/>
              <w:left w:val="single" w:sz="4" w:space="0" w:color="000000"/>
              <w:bottom w:val="single" w:sz="4" w:space="0" w:color="000000"/>
              <w:right w:val="single" w:sz="4" w:space="0" w:color="000000"/>
            </w:tcBorders>
          </w:tcPr>
          <w:p w14:paraId="1C1DA92E" w14:textId="77777777" w:rsidR="003E6483" w:rsidRPr="00360A40" w:rsidRDefault="003E6483" w:rsidP="00360A40">
            <w:pPr>
              <w:pStyle w:val="TableParagraph"/>
              <w:kinsoku w:val="0"/>
              <w:overflowPunct w:val="0"/>
              <w:ind w:left="100"/>
              <w:rPr>
                <w:sz w:val="22"/>
                <w:szCs w:val="22"/>
                <w:lang w:val="hu-HU"/>
              </w:rPr>
            </w:pPr>
            <w:r w:rsidRPr="00360A40">
              <w:rPr>
                <w:b/>
                <w:bCs/>
                <w:sz w:val="22"/>
                <w:szCs w:val="22"/>
                <w:lang w:val="hu-HU"/>
              </w:rPr>
              <w:t>Mellékhatás</w:t>
            </w:r>
          </w:p>
        </w:tc>
      </w:tr>
      <w:tr w:rsidR="003E6483" w:rsidRPr="00360A40" w14:paraId="4BCE8178" w14:textId="77777777" w:rsidTr="008E7A1E">
        <w:trPr>
          <w:trHeight w:hRule="exact" w:val="868"/>
        </w:trPr>
        <w:tc>
          <w:tcPr>
            <w:tcW w:w="2694" w:type="dxa"/>
            <w:tcBorders>
              <w:top w:val="single" w:sz="4" w:space="0" w:color="000000"/>
              <w:left w:val="single" w:sz="4" w:space="0" w:color="000000"/>
              <w:bottom w:val="single" w:sz="4" w:space="0" w:color="000000"/>
              <w:right w:val="single" w:sz="4" w:space="0" w:color="000000"/>
            </w:tcBorders>
          </w:tcPr>
          <w:p w14:paraId="46BB8EC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Vérképzőszervi és nyirokrendszeri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2461CF99"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5765EFDB" w14:textId="08A0D626" w:rsidR="003E6483" w:rsidRPr="00360A40" w:rsidRDefault="003E6483" w:rsidP="00360A40">
            <w:pPr>
              <w:pStyle w:val="TableParagraph"/>
              <w:kinsoku w:val="0"/>
              <w:overflowPunct w:val="0"/>
              <w:ind w:left="142" w:firstLine="1"/>
              <w:rPr>
                <w:sz w:val="22"/>
                <w:szCs w:val="22"/>
                <w:lang w:val="hu-HU"/>
              </w:rPr>
            </w:pPr>
            <w:r w:rsidRPr="00360A40">
              <w:rPr>
                <w:sz w:val="22"/>
                <w:szCs w:val="22"/>
                <w:lang w:val="hu-HU"/>
              </w:rPr>
              <w:t>Neutropenia, lépinfarctus</w:t>
            </w:r>
          </w:p>
        </w:tc>
      </w:tr>
      <w:tr w:rsidR="003E6483" w:rsidRPr="00360A40" w14:paraId="137DC539" w14:textId="77777777" w:rsidTr="008E7A1E">
        <w:trPr>
          <w:trHeight w:hRule="exact" w:val="589"/>
        </w:trPr>
        <w:tc>
          <w:tcPr>
            <w:tcW w:w="2694" w:type="dxa"/>
            <w:tcBorders>
              <w:top w:val="single" w:sz="4" w:space="0" w:color="000000"/>
              <w:left w:val="single" w:sz="4" w:space="0" w:color="000000"/>
              <w:bottom w:val="single" w:sz="4" w:space="0" w:color="000000"/>
              <w:right w:val="single" w:sz="4" w:space="0" w:color="000000"/>
            </w:tcBorders>
          </w:tcPr>
          <w:p w14:paraId="5AA63E5D"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Anyagcsere és táplálkozási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36B34955"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7AA34B38" w14:textId="44A13396" w:rsidR="003E6483" w:rsidRPr="00360A40" w:rsidRDefault="003E6483" w:rsidP="00360A40">
            <w:pPr>
              <w:pStyle w:val="TableParagraph"/>
              <w:kinsoku w:val="0"/>
              <w:overflowPunct w:val="0"/>
              <w:ind w:left="100"/>
              <w:rPr>
                <w:sz w:val="22"/>
                <w:szCs w:val="22"/>
                <w:lang w:val="hu-HU"/>
              </w:rPr>
            </w:pPr>
            <w:r w:rsidRPr="00360A40">
              <w:rPr>
                <w:sz w:val="22"/>
                <w:szCs w:val="22"/>
                <w:lang w:val="hu-HU"/>
              </w:rPr>
              <w:t>Vastúlterhelés, étvágycsökkenés, hypo</w:t>
            </w:r>
            <w:r w:rsidR="004A32AB">
              <w:rPr>
                <w:sz w:val="22"/>
                <w:szCs w:val="22"/>
                <w:lang w:val="hu-HU"/>
              </w:rPr>
              <w:t>gly</w:t>
            </w:r>
            <w:r w:rsidRPr="00360A40">
              <w:rPr>
                <w:sz w:val="22"/>
                <w:szCs w:val="22"/>
                <w:lang w:val="hu-HU"/>
              </w:rPr>
              <w:t>kaemia,</w:t>
            </w:r>
          </w:p>
          <w:p w14:paraId="171109AA" w14:textId="65899CF3" w:rsidR="003E6483" w:rsidRPr="00360A40" w:rsidRDefault="003E6483" w:rsidP="00360A40">
            <w:pPr>
              <w:pStyle w:val="TableParagraph"/>
              <w:kinsoku w:val="0"/>
              <w:overflowPunct w:val="0"/>
              <w:ind w:left="100"/>
              <w:rPr>
                <w:sz w:val="22"/>
                <w:szCs w:val="22"/>
                <w:lang w:val="hu-HU"/>
              </w:rPr>
            </w:pPr>
            <w:r w:rsidRPr="00360A40">
              <w:rPr>
                <w:sz w:val="22"/>
                <w:szCs w:val="22"/>
                <w:lang w:val="hu-HU"/>
              </w:rPr>
              <w:t>étvágyfokozódás</w:t>
            </w:r>
          </w:p>
        </w:tc>
      </w:tr>
      <w:tr w:rsidR="003E6483" w:rsidRPr="00360A40" w14:paraId="181EB839" w14:textId="77777777" w:rsidTr="008E7A1E">
        <w:trPr>
          <w:trHeight w:hRule="exact" w:val="266"/>
        </w:trPr>
        <w:tc>
          <w:tcPr>
            <w:tcW w:w="2694" w:type="dxa"/>
            <w:tcBorders>
              <w:top w:val="single" w:sz="4" w:space="0" w:color="000000"/>
              <w:left w:val="single" w:sz="4" w:space="0" w:color="000000"/>
              <w:bottom w:val="single" w:sz="4" w:space="0" w:color="000000"/>
              <w:right w:val="single" w:sz="4" w:space="0" w:color="000000"/>
            </w:tcBorders>
          </w:tcPr>
          <w:p w14:paraId="7B1357FD"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Pszichiátriai kórképek</w:t>
            </w:r>
          </w:p>
        </w:tc>
        <w:tc>
          <w:tcPr>
            <w:tcW w:w="1701" w:type="dxa"/>
            <w:tcBorders>
              <w:top w:val="single" w:sz="4" w:space="0" w:color="000000"/>
              <w:left w:val="single" w:sz="4" w:space="0" w:color="000000"/>
              <w:bottom w:val="single" w:sz="4" w:space="0" w:color="000000"/>
              <w:right w:val="single" w:sz="4" w:space="0" w:color="000000"/>
            </w:tcBorders>
          </w:tcPr>
          <w:p w14:paraId="30237108"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5AB41DF1" w14:textId="3FE53CCF" w:rsidR="003E6483" w:rsidRPr="00360A40" w:rsidRDefault="003E6483" w:rsidP="00360A40">
            <w:pPr>
              <w:pStyle w:val="TableParagraph"/>
              <w:kinsoku w:val="0"/>
              <w:overflowPunct w:val="0"/>
              <w:ind w:left="100"/>
              <w:rPr>
                <w:sz w:val="22"/>
                <w:szCs w:val="22"/>
                <w:lang w:val="hu-HU"/>
              </w:rPr>
            </w:pPr>
            <w:r w:rsidRPr="00360A40">
              <w:rPr>
                <w:sz w:val="22"/>
                <w:szCs w:val="22"/>
                <w:lang w:val="hu-HU"/>
              </w:rPr>
              <w:t>Szorongás, depressio</w:t>
            </w:r>
          </w:p>
        </w:tc>
      </w:tr>
      <w:tr w:rsidR="003E6483" w:rsidRPr="00360A40" w14:paraId="0E811BD9" w14:textId="77777777" w:rsidTr="008E7A1E">
        <w:trPr>
          <w:trHeight w:hRule="exact" w:val="265"/>
        </w:trPr>
        <w:tc>
          <w:tcPr>
            <w:tcW w:w="2694" w:type="dxa"/>
            <w:vMerge w:val="restart"/>
            <w:tcBorders>
              <w:top w:val="single" w:sz="4" w:space="0" w:color="000000"/>
              <w:left w:val="single" w:sz="4" w:space="0" w:color="000000"/>
              <w:bottom w:val="single" w:sz="4" w:space="0" w:color="000000"/>
              <w:right w:val="single" w:sz="4" w:space="0" w:color="000000"/>
            </w:tcBorders>
          </w:tcPr>
          <w:p w14:paraId="5D19C48C"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Idegrendszeri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40960ED8" w14:textId="05872B2D" w:rsidR="003E6483" w:rsidRPr="00360A40" w:rsidRDefault="003E6483" w:rsidP="00360A40">
            <w:pPr>
              <w:pStyle w:val="TableParagraph"/>
              <w:kinsoku w:val="0"/>
              <w:overflowPunct w:val="0"/>
              <w:ind w:left="102"/>
              <w:rPr>
                <w:sz w:val="22"/>
                <w:szCs w:val="22"/>
                <w:lang w:val="hu-HU"/>
              </w:rPr>
            </w:pPr>
            <w:r w:rsidRPr="00360A40">
              <w:rPr>
                <w:sz w:val="22"/>
                <w:szCs w:val="22"/>
                <w:lang w:val="hu-HU"/>
              </w:rPr>
              <w:t>Nagyon gyakori</w:t>
            </w:r>
          </w:p>
        </w:tc>
        <w:tc>
          <w:tcPr>
            <w:tcW w:w="4819" w:type="dxa"/>
            <w:tcBorders>
              <w:top w:val="single" w:sz="4" w:space="0" w:color="000000"/>
              <w:left w:val="single" w:sz="4" w:space="0" w:color="000000"/>
              <w:bottom w:val="single" w:sz="4" w:space="0" w:color="000000"/>
              <w:right w:val="single" w:sz="4" w:space="0" w:color="000000"/>
            </w:tcBorders>
          </w:tcPr>
          <w:p w14:paraId="57C44218" w14:textId="1E617E9A" w:rsidR="003E6483" w:rsidRPr="00360A40" w:rsidRDefault="003E6483" w:rsidP="00360A40">
            <w:pPr>
              <w:pStyle w:val="TableParagraph"/>
              <w:kinsoku w:val="0"/>
              <w:overflowPunct w:val="0"/>
              <w:ind w:left="100"/>
              <w:rPr>
                <w:sz w:val="22"/>
                <w:szCs w:val="22"/>
                <w:lang w:val="hu-HU"/>
              </w:rPr>
            </w:pPr>
            <w:r w:rsidRPr="00360A40">
              <w:rPr>
                <w:sz w:val="22"/>
                <w:szCs w:val="22"/>
                <w:lang w:val="hu-HU"/>
              </w:rPr>
              <w:t>Fejfájás, szédülés</w:t>
            </w:r>
          </w:p>
        </w:tc>
      </w:tr>
      <w:tr w:rsidR="003E6483" w:rsidRPr="00360A40" w14:paraId="06B4901C" w14:textId="77777777" w:rsidTr="008E7A1E">
        <w:trPr>
          <w:trHeight w:hRule="exact" w:val="419"/>
        </w:trPr>
        <w:tc>
          <w:tcPr>
            <w:tcW w:w="2694" w:type="dxa"/>
            <w:vMerge/>
            <w:tcBorders>
              <w:top w:val="single" w:sz="4" w:space="0" w:color="000000"/>
              <w:left w:val="single" w:sz="4" w:space="0" w:color="000000"/>
              <w:bottom w:val="single" w:sz="4" w:space="0" w:color="000000"/>
              <w:right w:val="single" w:sz="4" w:space="0" w:color="000000"/>
            </w:tcBorders>
          </w:tcPr>
          <w:p w14:paraId="6DE1EFB8"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0FB66A18" w14:textId="53476178"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6410E51F" w14:textId="48326E97" w:rsidR="003E6483" w:rsidRPr="00360A40" w:rsidRDefault="003E6483" w:rsidP="00360A40">
            <w:pPr>
              <w:pStyle w:val="TableParagraph"/>
              <w:kinsoku w:val="0"/>
              <w:overflowPunct w:val="0"/>
              <w:ind w:left="100"/>
              <w:rPr>
                <w:sz w:val="22"/>
                <w:szCs w:val="22"/>
                <w:lang w:val="hu-HU"/>
              </w:rPr>
            </w:pPr>
            <w:r w:rsidRPr="00360A40">
              <w:rPr>
                <w:sz w:val="22"/>
                <w:szCs w:val="22"/>
                <w:lang w:val="hu-HU"/>
              </w:rPr>
              <w:t>Ájulás</w:t>
            </w:r>
          </w:p>
        </w:tc>
      </w:tr>
      <w:tr w:rsidR="003E6483" w:rsidRPr="00360A40" w14:paraId="356696BD" w14:textId="77777777" w:rsidTr="008E7A1E">
        <w:trPr>
          <w:trHeight w:hRule="exact" w:val="992"/>
        </w:trPr>
        <w:tc>
          <w:tcPr>
            <w:tcW w:w="2694" w:type="dxa"/>
            <w:tcBorders>
              <w:top w:val="single" w:sz="4" w:space="0" w:color="000000"/>
              <w:left w:val="single" w:sz="4" w:space="0" w:color="000000"/>
              <w:bottom w:val="single" w:sz="4" w:space="0" w:color="000000"/>
              <w:right w:val="single" w:sz="4" w:space="0" w:color="000000"/>
            </w:tcBorders>
          </w:tcPr>
          <w:p w14:paraId="70B9EEAC"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Szembetegségek és szemészeti tünetek</w:t>
            </w:r>
          </w:p>
        </w:tc>
        <w:tc>
          <w:tcPr>
            <w:tcW w:w="1701" w:type="dxa"/>
            <w:tcBorders>
              <w:top w:val="single" w:sz="4" w:space="0" w:color="000000"/>
              <w:left w:val="single" w:sz="4" w:space="0" w:color="000000"/>
              <w:bottom w:val="single" w:sz="4" w:space="0" w:color="000000"/>
              <w:right w:val="single" w:sz="4" w:space="0" w:color="000000"/>
            </w:tcBorders>
          </w:tcPr>
          <w:p w14:paraId="280630B3"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439D1092" w14:textId="77777777" w:rsidR="003E6483" w:rsidRPr="00360A40" w:rsidRDefault="003E6483" w:rsidP="00360A40">
            <w:pPr>
              <w:pStyle w:val="TableParagraph"/>
              <w:kinsoku w:val="0"/>
              <w:overflowPunct w:val="0"/>
              <w:ind w:left="100"/>
              <w:rPr>
                <w:sz w:val="22"/>
                <w:szCs w:val="22"/>
                <w:lang w:val="hu-HU"/>
              </w:rPr>
            </w:pPr>
            <w:r w:rsidRPr="00360A40">
              <w:rPr>
                <w:sz w:val="22"/>
                <w:szCs w:val="22"/>
                <w:lang w:val="hu-HU"/>
              </w:rPr>
              <w:t>Szemszárazság, szürkehályog, a szemfehérje besárgulása,</w:t>
            </w:r>
          </w:p>
          <w:p w14:paraId="10871261" w14:textId="7B9187A7" w:rsidR="003E6483" w:rsidRPr="00360A40" w:rsidRDefault="003E6483" w:rsidP="00360A40">
            <w:pPr>
              <w:pStyle w:val="TableParagraph"/>
              <w:kinsoku w:val="0"/>
              <w:overflowPunct w:val="0"/>
              <w:ind w:left="100"/>
              <w:rPr>
                <w:sz w:val="22"/>
                <w:szCs w:val="22"/>
                <w:lang w:val="hu-HU"/>
              </w:rPr>
            </w:pPr>
            <w:r w:rsidRPr="00360A40">
              <w:rPr>
                <w:sz w:val="22"/>
                <w:szCs w:val="22"/>
                <w:lang w:val="hu-HU"/>
              </w:rPr>
              <w:t>homályos látás, látáskárosodás, üvegtesti homályok</w:t>
            </w:r>
          </w:p>
        </w:tc>
      </w:tr>
      <w:tr w:rsidR="003E6483" w:rsidRPr="00360A40" w14:paraId="3ABD437C"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6F4FFF22"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Légzőrendszeri, mellkasi és mediastinalis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6AFBAB4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Nagyon gyakori</w:t>
            </w:r>
          </w:p>
        </w:tc>
        <w:tc>
          <w:tcPr>
            <w:tcW w:w="4819" w:type="dxa"/>
            <w:tcBorders>
              <w:top w:val="single" w:sz="4" w:space="0" w:color="000000"/>
              <w:left w:val="single" w:sz="4" w:space="0" w:color="000000"/>
              <w:bottom w:val="single" w:sz="4" w:space="0" w:color="000000"/>
              <w:right w:val="single" w:sz="4" w:space="0" w:color="000000"/>
            </w:tcBorders>
          </w:tcPr>
          <w:p w14:paraId="53E74478" w14:textId="4C09D63A" w:rsidR="003E6483" w:rsidRPr="00360A40" w:rsidRDefault="003E6483" w:rsidP="00360A40">
            <w:pPr>
              <w:pStyle w:val="TableParagraph"/>
              <w:kinsoku w:val="0"/>
              <w:overflowPunct w:val="0"/>
              <w:ind w:left="100"/>
              <w:rPr>
                <w:sz w:val="22"/>
                <w:szCs w:val="22"/>
                <w:lang w:val="hu-HU"/>
              </w:rPr>
            </w:pPr>
            <w:r w:rsidRPr="00360A40">
              <w:rPr>
                <w:sz w:val="22"/>
                <w:szCs w:val="22"/>
                <w:lang w:val="hu-HU"/>
              </w:rPr>
              <w:t>Köhögés, oropharyngealis fájdalom, rhinorrhoea</w:t>
            </w:r>
          </w:p>
        </w:tc>
      </w:tr>
      <w:tr w:rsidR="003E6483" w:rsidRPr="00360A40" w14:paraId="4F024F15"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66888D06"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1F970AD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008827B6" w14:textId="779C7604" w:rsidR="003E6483" w:rsidRPr="00360A40" w:rsidRDefault="003E6483" w:rsidP="00360A40">
            <w:pPr>
              <w:pStyle w:val="TableParagraph"/>
              <w:kinsoku w:val="0"/>
              <w:overflowPunct w:val="0"/>
              <w:ind w:left="100"/>
              <w:rPr>
                <w:sz w:val="22"/>
                <w:szCs w:val="22"/>
                <w:lang w:val="hu-HU"/>
              </w:rPr>
            </w:pPr>
            <w:r w:rsidRPr="00360A40">
              <w:rPr>
                <w:sz w:val="22"/>
                <w:szCs w:val="22"/>
                <w:lang w:val="hu-HU"/>
              </w:rPr>
              <w:t>Orrvérzés</w:t>
            </w:r>
          </w:p>
        </w:tc>
      </w:tr>
      <w:tr w:rsidR="003E6483" w:rsidRPr="00360A40" w14:paraId="367ED314"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53351905"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Emésztőrendszeri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370DC356"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Nagyon gyakori</w:t>
            </w:r>
          </w:p>
        </w:tc>
        <w:tc>
          <w:tcPr>
            <w:tcW w:w="4819" w:type="dxa"/>
            <w:tcBorders>
              <w:top w:val="single" w:sz="4" w:space="0" w:color="000000"/>
              <w:left w:val="single" w:sz="4" w:space="0" w:color="000000"/>
              <w:bottom w:val="single" w:sz="4" w:space="0" w:color="000000"/>
              <w:right w:val="single" w:sz="4" w:space="0" w:color="000000"/>
            </w:tcBorders>
          </w:tcPr>
          <w:p w14:paraId="260B9103" w14:textId="0834D223" w:rsidR="003E6483" w:rsidRPr="00360A40" w:rsidRDefault="003E6483" w:rsidP="00360A40">
            <w:pPr>
              <w:pStyle w:val="TableParagraph"/>
              <w:kinsoku w:val="0"/>
              <w:overflowPunct w:val="0"/>
              <w:ind w:left="100"/>
              <w:rPr>
                <w:sz w:val="22"/>
                <w:szCs w:val="22"/>
                <w:lang w:val="hu-HU"/>
              </w:rPr>
            </w:pPr>
            <w:r w:rsidRPr="00360A40">
              <w:rPr>
                <w:sz w:val="22"/>
                <w:szCs w:val="22"/>
                <w:lang w:val="hu-HU"/>
              </w:rPr>
              <w:t>Hasmenés, hányinger, ínyvérzés, hasi fájdalom</w:t>
            </w:r>
          </w:p>
        </w:tc>
      </w:tr>
      <w:tr w:rsidR="003E6483" w:rsidRPr="00360A40" w14:paraId="61EB1640"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7CA35CD7"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222DAFB3"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79BBA126" w14:textId="2A35372D" w:rsidR="003E6483" w:rsidRPr="00360A40" w:rsidRDefault="003E6483" w:rsidP="00360A40">
            <w:pPr>
              <w:pStyle w:val="TableParagraph"/>
              <w:kinsoku w:val="0"/>
              <w:overflowPunct w:val="0"/>
              <w:ind w:left="100"/>
              <w:rPr>
                <w:sz w:val="22"/>
                <w:szCs w:val="22"/>
                <w:lang w:val="hu-HU"/>
              </w:rPr>
            </w:pPr>
            <w:r w:rsidRPr="00360A40">
              <w:rPr>
                <w:sz w:val="22"/>
                <w:szCs w:val="22"/>
                <w:lang w:val="hu-HU"/>
              </w:rPr>
              <w:t>Szájnyálkahártya felhólyagosodás, szájüregi fájdalom, hányás, hasi diszkomfort, székrekedés, hasi distensio, dysphagia, elszíneződött széklet, a nyelv duzzanata, gastrointestinalis motilitási zavar, flatulencia</w:t>
            </w:r>
          </w:p>
        </w:tc>
      </w:tr>
      <w:tr w:rsidR="003E6483" w:rsidRPr="00360A40" w14:paraId="1C1EAB4D"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68B1B7A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Máj- és epebetegségek, illetve tünetek</w:t>
            </w:r>
          </w:p>
        </w:tc>
        <w:tc>
          <w:tcPr>
            <w:tcW w:w="1701" w:type="dxa"/>
            <w:tcBorders>
              <w:top w:val="single" w:sz="4" w:space="0" w:color="000000"/>
              <w:left w:val="single" w:sz="4" w:space="0" w:color="000000"/>
              <w:bottom w:val="single" w:sz="4" w:space="0" w:color="000000"/>
              <w:right w:val="single" w:sz="4" w:space="0" w:color="000000"/>
            </w:tcBorders>
          </w:tcPr>
          <w:p w14:paraId="04E00838"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Nagyon gyakori</w:t>
            </w:r>
          </w:p>
        </w:tc>
        <w:tc>
          <w:tcPr>
            <w:tcW w:w="4819" w:type="dxa"/>
            <w:tcBorders>
              <w:top w:val="single" w:sz="4" w:space="0" w:color="000000"/>
              <w:left w:val="single" w:sz="4" w:space="0" w:color="000000"/>
              <w:bottom w:val="single" w:sz="4" w:space="0" w:color="000000"/>
              <w:right w:val="single" w:sz="4" w:space="0" w:color="000000"/>
            </w:tcBorders>
          </w:tcPr>
          <w:p w14:paraId="21A811CE" w14:textId="2DE6F533" w:rsidR="003E6483" w:rsidRPr="00360A40" w:rsidRDefault="00B23496" w:rsidP="00360A40">
            <w:pPr>
              <w:pStyle w:val="TableParagraph"/>
              <w:kinsoku w:val="0"/>
              <w:overflowPunct w:val="0"/>
              <w:ind w:left="100"/>
              <w:rPr>
                <w:sz w:val="22"/>
                <w:szCs w:val="22"/>
                <w:lang w:val="hu-HU"/>
              </w:rPr>
            </w:pPr>
            <w:r w:rsidRPr="00360A40">
              <w:rPr>
                <w:sz w:val="22"/>
                <w:szCs w:val="22"/>
                <w:lang w:val="hu-HU"/>
              </w:rPr>
              <w:t>Emelkedett transzaminázszintek</w:t>
            </w:r>
          </w:p>
        </w:tc>
      </w:tr>
      <w:tr w:rsidR="003E6483" w:rsidRPr="00360A40" w14:paraId="104DE9FF"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244BB885"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07F27B5F"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7C738FB3" w14:textId="490DFF77" w:rsidR="003E6483" w:rsidRPr="00360A40" w:rsidRDefault="00B23496" w:rsidP="00360A40">
            <w:pPr>
              <w:pStyle w:val="Default"/>
              <w:rPr>
                <w:color w:val="auto"/>
                <w:sz w:val="22"/>
                <w:szCs w:val="22"/>
              </w:rPr>
            </w:pPr>
            <w:r w:rsidRPr="00360A40">
              <w:rPr>
                <w:color w:val="auto"/>
                <w:sz w:val="22"/>
                <w:szCs w:val="22"/>
              </w:rPr>
              <w:t>Emelkedett bilirubinszint a vérben (hyperbilirubinaemia), sárgaság</w:t>
            </w:r>
          </w:p>
        </w:tc>
      </w:tr>
      <w:tr w:rsidR="003E6483" w:rsidRPr="00360A40" w14:paraId="0D7FAA9D"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18A3C8FA"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5E61D4FE" w14:textId="109F60D5" w:rsidR="003E6483" w:rsidRPr="00360A40" w:rsidRDefault="003E6483" w:rsidP="00360A40">
            <w:pPr>
              <w:pStyle w:val="TableParagraph"/>
              <w:kinsoku w:val="0"/>
              <w:overflowPunct w:val="0"/>
              <w:ind w:left="102"/>
              <w:rPr>
                <w:sz w:val="22"/>
                <w:szCs w:val="22"/>
                <w:lang w:val="hu-HU"/>
              </w:rPr>
            </w:pPr>
            <w:r w:rsidRPr="00360A40">
              <w:rPr>
                <w:sz w:val="22"/>
                <w:szCs w:val="22"/>
                <w:lang w:val="hu-HU"/>
              </w:rPr>
              <w:t xml:space="preserve">Nem </w:t>
            </w:r>
            <w:r w:rsidR="00B23496" w:rsidRPr="00360A40">
              <w:rPr>
                <w:sz w:val="22"/>
                <w:szCs w:val="22"/>
                <w:lang w:val="hu-HU"/>
              </w:rPr>
              <w:t>ismert</w:t>
            </w:r>
          </w:p>
        </w:tc>
        <w:tc>
          <w:tcPr>
            <w:tcW w:w="4819" w:type="dxa"/>
            <w:tcBorders>
              <w:top w:val="single" w:sz="4" w:space="0" w:color="000000"/>
              <w:left w:val="single" w:sz="4" w:space="0" w:color="000000"/>
              <w:bottom w:val="single" w:sz="4" w:space="0" w:color="000000"/>
              <w:right w:val="single" w:sz="4" w:space="0" w:color="000000"/>
            </w:tcBorders>
          </w:tcPr>
          <w:p w14:paraId="00D51D59" w14:textId="77777777" w:rsidR="00B23496" w:rsidRPr="00360A40" w:rsidRDefault="00B23496" w:rsidP="00360A40">
            <w:pPr>
              <w:pStyle w:val="TableParagraph"/>
              <w:kinsoku w:val="0"/>
              <w:overflowPunct w:val="0"/>
              <w:ind w:left="100"/>
              <w:rPr>
                <w:sz w:val="22"/>
                <w:szCs w:val="22"/>
                <w:lang w:val="hu-HU"/>
              </w:rPr>
            </w:pPr>
            <w:r w:rsidRPr="00360A40">
              <w:rPr>
                <w:sz w:val="22"/>
                <w:szCs w:val="22"/>
                <w:lang w:val="hu-HU"/>
              </w:rPr>
              <w:t>Gyógyszer okozta májkárosodás*</w:t>
            </w:r>
          </w:p>
          <w:p w14:paraId="6A34FAA0" w14:textId="2D51B2E7" w:rsidR="003E6483" w:rsidRPr="00360A40" w:rsidRDefault="00B23496" w:rsidP="00360A40">
            <w:pPr>
              <w:pStyle w:val="TableParagraph"/>
              <w:kinsoku w:val="0"/>
              <w:overflowPunct w:val="0"/>
              <w:ind w:left="100"/>
              <w:rPr>
                <w:sz w:val="22"/>
                <w:szCs w:val="22"/>
                <w:lang w:val="hu-HU"/>
              </w:rPr>
            </w:pPr>
            <w:r w:rsidRPr="00360A40">
              <w:rPr>
                <w:sz w:val="22"/>
                <w:szCs w:val="22"/>
                <w:lang w:val="hu-HU"/>
              </w:rPr>
              <w:t>*Gyógyszer okozta májkárosodás eseteket ITP-s és HCV-s betegeknél jelentettek</w:t>
            </w:r>
          </w:p>
        </w:tc>
      </w:tr>
      <w:tr w:rsidR="003E6483" w:rsidRPr="00360A40" w14:paraId="7EA83718"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75C0FE62"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A bőr és a bőr alatti szövet betegségei és tünetei</w:t>
            </w:r>
          </w:p>
        </w:tc>
        <w:tc>
          <w:tcPr>
            <w:tcW w:w="1701" w:type="dxa"/>
            <w:tcBorders>
              <w:top w:val="single" w:sz="4" w:space="0" w:color="000000"/>
              <w:left w:val="single" w:sz="4" w:space="0" w:color="000000"/>
              <w:bottom w:val="single" w:sz="4" w:space="0" w:color="000000"/>
              <w:right w:val="single" w:sz="4" w:space="0" w:color="000000"/>
            </w:tcBorders>
          </w:tcPr>
          <w:p w14:paraId="07EBDC08"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7E64DE11" w14:textId="7036A6BB" w:rsidR="003E6483" w:rsidRPr="00360A40" w:rsidRDefault="00B23496" w:rsidP="00360A40">
            <w:pPr>
              <w:pStyle w:val="TableParagraph"/>
              <w:kinsoku w:val="0"/>
              <w:overflowPunct w:val="0"/>
              <w:ind w:left="100"/>
              <w:rPr>
                <w:sz w:val="22"/>
                <w:szCs w:val="22"/>
                <w:lang w:val="hu-HU"/>
              </w:rPr>
            </w:pPr>
            <w:r w:rsidRPr="00360A40">
              <w:rPr>
                <w:sz w:val="22"/>
                <w:szCs w:val="22"/>
                <w:lang w:val="hu-HU"/>
              </w:rPr>
              <w:t>Petechia, b</w:t>
            </w:r>
            <w:r w:rsidRPr="00360A40">
              <w:rPr>
                <w:rFonts w:hint="eastAsia"/>
                <w:sz w:val="22"/>
                <w:szCs w:val="22"/>
                <w:lang w:val="hu-HU"/>
              </w:rPr>
              <w:t>ő</w:t>
            </w:r>
            <w:r w:rsidRPr="00360A40">
              <w:rPr>
                <w:sz w:val="22"/>
                <w:szCs w:val="22"/>
                <w:lang w:val="hu-HU"/>
              </w:rPr>
              <w:t>rki</w:t>
            </w:r>
            <w:r w:rsidRPr="00360A40">
              <w:rPr>
                <w:rFonts w:hint="eastAsia"/>
                <w:sz w:val="22"/>
                <w:szCs w:val="22"/>
                <w:lang w:val="hu-HU"/>
              </w:rPr>
              <w:t>ü</w:t>
            </w:r>
            <w:r w:rsidRPr="00360A40">
              <w:rPr>
                <w:sz w:val="22"/>
                <w:szCs w:val="22"/>
                <w:lang w:val="hu-HU"/>
              </w:rPr>
              <w:t>t</w:t>
            </w:r>
            <w:r w:rsidRPr="00360A40">
              <w:rPr>
                <w:rFonts w:hint="eastAsia"/>
                <w:sz w:val="22"/>
                <w:szCs w:val="22"/>
                <w:lang w:val="hu-HU"/>
              </w:rPr>
              <w:t>é</w:t>
            </w:r>
            <w:r w:rsidRPr="00360A40">
              <w:rPr>
                <w:sz w:val="22"/>
                <w:szCs w:val="22"/>
                <w:lang w:val="hu-HU"/>
              </w:rPr>
              <w:t>s, pruritus, urticaria, b</w:t>
            </w:r>
            <w:r w:rsidRPr="00360A40">
              <w:rPr>
                <w:rFonts w:hint="eastAsia"/>
                <w:sz w:val="22"/>
                <w:szCs w:val="22"/>
                <w:lang w:val="hu-HU"/>
              </w:rPr>
              <w:t>ő</w:t>
            </w:r>
            <w:r w:rsidRPr="00360A40">
              <w:rPr>
                <w:sz w:val="22"/>
                <w:szCs w:val="22"/>
                <w:lang w:val="hu-HU"/>
              </w:rPr>
              <w:t>rlaesio, maculosus b</w:t>
            </w:r>
            <w:r w:rsidRPr="00360A40">
              <w:rPr>
                <w:rFonts w:hint="eastAsia"/>
                <w:sz w:val="22"/>
                <w:szCs w:val="22"/>
                <w:lang w:val="hu-HU"/>
              </w:rPr>
              <w:t>ő</w:t>
            </w:r>
            <w:r w:rsidRPr="00360A40">
              <w:rPr>
                <w:sz w:val="22"/>
                <w:szCs w:val="22"/>
                <w:lang w:val="hu-HU"/>
              </w:rPr>
              <w:t>rki</w:t>
            </w:r>
            <w:r w:rsidRPr="00360A40">
              <w:rPr>
                <w:rFonts w:hint="eastAsia"/>
                <w:sz w:val="22"/>
                <w:szCs w:val="22"/>
                <w:lang w:val="hu-HU"/>
              </w:rPr>
              <w:t>ü</w:t>
            </w:r>
            <w:r w:rsidRPr="00360A40">
              <w:rPr>
                <w:sz w:val="22"/>
                <w:szCs w:val="22"/>
                <w:lang w:val="hu-HU"/>
              </w:rPr>
              <w:t>t</w:t>
            </w:r>
            <w:r w:rsidRPr="00360A40">
              <w:rPr>
                <w:rFonts w:hint="eastAsia"/>
                <w:sz w:val="22"/>
                <w:szCs w:val="22"/>
                <w:lang w:val="hu-HU"/>
              </w:rPr>
              <w:t>é</w:t>
            </w:r>
            <w:r w:rsidRPr="00360A40">
              <w:rPr>
                <w:sz w:val="22"/>
                <w:szCs w:val="22"/>
                <w:lang w:val="hu-HU"/>
              </w:rPr>
              <w:t>s</w:t>
            </w:r>
          </w:p>
        </w:tc>
      </w:tr>
      <w:tr w:rsidR="003E6483" w:rsidRPr="00360A40" w14:paraId="5EFE816E"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16569CEA"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13CE86F7" w14:textId="1292808F" w:rsidR="003E6483" w:rsidRPr="00360A40" w:rsidRDefault="003E6483" w:rsidP="00360A40">
            <w:pPr>
              <w:pStyle w:val="TableParagraph"/>
              <w:kinsoku w:val="0"/>
              <w:overflowPunct w:val="0"/>
              <w:ind w:left="102"/>
              <w:rPr>
                <w:sz w:val="22"/>
                <w:szCs w:val="22"/>
                <w:lang w:val="hu-HU"/>
              </w:rPr>
            </w:pPr>
            <w:r w:rsidRPr="00360A40">
              <w:rPr>
                <w:sz w:val="22"/>
                <w:szCs w:val="22"/>
                <w:lang w:val="hu-HU"/>
              </w:rPr>
              <w:t xml:space="preserve">Nem </w:t>
            </w:r>
            <w:r w:rsidR="00B23496" w:rsidRPr="00360A40">
              <w:rPr>
                <w:sz w:val="22"/>
                <w:szCs w:val="22"/>
                <w:lang w:val="hu-HU"/>
              </w:rPr>
              <w:t>ismert</w:t>
            </w:r>
          </w:p>
        </w:tc>
        <w:tc>
          <w:tcPr>
            <w:tcW w:w="4819" w:type="dxa"/>
            <w:tcBorders>
              <w:top w:val="single" w:sz="4" w:space="0" w:color="000000"/>
              <w:left w:val="single" w:sz="4" w:space="0" w:color="000000"/>
              <w:bottom w:val="single" w:sz="4" w:space="0" w:color="000000"/>
              <w:right w:val="single" w:sz="4" w:space="0" w:color="000000"/>
            </w:tcBorders>
          </w:tcPr>
          <w:p w14:paraId="751C6FEB" w14:textId="345F07CD" w:rsidR="003E6483" w:rsidRPr="00360A40" w:rsidRDefault="00B23496" w:rsidP="00360A40">
            <w:pPr>
              <w:pStyle w:val="TableParagraph"/>
              <w:kinsoku w:val="0"/>
              <w:overflowPunct w:val="0"/>
              <w:ind w:left="100"/>
              <w:rPr>
                <w:sz w:val="22"/>
                <w:szCs w:val="22"/>
                <w:lang w:val="hu-HU"/>
              </w:rPr>
            </w:pPr>
            <w:r w:rsidRPr="00360A40">
              <w:rPr>
                <w:sz w:val="22"/>
                <w:szCs w:val="22"/>
                <w:lang w:val="hu-HU"/>
              </w:rPr>
              <w:t>Bőrelszíneződés, bőr hyperpigmentatio</w:t>
            </w:r>
          </w:p>
        </w:tc>
      </w:tr>
      <w:tr w:rsidR="003E6483" w:rsidRPr="00360A40" w14:paraId="566A42E5"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64B84AED"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A csont- és izomrendszer, valamint a kötőszövet betegségei és tünetei</w:t>
            </w:r>
          </w:p>
        </w:tc>
        <w:tc>
          <w:tcPr>
            <w:tcW w:w="1701" w:type="dxa"/>
            <w:tcBorders>
              <w:top w:val="single" w:sz="4" w:space="0" w:color="000000"/>
              <w:left w:val="single" w:sz="4" w:space="0" w:color="000000"/>
              <w:bottom w:val="single" w:sz="4" w:space="0" w:color="000000"/>
              <w:right w:val="single" w:sz="4" w:space="0" w:color="000000"/>
            </w:tcBorders>
          </w:tcPr>
          <w:p w14:paraId="0D1F4A81"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Nagyon gyakori</w:t>
            </w:r>
          </w:p>
        </w:tc>
        <w:tc>
          <w:tcPr>
            <w:tcW w:w="4819" w:type="dxa"/>
            <w:tcBorders>
              <w:top w:val="single" w:sz="4" w:space="0" w:color="000000"/>
              <w:left w:val="single" w:sz="4" w:space="0" w:color="000000"/>
              <w:bottom w:val="single" w:sz="4" w:space="0" w:color="000000"/>
              <w:right w:val="single" w:sz="4" w:space="0" w:color="000000"/>
            </w:tcBorders>
          </w:tcPr>
          <w:p w14:paraId="0479F9A1" w14:textId="28EF3DF2" w:rsidR="003E6483" w:rsidRPr="00360A40" w:rsidRDefault="00B23496" w:rsidP="00360A40">
            <w:pPr>
              <w:pStyle w:val="TableParagraph"/>
              <w:kinsoku w:val="0"/>
              <w:overflowPunct w:val="0"/>
              <w:ind w:left="100"/>
              <w:rPr>
                <w:sz w:val="22"/>
                <w:szCs w:val="22"/>
                <w:lang w:val="hu-HU"/>
              </w:rPr>
            </w:pPr>
            <w:r w:rsidRPr="00360A40">
              <w:rPr>
                <w:sz w:val="22"/>
                <w:szCs w:val="22"/>
                <w:lang w:val="hu-HU"/>
              </w:rPr>
              <w:t>Arthralgia, végtagfájdalom, izomgörcsök</w:t>
            </w:r>
          </w:p>
        </w:tc>
      </w:tr>
      <w:tr w:rsidR="003E6483" w:rsidRPr="00360A40" w14:paraId="19F11C77"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459527E1"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0627B0A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3BB14000" w14:textId="3F76E183" w:rsidR="003E6483" w:rsidRPr="00360A40" w:rsidRDefault="00B23496" w:rsidP="00360A40">
            <w:pPr>
              <w:pStyle w:val="TableParagraph"/>
              <w:kinsoku w:val="0"/>
              <w:overflowPunct w:val="0"/>
              <w:ind w:left="100"/>
              <w:rPr>
                <w:sz w:val="22"/>
                <w:szCs w:val="22"/>
                <w:lang w:val="hu-HU"/>
              </w:rPr>
            </w:pPr>
            <w:r w:rsidRPr="00360A40">
              <w:rPr>
                <w:sz w:val="22"/>
                <w:szCs w:val="22"/>
                <w:lang w:val="hu-HU"/>
              </w:rPr>
              <w:t>Hátfájás, myalgia, csontfájdalom</w:t>
            </w:r>
          </w:p>
        </w:tc>
      </w:tr>
      <w:tr w:rsidR="003E6483" w:rsidRPr="00360A40" w14:paraId="05EBD791" w14:textId="77777777" w:rsidTr="008E7A1E">
        <w:trPr>
          <w:trHeight w:val="491"/>
        </w:trPr>
        <w:tc>
          <w:tcPr>
            <w:tcW w:w="2694" w:type="dxa"/>
            <w:tcBorders>
              <w:top w:val="single" w:sz="4" w:space="0" w:color="000000"/>
              <w:left w:val="single" w:sz="4" w:space="0" w:color="000000"/>
              <w:bottom w:val="single" w:sz="4" w:space="0" w:color="000000"/>
              <w:right w:val="single" w:sz="4" w:space="0" w:color="000000"/>
            </w:tcBorders>
          </w:tcPr>
          <w:p w14:paraId="7DA7EAC5"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Vese- és húgyúti betegségek és tünetek</w:t>
            </w:r>
          </w:p>
        </w:tc>
        <w:tc>
          <w:tcPr>
            <w:tcW w:w="1701" w:type="dxa"/>
            <w:tcBorders>
              <w:top w:val="single" w:sz="4" w:space="0" w:color="000000"/>
              <w:left w:val="single" w:sz="4" w:space="0" w:color="000000"/>
              <w:bottom w:val="single" w:sz="4" w:space="0" w:color="000000"/>
              <w:right w:val="single" w:sz="4" w:space="0" w:color="000000"/>
            </w:tcBorders>
          </w:tcPr>
          <w:p w14:paraId="2DE683A6"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7F554959" w14:textId="19A0B320" w:rsidR="003E6483" w:rsidRPr="00360A40" w:rsidRDefault="00B23496" w:rsidP="00360A40">
            <w:pPr>
              <w:pStyle w:val="TableParagraph"/>
              <w:kinsoku w:val="0"/>
              <w:overflowPunct w:val="0"/>
              <w:ind w:left="100"/>
              <w:rPr>
                <w:sz w:val="22"/>
                <w:szCs w:val="22"/>
                <w:lang w:val="hu-HU"/>
              </w:rPr>
            </w:pPr>
            <w:r w:rsidRPr="00360A40">
              <w:rPr>
                <w:sz w:val="22"/>
                <w:szCs w:val="22"/>
                <w:lang w:val="hu-HU"/>
              </w:rPr>
              <w:t>Chromaturia</w:t>
            </w:r>
          </w:p>
        </w:tc>
      </w:tr>
      <w:tr w:rsidR="003E6483" w:rsidRPr="00360A40" w14:paraId="09A92BFA" w14:textId="77777777" w:rsidTr="008E7A1E">
        <w:tc>
          <w:tcPr>
            <w:tcW w:w="2694" w:type="dxa"/>
            <w:vMerge w:val="restart"/>
            <w:tcBorders>
              <w:top w:val="single" w:sz="4" w:space="0" w:color="000000"/>
              <w:left w:val="single" w:sz="4" w:space="0" w:color="000000"/>
              <w:bottom w:val="single" w:sz="4" w:space="0" w:color="000000"/>
              <w:right w:val="single" w:sz="4" w:space="0" w:color="000000"/>
            </w:tcBorders>
          </w:tcPr>
          <w:p w14:paraId="777D54F7"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lastRenderedPageBreak/>
              <w:t>Általános tünetek, az alkalmazás helyén fellépő reakciók</w:t>
            </w:r>
          </w:p>
        </w:tc>
        <w:tc>
          <w:tcPr>
            <w:tcW w:w="1701" w:type="dxa"/>
            <w:tcBorders>
              <w:top w:val="single" w:sz="4" w:space="0" w:color="000000"/>
              <w:left w:val="single" w:sz="4" w:space="0" w:color="000000"/>
              <w:bottom w:val="single" w:sz="4" w:space="0" w:color="000000"/>
              <w:right w:val="single" w:sz="4" w:space="0" w:color="000000"/>
            </w:tcBorders>
          </w:tcPr>
          <w:p w14:paraId="1E318CA8" w14:textId="2851D563" w:rsidR="003E6483" w:rsidRPr="00360A40" w:rsidRDefault="00B23496" w:rsidP="00360A40">
            <w:pPr>
              <w:pStyle w:val="TableParagraph"/>
              <w:kinsoku w:val="0"/>
              <w:overflowPunct w:val="0"/>
              <w:ind w:left="102"/>
              <w:rPr>
                <w:sz w:val="22"/>
                <w:szCs w:val="22"/>
                <w:lang w:val="hu-HU"/>
              </w:rPr>
            </w:pPr>
            <w:r w:rsidRPr="00360A40">
              <w:rPr>
                <w:sz w:val="22"/>
                <w:szCs w:val="22"/>
                <w:lang w:val="hu-HU"/>
              </w:rPr>
              <w:t>Nagyon g</w:t>
            </w:r>
            <w:r w:rsidR="003E6483" w:rsidRPr="00360A40">
              <w:rPr>
                <w:sz w:val="22"/>
                <w:szCs w:val="22"/>
                <w:lang w:val="hu-HU"/>
              </w:rPr>
              <w:t>yakori</w:t>
            </w:r>
          </w:p>
        </w:tc>
        <w:tc>
          <w:tcPr>
            <w:tcW w:w="4819" w:type="dxa"/>
            <w:tcBorders>
              <w:top w:val="single" w:sz="4" w:space="0" w:color="000000"/>
              <w:left w:val="single" w:sz="4" w:space="0" w:color="000000"/>
              <w:bottom w:val="single" w:sz="4" w:space="0" w:color="000000"/>
              <w:right w:val="single" w:sz="4" w:space="0" w:color="000000"/>
            </w:tcBorders>
          </w:tcPr>
          <w:p w14:paraId="55BE8961" w14:textId="72617FC9" w:rsidR="003E6483" w:rsidRPr="00360A40" w:rsidRDefault="00B23496" w:rsidP="00360A40">
            <w:pPr>
              <w:pStyle w:val="TableParagraph"/>
              <w:kinsoku w:val="0"/>
              <w:overflowPunct w:val="0"/>
              <w:ind w:left="100"/>
              <w:rPr>
                <w:sz w:val="22"/>
                <w:szCs w:val="22"/>
                <w:lang w:val="hu-HU"/>
              </w:rPr>
            </w:pPr>
            <w:r w:rsidRPr="00360A40">
              <w:rPr>
                <w:sz w:val="22"/>
                <w:szCs w:val="22"/>
                <w:lang w:val="hu-HU"/>
              </w:rPr>
              <w:t>Fáradtság, láz, hidegrázás</w:t>
            </w:r>
          </w:p>
        </w:tc>
      </w:tr>
      <w:tr w:rsidR="003E6483" w:rsidRPr="00360A40" w14:paraId="57B9D236" w14:textId="77777777" w:rsidTr="008E7A1E">
        <w:tc>
          <w:tcPr>
            <w:tcW w:w="2694" w:type="dxa"/>
            <w:vMerge/>
            <w:tcBorders>
              <w:top w:val="single" w:sz="4" w:space="0" w:color="000000"/>
              <w:left w:val="single" w:sz="4" w:space="0" w:color="000000"/>
              <w:bottom w:val="single" w:sz="4" w:space="0" w:color="000000"/>
              <w:right w:val="single" w:sz="4" w:space="0" w:color="000000"/>
            </w:tcBorders>
          </w:tcPr>
          <w:p w14:paraId="3A08D237" w14:textId="77777777" w:rsidR="003E6483" w:rsidRPr="00360A40" w:rsidRDefault="003E6483" w:rsidP="00360A40">
            <w:pPr>
              <w:pStyle w:val="TableParagraph"/>
              <w:kinsoku w:val="0"/>
              <w:overflowPunct w:val="0"/>
              <w:ind w:left="100"/>
              <w:rPr>
                <w:sz w:val="22"/>
                <w:szCs w:val="22"/>
                <w:lang w:val="hu-HU"/>
              </w:rPr>
            </w:pPr>
          </w:p>
        </w:tc>
        <w:tc>
          <w:tcPr>
            <w:tcW w:w="1701" w:type="dxa"/>
            <w:tcBorders>
              <w:top w:val="single" w:sz="4" w:space="0" w:color="000000"/>
              <w:left w:val="single" w:sz="4" w:space="0" w:color="000000"/>
              <w:bottom w:val="single" w:sz="4" w:space="0" w:color="000000"/>
              <w:right w:val="single" w:sz="4" w:space="0" w:color="000000"/>
            </w:tcBorders>
          </w:tcPr>
          <w:p w14:paraId="7F754AE3" w14:textId="50F846EB" w:rsidR="003E6483" w:rsidRPr="00360A40" w:rsidRDefault="00B23496" w:rsidP="00360A40">
            <w:pPr>
              <w:pStyle w:val="TableParagraph"/>
              <w:kinsoku w:val="0"/>
              <w:overflowPunct w:val="0"/>
              <w:ind w:left="102"/>
              <w:rPr>
                <w:sz w:val="22"/>
                <w:szCs w:val="22"/>
                <w:lang w:val="hu-HU"/>
              </w:rPr>
            </w:pPr>
            <w:r w:rsidRPr="00360A40">
              <w:rPr>
                <w:sz w:val="22"/>
                <w:szCs w:val="22"/>
                <w:lang w:val="hu-HU"/>
              </w:rPr>
              <w:t>G</w:t>
            </w:r>
            <w:r w:rsidR="003E6483" w:rsidRPr="00360A40">
              <w:rPr>
                <w:sz w:val="22"/>
                <w:szCs w:val="22"/>
                <w:lang w:val="hu-HU"/>
              </w:rPr>
              <w:t>yakori</w:t>
            </w:r>
          </w:p>
        </w:tc>
        <w:tc>
          <w:tcPr>
            <w:tcW w:w="4819" w:type="dxa"/>
            <w:tcBorders>
              <w:top w:val="single" w:sz="4" w:space="0" w:color="000000"/>
              <w:left w:val="single" w:sz="4" w:space="0" w:color="000000"/>
              <w:bottom w:val="single" w:sz="4" w:space="0" w:color="000000"/>
              <w:right w:val="single" w:sz="4" w:space="0" w:color="000000"/>
            </w:tcBorders>
          </w:tcPr>
          <w:p w14:paraId="51C6EE89" w14:textId="3416AB0C" w:rsidR="003E6483" w:rsidRPr="00360A40" w:rsidRDefault="00B23496" w:rsidP="00360A40">
            <w:pPr>
              <w:pStyle w:val="TableParagraph"/>
              <w:kinsoku w:val="0"/>
              <w:overflowPunct w:val="0"/>
              <w:ind w:left="100"/>
              <w:rPr>
                <w:sz w:val="22"/>
                <w:szCs w:val="22"/>
                <w:lang w:val="hu-HU"/>
              </w:rPr>
            </w:pPr>
            <w:r w:rsidRPr="00360A40">
              <w:rPr>
                <w:sz w:val="22"/>
                <w:szCs w:val="22"/>
                <w:lang w:val="hu-HU"/>
              </w:rPr>
              <w:t>Asthenia, perifériás oedema, általános rossz közérzet</w:t>
            </w:r>
          </w:p>
        </w:tc>
      </w:tr>
      <w:tr w:rsidR="003E6483" w:rsidRPr="00360A40" w14:paraId="0910867E" w14:textId="77777777" w:rsidTr="008E7A1E">
        <w:tc>
          <w:tcPr>
            <w:tcW w:w="2694" w:type="dxa"/>
            <w:tcBorders>
              <w:top w:val="single" w:sz="4" w:space="0" w:color="000000"/>
              <w:left w:val="single" w:sz="4" w:space="0" w:color="000000"/>
              <w:bottom w:val="single" w:sz="4" w:space="0" w:color="000000"/>
              <w:right w:val="single" w:sz="4" w:space="0" w:color="000000"/>
            </w:tcBorders>
          </w:tcPr>
          <w:p w14:paraId="0EC256A9"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Laboratóriumi és egyéb vizsgálatok eredményei</w:t>
            </w:r>
          </w:p>
        </w:tc>
        <w:tc>
          <w:tcPr>
            <w:tcW w:w="1701" w:type="dxa"/>
            <w:tcBorders>
              <w:top w:val="single" w:sz="4" w:space="0" w:color="000000"/>
              <w:left w:val="single" w:sz="4" w:space="0" w:color="000000"/>
              <w:bottom w:val="single" w:sz="4" w:space="0" w:color="000000"/>
              <w:right w:val="single" w:sz="4" w:space="0" w:color="000000"/>
            </w:tcBorders>
          </w:tcPr>
          <w:p w14:paraId="50833A3B" w14:textId="77777777" w:rsidR="003E6483" w:rsidRPr="00360A40" w:rsidRDefault="003E6483" w:rsidP="00360A40">
            <w:pPr>
              <w:pStyle w:val="TableParagraph"/>
              <w:kinsoku w:val="0"/>
              <w:overflowPunct w:val="0"/>
              <w:ind w:left="102"/>
              <w:rPr>
                <w:sz w:val="22"/>
                <w:szCs w:val="22"/>
                <w:lang w:val="hu-HU"/>
              </w:rPr>
            </w:pPr>
            <w:r w:rsidRPr="00360A40">
              <w:rPr>
                <w:sz w:val="22"/>
                <w:szCs w:val="22"/>
                <w:lang w:val="hu-HU"/>
              </w:rPr>
              <w:t>Gyakori</w:t>
            </w:r>
          </w:p>
        </w:tc>
        <w:tc>
          <w:tcPr>
            <w:tcW w:w="4819" w:type="dxa"/>
            <w:tcBorders>
              <w:top w:val="single" w:sz="4" w:space="0" w:color="000000"/>
              <w:left w:val="single" w:sz="4" w:space="0" w:color="000000"/>
              <w:bottom w:val="single" w:sz="4" w:space="0" w:color="000000"/>
              <w:right w:val="single" w:sz="4" w:space="0" w:color="000000"/>
            </w:tcBorders>
          </w:tcPr>
          <w:p w14:paraId="555DC30C" w14:textId="31B16915" w:rsidR="003E6483" w:rsidRPr="00360A40" w:rsidRDefault="00B23496" w:rsidP="00360A40">
            <w:pPr>
              <w:pStyle w:val="TableParagraph"/>
              <w:kinsoku w:val="0"/>
              <w:overflowPunct w:val="0"/>
              <w:ind w:left="100"/>
              <w:rPr>
                <w:sz w:val="22"/>
                <w:szCs w:val="22"/>
                <w:lang w:val="hu-HU"/>
              </w:rPr>
            </w:pPr>
            <w:r w:rsidRPr="00360A40">
              <w:rPr>
                <w:sz w:val="22"/>
                <w:szCs w:val="22"/>
                <w:lang w:val="hu-HU"/>
              </w:rPr>
              <w:t>Emelkedett kreatinin-foszfokinázszint a vérben</w:t>
            </w:r>
          </w:p>
        </w:tc>
      </w:tr>
    </w:tbl>
    <w:p w14:paraId="6C217DC8" w14:textId="77777777" w:rsidR="003E6483" w:rsidRPr="00360A40" w:rsidRDefault="003E6483" w:rsidP="00360A40">
      <w:pPr>
        <w:pStyle w:val="Szvegtrzs"/>
        <w:kinsoku w:val="0"/>
        <w:overflowPunct w:val="0"/>
        <w:ind w:left="0"/>
        <w:rPr>
          <w:lang w:val="hu-HU"/>
        </w:rPr>
      </w:pPr>
    </w:p>
    <w:p w14:paraId="03F896A7" w14:textId="77777777" w:rsidR="002D66F3" w:rsidRPr="00360A40" w:rsidRDefault="002D66F3" w:rsidP="00360A40">
      <w:pPr>
        <w:pStyle w:val="Szvegtrzs"/>
        <w:kinsoku w:val="0"/>
        <w:overflowPunct w:val="0"/>
        <w:ind w:left="0"/>
        <w:rPr>
          <w:lang w:val="hu-HU"/>
        </w:rPr>
      </w:pPr>
      <w:r w:rsidRPr="00360A40">
        <w:rPr>
          <w:u w:val="single"/>
          <w:lang w:val="hu-HU"/>
        </w:rPr>
        <w:t>Egyes kiemelt mellékhatások leírása</w:t>
      </w:r>
    </w:p>
    <w:p w14:paraId="72B82628" w14:textId="77777777" w:rsidR="002D66F3" w:rsidRPr="00360A40" w:rsidRDefault="002D66F3" w:rsidP="00360A40">
      <w:pPr>
        <w:pStyle w:val="Szvegtrzs"/>
        <w:kinsoku w:val="0"/>
        <w:overflowPunct w:val="0"/>
        <w:ind w:left="0"/>
        <w:rPr>
          <w:lang w:val="hu-HU"/>
        </w:rPr>
      </w:pPr>
    </w:p>
    <w:p w14:paraId="1D9CD427" w14:textId="77777777" w:rsidR="002D66F3" w:rsidRPr="00360A40" w:rsidRDefault="002D66F3" w:rsidP="00360A40">
      <w:pPr>
        <w:pStyle w:val="Szvegtrzs"/>
        <w:kinsoku w:val="0"/>
        <w:overflowPunct w:val="0"/>
        <w:ind w:left="0"/>
        <w:rPr>
          <w:lang w:val="hu-HU"/>
        </w:rPr>
      </w:pPr>
      <w:r w:rsidRPr="00360A40">
        <w:rPr>
          <w:i/>
          <w:iCs/>
          <w:u w:val="single"/>
          <w:lang w:val="hu-HU"/>
        </w:rPr>
        <w:t>Thromboticus/thromboemboliás események (TEE-k)</w:t>
      </w:r>
    </w:p>
    <w:p w14:paraId="2483AD51" w14:textId="77777777" w:rsidR="002D66F3" w:rsidRPr="00360A40" w:rsidRDefault="002D66F3" w:rsidP="00360A40">
      <w:pPr>
        <w:pStyle w:val="Szvegtrzs"/>
        <w:kinsoku w:val="0"/>
        <w:overflowPunct w:val="0"/>
        <w:ind w:left="0"/>
        <w:rPr>
          <w:i/>
          <w:iCs/>
          <w:lang w:val="hu-HU"/>
        </w:rPr>
      </w:pPr>
    </w:p>
    <w:p w14:paraId="6A9CCB66" w14:textId="4F7E8C70" w:rsidR="002D66F3" w:rsidRPr="00360A40" w:rsidRDefault="002D66F3" w:rsidP="00360A40">
      <w:pPr>
        <w:pStyle w:val="Szvegtrzs"/>
        <w:tabs>
          <w:tab w:val="left" w:pos="7655"/>
        </w:tabs>
        <w:kinsoku w:val="0"/>
        <w:overflowPunct w:val="0"/>
        <w:ind w:left="0"/>
        <w:rPr>
          <w:lang w:val="hu-HU"/>
        </w:rPr>
      </w:pPr>
      <w:r w:rsidRPr="00360A40">
        <w:rPr>
          <w:lang w:val="hu-HU"/>
        </w:rPr>
        <w:t>Három kontrollos és két nem kontrollos klinikai vizsgálatban az eltrombopagot kapó felnőtt ITP-s betegek (n</w:t>
      </w:r>
      <w:r w:rsidR="00DB2CA9" w:rsidRPr="00360A40">
        <w:rPr>
          <w:lang w:val="hu-HU"/>
        </w:rPr>
        <w:t> </w:t>
      </w:r>
      <w:r w:rsidRPr="00360A40">
        <w:rPr>
          <w:lang w:val="hu-HU"/>
        </w:rPr>
        <w:t>=</w:t>
      </w:r>
      <w:r w:rsidR="00DB2CA9" w:rsidRPr="00360A40">
        <w:rPr>
          <w:lang w:val="hu-HU"/>
        </w:rPr>
        <w:t> </w:t>
      </w:r>
      <w:r w:rsidRPr="00360A40">
        <w:rPr>
          <w:lang w:val="hu-HU"/>
        </w:rPr>
        <w:t>446) közül 17</w:t>
      </w:r>
      <w:r w:rsidR="00DB2CA9" w:rsidRPr="00360A40">
        <w:rPr>
          <w:lang w:val="hu-HU"/>
        </w:rPr>
        <w:t> </w:t>
      </w:r>
      <w:r w:rsidRPr="00360A40">
        <w:rPr>
          <w:lang w:val="hu-HU"/>
        </w:rPr>
        <w:t>betegnél összesen 19 thromboemboliás esemény fordult elő, amelyek közé tartozott (csökkenő előfordulási sorrendben) a mélyvénás thrombosis (n</w:t>
      </w:r>
      <w:r w:rsidR="00DB2CA9" w:rsidRPr="00360A40">
        <w:rPr>
          <w:lang w:val="hu-HU"/>
        </w:rPr>
        <w:t> </w:t>
      </w:r>
      <w:r w:rsidRPr="00360A40">
        <w:rPr>
          <w:lang w:val="hu-HU"/>
        </w:rPr>
        <w:t>=</w:t>
      </w:r>
      <w:r w:rsidR="00DB2CA9" w:rsidRPr="00360A40">
        <w:rPr>
          <w:lang w:val="hu-HU"/>
        </w:rPr>
        <w:t> </w:t>
      </w:r>
      <w:r w:rsidRPr="00360A40">
        <w:rPr>
          <w:lang w:val="hu-HU"/>
        </w:rPr>
        <w:t>6), a tüdőembolia (n</w:t>
      </w:r>
      <w:r w:rsidR="00DB2CA9" w:rsidRPr="00360A40">
        <w:rPr>
          <w:lang w:val="hu-HU"/>
        </w:rPr>
        <w:t> </w:t>
      </w:r>
      <w:r w:rsidRPr="00360A40">
        <w:rPr>
          <w:lang w:val="hu-HU"/>
        </w:rPr>
        <w:t>=</w:t>
      </w:r>
      <w:r w:rsidR="00DB2CA9" w:rsidRPr="00360A40">
        <w:rPr>
          <w:lang w:val="hu-HU"/>
        </w:rPr>
        <w:t> </w:t>
      </w:r>
      <w:r w:rsidRPr="00360A40">
        <w:rPr>
          <w:lang w:val="hu-HU"/>
        </w:rPr>
        <w:t>6), az akut myocardialis infarctus (n</w:t>
      </w:r>
      <w:r w:rsidR="00DB2CA9" w:rsidRPr="00360A40">
        <w:rPr>
          <w:lang w:val="hu-HU"/>
        </w:rPr>
        <w:t> </w:t>
      </w:r>
      <w:r w:rsidRPr="00360A40">
        <w:rPr>
          <w:lang w:val="hu-HU"/>
        </w:rPr>
        <w:t>=</w:t>
      </w:r>
      <w:r w:rsidR="00DB2CA9" w:rsidRPr="00360A40">
        <w:rPr>
          <w:lang w:val="hu-HU"/>
        </w:rPr>
        <w:t> </w:t>
      </w:r>
      <w:r w:rsidRPr="00360A40">
        <w:rPr>
          <w:lang w:val="hu-HU"/>
        </w:rPr>
        <w:t>2), az agyi infarctus (n</w:t>
      </w:r>
      <w:r w:rsidR="00DB2CA9" w:rsidRPr="00360A40">
        <w:rPr>
          <w:lang w:val="hu-HU"/>
        </w:rPr>
        <w:t> </w:t>
      </w:r>
      <w:r w:rsidRPr="00360A40">
        <w:rPr>
          <w:lang w:val="hu-HU"/>
        </w:rPr>
        <w:t>=</w:t>
      </w:r>
      <w:r w:rsidR="00DB2CA9" w:rsidRPr="00360A40">
        <w:rPr>
          <w:lang w:val="hu-HU"/>
        </w:rPr>
        <w:t> </w:t>
      </w:r>
      <w:r w:rsidRPr="00360A40">
        <w:rPr>
          <w:lang w:val="hu-HU"/>
        </w:rPr>
        <w:t>2), az embolia (n</w:t>
      </w:r>
      <w:r w:rsidR="00DB2CA9" w:rsidRPr="00360A40">
        <w:rPr>
          <w:lang w:val="hu-HU"/>
        </w:rPr>
        <w:t> </w:t>
      </w:r>
      <w:r w:rsidRPr="00360A40">
        <w:rPr>
          <w:lang w:val="hu-HU"/>
        </w:rPr>
        <w:t>=</w:t>
      </w:r>
      <w:r w:rsidR="00086575" w:rsidRPr="00360A40">
        <w:rPr>
          <w:lang w:val="hu-HU"/>
        </w:rPr>
        <w:t>1</w:t>
      </w:r>
      <w:r w:rsidRPr="00360A40">
        <w:rPr>
          <w:lang w:val="hu-HU"/>
        </w:rPr>
        <w:t>) (lásd 4.4</w:t>
      </w:r>
      <w:r w:rsidR="00DB2CA9" w:rsidRPr="00360A40">
        <w:rPr>
          <w:lang w:val="hu-HU"/>
        </w:rPr>
        <w:t> </w:t>
      </w:r>
      <w:r w:rsidRPr="00360A40">
        <w:rPr>
          <w:lang w:val="hu-HU"/>
        </w:rPr>
        <w:t>pont).</w:t>
      </w:r>
    </w:p>
    <w:p w14:paraId="1C33F321" w14:textId="77777777" w:rsidR="002D66F3" w:rsidRPr="00360A40" w:rsidRDefault="002D66F3" w:rsidP="00360A40">
      <w:pPr>
        <w:pStyle w:val="Szvegtrzs"/>
        <w:tabs>
          <w:tab w:val="left" w:pos="7655"/>
        </w:tabs>
        <w:kinsoku w:val="0"/>
        <w:overflowPunct w:val="0"/>
        <w:ind w:left="0"/>
        <w:rPr>
          <w:lang w:val="hu-HU"/>
        </w:rPr>
      </w:pPr>
    </w:p>
    <w:p w14:paraId="5E751D87" w14:textId="1084ED3E" w:rsidR="002D66F3" w:rsidRPr="00360A40" w:rsidRDefault="002D66F3" w:rsidP="00360A40">
      <w:pPr>
        <w:pStyle w:val="Szvegtrzs"/>
        <w:keepNext/>
        <w:widowControl/>
        <w:tabs>
          <w:tab w:val="left" w:pos="7655"/>
        </w:tabs>
        <w:kinsoku w:val="0"/>
        <w:overflowPunct w:val="0"/>
        <w:ind w:left="0"/>
        <w:rPr>
          <w:lang w:val="hu-HU"/>
        </w:rPr>
      </w:pPr>
      <w:r w:rsidRPr="00360A40">
        <w:rPr>
          <w:lang w:val="hu-HU"/>
        </w:rPr>
        <w:t>Egy placebokontrollos vizsgálatban (n</w:t>
      </w:r>
      <w:r w:rsidR="00DB2CA9" w:rsidRPr="00360A40">
        <w:rPr>
          <w:lang w:val="hu-HU"/>
        </w:rPr>
        <w:t> </w:t>
      </w:r>
      <w:r w:rsidRPr="00360A40">
        <w:rPr>
          <w:lang w:val="hu-HU"/>
        </w:rPr>
        <w:t>=</w:t>
      </w:r>
      <w:r w:rsidR="00DB2CA9" w:rsidRPr="00360A40">
        <w:rPr>
          <w:lang w:val="hu-HU"/>
        </w:rPr>
        <w:t> </w:t>
      </w:r>
      <w:r w:rsidRPr="00360A40">
        <w:rPr>
          <w:lang w:val="hu-HU"/>
        </w:rPr>
        <w:t>288, biztonságossági populáció), 2</w:t>
      </w:r>
      <w:r w:rsidR="00DB2CA9" w:rsidRPr="00360A40">
        <w:rPr>
          <w:lang w:val="hu-HU"/>
        </w:rPr>
        <w:t> </w:t>
      </w:r>
      <w:r w:rsidRPr="00360A40">
        <w:rPr>
          <w:lang w:val="hu-HU"/>
        </w:rPr>
        <w:t>heti kezelés után az invazív beavatkozás előkészítése során, 143, krónikus májbetegségben szenvedő, eltrombopaggal kezelt felnőtt beteg közül 6-nál (4%) tapasztaltak 7, a portalis rendszert érintő thromboemboliás eseményt. A placebocsoportban a 145</w:t>
      </w:r>
      <w:r w:rsidR="00DB2CA9" w:rsidRPr="00360A40">
        <w:rPr>
          <w:lang w:val="hu-HU"/>
        </w:rPr>
        <w:t> </w:t>
      </w:r>
      <w:r w:rsidRPr="00360A40">
        <w:rPr>
          <w:lang w:val="hu-HU"/>
        </w:rPr>
        <w:t>beteg közül 2-nél (1%) tapasztaltak 3 thromboemboliás eseményt. Az eltrombopaggal kezelt 6</w:t>
      </w:r>
      <w:r w:rsidR="00DB2CA9" w:rsidRPr="00360A40">
        <w:rPr>
          <w:lang w:val="hu-HU"/>
        </w:rPr>
        <w:t> </w:t>
      </w:r>
      <w:r w:rsidRPr="00360A40">
        <w:rPr>
          <w:lang w:val="hu-HU"/>
        </w:rPr>
        <w:t>beteg közül ötnél alakult ki thromboemboliás esemény,</w:t>
      </w:r>
      <w:r w:rsidR="008F5260" w:rsidRPr="00360A40">
        <w:rPr>
          <w:lang w:val="hu-HU"/>
        </w:rPr>
        <w:t xml:space="preserve"> </w:t>
      </w:r>
      <w:r w:rsidRPr="00360A40">
        <w:rPr>
          <w:lang w:val="hu-HU"/>
        </w:rPr>
        <w:t>&gt;</w:t>
      </w:r>
      <w:r w:rsidR="00DB2CA9" w:rsidRPr="00360A40">
        <w:rPr>
          <w:lang w:val="hu-HU"/>
        </w:rPr>
        <w:t> </w:t>
      </w:r>
      <w:r w:rsidRPr="00360A40">
        <w:rPr>
          <w:lang w:val="hu-HU"/>
        </w:rPr>
        <w:t>200</w:t>
      </w:r>
      <w:r w:rsidR="00DB2CA9" w:rsidRPr="00360A40">
        <w:rPr>
          <w:lang w:val="hu-HU"/>
        </w:rPr>
        <w:t> </w:t>
      </w:r>
      <w:r w:rsidRPr="00360A40">
        <w:rPr>
          <w:lang w:val="hu-HU"/>
        </w:rPr>
        <w:t>000/µl vérlemezkeszámnál.</w:t>
      </w:r>
    </w:p>
    <w:p w14:paraId="4DFA9BB5" w14:textId="77777777" w:rsidR="002D66F3" w:rsidRPr="00360A40" w:rsidRDefault="002D66F3" w:rsidP="00360A40">
      <w:pPr>
        <w:pStyle w:val="Szvegtrzs"/>
        <w:tabs>
          <w:tab w:val="left" w:pos="7655"/>
        </w:tabs>
        <w:kinsoku w:val="0"/>
        <w:overflowPunct w:val="0"/>
        <w:ind w:left="0"/>
        <w:rPr>
          <w:lang w:val="hu-HU"/>
        </w:rPr>
      </w:pPr>
    </w:p>
    <w:p w14:paraId="22345C87" w14:textId="0468572E" w:rsidR="002D66F3" w:rsidRPr="00360A40" w:rsidRDefault="002D66F3" w:rsidP="00360A40">
      <w:pPr>
        <w:pStyle w:val="Szvegtrzs"/>
        <w:tabs>
          <w:tab w:val="left" w:pos="7655"/>
        </w:tabs>
        <w:kinsoku w:val="0"/>
        <w:overflowPunct w:val="0"/>
        <w:ind w:left="0"/>
        <w:rPr>
          <w:lang w:val="hu-HU"/>
        </w:rPr>
      </w:pPr>
      <w:r w:rsidRPr="00360A40">
        <w:rPr>
          <w:lang w:val="hu-HU"/>
        </w:rPr>
        <w:t>A ≥</w:t>
      </w:r>
      <w:r w:rsidR="00DB2CA9" w:rsidRPr="00360A40">
        <w:rPr>
          <w:lang w:val="hu-HU"/>
        </w:rPr>
        <w:t> </w:t>
      </w:r>
      <w:r w:rsidRPr="00360A40">
        <w:rPr>
          <w:lang w:val="hu-HU"/>
        </w:rPr>
        <w:t>200</w:t>
      </w:r>
      <w:r w:rsidR="00DB2CA9" w:rsidRPr="00360A40">
        <w:rPr>
          <w:lang w:val="hu-HU"/>
        </w:rPr>
        <w:t> </w:t>
      </w:r>
      <w:r w:rsidRPr="00360A40">
        <w:rPr>
          <w:lang w:val="hu-HU"/>
        </w:rPr>
        <w:t>000/µl vérlemezkeszám kivételével specifikus kockázati tényezőt nem azonosítottak azoknál a betegeknél, akiknél thromboemboliás esemény fordult elő (lásd 4.4</w:t>
      </w:r>
      <w:r w:rsidR="00DB2CA9" w:rsidRPr="00360A40">
        <w:rPr>
          <w:lang w:val="hu-HU"/>
        </w:rPr>
        <w:t> </w:t>
      </w:r>
      <w:r w:rsidRPr="00360A40">
        <w:rPr>
          <w:lang w:val="hu-HU"/>
        </w:rPr>
        <w:t>pont).</w:t>
      </w:r>
    </w:p>
    <w:p w14:paraId="4DCE5E7D" w14:textId="77777777" w:rsidR="002D66F3" w:rsidRPr="00360A40" w:rsidRDefault="002D66F3" w:rsidP="00360A40">
      <w:pPr>
        <w:pStyle w:val="Szvegtrzs"/>
        <w:tabs>
          <w:tab w:val="left" w:pos="7655"/>
        </w:tabs>
        <w:kinsoku w:val="0"/>
        <w:overflowPunct w:val="0"/>
        <w:ind w:left="0"/>
        <w:rPr>
          <w:lang w:val="hu-HU"/>
        </w:rPr>
      </w:pPr>
    </w:p>
    <w:p w14:paraId="185882F3" w14:textId="7744C945" w:rsidR="002D66F3" w:rsidRPr="00360A40" w:rsidRDefault="002D66F3" w:rsidP="00360A40">
      <w:pPr>
        <w:pStyle w:val="Szvegtrzs"/>
        <w:tabs>
          <w:tab w:val="left" w:pos="7655"/>
        </w:tabs>
        <w:kinsoku w:val="0"/>
        <w:overflowPunct w:val="0"/>
        <w:ind w:left="0"/>
        <w:rPr>
          <w:lang w:val="hu-HU"/>
        </w:rPr>
      </w:pPr>
      <w:r w:rsidRPr="00360A40">
        <w:rPr>
          <w:lang w:val="hu-HU"/>
        </w:rPr>
        <w:t>Thrombocytopeniás HCV-betegekkel végzett kontrollos vizsgálatokban (n</w:t>
      </w:r>
      <w:r w:rsidR="00DB2CA9" w:rsidRPr="00360A40">
        <w:rPr>
          <w:lang w:val="hu-HU"/>
        </w:rPr>
        <w:t> </w:t>
      </w:r>
      <w:r w:rsidRPr="00360A40">
        <w:rPr>
          <w:lang w:val="hu-HU"/>
        </w:rPr>
        <w:t>=</w:t>
      </w:r>
      <w:r w:rsidR="00DB2CA9" w:rsidRPr="00360A40">
        <w:rPr>
          <w:lang w:val="hu-HU"/>
        </w:rPr>
        <w:t> </w:t>
      </w:r>
      <w:r w:rsidRPr="00360A40">
        <w:rPr>
          <w:lang w:val="hu-HU"/>
        </w:rPr>
        <w:t>1439), 955, eltrombopaggal kezelt beteg közül 38-nál (4%) fordult elő TEE, és a placebocsoportba tartozó</w:t>
      </w:r>
      <w:r w:rsidR="00DB2CA9" w:rsidRPr="00360A40">
        <w:rPr>
          <w:lang w:val="hu-HU"/>
        </w:rPr>
        <w:t xml:space="preserve"> </w:t>
      </w:r>
      <w:r w:rsidRPr="00360A40">
        <w:rPr>
          <w:lang w:val="hu-HU"/>
        </w:rPr>
        <w:t>484</w:t>
      </w:r>
      <w:r w:rsidR="00DB2CA9" w:rsidRPr="00360A40">
        <w:rPr>
          <w:lang w:val="hu-HU"/>
        </w:rPr>
        <w:t xml:space="preserve"> </w:t>
      </w:r>
      <w:r w:rsidRPr="00360A40">
        <w:rPr>
          <w:lang w:val="hu-HU"/>
        </w:rPr>
        <w:t>beteg közül 6-nál fordult elő TEE. Mindkét kezelési csoportban a vena portae thrombosis volt a leggyakoribb TEE (2% az eltrombopaggal kezelt csoportban versus &lt;</w:t>
      </w:r>
      <w:r w:rsidR="00DB2CA9" w:rsidRPr="00360A40">
        <w:rPr>
          <w:lang w:val="hu-HU"/>
        </w:rPr>
        <w:t> </w:t>
      </w:r>
      <w:r w:rsidRPr="00360A40">
        <w:rPr>
          <w:lang w:val="hu-HU"/>
        </w:rPr>
        <w:t>1% a placebocsoportban) (lásd</w:t>
      </w:r>
      <w:r w:rsidR="00DB2CA9" w:rsidRPr="00360A40">
        <w:rPr>
          <w:lang w:val="hu-HU"/>
        </w:rPr>
        <w:t xml:space="preserve"> </w:t>
      </w:r>
      <w:r w:rsidRPr="00360A40">
        <w:rPr>
          <w:lang w:val="hu-HU"/>
        </w:rPr>
        <w:t>4.</w:t>
      </w:r>
      <w:r w:rsidR="00DB2CA9" w:rsidRPr="00360A40">
        <w:rPr>
          <w:lang w:val="hu-HU"/>
        </w:rPr>
        <w:t>4 </w:t>
      </w:r>
      <w:r w:rsidRPr="00360A40">
        <w:rPr>
          <w:lang w:val="hu-HU"/>
        </w:rPr>
        <w:t>pont). Az alacsony albuminszinttel (≤</w:t>
      </w:r>
      <w:r w:rsidR="00DB2CA9" w:rsidRPr="00360A40">
        <w:rPr>
          <w:lang w:val="hu-HU"/>
        </w:rPr>
        <w:t> </w:t>
      </w:r>
      <w:r w:rsidRPr="00360A40">
        <w:rPr>
          <w:lang w:val="hu-HU"/>
        </w:rPr>
        <w:t>35</w:t>
      </w:r>
      <w:r w:rsidR="00DB2CA9" w:rsidRPr="00360A40">
        <w:rPr>
          <w:lang w:val="hu-HU"/>
        </w:rPr>
        <w:t> </w:t>
      </w:r>
      <w:r w:rsidRPr="00360A40">
        <w:rPr>
          <w:lang w:val="hu-HU"/>
        </w:rPr>
        <w:t>g/l) vagy ≥</w:t>
      </w:r>
      <w:r w:rsidR="00DB2CA9" w:rsidRPr="00360A40">
        <w:rPr>
          <w:lang w:val="hu-HU"/>
        </w:rPr>
        <w:t> </w:t>
      </w:r>
      <w:r w:rsidRPr="00360A40">
        <w:rPr>
          <w:lang w:val="hu-HU"/>
        </w:rPr>
        <w:t>10</w:t>
      </w:r>
      <w:r w:rsidR="00DB2CA9" w:rsidRPr="00360A40">
        <w:rPr>
          <w:lang w:val="hu-HU"/>
        </w:rPr>
        <w:t> </w:t>
      </w:r>
      <w:r w:rsidRPr="00360A40">
        <w:rPr>
          <w:lang w:val="hu-HU"/>
        </w:rPr>
        <w:t>MELD-pontszámmal rendelkező betegeknél 2-szer nagyobb volt a TEE kockázata a magasabb alb</w:t>
      </w:r>
      <w:r w:rsidR="004A32AB">
        <w:rPr>
          <w:lang w:val="hu-HU"/>
        </w:rPr>
        <w:t>u</w:t>
      </w:r>
      <w:r w:rsidRPr="00360A40">
        <w:rPr>
          <w:lang w:val="hu-HU"/>
        </w:rPr>
        <w:t>mi</w:t>
      </w:r>
      <w:r w:rsidR="004A32AB">
        <w:rPr>
          <w:lang w:val="hu-HU"/>
        </w:rPr>
        <w:t>n</w:t>
      </w:r>
      <w:r w:rsidRPr="00360A40">
        <w:rPr>
          <w:lang w:val="hu-HU"/>
        </w:rPr>
        <w:t>szinttel rendelkezőkhöz viszonyítva, illetve a 60</w:t>
      </w:r>
      <w:r w:rsidR="00DB2CA9" w:rsidRPr="00360A40">
        <w:rPr>
          <w:lang w:val="hu-HU"/>
        </w:rPr>
        <w:t> </w:t>
      </w:r>
      <w:r w:rsidRPr="00360A40">
        <w:rPr>
          <w:lang w:val="hu-HU"/>
        </w:rPr>
        <w:t>éves vagy annál idősebbeknél kétszer nagyobb volt a TEE-k kockázata a fiatalabb betegekhez viszonyítva.</w:t>
      </w:r>
    </w:p>
    <w:p w14:paraId="0F3E2F03" w14:textId="77777777" w:rsidR="00AC2CB4" w:rsidRPr="00360A40" w:rsidRDefault="00AC2CB4" w:rsidP="00360A40">
      <w:pPr>
        <w:pStyle w:val="Szvegtrzs"/>
        <w:tabs>
          <w:tab w:val="left" w:pos="7655"/>
        </w:tabs>
        <w:kinsoku w:val="0"/>
        <w:overflowPunct w:val="0"/>
        <w:ind w:left="0"/>
        <w:rPr>
          <w:i/>
          <w:iCs/>
          <w:u w:val="single"/>
          <w:lang w:val="hu-HU"/>
        </w:rPr>
      </w:pPr>
    </w:p>
    <w:p w14:paraId="3A291464" w14:textId="327B794C" w:rsidR="002D66F3" w:rsidRPr="00360A40" w:rsidRDefault="002D66F3" w:rsidP="00360A40">
      <w:pPr>
        <w:pStyle w:val="Szvegtrzs"/>
        <w:tabs>
          <w:tab w:val="left" w:pos="7655"/>
        </w:tabs>
        <w:kinsoku w:val="0"/>
        <w:overflowPunct w:val="0"/>
        <w:ind w:left="0"/>
        <w:rPr>
          <w:lang w:val="hu-HU"/>
        </w:rPr>
      </w:pPr>
      <w:r w:rsidRPr="00360A40">
        <w:rPr>
          <w:i/>
          <w:iCs/>
          <w:u w:val="single"/>
          <w:lang w:val="hu-HU"/>
        </w:rPr>
        <w:t>Hepati</w:t>
      </w:r>
      <w:r w:rsidR="00E11B4F" w:rsidRPr="00360A40">
        <w:rPr>
          <w:i/>
          <w:iCs/>
          <w:u w:val="single"/>
          <w:lang w:val="hu-HU"/>
        </w:rPr>
        <w:t>k</w:t>
      </w:r>
      <w:r w:rsidRPr="00360A40">
        <w:rPr>
          <w:i/>
          <w:iCs/>
          <w:u w:val="single"/>
          <w:lang w:val="hu-HU"/>
        </w:rPr>
        <w:t xml:space="preserve">us dekompenzáció (interferonnal történő alkalmazás) </w:t>
      </w:r>
    </w:p>
    <w:p w14:paraId="550000B1" w14:textId="77777777" w:rsidR="002D66F3" w:rsidRPr="00360A40" w:rsidRDefault="002D66F3" w:rsidP="00360A40">
      <w:pPr>
        <w:pStyle w:val="Szvegtrzs"/>
        <w:kinsoku w:val="0"/>
        <w:overflowPunct w:val="0"/>
        <w:ind w:left="0"/>
        <w:rPr>
          <w:i/>
          <w:iCs/>
          <w:lang w:val="hu-HU"/>
        </w:rPr>
      </w:pPr>
    </w:p>
    <w:p w14:paraId="7C276143" w14:textId="24EA5CB8" w:rsidR="002D66F3" w:rsidRPr="00360A40" w:rsidRDefault="002D66F3" w:rsidP="00360A40">
      <w:pPr>
        <w:pStyle w:val="Szvegtrzs"/>
        <w:kinsoku w:val="0"/>
        <w:overflowPunct w:val="0"/>
        <w:ind w:left="0"/>
        <w:rPr>
          <w:lang w:val="hu-HU"/>
        </w:rPr>
      </w:pPr>
      <w:r w:rsidRPr="00360A40">
        <w:rPr>
          <w:lang w:val="hu-HU"/>
        </w:rPr>
        <w:t>A cirrhosisban szenvedő krónikus HCV-betegeknél alfa interferon-kezelés esetén fokozott a hepaticus dekompenzáció kockázata. Két, thrombocytopeniás HCV-betegek bevonásával végzett klinikai vizsgálatban nagyobb gyakorisággal jelentettek hepaticus dekompenzációt (ascites, hepaticus encephalopathia, varix vérzés, spontán bakteriális peritonitis) az eltrombopag karon (11%), mint a placebokaron (6%). Azoknál a betegeknél, akiknél alacsony albuminszint (≤</w:t>
      </w:r>
      <w:r w:rsidR="00DB2CA9" w:rsidRPr="00360A40">
        <w:rPr>
          <w:lang w:val="hu-HU"/>
        </w:rPr>
        <w:t> </w:t>
      </w:r>
      <w:r w:rsidRPr="00360A40">
        <w:rPr>
          <w:lang w:val="hu-HU"/>
        </w:rPr>
        <w:t>35</w:t>
      </w:r>
      <w:r w:rsidR="00DB2CA9" w:rsidRPr="00360A40">
        <w:rPr>
          <w:lang w:val="hu-HU"/>
        </w:rPr>
        <w:t> </w:t>
      </w:r>
      <w:r w:rsidRPr="00360A40">
        <w:rPr>
          <w:lang w:val="hu-HU"/>
        </w:rPr>
        <w:t>g/l) vagy ≥</w:t>
      </w:r>
      <w:r w:rsidR="00DB2CA9" w:rsidRPr="00360A40">
        <w:rPr>
          <w:lang w:val="hu-HU"/>
        </w:rPr>
        <w:t> </w:t>
      </w:r>
      <w:r w:rsidRPr="00360A40">
        <w:rPr>
          <w:lang w:val="hu-HU"/>
        </w:rPr>
        <w:t xml:space="preserve">10 kiindulási MELD pontérték állt fenn, 3-szor nagyobb volt a hepaticus dekompenzáció kockázata, és emelkedett a halálos kimenetelű nemkívánt események kockázata a kevésbé előrehaladott májbetegségben szenvedő betegekhez viszonyítva. Ezeknél a betegeknél az eltrombopag csak a várható előnyök és kockázatok körültekintő mérlegelése után alkalmazható. Az ezekkel a jellemzőkkel bíró betegeknél gondosan ellenőrizni kell a hepaticus dekompenzációra utaló </w:t>
      </w:r>
      <w:r w:rsidR="00262D96">
        <w:rPr>
          <w:lang w:val="hu-HU"/>
        </w:rPr>
        <w:t>jeleket</w:t>
      </w:r>
      <w:r w:rsidRPr="00360A40">
        <w:rPr>
          <w:lang w:val="hu-HU"/>
        </w:rPr>
        <w:t xml:space="preserve"> és tüneteket. (lásd 4.4</w:t>
      </w:r>
      <w:r w:rsidR="00DB2CA9" w:rsidRPr="00360A40">
        <w:rPr>
          <w:lang w:val="hu-HU"/>
        </w:rPr>
        <w:t> </w:t>
      </w:r>
      <w:r w:rsidRPr="00360A40">
        <w:rPr>
          <w:lang w:val="hu-HU"/>
        </w:rPr>
        <w:t>pont).</w:t>
      </w:r>
    </w:p>
    <w:p w14:paraId="0DCB34D0" w14:textId="77777777" w:rsidR="002D66F3" w:rsidRPr="00360A40" w:rsidRDefault="002D66F3" w:rsidP="00360A40">
      <w:pPr>
        <w:pStyle w:val="Szvegtrzs"/>
        <w:kinsoku w:val="0"/>
        <w:overflowPunct w:val="0"/>
        <w:ind w:left="0"/>
        <w:rPr>
          <w:lang w:val="hu-HU"/>
        </w:rPr>
      </w:pPr>
    </w:p>
    <w:p w14:paraId="47B5D193" w14:textId="34171BEE" w:rsidR="002D66F3" w:rsidRPr="00360A40" w:rsidRDefault="002D66F3" w:rsidP="00360A40">
      <w:pPr>
        <w:pStyle w:val="Szvegtrzs"/>
        <w:kinsoku w:val="0"/>
        <w:overflowPunct w:val="0"/>
        <w:ind w:left="0"/>
        <w:rPr>
          <w:lang w:val="hu-HU"/>
        </w:rPr>
      </w:pPr>
      <w:r w:rsidRPr="00360A40">
        <w:rPr>
          <w:i/>
          <w:iCs/>
          <w:u w:val="single"/>
          <w:lang w:val="hu-HU"/>
        </w:rPr>
        <w:t>Hepa</w:t>
      </w:r>
      <w:r w:rsidR="00F97209" w:rsidRPr="00360A40">
        <w:rPr>
          <w:i/>
          <w:iCs/>
          <w:u w:val="single"/>
          <w:lang w:val="hu-HU"/>
        </w:rPr>
        <w:t>to</w:t>
      </w:r>
      <w:r w:rsidRPr="00360A40">
        <w:rPr>
          <w:i/>
          <w:iCs/>
          <w:u w:val="single"/>
          <w:lang w:val="hu-HU"/>
        </w:rPr>
        <w:t>toxicitás</w:t>
      </w:r>
    </w:p>
    <w:p w14:paraId="2535CF38" w14:textId="77777777" w:rsidR="002D66F3" w:rsidRPr="00360A40" w:rsidRDefault="002D66F3" w:rsidP="00360A40">
      <w:pPr>
        <w:pStyle w:val="Szvegtrzs"/>
        <w:kinsoku w:val="0"/>
        <w:overflowPunct w:val="0"/>
        <w:ind w:left="0"/>
        <w:rPr>
          <w:i/>
          <w:iCs/>
          <w:lang w:val="hu-HU"/>
        </w:rPr>
      </w:pPr>
    </w:p>
    <w:p w14:paraId="1C5B5084" w14:textId="3FCDCBA7" w:rsidR="002D66F3" w:rsidRPr="00360A40" w:rsidRDefault="002D66F3" w:rsidP="00360A40">
      <w:pPr>
        <w:pStyle w:val="Szvegtrzs"/>
        <w:kinsoku w:val="0"/>
        <w:overflowPunct w:val="0"/>
        <w:ind w:left="0"/>
        <w:rPr>
          <w:lang w:val="hu-HU"/>
        </w:rPr>
      </w:pPr>
      <w:r w:rsidRPr="00360A40">
        <w:rPr>
          <w:lang w:val="hu-HU"/>
        </w:rPr>
        <w:t>A kontrollos, eltrombopaggal végzett krónikus ITP klinikai vizsgálatokban a szérum GPT-, GOT- és bilirubinszintek emelkedését figyelték meg (lásd 4.4</w:t>
      </w:r>
      <w:r w:rsidR="00DB2CA9" w:rsidRPr="00360A40">
        <w:rPr>
          <w:lang w:val="hu-HU"/>
        </w:rPr>
        <w:t> </w:t>
      </w:r>
      <w:r w:rsidRPr="00360A40">
        <w:rPr>
          <w:lang w:val="hu-HU"/>
        </w:rPr>
        <w:t>pont).</w:t>
      </w:r>
    </w:p>
    <w:p w14:paraId="762CA221" w14:textId="77777777" w:rsidR="002D66F3" w:rsidRPr="00360A40" w:rsidRDefault="002D66F3" w:rsidP="00360A40">
      <w:pPr>
        <w:pStyle w:val="Szvegtrzs"/>
        <w:kinsoku w:val="0"/>
        <w:overflowPunct w:val="0"/>
        <w:ind w:left="0"/>
        <w:rPr>
          <w:lang w:val="hu-HU"/>
        </w:rPr>
      </w:pPr>
    </w:p>
    <w:p w14:paraId="2954C573" w14:textId="4DF3D409" w:rsidR="002D66F3" w:rsidRPr="00360A40" w:rsidRDefault="002D66F3" w:rsidP="00360A40">
      <w:pPr>
        <w:pStyle w:val="Szvegtrzs"/>
        <w:kinsoku w:val="0"/>
        <w:overflowPunct w:val="0"/>
        <w:ind w:left="0"/>
        <w:rPr>
          <w:lang w:val="hu-HU"/>
        </w:rPr>
      </w:pPr>
      <w:r w:rsidRPr="00360A40">
        <w:rPr>
          <w:lang w:val="hu-HU"/>
        </w:rPr>
        <w:t>Ezek a jelenségek többnyire enyhék (1–2.</w:t>
      </w:r>
      <w:r w:rsidR="007E29F1" w:rsidRPr="00360A40">
        <w:rPr>
          <w:lang w:val="hu-HU"/>
        </w:rPr>
        <w:t> </w:t>
      </w:r>
      <w:r w:rsidRPr="00360A40">
        <w:rPr>
          <w:lang w:val="hu-HU"/>
        </w:rPr>
        <w:t>fokozat) és reverzibilisek voltak, és nem kísérték őket károsodott májműködésre utaló, klinikailag jelentős tünetek. A 3, krónikus ITP-s felnőttekkel végzett placebokontrollos vizsgálatban 1</w:t>
      </w:r>
      <w:r w:rsidR="007E29F1" w:rsidRPr="00360A40">
        <w:rPr>
          <w:lang w:val="hu-HU"/>
        </w:rPr>
        <w:t> </w:t>
      </w:r>
      <w:r w:rsidRPr="00360A40">
        <w:rPr>
          <w:lang w:val="hu-HU"/>
        </w:rPr>
        <w:t>betegnek a placebocsoportban, és 1</w:t>
      </w:r>
      <w:r w:rsidR="007E29F1" w:rsidRPr="00360A40">
        <w:rPr>
          <w:lang w:val="hu-HU"/>
        </w:rPr>
        <w:t xml:space="preserve"> </w:t>
      </w:r>
      <w:r w:rsidRPr="00360A40">
        <w:rPr>
          <w:lang w:val="hu-HU"/>
        </w:rPr>
        <w:t xml:space="preserve">betegnek az eltrombopag- csoportban volt 4-es fokozatú májfunkciós zavara. A krónikus ITP-s gyermekekkel és serdülőkkel </w:t>
      </w:r>
      <w:r w:rsidRPr="00360A40">
        <w:rPr>
          <w:lang w:val="hu-HU"/>
        </w:rPr>
        <w:lastRenderedPageBreak/>
        <w:t>(1</w:t>
      </w:r>
      <w:r w:rsidR="00DB2CA9" w:rsidRPr="00360A40">
        <w:rPr>
          <w:lang w:val="hu-HU"/>
        </w:rPr>
        <w:noBreakHyphen/>
      </w:r>
      <w:r w:rsidRPr="00360A40">
        <w:rPr>
          <w:lang w:val="hu-HU"/>
        </w:rPr>
        <w:t>17</w:t>
      </w:r>
      <w:r w:rsidR="00DB2CA9" w:rsidRPr="00360A40">
        <w:rPr>
          <w:lang w:val="hu-HU"/>
        </w:rPr>
        <w:t> </w:t>
      </w:r>
      <w:r w:rsidRPr="00360A40">
        <w:rPr>
          <w:lang w:val="hu-HU"/>
        </w:rPr>
        <w:t xml:space="preserve">éves) végzett két, placebokontrollos vizsgálatban a normálérték felső határának </w:t>
      </w:r>
      <w:r w:rsidR="005D57C1" w:rsidRPr="00360A40">
        <w:rPr>
          <w:lang w:val="hu-HU"/>
        </w:rPr>
        <w:t>≥</w:t>
      </w:r>
      <w:r w:rsidRPr="00360A40">
        <w:rPr>
          <w:lang w:val="hu-HU"/>
        </w:rPr>
        <w:t>3-szorosát elérő GPT-szintről számoltak be az eltrombopag-csoport 4,7%-ánál, míg a placebocsoportban ez 0% volt.</w:t>
      </w:r>
    </w:p>
    <w:p w14:paraId="34279130" w14:textId="77777777" w:rsidR="002D66F3" w:rsidRPr="00360A40" w:rsidRDefault="002D66F3" w:rsidP="00360A40">
      <w:pPr>
        <w:pStyle w:val="Szvegtrzs"/>
        <w:kinsoku w:val="0"/>
        <w:overflowPunct w:val="0"/>
        <w:ind w:left="0"/>
        <w:rPr>
          <w:lang w:val="hu-HU"/>
        </w:rPr>
      </w:pPr>
    </w:p>
    <w:p w14:paraId="6CF9B20E" w14:textId="48FC5F16" w:rsidR="002D66F3" w:rsidRDefault="002D66F3" w:rsidP="00360A40">
      <w:pPr>
        <w:pStyle w:val="Szvegtrzs"/>
        <w:kinsoku w:val="0"/>
        <w:overflowPunct w:val="0"/>
        <w:ind w:left="0"/>
        <w:rPr>
          <w:lang w:val="hu-HU"/>
        </w:rPr>
      </w:pPr>
      <w:r w:rsidRPr="00360A40">
        <w:rPr>
          <w:lang w:val="hu-HU"/>
        </w:rPr>
        <w:t>Két kontrollos, HCV-s betegek bevonásával végzett klinikai vizsgálatban a normálérték felső határának legalább háromszorosát meghaladó GPT- vagy GOT-szintet jelentettek az eltrombopaggal kezelt csoport 34%-ánál, és a placebóval kezelt csoport 38%-ánál. Az eltrombopagot peginterferon/ribavirin kombinációban alkalmazva a betegek többségénél indirekt hyperbilirubinaemia jelentkezik. Összességében, a normálérték felső határának legalább 1,5-szeresét meghaladó összbilirubinszintet jelentettek az eltrompopaggal kezelt csoport 76%-ánál, és a placebóval kezelt csoport 50%-ánál.</w:t>
      </w:r>
    </w:p>
    <w:p w14:paraId="14D8AF0E" w14:textId="331C1974" w:rsidR="008F6492" w:rsidRPr="008F6492" w:rsidRDefault="008F6492" w:rsidP="00360A40">
      <w:pPr>
        <w:pStyle w:val="Szvegtrzs"/>
        <w:kinsoku w:val="0"/>
        <w:overflowPunct w:val="0"/>
        <w:ind w:left="0"/>
        <w:rPr>
          <w:lang w:val="hu-HU"/>
        </w:rPr>
      </w:pPr>
    </w:p>
    <w:p w14:paraId="580936FA" w14:textId="618D74F8" w:rsidR="008F6492" w:rsidRPr="008F6492" w:rsidRDefault="008F6492" w:rsidP="009F4BD6">
      <w:pPr>
        <w:rPr>
          <w:lang w:val="hu-HU"/>
        </w:rPr>
      </w:pPr>
      <w:r w:rsidRPr="008F6492">
        <w:rPr>
          <w:sz w:val="22"/>
          <w:szCs w:val="22"/>
        </w:rPr>
        <w:t>Az egykaros, II. fázisú monoterápiás, refrakter SAA-vizsgálatban, a normálérték felső határának háromszorosát meghaladó GPT</w:t>
      </w:r>
      <w:r w:rsidRPr="008F6492">
        <w:rPr>
          <w:sz w:val="22"/>
          <w:szCs w:val="22"/>
        </w:rPr>
        <w:noBreakHyphen/>
        <w:t xml:space="preserve"> vagy GOT</w:t>
      </w:r>
      <w:r w:rsidRPr="008F6492">
        <w:rPr>
          <w:sz w:val="22"/>
          <w:szCs w:val="22"/>
        </w:rPr>
        <w:noBreakHyphen/>
        <w:t>szint</w:t>
      </w:r>
      <w:r w:rsidRPr="008F6492">
        <w:rPr>
          <w:sz w:val="22"/>
          <w:szCs w:val="22"/>
        </w:rPr>
        <w:noBreakHyphen/>
        <w:t>növekedésről és a normálérték felső határának másfélszeresét meghaladó össz</w:t>
      </w:r>
      <w:r w:rsidRPr="008F6492">
        <w:rPr>
          <w:sz w:val="22"/>
          <w:szCs w:val="22"/>
        </w:rPr>
        <w:noBreakHyphen/>
        <w:t>(indirekt) bilirubinszint</w:t>
      </w:r>
      <w:r w:rsidRPr="008F6492">
        <w:rPr>
          <w:sz w:val="22"/>
          <w:szCs w:val="22"/>
        </w:rPr>
        <w:noBreakHyphen/>
        <w:t>növekedésről számoltak be a betegek 5%-ánál. A normálérték felső határának másfélszeresét meghaladó összbilirubinszint</w:t>
      </w:r>
      <w:r w:rsidRPr="008F6492">
        <w:rPr>
          <w:sz w:val="22"/>
          <w:szCs w:val="22"/>
        </w:rPr>
        <w:noBreakHyphen/>
        <w:t>növekedés a betegek 14%-ánál fordult elő.</w:t>
      </w:r>
    </w:p>
    <w:p w14:paraId="4230B833" w14:textId="77777777" w:rsidR="002D66F3" w:rsidRPr="008F6492" w:rsidRDefault="002D66F3" w:rsidP="00360A40">
      <w:pPr>
        <w:pStyle w:val="Szvegtrzs"/>
        <w:kinsoku w:val="0"/>
        <w:overflowPunct w:val="0"/>
        <w:ind w:left="0"/>
        <w:rPr>
          <w:lang w:val="hu-HU"/>
        </w:rPr>
      </w:pPr>
    </w:p>
    <w:p w14:paraId="2DD8E7EE" w14:textId="77777777" w:rsidR="002D66F3" w:rsidRPr="00360A40" w:rsidRDefault="002D66F3" w:rsidP="00360A40">
      <w:pPr>
        <w:pStyle w:val="Szvegtrzs"/>
        <w:kinsoku w:val="0"/>
        <w:overflowPunct w:val="0"/>
        <w:ind w:left="0"/>
        <w:rPr>
          <w:lang w:val="hu-HU"/>
        </w:rPr>
      </w:pPr>
      <w:r w:rsidRPr="00360A40">
        <w:rPr>
          <w:i/>
          <w:iCs/>
          <w:u w:val="single"/>
          <w:lang w:val="hu-HU"/>
        </w:rPr>
        <w:t>Thrombocytopenia a kezelés leállítása után</w:t>
      </w:r>
    </w:p>
    <w:p w14:paraId="754651B3" w14:textId="77777777" w:rsidR="002D66F3" w:rsidRPr="00360A40" w:rsidRDefault="002D66F3" w:rsidP="00360A40">
      <w:pPr>
        <w:pStyle w:val="Szvegtrzs"/>
        <w:kinsoku w:val="0"/>
        <w:overflowPunct w:val="0"/>
        <w:ind w:left="0"/>
        <w:rPr>
          <w:i/>
          <w:iCs/>
          <w:lang w:val="hu-HU"/>
        </w:rPr>
      </w:pPr>
    </w:p>
    <w:p w14:paraId="25B941BB" w14:textId="12EB2744" w:rsidR="002D66F3" w:rsidRPr="00360A40" w:rsidRDefault="002D66F3" w:rsidP="00360A40">
      <w:pPr>
        <w:pStyle w:val="Szvegtrzs"/>
        <w:kinsoku w:val="0"/>
        <w:overflowPunct w:val="0"/>
        <w:ind w:left="0"/>
        <w:rPr>
          <w:lang w:val="hu-HU"/>
        </w:rPr>
      </w:pPr>
      <w:r w:rsidRPr="00360A40">
        <w:rPr>
          <w:lang w:val="hu-HU"/>
        </w:rPr>
        <w:t>A 3</w:t>
      </w:r>
      <w:r w:rsidR="00DB2CA9" w:rsidRPr="00360A40">
        <w:rPr>
          <w:lang w:val="hu-HU"/>
        </w:rPr>
        <w:t> </w:t>
      </w:r>
      <w:r w:rsidRPr="00360A40">
        <w:rPr>
          <w:lang w:val="hu-HU"/>
        </w:rPr>
        <w:t>kontrollos ITP-s vizsgálatban megfigyelték, hogy a kezelés befejezését követően a vérlemezkeszám átmenetileg a kiindulási érték alá csökkent az eltrombopag-csoport 8%-ánál és a placebocsoport 8%-ánál (lásd 4.4</w:t>
      </w:r>
      <w:r w:rsidR="00DB2CA9" w:rsidRPr="00360A40">
        <w:rPr>
          <w:lang w:val="hu-HU"/>
        </w:rPr>
        <w:t> </w:t>
      </w:r>
      <w:r w:rsidRPr="00360A40">
        <w:rPr>
          <w:lang w:val="hu-HU"/>
        </w:rPr>
        <w:t>pont).</w:t>
      </w:r>
    </w:p>
    <w:p w14:paraId="4F1B6698" w14:textId="77777777" w:rsidR="002D66F3" w:rsidRPr="00360A40" w:rsidRDefault="002D66F3" w:rsidP="00360A40">
      <w:pPr>
        <w:pStyle w:val="Szvegtrzs"/>
        <w:kinsoku w:val="0"/>
        <w:overflowPunct w:val="0"/>
        <w:ind w:left="0"/>
        <w:rPr>
          <w:lang w:val="hu-HU"/>
        </w:rPr>
      </w:pPr>
    </w:p>
    <w:p w14:paraId="693BAFE1" w14:textId="77777777" w:rsidR="002D66F3" w:rsidRPr="00360A40" w:rsidRDefault="002D66F3" w:rsidP="00360A40">
      <w:pPr>
        <w:pStyle w:val="Szvegtrzs"/>
        <w:kinsoku w:val="0"/>
        <w:overflowPunct w:val="0"/>
        <w:ind w:left="0"/>
        <w:rPr>
          <w:lang w:val="hu-HU"/>
        </w:rPr>
      </w:pPr>
      <w:r w:rsidRPr="00360A40">
        <w:rPr>
          <w:i/>
          <w:iCs/>
          <w:u w:val="single"/>
          <w:lang w:val="hu-HU"/>
        </w:rPr>
        <w:t xml:space="preserve">Retikulinfelszaporodás a csontvelőben </w:t>
      </w:r>
    </w:p>
    <w:p w14:paraId="31D742B3" w14:textId="77777777" w:rsidR="002D66F3" w:rsidRPr="00360A40" w:rsidRDefault="002D66F3" w:rsidP="00360A40">
      <w:pPr>
        <w:pStyle w:val="Szvegtrzs"/>
        <w:kinsoku w:val="0"/>
        <w:overflowPunct w:val="0"/>
        <w:ind w:left="0"/>
        <w:rPr>
          <w:i/>
          <w:iCs/>
          <w:lang w:val="hu-HU"/>
        </w:rPr>
      </w:pPr>
    </w:p>
    <w:p w14:paraId="26BFD120" w14:textId="6A07AE18" w:rsidR="002D66F3" w:rsidRPr="00360A40" w:rsidRDefault="002D66F3" w:rsidP="00360A40">
      <w:pPr>
        <w:pStyle w:val="Szvegtrzs"/>
        <w:kinsoku w:val="0"/>
        <w:overflowPunct w:val="0"/>
        <w:ind w:left="0"/>
        <w:rPr>
          <w:lang w:val="hu-HU"/>
        </w:rPr>
      </w:pPr>
      <w:r w:rsidRPr="00360A40">
        <w:rPr>
          <w:lang w:val="hu-HU"/>
        </w:rPr>
        <w:t>A programban egyetlen betegnél sem találtak klinikailag jelentős csontvelő-rendellenességet vagy a csontvelő rendellenes működésére utaló klinikai jeleket. Kis számú ITP-s betegnél az</w:t>
      </w:r>
      <w:r w:rsidR="00C62B2A" w:rsidRPr="00360A40">
        <w:rPr>
          <w:lang w:val="hu-HU"/>
        </w:rPr>
        <w:t xml:space="preserve"> </w:t>
      </w:r>
      <w:r w:rsidRPr="00360A40">
        <w:rPr>
          <w:lang w:val="hu-HU"/>
        </w:rPr>
        <w:t>eltrombopag-kezelést a csontvelőben kimutatott retikulin miatt szakították meg (lásd 4.4</w:t>
      </w:r>
      <w:r w:rsidR="00DB2CA9" w:rsidRPr="00360A40">
        <w:rPr>
          <w:lang w:val="hu-HU"/>
        </w:rPr>
        <w:t> </w:t>
      </w:r>
      <w:r w:rsidRPr="00360A40">
        <w:rPr>
          <w:lang w:val="hu-HU"/>
        </w:rPr>
        <w:t>pont).</w:t>
      </w:r>
    </w:p>
    <w:p w14:paraId="41A06C08" w14:textId="77777777" w:rsidR="00AC2CB4" w:rsidRPr="00360A40" w:rsidRDefault="00AC2CB4" w:rsidP="00360A40">
      <w:pPr>
        <w:pStyle w:val="Szvegtrzs"/>
        <w:kinsoku w:val="0"/>
        <w:overflowPunct w:val="0"/>
        <w:ind w:left="0"/>
        <w:rPr>
          <w:lang w:val="hu-HU"/>
        </w:rPr>
      </w:pPr>
    </w:p>
    <w:p w14:paraId="47B04B94" w14:textId="1E1A4B44" w:rsidR="00CF7FE6" w:rsidRPr="00360A40" w:rsidRDefault="00CF7FE6" w:rsidP="00360A40">
      <w:pPr>
        <w:pStyle w:val="Szvegtrzs"/>
        <w:kinsoku w:val="0"/>
        <w:overflowPunct w:val="0"/>
        <w:ind w:left="0"/>
        <w:rPr>
          <w:i/>
          <w:iCs/>
          <w:u w:val="single"/>
          <w:lang w:val="hu-HU"/>
        </w:rPr>
      </w:pPr>
      <w:r w:rsidRPr="00360A40">
        <w:rPr>
          <w:i/>
          <w:iCs/>
          <w:u w:val="single"/>
          <w:lang w:val="hu-HU"/>
        </w:rPr>
        <w:t>C</w:t>
      </w:r>
      <w:r w:rsidR="00BD2A13">
        <w:rPr>
          <w:i/>
          <w:iCs/>
          <w:u w:val="single"/>
          <w:lang w:val="hu-HU"/>
        </w:rPr>
        <w:t>itogen</w:t>
      </w:r>
      <w:r w:rsidRPr="00360A40">
        <w:rPr>
          <w:i/>
          <w:iCs/>
          <w:u w:val="single"/>
          <w:lang w:val="hu-HU"/>
        </w:rPr>
        <w:t>etikai rendellenességek</w:t>
      </w:r>
    </w:p>
    <w:p w14:paraId="4EA56276" w14:textId="77777777" w:rsidR="00CF7FE6" w:rsidRPr="00360A40" w:rsidRDefault="00CF7FE6" w:rsidP="00360A40">
      <w:pPr>
        <w:pStyle w:val="Szvegtrzs"/>
        <w:kinsoku w:val="0"/>
        <w:overflowPunct w:val="0"/>
        <w:ind w:left="0"/>
        <w:rPr>
          <w:lang w:val="hu-HU"/>
        </w:rPr>
      </w:pPr>
    </w:p>
    <w:p w14:paraId="68D49D96" w14:textId="5CFAC272" w:rsidR="00CF7FE6" w:rsidRPr="00360A40" w:rsidRDefault="00CF7FE6" w:rsidP="00360A40">
      <w:pPr>
        <w:pStyle w:val="Szvegtrzs"/>
        <w:kinsoku w:val="0"/>
        <w:overflowPunct w:val="0"/>
        <w:ind w:left="0"/>
        <w:rPr>
          <w:lang w:val="hu-HU"/>
        </w:rPr>
      </w:pPr>
      <w:r w:rsidRPr="00360A40">
        <w:rPr>
          <w:lang w:val="hu-HU"/>
        </w:rPr>
        <w:t>Az 50 mg/nap eltrombopag kezdő dózissal (amelyet 2 hetente növeltek maximum 150 mg/nap dózisra) végzett II. fázisú, refrakter SAA klinikai vizsgálatban (ELT112523) az új c</w:t>
      </w:r>
      <w:r w:rsidR="00BD2A13">
        <w:rPr>
          <w:lang w:val="hu-HU"/>
        </w:rPr>
        <w:t>itogen</w:t>
      </w:r>
      <w:r w:rsidRPr="00360A40">
        <w:rPr>
          <w:lang w:val="hu-HU"/>
        </w:rPr>
        <w:t>etikai rendellenességek incidenciája 17,1% volt (7/41 felnőtt beteg, akik közül 4-nél 7-es kromoszómaelváltozás állt fenn). A c</w:t>
      </w:r>
      <w:r w:rsidR="00BD2A13">
        <w:rPr>
          <w:lang w:val="hu-HU"/>
        </w:rPr>
        <w:t>itogen</w:t>
      </w:r>
      <w:r w:rsidRPr="00360A40">
        <w:rPr>
          <w:lang w:val="hu-HU"/>
        </w:rPr>
        <w:t>etikai rendellenesség kialakulásáig eltelt időtartam medián értéke a vizsgálatban 2,9 hónap volt.</w:t>
      </w:r>
    </w:p>
    <w:p w14:paraId="4D6E8E8E" w14:textId="77777777" w:rsidR="001D4BD7" w:rsidRPr="00360A40" w:rsidRDefault="001D4BD7" w:rsidP="00360A40">
      <w:pPr>
        <w:pStyle w:val="Szvegtrzs"/>
        <w:kinsoku w:val="0"/>
        <w:overflowPunct w:val="0"/>
        <w:ind w:left="0"/>
        <w:rPr>
          <w:lang w:val="hu-HU"/>
        </w:rPr>
      </w:pPr>
    </w:p>
    <w:p w14:paraId="381DEA8B" w14:textId="361BB3EF" w:rsidR="00CF7FE6" w:rsidRPr="00360A40" w:rsidRDefault="00CF7FE6" w:rsidP="00360A40">
      <w:pPr>
        <w:pStyle w:val="Szvegtrzs"/>
        <w:kinsoku w:val="0"/>
        <w:overflowPunct w:val="0"/>
        <w:ind w:left="0"/>
        <w:rPr>
          <w:lang w:val="hu-HU"/>
        </w:rPr>
      </w:pPr>
      <w:r w:rsidRPr="00360A40">
        <w:rPr>
          <w:lang w:val="hu-HU"/>
        </w:rPr>
        <w:t>A 150</w:t>
      </w:r>
      <w:r w:rsidR="001D4BD7" w:rsidRPr="00360A40">
        <w:rPr>
          <w:lang w:val="hu-HU"/>
        </w:rPr>
        <w:t> </w:t>
      </w:r>
      <w:r w:rsidRPr="00360A40">
        <w:rPr>
          <w:lang w:val="hu-HU"/>
        </w:rPr>
        <w:t>mg/nap eltrombopag-dózissal (az etnikai hovatartozás és az életkor alapján szükséges</w:t>
      </w:r>
      <w:r w:rsidR="001D4BD7" w:rsidRPr="00360A40">
        <w:rPr>
          <w:lang w:val="hu-HU"/>
        </w:rPr>
        <w:t xml:space="preserve"> </w:t>
      </w:r>
      <w:r w:rsidRPr="00360A40">
        <w:rPr>
          <w:lang w:val="hu-HU"/>
        </w:rPr>
        <w:t>módosításokkal) végzett II. fázisú, refrakter SAA klinikai vizsgálatban (ELT116826) az új</w:t>
      </w:r>
      <w:r w:rsidR="001D4BD7" w:rsidRPr="00360A40">
        <w:rPr>
          <w:lang w:val="hu-HU"/>
        </w:rPr>
        <w:t xml:space="preserve"> </w:t>
      </w:r>
      <w:r w:rsidRPr="00360A40">
        <w:rPr>
          <w:lang w:val="hu-HU"/>
        </w:rPr>
        <w:t>c</w:t>
      </w:r>
      <w:r w:rsidR="00BD2A13">
        <w:rPr>
          <w:lang w:val="hu-HU"/>
        </w:rPr>
        <w:t>itogen</w:t>
      </w:r>
      <w:r w:rsidRPr="00360A40">
        <w:rPr>
          <w:lang w:val="hu-HU"/>
        </w:rPr>
        <w:t>etikai rendellenességek incidenciája 22,6% volt (7/31 felnőtt beteg, akik közül 3-nál 7-es</w:t>
      </w:r>
      <w:r w:rsidR="001D4BD7" w:rsidRPr="00360A40">
        <w:rPr>
          <w:lang w:val="hu-HU"/>
        </w:rPr>
        <w:t xml:space="preserve"> </w:t>
      </w:r>
      <w:r w:rsidRPr="00360A40">
        <w:rPr>
          <w:lang w:val="hu-HU"/>
        </w:rPr>
        <w:t>kromoszómaelváltozás állt fenn). Mind a 7</w:t>
      </w:r>
      <w:r w:rsidR="001D4BD7" w:rsidRPr="00360A40">
        <w:rPr>
          <w:lang w:val="hu-HU"/>
        </w:rPr>
        <w:t> </w:t>
      </w:r>
      <w:r w:rsidRPr="00360A40">
        <w:rPr>
          <w:lang w:val="hu-HU"/>
        </w:rPr>
        <w:t>betegnél normál c</w:t>
      </w:r>
      <w:r w:rsidR="00BD2A13">
        <w:rPr>
          <w:lang w:val="hu-HU"/>
        </w:rPr>
        <w:t>itogen</w:t>
      </w:r>
      <w:r w:rsidRPr="00360A40">
        <w:rPr>
          <w:lang w:val="hu-HU"/>
        </w:rPr>
        <w:t>etikai eredmények voltak a</w:t>
      </w:r>
      <w:r w:rsidR="001D4BD7" w:rsidRPr="00360A40">
        <w:rPr>
          <w:lang w:val="hu-HU"/>
        </w:rPr>
        <w:t xml:space="preserve"> </w:t>
      </w:r>
      <w:r w:rsidRPr="00360A40">
        <w:rPr>
          <w:lang w:val="hu-HU"/>
        </w:rPr>
        <w:t>vizsgálat megkezdésekor. Hat betegnél fordult elő c</w:t>
      </w:r>
      <w:r w:rsidR="00BD2A13">
        <w:rPr>
          <w:lang w:val="hu-HU"/>
        </w:rPr>
        <w:t>itogen</w:t>
      </w:r>
      <w:r w:rsidRPr="00360A40">
        <w:rPr>
          <w:lang w:val="hu-HU"/>
        </w:rPr>
        <w:t>etikai rendellenesség az eltrombo</w:t>
      </w:r>
      <w:r w:rsidR="000B2308">
        <w:rPr>
          <w:lang w:val="hu-HU"/>
        </w:rPr>
        <w:t>pag-ter</w:t>
      </w:r>
      <w:r w:rsidRPr="00360A40">
        <w:rPr>
          <w:lang w:val="hu-HU"/>
        </w:rPr>
        <w:t>ápia</w:t>
      </w:r>
      <w:r w:rsidR="001D4BD7" w:rsidRPr="00360A40">
        <w:rPr>
          <w:lang w:val="hu-HU"/>
        </w:rPr>
        <w:t xml:space="preserve"> </w:t>
      </w:r>
      <w:r w:rsidRPr="00360A40">
        <w:rPr>
          <w:lang w:val="hu-HU"/>
        </w:rPr>
        <w:t>3.</w:t>
      </w:r>
      <w:r w:rsidR="001D4BD7" w:rsidRPr="00360A40">
        <w:rPr>
          <w:lang w:val="hu-HU"/>
        </w:rPr>
        <w:t> </w:t>
      </w:r>
      <w:r w:rsidRPr="00360A40">
        <w:rPr>
          <w:lang w:val="hu-HU"/>
        </w:rPr>
        <w:t>hónapjában, egy betegnél pedig a 6.</w:t>
      </w:r>
      <w:r w:rsidR="001D4BD7" w:rsidRPr="00360A40">
        <w:rPr>
          <w:lang w:val="hu-HU"/>
        </w:rPr>
        <w:t> </w:t>
      </w:r>
      <w:r w:rsidRPr="00360A40">
        <w:rPr>
          <w:lang w:val="hu-HU"/>
        </w:rPr>
        <w:t>hónapban.</w:t>
      </w:r>
    </w:p>
    <w:p w14:paraId="7882D7E7" w14:textId="77777777" w:rsidR="001D4BD7" w:rsidRPr="00360A40" w:rsidRDefault="001D4BD7" w:rsidP="00360A40">
      <w:pPr>
        <w:pStyle w:val="Szvegtrzs"/>
        <w:kinsoku w:val="0"/>
        <w:overflowPunct w:val="0"/>
        <w:ind w:left="0"/>
        <w:rPr>
          <w:lang w:val="hu-HU"/>
        </w:rPr>
      </w:pPr>
    </w:p>
    <w:p w14:paraId="6EBB95F5" w14:textId="5FD2B9C1" w:rsidR="00CF7FE6" w:rsidRPr="00360A40" w:rsidRDefault="00BD2A13" w:rsidP="00360A40">
      <w:pPr>
        <w:pStyle w:val="Szvegtrzs"/>
        <w:kinsoku w:val="0"/>
        <w:overflowPunct w:val="0"/>
        <w:ind w:left="0"/>
        <w:rPr>
          <w:i/>
          <w:iCs/>
          <w:u w:val="single"/>
          <w:lang w:val="hu-HU"/>
        </w:rPr>
      </w:pPr>
      <w:r>
        <w:rPr>
          <w:i/>
          <w:iCs/>
          <w:u w:val="single"/>
          <w:lang w:val="hu-HU"/>
        </w:rPr>
        <w:t>Hematoló</w:t>
      </w:r>
      <w:r w:rsidR="00CF7FE6" w:rsidRPr="00360A40">
        <w:rPr>
          <w:i/>
          <w:iCs/>
          <w:u w:val="single"/>
          <w:lang w:val="hu-HU"/>
        </w:rPr>
        <w:t>giai malignitások</w:t>
      </w:r>
    </w:p>
    <w:p w14:paraId="2B1B1826" w14:textId="17FFAD7F" w:rsidR="00CF7FE6" w:rsidRPr="00360A40" w:rsidRDefault="00CF7FE6" w:rsidP="00360A40">
      <w:pPr>
        <w:pStyle w:val="Szvegtrzs"/>
        <w:kinsoku w:val="0"/>
        <w:overflowPunct w:val="0"/>
        <w:ind w:left="0"/>
        <w:rPr>
          <w:lang w:val="hu-HU"/>
        </w:rPr>
      </w:pPr>
      <w:r w:rsidRPr="00360A40">
        <w:rPr>
          <w:lang w:val="hu-HU"/>
        </w:rPr>
        <w:t>Az egykaros, nyílt elrendezésű, SAA-s betegekkel végzett vizsgálatban három (7%) betegnél</w:t>
      </w:r>
      <w:r w:rsidR="001D4BD7" w:rsidRPr="00360A40">
        <w:rPr>
          <w:lang w:val="hu-HU"/>
        </w:rPr>
        <w:t xml:space="preserve"> </w:t>
      </w:r>
      <w:r w:rsidRPr="00360A40">
        <w:rPr>
          <w:lang w:val="hu-HU"/>
        </w:rPr>
        <w:t>diagnosztizáltak MDS-t az eltrombopag-kezelés után. A folyamatban lévő két vizsgálatban</w:t>
      </w:r>
      <w:r w:rsidR="001D4BD7" w:rsidRPr="00360A40">
        <w:rPr>
          <w:lang w:val="hu-HU"/>
        </w:rPr>
        <w:t xml:space="preserve"> </w:t>
      </w:r>
      <w:r w:rsidRPr="00360A40">
        <w:rPr>
          <w:lang w:val="hu-HU"/>
        </w:rPr>
        <w:t>(ELT116826 és ELT116643) MDS-t vagy AML-t 28</w:t>
      </w:r>
      <w:r w:rsidR="001D4BD7" w:rsidRPr="00360A40">
        <w:rPr>
          <w:lang w:val="hu-HU"/>
        </w:rPr>
        <w:t> </w:t>
      </w:r>
      <w:r w:rsidRPr="00360A40">
        <w:rPr>
          <w:lang w:val="hu-HU"/>
        </w:rPr>
        <w:t>beteg közül 1 (4%), illetve 62</w:t>
      </w:r>
      <w:r w:rsidR="001D4BD7" w:rsidRPr="00360A40">
        <w:rPr>
          <w:lang w:val="hu-HU"/>
        </w:rPr>
        <w:t> </w:t>
      </w:r>
      <w:r w:rsidRPr="00360A40">
        <w:rPr>
          <w:lang w:val="hu-HU"/>
        </w:rPr>
        <w:t>beteg közül 1</w:t>
      </w:r>
      <w:r w:rsidR="001D4BD7" w:rsidRPr="00360A40">
        <w:rPr>
          <w:lang w:val="hu-HU"/>
        </w:rPr>
        <w:t xml:space="preserve"> </w:t>
      </w:r>
      <w:r w:rsidRPr="00360A40">
        <w:rPr>
          <w:lang w:val="hu-HU"/>
        </w:rPr>
        <w:t>(2%) esetében diagnosztizáltak a vizsgálatok megadott sorrendjében.</w:t>
      </w:r>
    </w:p>
    <w:p w14:paraId="5CD574B6" w14:textId="77777777" w:rsidR="00CF7FE6" w:rsidRPr="00360A40" w:rsidRDefault="00CF7FE6" w:rsidP="00360A40">
      <w:pPr>
        <w:pStyle w:val="Szvegtrzs"/>
        <w:kinsoku w:val="0"/>
        <w:overflowPunct w:val="0"/>
        <w:ind w:left="0"/>
        <w:rPr>
          <w:lang w:val="hu-HU"/>
        </w:rPr>
      </w:pPr>
    </w:p>
    <w:p w14:paraId="354B0CCF" w14:textId="77777777" w:rsidR="002D66F3" w:rsidRPr="00360A40" w:rsidRDefault="002D66F3" w:rsidP="00360A40">
      <w:pPr>
        <w:pStyle w:val="Szvegtrzs"/>
        <w:kinsoku w:val="0"/>
        <w:overflowPunct w:val="0"/>
        <w:ind w:left="0"/>
        <w:rPr>
          <w:lang w:val="hu-HU"/>
        </w:rPr>
      </w:pPr>
      <w:r w:rsidRPr="00360A40">
        <w:rPr>
          <w:u w:val="single"/>
          <w:lang w:val="hu-HU"/>
        </w:rPr>
        <w:t>Feltételezett mellékhatások bejelentése</w:t>
      </w:r>
    </w:p>
    <w:p w14:paraId="1B373FB0" w14:textId="77777777" w:rsidR="002D66F3" w:rsidRPr="00360A40" w:rsidRDefault="002D66F3" w:rsidP="00360A40">
      <w:pPr>
        <w:pStyle w:val="Szvegtrzs"/>
        <w:kinsoku w:val="0"/>
        <w:overflowPunct w:val="0"/>
        <w:ind w:left="0"/>
        <w:rPr>
          <w:lang w:val="hu-HU"/>
        </w:rPr>
      </w:pPr>
    </w:p>
    <w:p w14:paraId="319303CA" w14:textId="322D0A77" w:rsidR="002D66F3" w:rsidRPr="00360A40" w:rsidRDefault="002D66F3" w:rsidP="00360A40">
      <w:pPr>
        <w:pStyle w:val="Szvegtrzs"/>
        <w:kinsoku w:val="0"/>
        <w:overflowPunct w:val="0"/>
        <w:ind w:left="0"/>
        <w:rPr>
          <w:lang w:val="hu-HU"/>
        </w:rPr>
      </w:pPr>
      <w:r w:rsidRPr="00360A40">
        <w:rPr>
          <w:lang w:val="hu-HU"/>
        </w:rPr>
        <w:t xml:space="preserve">A gyógyszer engedélyezését követően lényeges a feltételezett mellékhatások bejelentése, mert ez fontos eszköze annak, hogy a gyógyszer előny/kockázat-profilját folyamatosan figyelemmel lehessen kísérni. Az egészségügyi szakembereket kérjük, hogy jelentsék be a feltételezett mellékhatásokat a hatóság részére </w:t>
      </w:r>
      <w:r w:rsidRPr="009F4BD6">
        <w:rPr>
          <w:highlight w:val="lightGray"/>
          <w:lang w:val="hu-HU"/>
        </w:rPr>
        <w:t xml:space="preserve">az </w:t>
      </w:r>
      <w:hyperlink r:id="rId8" w:history="1">
        <w:r w:rsidR="00360A40" w:rsidRPr="009F4BD6">
          <w:rPr>
            <w:rFonts w:eastAsia="Times New Roman"/>
            <w:highlight w:val="lightGray"/>
            <w:lang w:val="hu-HU" w:eastAsia="hu-HU"/>
          </w:rPr>
          <w:t>V. függelékben</w:t>
        </w:r>
      </w:hyperlink>
      <w:r w:rsidRPr="009F4BD6">
        <w:rPr>
          <w:highlight w:val="lightGray"/>
          <w:lang w:val="hu-HU"/>
        </w:rPr>
        <w:t xml:space="preserve"> található elérhetőségek valamelyikén keresztül</w:t>
      </w:r>
      <w:r w:rsidRPr="00360A40">
        <w:rPr>
          <w:lang w:val="hu-HU"/>
        </w:rPr>
        <w:t>.</w:t>
      </w:r>
    </w:p>
    <w:p w14:paraId="70052B18" w14:textId="7D490F4B" w:rsidR="002D66F3" w:rsidRPr="00360A40" w:rsidRDefault="002D66F3" w:rsidP="00360A40">
      <w:pPr>
        <w:pStyle w:val="Szvegtrzs"/>
        <w:kinsoku w:val="0"/>
        <w:overflowPunct w:val="0"/>
        <w:ind w:left="0"/>
        <w:rPr>
          <w:lang w:val="hu-HU"/>
        </w:rPr>
      </w:pPr>
    </w:p>
    <w:p w14:paraId="11531D96" w14:textId="76DCA7FA" w:rsidR="002D66F3" w:rsidRPr="00360A40" w:rsidRDefault="002D66F3" w:rsidP="00360A40">
      <w:pPr>
        <w:pStyle w:val="Cmsor1"/>
        <w:kinsoku w:val="0"/>
        <w:overflowPunct w:val="0"/>
        <w:ind w:left="0" w:firstLine="0"/>
        <w:rPr>
          <w:b w:val="0"/>
          <w:bCs w:val="0"/>
          <w:lang w:val="hu-HU"/>
        </w:rPr>
      </w:pPr>
      <w:r w:rsidRPr="00360A40">
        <w:rPr>
          <w:lang w:val="hu-HU"/>
        </w:rPr>
        <w:t>4.9</w:t>
      </w:r>
      <w:r w:rsidR="00AC2CB4" w:rsidRPr="00360A40">
        <w:rPr>
          <w:lang w:val="hu-HU"/>
        </w:rPr>
        <w:tab/>
      </w:r>
      <w:r w:rsidRPr="00360A40">
        <w:rPr>
          <w:lang w:val="hu-HU"/>
        </w:rPr>
        <w:t>Túladagolás</w:t>
      </w:r>
    </w:p>
    <w:p w14:paraId="3CA2C7E7" w14:textId="77777777" w:rsidR="002D66F3" w:rsidRPr="00360A40" w:rsidRDefault="002D66F3" w:rsidP="00360A40">
      <w:pPr>
        <w:pStyle w:val="Szvegtrzs"/>
        <w:kinsoku w:val="0"/>
        <w:overflowPunct w:val="0"/>
        <w:ind w:left="0"/>
        <w:rPr>
          <w:b/>
          <w:bCs/>
          <w:lang w:val="hu-HU"/>
        </w:rPr>
      </w:pPr>
    </w:p>
    <w:p w14:paraId="47DCC8E2" w14:textId="4F1E0056" w:rsidR="002D66F3" w:rsidRPr="00360A40" w:rsidRDefault="002D66F3" w:rsidP="00360A40">
      <w:pPr>
        <w:pStyle w:val="Szvegtrzs"/>
        <w:kinsoku w:val="0"/>
        <w:overflowPunct w:val="0"/>
        <w:ind w:left="0"/>
        <w:rPr>
          <w:lang w:val="hu-HU"/>
        </w:rPr>
      </w:pPr>
      <w:r w:rsidRPr="00360A40">
        <w:rPr>
          <w:lang w:val="hu-HU"/>
        </w:rPr>
        <w:t>Túladagolás esetén a vérlemezkeszám rendkívüli módon megemelkedhet, és ez thromboticus/thromboemboliás szövődményekhez vezethet. Túladagolás esetén mérlegelni kell valamilyen fémkation-tartalmú készítmény, pl. kalcium-, alumínium- vagy magnézium-készítmények oralis adagolását, hogy kelátot képezzen az eltrombopaggal, és így csökkentse a felszívódást.</w:t>
      </w:r>
      <w:r w:rsidR="00DB2CA9" w:rsidRPr="00360A40">
        <w:rPr>
          <w:lang w:val="hu-HU"/>
        </w:rPr>
        <w:t xml:space="preserve"> </w:t>
      </w:r>
      <w:r w:rsidRPr="00360A40">
        <w:rPr>
          <w:lang w:val="hu-HU"/>
        </w:rPr>
        <w:t>Gondosan ellenőrizni kell a vérlemezkeszámot. Az eltrombopag-kezelést az adagolási és alkalmazási előírások szerint kell újraindítani (lásd 4.2</w:t>
      </w:r>
      <w:r w:rsidR="00DB2CA9" w:rsidRPr="00360A40">
        <w:rPr>
          <w:lang w:val="hu-HU"/>
        </w:rPr>
        <w:t> </w:t>
      </w:r>
      <w:r w:rsidRPr="00360A40">
        <w:rPr>
          <w:lang w:val="hu-HU"/>
        </w:rPr>
        <w:t>pont).</w:t>
      </w:r>
    </w:p>
    <w:p w14:paraId="7C135C44" w14:textId="77777777" w:rsidR="002D66F3" w:rsidRPr="00360A40" w:rsidRDefault="002D66F3" w:rsidP="00360A40">
      <w:pPr>
        <w:pStyle w:val="Szvegtrzs"/>
        <w:kinsoku w:val="0"/>
        <w:overflowPunct w:val="0"/>
        <w:ind w:left="0"/>
        <w:rPr>
          <w:lang w:val="hu-HU"/>
        </w:rPr>
      </w:pPr>
    </w:p>
    <w:p w14:paraId="0DC79890" w14:textId="1F524B2A" w:rsidR="002D66F3" w:rsidRPr="00360A40" w:rsidRDefault="002D66F3" w:rsidP="00360A40">
      <w:pPr>
        <w:pStyle w:val="Szvegtrzs"/>
        <w:kinsoku w:val="0"/>
        <w:overflowPunct w:val="0"/>
        <w:ind w:left="0"/>
        <w:rPr>
          <w:lang w:val="hu-HU"/>
        </w:rPr>
      </w:pPr>
      <w:r w:rsidRPr="00360A40">
        <w:rPr>
          <w:lang w:val="hu-HU"/>
        </w:rPr>
        <w:t>A klinikai vizsgálatokban egy túladagolásról számoltak be, amikor a beteg 5000</w:t>
      </w:r>
      <w:r w:rsidR="00843337" w:rsidRPr="00360A40">
        <w:rPr>
          <w:lang w:val="hu-HU"/>
        </w:rPr>
        <w:t> </w:t>
      </w:r>
      <w:r w:rsidRPr="00360A40">
        <w:rPr>
          <w:lang w:val="hu-HU"/>
        </w:rPr>
        <w:t>mg eltrombopagot nyelt le. A jelentett mellékhatások enyhe kiütés, múló bradycardia, GPT- és GOT-emelkedés és fáradtság voltak. A gyógyszer lenyelése utáni 2–18.</w:t>
      </w:r>
      <w:r w:rsidR="00DB2CA9" w:rsidRPr="00360A40">
        <w:rPr>
          <w:lang w:val="hu-HU"/>
        </w:rPr>
        <w:t> </w:t>
      </w:r>
      <w:r w:rsidRPr="00360A40">
        <w:rPr>
          <w:lang w:val="hu-HU"/>
        </w:rPr>
        <w:t>napon a májenzimek mért csúcsértéke a normálérték felső határának (ULN) 1,6-szorosa volt a GOT, az ULN 3,9-szerese volt a GPT, és az ULN 2,4-szerese volt az összbilirubin esetében. A vérlemezkeszám 672</w:t>
      </w:r>
      <w:r w:rsidR="00DB2CA9" w:rsidRPr="00360A40">
        <w:rPr>
          <w:lang w:val="hu-HU"/>
        </w:rPr>
        <w:t> </w:t>
      </w:r>
      <w:r w:rsidRPr="00360A40">
        <w:rPr>
          <w:lang w:val="hu-HU"/>
        </w:rPr>
        <w:t>000/µl volt a gyógyszer bevétele utáni 18.</w:t>
      </w:r>
      <w:r w:rsidR="00DB2CA9" w:rsidRPr="00360A40">
        <w:rPr>
          <w:lang w:val="hu-HU"/>
        </w:rPr>
        <w:t> </w:t>
      </w:r>
      <w:r w:rsidRPr="00360A40">
        <w:rPr>
          <w:lang w:val="hu-HU"/>
        </w:rPr>
        <w:t>napon, a legmagasabb vérlemezkeszám 929</w:t>
      </w:r>
      <w:r w:rsidR="00DB2CA9" w:rsidRPr="00360A40">
        <w:rPr>
          <w:lang w:val="hu-HU"/>
        </w:rPr>
        <w:t> </w:t>
      </w:r>
      <w:r w:rsidRPr="00360A40">
        <w:rPr>
          <w:lang w:val="hu-HU"/>
        </w:rPr>
        <w:t>000/µl volt. A mellékhatások a kezelés után következmények nélkül megszűntek.</w:t>
      </w:r>
    </w:p>
    <w:p w14:paraId="3D348988" w14:textId="77777777" w:rsidR="002D66F3" w:rsidRPr="00360A40" w:rsidRDefault="002D66F3" w:rsidP="00360A40">
      <w:pPr>
        <w:pStyle w:val="Szvegtrzs"/>
        <w:kinsoku w:val="0"/>
        <w:overflowPunct w:val="0"/>
        <w:ind w:left="0"/>
        <w:rPr>
          <w:lang w:val="hu-HU"/>
        </w:rPr>
      </w:pPr>
    </w:p>
    <w:p w14:paraId="238CE93F" w14:textId="77777777" w:rsidR="002D66F3" w:rsidRPr="00360A40" w:rsidRDefault="002D66F3" w:rsidP="00360A40">
      <w:pPr>
        <w:pStyle w:val="Szvegtrzs"/>
        <w:kinsoku w:val="0"/>
        <w:overflowPunct w:val="0"/>
        <w:ind w:left="0"/>
        <w:rPr>
          <w:lang w:val="hu-HU"/>
        </w:rPr>
      </w:pPr>
      <w:r w:rsidRPr="00360A40">
        <w:rPr>
          <w:lang w:val="hu-HU"/>
        </w:rPr>
        <w:t>Mivel az eltrombopag renálisan nem ürül jelentős mértékben, és erősen kötődik a plazmafehérjékhez, nem várható, hogy a hemodialízis hatékonyan gyorsítsa az eltrombopag kiürülését.</w:t>
      </w:r>
    </w:p>
    <w:p w14:paraId="6FDCCA42" w14:textId="77777777" w:rsidR="002D66F3" w:rsidRPr="00360A40" w:rsidRDefault="002D66F3" w:rsidP="00360A40">
      <w:pPr>
        <w:pStyle w:val="Szvegtrzs"/>
        <w:kinsoku w:val="0"/>
        <w:overflowPunct w:val="0"/>
        <w:ind w:left="0"/>
        <w:rPr>
          <w:lang w:val="hu-HU"/>
        </w:rPr>
      </w:pPr>
    </w:p>
    <w:p w14:paraId="044844E9" w14:textId="77777777" w:rsidR="002D66F3" w:rsidRPr="00360A40" w:rsidRDefault="002D66F3" w:rsidP="00360A40">
      <w:pPr>
        <w:pStyle w:val="Szvegtrzs"/>
        <w:kinsoku w:val="0"/>
        <w:overflowPunct w:val="0"/>
        <w:ind w:left="0"/>
        <w:rPr>
          <w:lang w:val="hu-HU"/>
        </w:rPr>
      </w:pPr>
    </w:p>
    <w:p w14:paraId="638846BB" w14:textId="6E99FBB3" w:rsidR="002D66F3" w:rsidRPr="00360A40" w:rsidRDefault="00AC2CB4" w:rsidP="00360A40">
      <w:pPr>
        <w:pStyle w:val="Cmsor1"/>
        <w:kinsoku w:val="0"/>
        <w:overflowPunct w:val="0"/>
        <w:ind w:left="0" w:firstLine="0"/>
        <w:rPr>
          <w:b w:val="0"/>
          <w:bCs w:val="0"/>
          <w:lang w:val="hu-HU"/>
        </w:rPr>
      </w:pPr>
      <w:r w:rsidRPr="00360A40">
        <w:rPr>
          <w:lang w:val="hu-HU"/>
        </w:rPr>
        <w:t>5.</w:t>
      </w:r>
      <w:r w:rsidRPr="00360A40">
        <w:rPr>
          <w:lang w:val="hu-HU"/>
        </w:rPr>
        <w:tab/>
      </w:r>
      <w:r w:rsidR="002D66F3" w:rsidRPr="00360A40">
        <w:rPr>
          <w:lang w:val="hu-HU"/>
        </w:rPr>
        <w:t>FARMAKOLÓGIAI TULAJDONSÁGOK</w:t>
      </w:r>
    </w:p>
    <w:p w14:paraId="7E0E5496" w14:textId="77777777" w:rsidR="002D66F3" w:rsidRPr="00360A40" w:rsidRDefault="002D66F3" w:rsidP="00360A40">
      <w:pPr>
        <w:pStyle w:val="Szvegtrzs"/>
        <w:kinsoku w:val="0"/>
        <w:overflowPunct w:val="0"/>
        <w:ind w:left="0"/>
        <w:rPr>
          <w:b/>
          <w:bCs/>
          <w:lang w:val="hu-HU"/>
        </w:rPr>
      </w:pPr>
    </w:p>
    <w:p w14:paraId="06D00AD6" w14:textId="493CBFE7" w:rsidR="002D66F3" w:rsidRPr="00360A40" w:rsidRDefault="00AC2CB4" w:rsidP="00360A40">
      <w:pPr>
        <w:pStyle w:val="Szvegtrzs"/>
        <w:kinsoku w:val="0"/>
        <w:overflowPunct w:val="0"/>
        <w:ind w:left="0"/>
        <w:rPr>
          <w:lang w:val="hu-HU"/>
        </w:rPr>
      </w:pPr>
      <w:r w:rsidRPr="00360A40">
        <w:rPr>
          <w:b/>
          <w:bCs/>
          <w:lang w:val="hu-HU"/>
        </w:rPr>
        <w:t>5.1</w:t>
      </w:r>
      <w:r w:rsidRPr="00360A40">
        <w:rPr>
          <w:b/>
          <w:bCs/>
          <w:lang w:val="hu-HU"/>
        </w:rPr>
        <w:tab/>
      </w:r>
      <w:r w:rsidR="002D66F3" w:rsidRPr="00360A40">
        <w:rPr>
          <w:b/>
          <w:bCs/>
          <w:lang w:val="hu-HU"/>
        </w:rPr>
        <w:t>Farmakodinámiás tulajdonságok</w:t>
      </w:r>
    </w:p>
    <w:p w14:paraId="763C6F75" w14:textId="77777777" w:rsidR="002D66F3" w:rsidRPr="00360A40" w:rsidRDefault="002D66F3" w:rsidP="00360A40">
      <w:pPr>
        <w:pStyle w:val="Szvegtrzs"/>
        <w:kinsoku w:val="0"/>
        <w:overflowPunct w:val="0"/>
        <w:ind w:left="0"/>
        <w:rPr>
          <w:b/>
          <w:bCs/>
          <w:lang w:val="hu-HU"/>
        </w:rPr>
      </w:pPr>
    </w:p>
    <w:p w14:paraId="078CD2CB" w14:textId="08C669E1" w:rsidR="002D66F3" w:rsidRPr="00360A40" w:rsidRDefault="002D66F3" w:rsidP="00360A40">
      <w:pPr>
        <w:pStyle w:val="Szvegtrzs"/>
        <w:kinsoku w:val="0"/>
        <w:overflowPunct w:val="0"/>
        <w:ind w:left="0"/>
        <w:rPr>
          <w:lang w:val="hu-HU"/>
        </w:rPr>
      </w:pPr>
      <w:r w:rsidRPr="00360A40">
        <w:rPr>
          <w:lang w:val="hu-HU"/>
        </w:rPr>
        <w:t>Farmakoterápiás csoport: Antihaemorrhagiás készítmények, egyéb szisztémás vérzéscsillapítók. ATC kód: B02BX 05.</w:t>
      </w:r>
    </w:p>
    <w:p w14:paraId="3ED8A232" w14:textId="77777777" w:rsidR="00AC2CB4" w:rsidRPr="00360A40" w:rsidRDefault="00AC2CB4" w:rsidP="00360A40">
      <w:pPr>
        <w:pStyle w:val="Szvegtrzs"/>
        <w:kinsoku w:val="0"/>
        <w:overflowPunct w:val="0"/>
        <w:ind w:left="0"/>
        <w:rPr>
          <w:lang w:val="hu-HU"/>
        </w:rPr>
      </w:pPr>
    </w:p>
    <w:p w14:paraId="73F175FF" w14:textId="77777777" w:rsidR="002D66F3" w:rsidRPr="00360A40" w:rsidRDefault="002D66F3" w:rsidP="00360A40">
      <w:pPr>
        <w:pStyle w:val="Szvegtrzs"/>
        <w:kinsoku w:val="0"/>
        <w:overflowPunct w:val="0"/>
        <w:ind w:left="0"/>
        <w:rPr>
          <w:lang w:val="hu-HU"/>
        </w:rPr>
      </w:pPr>
      <w:r w:rsidRPr="00360A40">
        <w:rPr>
          <w:u w:val="single"/>
          <w:lang w:val="hu-HU"/>
        </w:rPr>
        <w:t>Hatásmechanizmus</w:t>
      </w:r>
    </w:p>
    <w:p w14:paraId="1148A602" w14:textId="77777777" w:rsidR="002D66F3" w:rsidRPr="00360A40" w:rsidRDefault="002D66F3" w:rsidP="00360A40">
      <w:pPr>
        <w:pStyle w:val="Szvegtrzs"/>
        <w:kinsoku w:val="0"/>
        <w:overflowPunct w:val="0"/>
        <w:ind w:left="0"/>
        <w:rPr>
          <w:lang w:val="hu-HU"/>
        </w:rPr>
      </w:pPr>
    </w:p>
    <w:p w14:paraId="2B1563A2" w14:textId="77777777" w:rsidR="002D66F3" w:rsidRPr="00360A40" w:rsidRDefault="002D66F3" w:rsidP="00360A40">
      <w:pPr>
        <w:pStyle w:val="Szvegtrzs"/>
        <w:kinsoku w:val="0"/>
        <w:overflowPunct w:val="0"/>
        <w:ind w:left="0"/>
        <w:rPr>
          <w:lang w:val="hu-HU"/>
        </w:rPr>
      </w:pPr>
      <w:r w:rsidRPr="00360A40">
        <w:rPr>
          <w:lang w:val="hu-HU"/>
        </w:rPr>
        <w:t>A TPO a megakaryopoiesis szabályozásában és a vérlemezke termelésben részt vevő legfontosabb citokin, és a TPO-R endogén ligandja. Az eltrombopag kölcsönhatásba lép a humán TPO-R transzmembrán domenjével, és az endogén thrombopoietinéhoz (TPO) hasonló, de azzal nem azonos kaszkád mechanizmust indít el, ami indukálja a proliferációt és differenciálódást a csontvelő progenitor sejtjeiből.</w:t>
      </w:r>
    </w:p>
    <w:p w14:paraId="6E9C0D93" w14:textId="77777777" w:rsidR="002D66F3" w:rsidRPr="00360A40" w:rsidRDefault="002D66F3" w:rsidP="00360A40">
      <w:pPr>
        <w:pStyle w:val="Szvegtrzs"/>
        <w:kinsoku w:val="0"/>
        <w:overflowPunct w:val="0"/>
        <w:ind w:left="0"/>
        <w:rPr>
          <w:lang w:val="hu-HU"/>
        </w:rPr>
      </w:pPr>
    </w:p>
    <w:p w14:paraId="73C1A46E" w14:textId="77777777" w:rsidR="002D66F3" w:rsidRPr="00360A40" w:rsidRDefault="002D66F3" w:rsidP="00360A40">
      <w:pPr>
        <w:pStyle w:val="Szvegtrzs"/>
        <w:kinsoku w:val="0"/>
        <w:overflowPunct w:val="0"/>
        <w:ind w:left="0"/>
        <w:rPr>
          <w:lang w:val="hu-HU"/>
        </w:rPr>
      </w:pPr>
      <w:r w:rsidRPr="00360A40">
        <w:rPr>
          <w:u w:val="single"/>
          <w:lang w:val="hu-HU"/>
        </w:rPr>
        <w:t>Klinikai hatásosság és biztonságosság</w:t>
      </w:r>
    </w:p>
    <w:p w14:paraId="66CDFCAE" w14:textId="77777777" w:rsidR="002D66F3" w:rsidRPr="00360A40" w:rsidRDefault="002D66F3" w:rsidP="00360A40">
      <w:pPr>
        <w:pStyle w:val="Szvegtrzs"/>
        <w:kinsoku w:val="0"/>
        <w:overflowPunct w:val="0"/>
        <w:ind w:left="0"/>
        <w:rPr>
          <w:lang w:val="hu-HU"/>
        </w:rPr>
      </w:pPr>
    </w:p>
    <w:p w14:paraId="07638EA2" w14:textId="77777777" w:rsidR="002D66F3" w:rsidRPr="00360A40" w:rsidRDefault="002D66F3" w:rsidP="00360A40">
      <w:pPr>
        <w:pStyle w:val="Szvegtrzs"/>
        <w:kinsoku w:val="0"/>
        <w:overflowPunct w:val="0"/>
        <w:ind w:left="0"/>
        <w:rPr>
          <w:lang w:val="hu-HU"/>
        </w:rPr>
      </w:pPr>
      <w:r w:rsidRPr="00360A40">
        <w:rPr>
          <w:i/>
          <w:iCs/>
          <w:u w:val="single"/>
          <w:lang w:val="hu-HU"/>
        </w:rPr>
        <w:t>Immun (primer) thrombocytopenia (ITP) vizsgálatok</w:t>
      </w:r>
    </w:p>
    <w:p w14:paraId="11639427" w14:textId="77777777" w:rsidR="002D66F3" w:rsidRPr="00360A40" w:rsidRDefault="002D66F3" w:rsidP="00360A40">
      <w:pPr>
        <w:pStyle w:val="Szvegtrzs"/>
        <w:kinsoku w:val="0"/>
        <w:overflowPunct w:val="0"/>
        <w:ind w:left="0"/>
        <w:rPr>
          <w:i/>
          <w:iCs/>
          <w:lang w:val="hu-HU"/>
        </w:rPr>
      </w:pPr>
    </w:p>
    <w:p w14:paraId="4941FB40" w14:textId="04F7398C" w:rsidR="002D66F3" w:rsidRPr="00360A40" w:rsidRDefault="002D66F3" w:rsidP="00360A40">
      <w:pPr>
        <w:pStyle w:val="Szvegtrzs"/>
        <w:kinsoku w:val="0"/>
        <w:overflowPunct w:val="0"/>
        <w:ind w:left="0"/>
        <w:rPr>
          <w:lang w:val="hu-HU"/>
        </w:rPr>
      </w:pPr>
      <w:r w:rsidRPr="00360A40">
        <w:rPr>
          <w:lang w:val="hu-HU"/>
        </w:rPr>
        <w:t xml:space="preserve">Az eltrombopag biztonságosságát és </w:t>
      </w:r>
      <w:r w:rsidR="004A32AB">
        <w:rPr>
          <w:lang w:val="hu-HU"/>
        </w:rPr>
        <w:t>hatásosság</w:t>
      </w:r>
      <w:r w:rsidRPr="00360A40">
        <w:rPr>
          <w:lang w:val="hu-HU"/>
        </w:rPr>
        <w:t>át korábban ITP miatt kezelt felnőtt betegeknél két</w:t>
      </w:r>
      <w:r w:rsidR="00DB2CA9" w:rsidRPr="00360A40">
        <w:rPr>
          <w:lang w:val="hu-HU"/>
        </w:rPr>
        <w:t xml:space="preserve"> </w:t>
      </w:r>
      <w:r w:rsidRPr="00360A40">
        <w:rPr>
          <w:lang w:val="hu-HU"/>
        </w:rPr>
        <w:t>III. fázisú, randomizált, kettős vak, placebokontrollos vizsgálat, a RAISE (TRA102537) és a TRA100773B, valamint két nyílt vizsgálat, a REPEAT (TRA108057) és az EXTEND (TRA105325) értékelte. Összességében 277 ITP-s beteg kapott eltrombopagot legalább 6</w:t>
      </w:r>
      <w:r w:rsidR="00DB2CA9" w:rsidRPr="00360A40">
        <w:rPr>
          <w:lang w:val="hu-HU"/>
        </w:rPr>
        <w:t> </w:t>
      </w:r>
      <w:r w:rsidRPr="00360A40">
        <w:rPr>
          <w:lang w:val="hu-HU"/>
        </w:rPr>
        <w:t>hónapig és 202</w:t>
      </w:r>
      <w:r w:rsidR="00DB2CA9" w:rsidRPr="00360A40">
        <w:rPr>
          <w:lang w:val="hu-HU"/>
        </w:rPr>
        <w:t> </w:t>
      </w:r>
      <w:r w:rsidRPr="00360A40">
        <w:rPr>
          <w:lang w:val="hu-HU"/>
        </w:rPr>
        <w:t>beteg legalább 1</w:t>
      </w:r>
      <w:r w:rsidR="00843337" w:rsidRPr="00360A40">
        <w:rPr>
          <w:lang w:val="hu-HU"/>
        </w:rPr>
        <w:t> </w:t>
      </w:r>
      <w:r w:rsidRPr="00360A40">
        <w:rPr>
          <w:lang w:val="hu-HU"/>
        </w:rPr>
        <w:t>évig. A TAPER (CETB115J2411) című egy karú, II. fázisú vizsgálatban az eltrombopag biztonságosságát és hatásosságát, valamint a kezelés abbahagyása utáni tartós válasz kiváltása iránti képességét tanulmányozták 105</w:t>
      </w:r>
      <w:r w:rsidR="00DB2CA9" w:rsidRPr="00360A40">
        <w:rPr>
          <w:lang w:val="hu-HU"/>
        </w:rPr>
        <w:t xml:space="preserve"> </w:t>
      </w:r>
      <w:r w:rsidRPr="00360A40">
        <w:rPr>
          <w:lang w:val="hu-HU"/>
        </w:rPr>
        <w:t>olyan felnőttkorú ITP-s betegnél, akiknél első vonalbeli kortikoszteroid-kezelés után relapszus lépett fel vagy nem alakult ki terápiás válasz.</w:t>
      </w:r>
    </w:p>
    <w:p w14:paraId="0350A796" w14:textId="77777777" w:rsidR="002D66F3" w:rsidRPr="00360A40" w:rsidRDefault="002D66F3" w:rsidP="00360A40">
      <w:pPr>
        <w:pStyle w:val="Szvegtrzs"/>
        <w:kinsoku w:val="0"/>
        <w:overflowPunct w:val="0"/>
        <w:ind w:left="0"/>
        <w:rPr>
          <w:lang w:val="hu-HU"/>
        </w:rPr>
      </w:pPr>
    </w:p>
    <w:p w14:paraId="4839D718" w14:textId="77777777" w:rsidR="002D66F3" w:rsidRPr="00360A40" w:rsidRDefault="002D66F3" w:rsidP="00360A40">
      <w:pPr>
        <w:pStyle w:val="Szvegtrzs"/>
        <w:kinsoku w:val="0"/>
        <w:overflowPunct w:val="0"/>
        <w:ind w:left="0"/>
        <w:rPr>
          <w:lang w:val="hu-HU"/>
        </w:rPr>
      </w:pPr>
      <w:r w:rsidRPr="00360A40">
        <w:rPr>
          <w:i/>
          <w:iCs/>
          <w:lang w:val="hu-HU"/>
        </w:rPr>
        <w:t>Kettős vak, placebokontrollos vizsgálatok</w:t>
      </w:r>
    </w:p>
    <w:p w14:paraId="3496BF54" w14:textId="4A45C1AB" w:rsidR="002D66F3" w:rsidRPr="00360A40" w:rsidRDefault="002D66F3" w:rsidP="00360A40">
      <w:pPr>
        <w:pStyle w:val="Szvegtrzs"/>
        <w:kinsoku w:val="0"/>
        <w:overflowPunct w:val="0"/>
        <w:ind w:left="0"/>
        <w:rPr>
          <w:lang w:val="hu-HU"/>
        </w:rPr>
      </w:pPr>
      <w:r w:rsidRPr="00360A40">
        <w:rPr>
          <w:lang w:val="hu-HU"/>
        </w:rPr>
        <w:t>RAISE: 197, ITP-s beteget randomizáltak 2:1 arányban eltrombopag (n</w:t>
      </w:r>
      <w:r w:rsidR="00DB2CA9" w:rsidRPr="00360A40">
        <w:rPr>
          <w:lang w:val="hu-HU"/>
        </w:rPr>
        <w:t> </w:t>
      </w:r>
      <w:r w:rsidRPr="00360A40">
        <w:rPr>
          <w:lang w:val="hu-HU"/>
        </w:rPr>
        <w:t>=</w:t>
      </w:r>
      <w:r w:rsidR="00DB2CA9" w:rsidRPr="00360A40">
        <w:rPr>
          <w:lang w:val="hu-HU"/>
        </w:rPr>
        <w:t> </w:t>
      </w:r>
      <w:r w:rsidRPr="00360A40">
        <w:rPr>
          <w:lang w:val="hu-HU"/>
        </w:rPr>
        <w:t>135) és placebokarra (n</w:t>
      </w:r>
      <w:r w:rsidR="00DB2CA9" w:rsidRPr="00360A40">
        <w:rPr>
          <w:lang w:val="hu-HU"/>
        </w:rPr>
        <w:t> </w:t>
      </w:r>
      <w:r w:rsidRPr="00360A40">
        <w:rPr>
          <w:lang w:val="hu-HU"/>
        </w:rPr>
        <w:t>=</w:t>
      </w:r>
      <w:r w:rsidR="00DB2CA9" w:rsidRPr="00360A40">
        <w:rPr>
          <w:lang w:val="hu-HU"/>
        </w:rPr>
        <w:t> </w:t>
      </w:r>
      <w:r w:rsidRPr="00360A40">
        <w:rPr>
          <w:lang w:val="hu-HU"/>
        </w:rPr>
        <w:t>62), a stratifikációnál a splenectomiás státuszt, az ITP-re a vizsgálat indításakor alkalmazott gyógyszereket és a kiindulási vérlemezkeszámot vették figyelembe. Az eltrombopag dózisát a</w:t>
      </w:r>
      <w:r w:rsidR="00DB2CA9" w:rsidRPr="00360A40">
        <w:rPr>
          <w:lang w:val="hu-HU"/>
        </w:rPr>
        <w:t xml:space="preserve"> </w:t>
      </w:r>
      <w:r w:rsidRPr="00360A40">
        <w:rPr>
          <w:lang w:val="hu-HU"/>
        </w:rPr>
        <w:t>6</w:t>
      </w:r>
      <w:r w:rsidR="00DB2CA9" w:rsidRPr="00360A40">
        <w:rPr>
          <w:lang w:val="hu-HU"/>
        </w:rPr>
        <w:t> </w:t>
      </w:r>
      <w:r w:rsidRPr="00360A40">
        <w:rPr>
          <w:lang w:val="hu-HU"/>
        </w:rPr>
        <w:t>hónapos kezelési idő alatt a betegek vérlemezkeszáma alapján egyedileg állították be. A kezelést minden betegnél 50</w:t>
      </w:r>
      <w:r w:rsidR="00DB2CA9" w:rsidRPr="00360A40">
        <w:rPr>
          <w:lang w:val="hu-HU"/>
        </w:rPr>
        <w:t> </w:t>
      </w:r>
      <w:r w:rsidRPr="00360A40">
        <w:rPr>
          <w:lang w:val="hu-HU"/>
        </w:rPr>
        <w:t>mg eltrombopaggal indították. A 29.</w:t>
      </w:r>
      <w:r w:rsidR="00DB2CA9" w:rsidRPr="00360A40">
        <w:rPr>
          <w:lang w:val="hu-HU"/>
        </w:rPr>
        <w:t> </w:t>
      </w:r>
      <w:r w:rsidRPr="00360A40">
        <w:rPr>
          <w:lang w:val="hu-HU"/>
        </w:rPr>
        <w:t>naptól a kezelés végéig az eltrombopaggal kezelt betegek 15-28%-a kapott 25</w:t>
      </w:r>
      <w:r w:rsidR="00C83AE4" w:rsidRPr="00360A40">
        <w:rPr>
          <w:lang w:val="hu-HU"/>
        </w:rPr>
        <w:t> </w:t>
      </w:r>
      <w:r w:rsidRPr="00360A40">
        <w:rPr>
          <w:lang w:val="hu-HU"/>
        </w:rPr>
        <w:t>mg-ot vagy annál kevesebbet, és 29-53%-a kapott 75</w:t>
      </w:r>
      <w:r w:rsidR="00C83AE4" w:rsidRPr="00360A40">
        <w:rPr>
          <w:lang w:val="hu-HU"/>
        </w:rPr>
        <w:t> </w:t>
      </w:r>
      <w:r w:rsidRPr="00360A40">
        <w:rPr>
          <w:lang w:val="hu-HU"/>
        </w:rPr>
        <w:t>mg-ot.</w:t>
      </w:r>
    </w:p>
    <w:p w14:paraId="1636DBC0" w14:textId="77777777" w:rsidR="002D66F3" w:rsidRPr="00360A40" w:rsidRDefault="002D66F3" w:rsidP="00360A40">
      <w:pPr>
        <w:pStyle w:val="Szvegtrzs"/>
        <w:kinsoku w:val="0"/>
        <w:overflowPunct w:val="0"/>
        <w:ind w:left="0"/>
        <w:rPr>
          <w:lang w:val="hu-HU"/>
        </w:rPr>
      </w:pPr>
    </w:p>
    <w:p w14:paraId="779E0213" w14:textId="7D1B5045" w:rsidR="002D66F3" w:rsidRPr="00360A40" w:rsidRDefault="002D66F3" w:rsidP="00360A40">
      <w:pPr>
        <w:pStyle w:val="Szvegtrzs"/>
        <w:kinsoku w:val="0"/>
        <w:overflowPunct w:val="0"/>
        <w:ind w:left="0"/>
        <w:rPr>
          <w:lang w:val="hu-HU"/>
        </w:rPr>
      </w:pPr>
      <w:r w:rsidRPr="00360A40">
        <w:rPr>
          <w:lang w:val="hu-HU"/>
        </w:rPr>
        <w:t>Emellett a betegek fokozatosan csökkenthették az ITP kezelésére együtt adott gyógyszereket, és a helyi kezelési standardok szerint kaphatták a mentő kezelést („rescue treatment”). Mindkét kezelési csoportban a betegeknek több mint a fele kapott korábban legalább 3 kezelést ITP miatt, és</w:t>
      </w:r>
      <w:r w:rsidR="00C83AE4" w:rsidRPr="00360A40">
        <w:rPr>
          <w:lang w:val="hu-HU"/>
        </w:rPr>
        <w:t xml:space="preserve"> </w:t>
      </w:r>
      <w:r w:rsidRPr="00360A40">
        <w:rPr>
          <w:lang w:val="hu-HU"/>
        </w:rPr>
        <w:t>36</w:t>
      </w:r>
      <w:r w:rsidR="00C83AE4" w:rsidRPr="00360A40">
        <w:rPr>
          <w:lang w:val="hu-HU"/>
        </w:rPr>
        <w:t>%</w:t>
      </w:r>
      <w:r w:rsidR="00C83AE4" w:rsidRPr="00360A40">
        <w:rPr>
          <w:lang w:val="hu-HU"/>
        </w:rPr>
        <w:noBreakHyphen/>
      </w:r>
      <w:r w:rsidRPr="00360A40">
        <w:rPr>
          <w:lang w:val="hu-HU"/>
        </w:rPr>
        <w:t>uknak korábban eltávolították a lépét.</w:t>
      </w:r>
    </w:p>
    <w:p w14:paraId="03C28B17" w14:textId="77777777" w:rsidR="002D66F3" w:rsidRPr="00360A40" w:rsidRDefault="002D66F3" w:rsidP="00360A40">
      <w:pPr>
        <w:pStyle w:val="Szvegtrzs"/>
        <w:kinsoku w:val="0"/>
        <w:overflowPunct w:val="0"/>
        <w:ind w:left="0"/>
        <w:rPr>
          <w:lang w:val="hu-HU"/>
        </w:rPr>
      </w:pPr>
    </w:p>
    <w:p w14:paraId="595EB251" w14:textId="1B6759D2" w:rsidR="002D66F3" w:rsidRPr="00360A40" w:rsidRDefault="002D66F3" w:rsidP="00360A40">
      <w:pPr>
        <w:pStyle w:val="Szvegtrzs"/>
        <w:kinsoku w:val="0"/>
        <w:overflowPunct w:val="0"/>
        <w:ind w:left="0"/>
        <w:rPr>
          <w:lang w:val="hu-HU"/>
        </w:rPr>
      </w:pPr>
      <w:r w:rsidRPr="00360A40">
        <w:rPr>
          <w:lang w:val="hu-HU"/>
        </w:rPr>
        <w:t>A medián vérlemezkeszám a vizsgálat indításakor mindkét kezelési csoportban 16</w:t>
      </w:r>
      <w:r w:rsidR="00C83AE4" w:rsidRPr="00360A40">
        <w:rPr>
          <w:lang w:val="hu-HU"/>
        </w:rPr>
        <w:t> </w:t>
      </w:r>
      <w:r w:rsidRPr="00360A40">
        <w:rPr>
          <w:lang w:val="hu-HU"/>
        </w:rPr>
        <w:t>000/</w:t>
      </w:r>
      <w:r w:rsidR="005045B1" w:rsidRPr="00360A40">
        <w:rPr>
          <w:lang w:val="hu-HU"/>
        </w:rPr>
        <w:t>µ</w:t>
      </w:r>
      <w:r w:rsidRPr="00360A40">
        <w:rPr>
          <w:lang w:val="hu-HU"/>
        </w:rPr>
        <w:t>l volt, és az eltrombopag-csoportban a 15.</w:t>
      </w:r>
      <w:r w:rsidR="00C83AE4" w:rsidRPr="00360A40">
        <w:rPr>
          <w:lang w:val="hu-HU"/>
        </w:rPr>
        <w:t> </w:t>
      </w:r>
      <w:r w:rsidRPr="00360A40">
        <w:rPr>
          <w:lang w:val="hu-HU"/>
        </w:rPr>
        <w:t>naptól kezdődően minden kontroll alkalmával 50</w:t>
      </w:r>
      <w:r w:rsidR="00C83AE4" w:rsidRPr="00360A40">
        <w:rPr>
          <w:lang w:val="hu-HU"/>
        </w:rPr>
        <w:t> </w:t>
      </w:r>
      <w:r w:rsidRPr="00360A40">
        <w:rPr>
          <w:lang w:val="hu-HU"/>
        </w:rPr>
        <w:t>000/µl felett maradt; ezzel szemben a placebocsoportban a medián vérlemezkeszám 30</w:t>
      </w:r>
      <w:r w:rsidR="00C83AE4" w:rsidRPr="00360A40">
        <w:rPr>
          <w:lang w:val="hu-HU"/>
        </w:rPr>
        <w:t> </w:t>
      </w:r>
      <w:r w:rsidRPr="00360A40">
        <w:rPr>
          <w:lang w:val="hu-HU"/>
        </w:rPr>
        <w:t>000/µl alatt maradt a vizsgálat egész ideje alatt.</w:t>
      </w:r>
    </w:p>
    <w:p w14:paraId="20EBB9C6" w14:textId="77777777" w:rsidR="002D66F3" w:rsidRPr="00360A40" w:rsidRDefault="002D66F3" w:rsidP="00360A40">
      <w:pPr>
        <w:pStyle w:val="Szvegtrzs"/>
        <w:kinsoku w:val="0"/>
        <w:overflowPunct w:val="0"/>
        <w:ind w:left="0"/>
        <w:rPr>
          <w:lang w:val="hu-HU"/>
        </w:rPr>
      </w:pPr>
    </w:p>
    <w:p w14:paraId="0E42AD6F" w14:textId="66ED9C56" w:rsidR="002D66F3" w:rsidRPr="00360A40" w:rsidRDefault="002D66F3" w:rsidP="00360A40">
      <w:pPr>
        <w:pStyle w:val="Szvegtrzs"/>
        <w:kinsoku w:val="0"/>
        <w:overflowPunct w:val="0"/>
        <w:ind w:left="0"/>
        <w:rPr>
          <w:lang w:val="hu-HU"/>
        </w:rPr>
      </w:pPr>
      <w:r w:rsidRPr="00360A40">
        <w:rPr>
          <w:lang w:val="hu-HU"/>
        </w:rPr>
        <w:t>Szignifikánsan több beteg ért el 50</w:t>
      </w:r>
      <w:r w:rsidR="00C83AE4" w:rsidRPr="00360A40">
        <w:rPr>
          <w:lang w:val="hu-HU"/>
        </w:rPr>
        <w:t> </w:t>
      </w:r>
      <w:r w:rsidRPr="00360A40">
        <w:rPr>
          <w:lang w:val="hu-HU"/>
        </w:rPr>
        <w:t>000–400</w:t>
      </w:r>
      <w:r w:rsidR="00C83AE4" w:rsidRPr="00360A40">
        <w:rPr>
          <w:lang w:val="hu-HU"/>
        </w:rPr>
        <w:t> </w:t>
      </w:r>
      <w:r w:rsidRPr="00360A40">
        <w:rPr>
          <w:lang w:val="hu-HU"/>
        </w:rPr>
        <w:t>000/</w:t>
      </w:r>
      <w:r w:rsidR="005045B1" w:rsidRPr="00360A40">
        <w:rPr>
          <w:lang w:val="hu-HU"/>
        </w:rPr>
        <w:t>µ</w:t>
      </w:r>
      <w:r w:rsidRPr="00360A40">
        <w:rPr>
          <w:lang w:val="hu-HU"/>
        </w:rPr>
        <w:t>l közötti vérlemezkeszámot mentő kezelés nélkül az eltrombopag-csoportban a 6</w:t>
      </w:r>
      <w:r w:rsidR="00C83AE4" w:rsidRPr="00360A40">
        <w:rPr>
          <w:lang w:val="hu-HU"/>
        </w:rPr>
        <w:t> </w:t>
      </w:r>
      <w:r w:rsidRPr="00360A40">
        <w:rPr>
          <w:lang w:val="hu-HU"/>
        </w:rPr>
        <w:t>hónapos kezelés alatt (p</w:t>
      </w:r>
      <w:r w:rsidR="00C83AE4" w:rsidRPr="00360A40">
        <w:rPr>
          <w:lang w:val="hu-HU"/>
        </w:rPr>
        <w:t> </w:t>
      </w:r>
      <w:r w:rsidRPr="00360A40">
        <w:rPr>
          <w:lang w:val="hu-HU"/>
        </w:rPr>
        <w:t>&lt;</w:t>
      </w:r>
      <w:r w:rsidR="00C83AE4" w:rsidRPr="00360A40">
        <w:rPr>
          <w:lang w:val="hu-HU"/>
        </w:rPr>
        <w:t> </w:t>
      </w:r>
      <w:r w:rsidRPr="00360A40">
        <w:rPr>
          <w:lang w:val="hu-HU"/>
        </w:rPr>
        <w:t>0,001). Az eltrombopaggal kezelt betegek ötvennégy százaléka és a placebot kapók 13%-a ért el ilyen szintű választ 6 hét kezelés után. Hasonló vérlemezke választ sikerült fenntartani a kezelés teljes időtartama alatt, és a betegek 52%-a ill. 16%-a reagált a 6.hónapos kezelési időszak végén.</w:t>
      </w:r>
    </w:p>
    <w:p w14:paraId="133C9E4B" w14:textId="77777777" w:rsidR="00AC2CB4" w:rsidRPr="00360A40" w:rsidRDefault="00AC2CB4" w:rsidP="00360A40">
      <w:pPr>
        <w:pStyle w:val="Szvegtrzs"/>
        <w:kinsoku w:val="0"/>
        <w:overflowPunct w:val="0"/>
        <w:ind w:left="0"/>
        <w:rPr>
          <w:lang w:val="hu-HU"/>
        </w:rPr>
      </w:pPr>
    </w:p>
    <w:p w14:paraId="20B4055C" w14:textId="0751CED7" w:rsidR="002D66F3" w:rsidRPr="00360A40" w:rsidRDefault="00FB7CC2" w:rsidP="00360A40">
      <w:pPr>
        <w:pStyle w:val="Cmsor1"/>
        <w:tabs>
          <w:tab w:val="left" w:pos="1537"/>
        </w:tabs>
        <w:kinsoku w:val="0"/>
        <w:overflowPunct w:val="0"/>
        <w:ind w:left="0" w:firstLine="0"/>
        <w:rPr>
          <w:b w:val="0"/>
          <w:bCs w:val="0"/>
          <w:lang w:val="hu-HU"/>
        </w:rPr>
      </w:pPr>
      <w:r>
        <w:rPr>
          <w:lang w:val="hu-HU"/>
        </w:rPr>
        <w:t>3</w:t>
      </w:r>
      <w:r w:rsidR="002D66F3" w:rsidRPr="00360A40">
        <w:rPr>
          <w:lang w:val="hu-HU"/>
        </w:rPr>
        <w:t>.</w:t>
      </w:r>
      <w:r w:rsidR="001D4BD7" w:rsidRPr="00360A40">
        <w:rPr>
          <w:lang w:val="hu-HU"/>
        </w:rPr>
        <w:t> </w:t>
      </w:r>
      <w:r w:rsidR="002D66F3" w:rsidRPr="00360A40">
        <w:rPr>
          <w:lang w:val="hu-HU"/>
        </w:rPr>
        <w:t>táblázat</w:t>
      </w:r>
      <w:r w:rsidR="002D66F3" w:rsidRPr="00360A40">
        <w:rPr>
          <w:lang w:val="hu-HU"/>
        </w:rPr>
        <w:tab/>
        <w:t xml:space="preserve">A RAISE vizsgálat másodlagos </w:t>
      </w:r>
      <w:r w:rsidR="004A32AB">
        <w:rPr>
          <w:lang w:val="hu-HU"/>
        </w:rPr>
        <w:t>hatásosság</w:t>
      </w:r>
      <w:r w:rsidR="002D66F3" w:rsidRPr="00360A40">
        <w:rPr>
          <w:lang w:val="hu-HU"/>
        </w:rPr>
        <w:t>i eredményei</w:t>
      </w:r>
    </w:p>
    <w:tbl>
      <w:tblPr>
        <w:tblW w:w="0" w:type="auto"/>
        <w:tblInd w:w="-5" w:type="dxa"/>
        <w:tblLayout w:type="fixed"/>
        <w:tblCellMar>
          <w:left w:w="0" w:type="dxa"/>
          <w:right w:w="0" w:type="dxa"/>
        </w:tblCellMar>
        <w:tblLook w:val="0000" w:firstRow="0" w:lastRow="0" w:firstColumn="0" w:lastColumn="0" w:noHBand="0" w:noVBand="0"/>
      </w:tblPr>
      <w:tblGrid>
        <w:gridCol w:w="6183"/>
        <w:gridCol w:w="1657"/>
        <w:gridCol w:w="1347"/>
      </w:tblGrid>
      <w:tr w:rsidR="002D66F3" w:rsidRPr="00360A40" w14:paraId="5BA60E41" w14:textId="77777777" w:rsidTr="00D25F36">
        <w:trPr>
          <w:cantSplit/>
        </w:trPr>
        <w:tc>
          <w:tcPr>
            <w:tcW w:w="6183" w:type="dxa"/>
            <w:tcBorders>
              <w:top w:val="single" w:sz="4" w:space="0" w:color="000000"/>
              <w:left w:val="single" w:sz="4" w:space="0" w:color="000000"/>
              <w:bottom w:val="single" w:sz="4" w:space="0" w:color="000000"/>
              <w:right w:val="single" w:sz="4" w:space="0" w:color="000000"/>
            </w:tcBorders>
          </w:tcPr>
          <w:p w14:paraId="353E4CD9" w14:textId="77777777" w:rsidR="002D66F3" w:rsidRPr="00360A40" w:rsidRDefault="002D66F3" w:rsidP="00360A40">
            <w:pPr>
              <w:rPr>
                <w:sz w:val="22"/>
                <w:szCs w:val="22"/>
                <w:lang w:val="hu-HU"/>
              </w:rPr>
            </w:pPr>
          </w:p>
        </w:tc>
        <w:tc>
          <w:tcPr>
            <w:tcW w:w="1657" w:type="dxa"/>
            <w:tcBorders>
              <w:top w:val="single" w:sz="4" w:space="0" w:color="000000"/>
              <w:left w:val="single" w:sz="4" w:space="0" w:color="000000"/>
              <w:bottom w:val="single" w:sz="4" w:space="0" w:color="000000"/>
              <w:right w:val="single" w:sz="4" w:space="0" w:color="000000"/>
            </w:tcBorders>
          </w:tcPr>
          <w:p w14:paraId="3217040A" w14:textId="0D92F474" w:rsidR="002D66F3" w:rsidRPr="00360A40" w:rsidRDefault="002D66F3" w:rsidP="00360A40">
            <w:pPr>
              <w:pStyle w:val="TableParagraph"/>
              <w:kinsoku w:val="0"/>
              <w:overflowPunct w:val="0"/>
              <w:ind w:left="461" w:hanging="214"/>
              <w:rPr>
                <w:sz w:val="22"/>
                <w:szCs w:val="22"/>
                <w:lang w:val="hu-HU"/>
              </w:rPr>
            </w:pPr>
            <w:r w:rsidRPr="00360A40">
              <w:rPr>
                <w:sz w:val="22"/>
                <w:szCs w:val="22"/>
                <w:lang w:val="hu-HU"/>
              </w:rPr>
              <w:t>Eltrombopag N</w:t>
            </w:r>
            <w:r w:rsidR="00843337" w:rsidRPr="00360A40">
              <w:rPr>
                <w:sz w:val="22"/>
                <w:szCs w:val="22"/>
                <w:lang w:val="hu-HU"/>
              </w:rPr>
              <w:t> </w:t>
            </w:r>
            <w:r w:rsidRPr="00360A40">
              <w:rPr>
                <w:sz w:val="22"/>
                <w:szCs w:val="22"/>
                <w:lang w:val="hu-HU"/>
              </w:rPr>
              <w:t>=</w:t>
            </w:r>
            <w:r w:rsidR="00843337" w:rsidRPr="00360A40">
              <w:rPr>
                <w:sz w:val="22"/>
                <w:szCs w:val="22"/>
                <w:lang w:val="hu-HU"/>
              </w:rPr>
              <w:t> </w:t>
            </w:r>
            <w:r w:rsidRPr="00360A40">
              <w:rPr>
                <w:sz w:val="22"/>
                <w:szCs w:val="22"/>
                <w:lang w:val="hu-HU"/>
              </w:rPr>
              <w:t>135</w:t>
            </w:r>
          </w:p>
        </w:tc>
        <w:tc>
          <w:tcPr>
            <w:tcW w:w="1347" w:type="dxa"/>
            <w:tcBorders>
              <w:top w:val="single" w:sz="4" w:space="0" w:color="000000"/>
              <w:left w:val="single" w:sz="4" w:space="0" w:color="000000"/>
              <w:bottom w:val="single" w:sz="4" w:space="0" w:color="000000"/>
              <w:right w:val="single" w:sz="4" w:space="0" w:color="000000"/>
            </w:tcBorders>
          </w:tcPr>
          <w:p w14:paraId="3802B9FE" w14:textId="2039C29D" w:rsidR="002D66F3" w:rsidRPr="00360A40" w:rsidRDefault="002D66F3" w:rsidP="00360A40">
            <w:pPr>
              <w:pStyle w:val="TableParagraph"/>
              <w:kinsoku w:val="0"/>
              <w:overflowPunct w:val="0"/>
              <w:ind w:left="361" w:hanging="42"/>
              <w:rPr>
                <w:sz w:val="22"/>
                <w:szCs w:val="22"/>
                <w:lang w:val="hu-HU"/>
              </w:rPr>
            </w:pPr>
            <w:r w:rsidRPr="00360A40">
              <w:rPr>
                <w:sz w:val="22"/>
                <w:szCs w:val="22"/>
                <w:lang w:val="hu-HU"/>
              </w:rPr>
              <w:t>Placebo N</w:t>
            </w:r>
            <w:r w:rsidR="00843337" w:rsidRPr="00360A40">
              <w:rPr>
                <w:sz w:val="22"/>
                <w:szCs w:val="22"/>
                <w:lang w:val="hu-HU"/>
              </w:rPr>
              <w:t> </w:t>
            </w:r>
            <w:r w:rsidRPr="00360A40">
              <w:rPr>
                <w:sz w:val="22"/>
                <w:szCs w:val="22"/>
                <w:lang w:val="hu-HU"/>
              </w:rPr>
              <w:t>=</w:t>
            </w:r>
            <w:r w:rsidR="00843337" w:rsidRPr="00360A40">
              <w:rPr>
                <w:sz w:val="22"/>
                <w:szCs w:val="22"/>
                <w:lang w:val="hu-HU"/>
              </w:rPr>
              <w:t> </w:t>
            </w:r>
            <w:r w:rsidRPr="00360A40">
              <w:rPr>
                <w:sz w:val="22"/>
                <w:szCs w:val="22"/>
                <w:lang w:val="hu-HU"/>
              </w:rPr>
              <w:t>62</w:t>
            </w:r>
          </w:p>
        </w:tc>
      </w:tr>
      <w:tr w:rsidR="002D66F3" w:rsidRPr="00360A40" w14:paraId="4BFB523E" w14:textId="77777777" w:rsidTr="00D25F36">
        <w:trPr>
          <w:cantSplit/>
        </w:trPr>
        <w:tc>
          <w:tcPr>
            <w:tcW w:w="9187" w:type="dxa"/>
            <w:gridSpan w:val="3"/>
            <w:tcBorders>
              <w:top w:val="single" w:sz="4" w:space="0" w:color="000000"/>
              <w:left w:val="single" w:sz="4" w:space="0" w:color="000000"/>
              <w:bottom w:val="single" w:sz="4" w:space="0" w:color="000000"/>
              <w:right w:val="single" w:sz="4" w:space="0" w:color="000000"/>
            </w:tcBorders>
          </w:tcPr>
          <w:p w14:paraId="0C7DAA4F"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legfontosabb másodlagos végpontok</w:t>
            </w:r>
          </w:p>
        </w:tc>
      </w:tr>
      <w:tr w:rsidR="002D66F3" w:rsidRPr="00360A40" w14:paraId="3127BF53" w14:textId="77777777" w:rsidTr="00D25F36">
        <w:trPr>
          <w:cantSplit/>
        </w:trPr>
        <w:tc>
          <w:tcPr>
            <w:tcW w:w="6183" w:type="dxa"/>
            <w:tcBorders>
              <w:top w:val="single" w:sz="4" w:space="0" w:color="000000"/>
              <w:left w:val="single" w:sz="4" w:space="0" w:color="000000"/>
              <w:bottom w:val="single" w:sz="4" w:space="0" w:color="000000"/>
              <w:right w:val="single" w:sz="4" w:space="0" w:color="000000"/>
            </w:tcBorders>
          </w:tcPr>
          <w:p w14:paraId="038F018C" w14:textId="69D39287" w:rsidR="002D66F3" w:rsidRPr="00360A40" w:rsidRDefault="002D66F3" w:rsidP="00360A40">
            <w:pPr>
              <w:pStyle w:val="TableParagraph"/>
              <w:kinsoku w:val="0"/>
              <w:overflowPunct w:val="0"/>
              <w:ind w:left="102"/>
              <w:rPr>
                <w:sz w:val="22"/>
                <w:szCs w:val="22"/>
                <w:lang w:val="hu-HU"/>
              </w:rPr>
            </w:pPr>
            <w:r w:rsidRPr="00360A40">
              <w:rPr>
                <w:sz w:val="22"/>
                <w:szCs w:val="22"/>
                <w:lang w:val="hu-HU"/>
              </w:rPr>
              <w:t>Kumulatív hetek száma</w:t>
            </w:r>
            <w:r w:rsidR="00843337" w:rsidRPr="00360A40">
              <w:rPr>
                <w:sz w:val="22"/>
                <w:szCs w:val="22"/>
                <w:lang w:val="hu-HU"/>
              </w:rPr>
              <w:t xml:space="preserve"> </w:t>
            </w:r>
            <w:r w:rsidR="00BD4335" w:rsidRPr="00360A40">
              <w:rPr>
                <w:sz w:val="22"/>
                <w:szCs w:val="22"/>
                <w:lang w:val="hu-HU"/>
              </w:rPr>
              <w:t>≥</w:t>
            </w:r>
            <w:r w:rsidR="00BD4335">
              <w:rPr>
                <w:sz w:val="22"/>
                <w:szCs w:val="22"/>
                <w:lang w:val="hu-HU"/>
              </w:rPr>
              <w:t xml:space="preserve"> </w:t>
            </w:r>
            <w:r w:rsidRPr="00360A40">
              <w:rPr>
                <w:sz w:val="22"/>
                <w:szCs w:val="22"/>
                <w:lang w:val="hu-HU"/>
              </w:rPr>
              <w:t>50</w:t>
            </w:r>
            <w:r w:rsidR="00843337" w:rsidRPr="00360A40">
              <w:rPr>
                <w:sz w:val="22"/>
                <w:szCs w:val="22"/>
                <w:lang w:val="hu-HU"/>
              </w:rPr>
              <w:t> </w:t>
            </w:r>
            <w:r w:rsidRPr="00360A40">
              <w:rPr>
                <w:sz w:val="22"/>
                <w:szCs w:val="22"/>
                <w:lang w:val="hu-HU"/>
              </w:rPr>
              <w:t>000–400</w:t>
            </w:r>
            <w:r w:rsidR="00843337" w:rsidRPr="00360A40">
              <w:rPr>
                <w:sz w:val="22"/>
                <w:szCs w:val="22"/>
                <w:lang w:val="hu-HU"/>
              </w:rPr>
              <w:t> </w:t>
            </w:r>
            <w:r w:rsidRPr="00360A40">
              <w:rPr>
                <w:sz w:val="22"/>
                <w:szCs w:val="22"/>
                <w:lang w:val="hu-HU"/>
              </w:rPr>
              <w:t>000/µl vérlemezkeszámmal, átlagérték (SD)</w:t>
            </w:r>
          </w:p>
        </w:tc>
        <w:tc>
          <w:tcPr>
            <w:tcW w:w="1657" w:type="dxa"/>
            <w:tcBorders>
              <w:top w:val="single" w:sz="4" w:space="0" w:color="000000"/>
              <w:left w:val="single" w:sz="4" w:space="0" w:color="000000"/>
              <w:bottom w:val="single" w:sz="4" w:space="0" w:color="000000"/>
              <w:right w:val="single" w:sz="4" w:space="0" w:color="000000"/>
            </w:tcBorders>
          </w:tcPr>
          <w:p w14:paraId="203B165A" w14:textId="77777777" w:rsidR="002D66F3" w:rsidRPr="00360A40" w:rsidRDefault="002D66F3" w:rsidP="00360A40">
            <w:pPr>
              <w:pStyle w:val="TableParagraph"/>
              <w:kinsoku w:val="0"/>
              <w:overflowPunct w:val="0"/>
              <w:ind w:left="336"/>
              <w:rPr>
                <w:sz w:val="22"/>
                <w:szCs w:val="22"/>
                <w:lang w:val="hu-HU"/>
              </w:rPr>
            </w:pPr>
            <w:r w:rsidRPr="00360A40">
              <w:rPr>
                <w:sz w:val="22"/>
                <w:szCs w:val="22"/>
                <w:lang w:val="hu-HU"/>
              </w:rPr>
              <w:t>11,3 (9,46)</w:t>
            </w:r>
          </w:p>
        </w:tc>
        <w:tc>
          <w:tcPr>
            <w:tcW w:w="1347" w:type="dxa"/>
            <w:tcBorders>
              <w:top w:val="single" w:sz="4" w:space="0" w:color="000000"/>
              <w:left w:val="single" w:sz="4" w:space="0" w:color="000000"/>
              <w:bottom w:val="single" w:sz="4" w:space="0" w:color="000000"/>
              <w:right w:val="single" w:sz="4" w:space="0" w:color="000000"/>
            </w:tcBorders>
          </w:tcPr>
          <w:p w14:paraId="15D540E8" w14:textId="77777777" w:rsidR="002D66F3" w:rsidRPr="00360A40" w:rsidRDefault="002D66F3" w:rsidP="00360A40">
            <w:pPr>
              <w:pStyle w:val="TableParagraph"/>
              <w:kinsoku w:val="0"/>
              <w:overflowPunct w:val="0"/>
              <w:ind w:left="236"/>
              <w:rPr>
                <w:sz w:val="22"/>
                <w:szCs w:val="22"/>
                <w:lang w:val="hu-HU"/>
              </w:rPr>
            </w:pPr>
            <w:r w:rsidRPr="00360A40">
              <w:rPr>
                <w:sz w:val="22"/>
                <w:szCs w:val="22"/>
                <w:lang w:val="hu-HU"/>
              </w:rPr>
              <w:t>2,4 (5,95)</w:t>
            </w:r>
          </w:p>
        </w:tc>
      </w:tr>
      <w:tr w:rsidR="002D66F3" w:rsidRPr="00360A40" w14:paraId="4247F128" w14:textId="77777777" w:rsidTr="00D25F36">
        <w:trPr>
          <w:cantSplit/>
        </w:trPr>
        <w:tc>
          <w:tcPr>
            <w:tcW w:w="6183" w:type="dxa"/>
            <w:vMerge w:val="restart"/>
            <w:tcBorders>
              <w:top w:val="single" w:sz="4" w:space="0" w:color="000000"/>
              <w:left w:val="single" w:sz="4" w:space="0" w:color="000000"/>
              <w:bottom w:val="single" w:sz="4" w:space="0" w:color="000000"/>
              <w:right w:val="single" w:sz="4" w:space="0" w:color="000000"/>
            </w:tcBorders>
          </w:tcPr>
          <w:p w14:paraId="5CE3B216" w14:textId="74A92A0B" w:rsidR="002D66F3" w:rsidRPr="00360A40" w:rsidRDefault="002D66F3" w:rsidP="00360A40">
            <w:pPr>
              <w:pStyle w:val="TableParagraph"/>
              <w:kinsoku w:val="0"/>
              <w:overflowPunct w:val="0"/>
              <w:ind w:left="102"/>
              <w:rPr>
                <w:sz w:val="22"/>
                <w:szCs w:val="22"/>
                <w:lang w:val="hu-HU"/>
              </w:rPr>
            </w:pPr>
            <w:r w:rsidRPr="00360A40">
              <w:rPr>
                <w:sz w:val="22"/>
                <w:szCs w:val="22"/>
                <w:lang w:val="hu-HU"/>
              </w:rPr>
              <w:t>Betegek, akiknél a mért értékek ≥</w:t>
            </w:r>
            <w:r w:rsidR="00843337" w:rsidRPr="00360A40">
              <w:rPr>
                <w:sz w:val="22"/>
                <w:szCs w:val="22"/>
                <w:lang w:val="hu-HU"/>
              </w:rPr>
              <w:t> </w:t>
            </w:r>
            <w:r w:rsidRPr="00360A40">
              <w:rPr>
                <w:sz w:val="22"/>
                <w:szCs w:val="22"/>
                <w:lang w:val="hu-HU"/>
              </w:rPr>
              <w:t>75%-a a megcélzott tartományban (50</w:t>
            </w:r>
            <w:r w:rsidR="00843337" w:rsidRPr="00360A40">
              <w:rPr>
                <w:sz w:val="22"/>
                <w:szCs w:val="22"/>
                <w:lang w:val="hu-HU"/>
              </w:rPr>
              <w:t> </w:t>
            </w:r>
            <w:r w:rsidRPr="00360A40">
              <w:rPr>
                <w:sz w:val="22"/>
                <w:szCs w:val="22"/>
                <w:lang w:val="hu-HU"/>
              </w:rPr>
              <w:t>000–400</w:t>
            </w:r>
            <w:r w:rsidR="00843337" w:rsidRPr="00360A40">
              <w:rPr>
                <w:sz w:val="22"/>
                <w:szCs w:val="22"/>
                <w:lang w:val="hu-HU"/>
              </w:rPr>
              <w:t> </w:t>
            </w:r>
            <w:r w:rsidRPr="00360A40">
              <w:rPr>
                <w:sz w:val="22"/>
                <w:szCs w:val="22"/>
                <w:lang w:val="hu-HU"/>
              </w:rPr>
              <w:t>000/</w:t>
            </w:r>
            <w:r w:rsidR="00BD4335" w:rsidRPr="00360A40">
              <w:rPr>
                <w:sz w:val="22"/>
                <w:szCs w:val="22"/>
                <w:lang w:val="hu-HU"/>
              </w:rPr>
              <w:t>µ</w:t>
            </w:r>
            <w:r w:rsidRPr="00360A40">
              <w:rPr>
                <w:sz w:val="22"/>
                <w:szCs w:val="22"/>
                <w:lang w:val="hu-HU"/>
              </w:rPr>
              <w:t>l) volt, n (%)</w:t>
            </w:r>
            <w:r w:rsidR="00843337" w:rsidRPr="00360A40">
              <w:rPr>
                <w:sz w:val="22"/>
                <w:szCs w:val="22"/>
                <w:lang w:val="hu-HU"/>
              </w:rPr>
              <w:t xml:space="preserve"> </w:t>
            </w:r>
          </w:p>
          <w:p w14:paraId="2633D527" w14:textId="18BEE282" w:rsidR="002D66F3" w:rsidRPr="00360A40" w:rsidRDefault="002D66F3" w:rsidP="005D57C1">
            <w:pPr>
              <w:pStyle w:val="TableParagraph"/>
              <w:kinsoku w:val="0"/>
              <w:overflowPunct w:val="0"/>
              <w:ind w:left="670"/>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657" w:type="dxa"/>
            <w:tcBorders>
              <w:top w:val="single" w:sz="4" w:space="0" w:color="000000"/>
              <w:left w:val="single" w:sz="4" w:space="0" w:color="000000"/>
              <w:bottom w:val="single" w:sz="4" w:space="0" w:color="000000"/>
              <w:right w:val="single" w:sz="4" w:space="0" w:color="000000"/>
            </w:tcBorders>
          </w:tcPr>
          <w:p w14:paraId="2D8506DF" w14:textId="77777777" w:rsidR="002D66F3" w:rsidRPr="00360A40" w:rsidRDefault="002D66F3" w:rsidP="00360A40">
            <w:pPr>
              <w:pStyle w:val="TableParagraph"/>
              <w:kinsoku w:val="0"/>
              <w:overflowPunct w:val="0"/>
              <w:ind w:left="500"/>
              <w:rPr>
                <w:sz w:val="22"/>
                <w:szCs w:val="22"/>
                <w:lang w:val="hu-HU"/>
              </w:rPr>
            </w:pPr>
            <w:r w:rsidRPr="00360A40">
              <w:rPr>
                <w:sz w:val="22"/>
                <w:szCs w:val="22"/>
                <w:lang w:val="hu-HU"/>
              </w:rPr>
              <w:t>51 (38)</w:t>
            </w:r>
          </w:p>
        </w:tc>
        <w:tc>
          <w:tcPr>
            <w:tcW w:w="1347" w:type="dxa"/>
            <w:tcBorders>
              <w:top w:val="single" w:sz="4" w:space="0" w:color="000000"/>
              <w:left w:val="single" w:sz="4" w:space="0" w:color="000000"/>
              <w:bottom w:val="single" w:sz="4" w:space="0" w:color="000000"/>
              <w:right w:val="single" w:sz="4" w:space="0" w:color="000000"/>
            </w:tcBorders>
          </w:tcPr>
          <w:p w14:paraId="63655A59" w14:textId="77777777" w:rsidR="002D66F3" w:rsidRPr="00360A40" w:rsidRDefault="002D66F3" w:rsidP="00360A40">
            <w:pPr>
              <w:pStyle w:val="TableParagraph"/>
              <w:kinsoku w:val="0"/>
              <w:overflowPunct w:val="0"/>
              <w:rPr>
                <w:sz w:val="22"/>
                <w:szCs w:val="22"/>
                <w:lang w:val="hu-HU"/>
              </w:rPr>
            </w:pPr>
            <w:r w:rsidRPr="00360A40">
              <w:rPr>
                <w:sz w:val="22"/>
                <w:szCs w:val="22"/>
                <w:lang w:val="hu-HU"/>
              </w:rPr>
              <w:t>4 (7)</w:t>
            </w:r>
          </w:p>
        </w:tc>
      </w:tr>
      <w:tr w:rsidR="002D66F3" w:rsidRPr="00360A40" w14:paraId="5829AF03" w14:textId="77777777" w:rsidTr="00D25F36">
        <w:trPr>
          <w:cantSplit/>
        </w:trPr>
        <w:tc>
          <w:tcPr>
            <w:tcW w:w="6183" w:type="dxa"/>
            <w:vMerge/>
            <w:tcBorders>
              <w:top w:val="single" w:sz="4" w:space="0" w:color="000000"/>
              <w:left w:val="single" w:sz="4" w:space="0" w:color="000000"/>
              <w:bottom w:val="single" w:sz="4" w:space="0" w:color="000000"/>
              <w:right w:val="single" w:sz="4" w:space="0" w:color="000000"/>
            </w:tcBorders>
          </w:tcPr>
          <w:p w14:paraId="5CFB69CA" w14:textId="77777777" w:rsidR="002D66F3" w:rsidRPr="00360A40" w:rsidRDefault="002D66F3" w:rsidP="00360A40">
            <w:pPr>
              <w:pStyle w:val="TableParagraph"/>
              <w:kinsoku w:val="0"/>
              <w:overflowPunct w:val="0"/>
              <w:rPr>
                <w:sz w:val="22"/>
                <w:szCs w:val="22"/>
                <w:lang w:val="hu-HU"/>
              </w:rPr>
            </w:pPr>
          </w:p>
        </w:tc>
        <w:tc>
          <w:tcPr>
            <w:tcW w:w="3004" w:type="dxa"/>
            <w:gridSpan w:val="2"/>
            <w:tcBorders>
              <w:top w:val="single" w:sz="4" w:space="0" w:color="000000"/>
              <w:left w:val="single" w:sz="4" w:space="0" w:color="000000"/>
              <w:bottom w:val="single" w:sz="4" w:space="0" w:color="000000"/>
              <w:right w:val="single" w:sz="4" w:space="0" w:color="000000"/>
            </w:tcBorders>
          </w:tcPr>
          <w:p w14:paraId="3416578E"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&lt; 0,001</w:t>
            </w:r>
          </w:p>
        </w:tc>
      </w:tr>
      <w:tr w:rsidR="002D66F3" w:rsidRPr="00360A40" w14:paraId="41F78988" w14:textId="77777777" w:rsidTr="00D25F36">
        <w:trPr>
          <w:cantSplit/>
        </w:trPr>
        <w:tc>
          <w:tcPr>
            <w:tcW w:w="6183" w:type="dxa"/>
            <w:vMerge w:val="restart"/>
            <w:tcBorders>
              <w:top w:val="single" w:sz="4" w:space="0" w:color="000000"/>
              <w:left w:val="single" w:sz="4" w:space="0" w:color="000000"/>
              <w:bottom w:val="single" w:sz="4" w:space="0" w:color="000000"/>
              <w:right w:val="single" w:sz="4" w:space="0" w:color="000000"/>
            </w:tcBorders>
          </w:tcPr>
          <w:p w14:paraId="522BEA6B" w14:textId="715D5300" w:rsidR="002D66F3" w:rsidRPr="00360A40" w:rsidRDefault="002D66F3" w:rsidP="00360A40">
            <w:pPr>
              <w:pStyle w:val="TableParagraph"/>
              <w:kinsoku w:val="0"/>
              <w:overflowPunct w:val="0"/>
              <w:ind w:left="102"/>
              <w:rPr>
                <w:sz w:val="22"/>
                <w:szCs w:val="22"/>
                <w:lang w:val="hu-HU"/>
              </w:rPr>
            </w:pPr>
            <w:r w:rsidRPr="00360A40">
              <w:rPr>
                <w:sz w:val="22"/>
                <w:szCs w:val="22"/>
                <w:lang w:val="hu-HU"/>
              </w:rPr>
              <w:t>Betegek, akiknél vérzés jelentkezett (WHO 1–4.</w:t>
            </w:r>
            <w:r w:rsidR="00602004" w:rsidRPr="00360A40">
              <w:rPr>
                <w:sz w:val="22"/>
                <w:szCs w:val="22"/>
                <w:lang w:val="hu-HU"/>
              </w:rPr>
              <w:t> </w:t>
            </w:r>
            <w:r w:rsidRPr="00360A40">
              <w:rPr>
                <w:sz w:val="22"/>
                <w:szCs w:val="22"/>
                <w:lang w:val="hu-HU"/>
              </w:rPr>
              <w:t>fokozat) bármikor a 6 hónap során, n (%)</w:t>
            </w:r>
          </w:p>
          <w:p w14:paraId="79CCED06" w14:textId="6E04481A" w:rsidR="002D66F3" w:rsidRPr="00360A40" w:rsidRDefault="002D66F3" w:rsidP="005D57C1">
            <w:pPr>
              <w:pStyle w:val="TableParagraph"/>
              <w:kinsoku w:val="0"/>
              <w:overflowPunct w:val="0"/>
              <w:ind w:left="670"/>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657" w:type="dxa"/>
            <w:tcBorders>
              <w:top w:val="single" w:sz="4" w:space="0" w:color="000000"/>
              <w:left w:val="single" w:sz="4" w:space="0" w:color="000000"/>
              <w:bottom w:val="single" w:sz="4" w:space="0" w:color="000000"/>
              <w:right w:val="single" w:sz="4" w:space="0" w:color="000000"/>
            </w:tcBorders>
          </w:tcPr>
          <w:p w14:paraId="45ADFD6F" w14:textId="77777777" w:rsidR="002D66F3" w:rsidRPr="00360A40" w:rsidRDefault="002D66F3" w:rsidP="00360A40">
            <w:pPr>
              <w:pStyle w:val="TableParagraph"/>
              <w:kinsoku w:val="0"/>
              <w:overflowPunct w:val="0"/>
              <w:ind w:left="446"/>
              <w:rPr>
                <w:sz w:val="22"/>
                <w:szCs w:val="22"/>
                <w:lang w:val="hu-HU"/>
              </w:rPr>
            </w:pPr>
            <w:r w:rsidRPr="00360A40">
              <w:rPr>
                <w:sz w:val="22"/>
                <w:szCs w:val="22"/>
                <w:lang w:val="hu-HU"/>
              </w:rPr>
              <w:t>106 (79)</w:t>
            </w:r>
          </w:p>
        </w:tc>
        <w:tc>
          <w:tcPr>
            <w:tcW w:w="1347" w:type="dxa"/>
            <w:tcBorders>
              <w:top w:val="single" w:sz="4" w:space="0" w:color="000000"/>
              <w:left w:val="single" w:sz="4" w:space="0" w:color="000000"/>
              <w:bottom w:val="single" w:sz="4" w:space="0" w:color="000000"/>
              <w:right w:val="single" w:sz="4" w:space="0" w:color="000000"/>
            </w:tcBorders>
          </w:tcPr>
          <w:p w14:paraId="3EE067B6" w14:textId="77777777" w:rsidR="002D66F3" w:rsidRPr="00360A40" w:rsidRDefault="002D66F3" w:rsidP="00360A40">
            <w:pPr>
              <w:pStyle w:val="TableParagraph"/>
              <w:kinsoku w:val="0"/>
              <w:overflowPunct w:val="0"/>
              <w:ind w:left="346"/>
              <w:rPr>
                <w:sz w:val="22"/>
                <w:szCs w:val="22"/>
                <w:lang w:val="hu-HU"/>
              </w:rPr>
            </w:pPr>
            <w:r w:rsidRPr="00360A40">
              <w:rPr>
                <w:sz w:val="22"/>
                <w:szCs w:val="22"/>
                <w:lang w:val="hu-HU"/>
              </w:rPr>
              <w:t>56 (93)</w:t>
            </w:r>
          </w:p>
        </w:tc>
      </w:tr>
      <w:tr w:rsidR="002D66F3" w:rsidRPr="00360A40" w14:paraId="49D76688" w14:textId="77777777" w:rsidTr="00D25F36">
        <w:trPr>
          <w:cantSplit/>
        </w:trPr>
        <w:tc>
          <w:tcPr>
            <w:tcW w:w="6183" w:type="dxa"/>
            <w:vMerge/>
            <w:tcBorders>
              <w:top w:val="single" w:sz="4" w:space="0" w:color="000000"/>
              <w:left w:val="single" w:sz="4" w:space="0" w:color="000000"/>
              <w:bottom w:val="single" w:sz="4" w:space="0" w:color="000000"/>
              <w:right w:val="single" w:sz="4" w:space="0" w:color="000000"/>
            </w:tcBorders>
          </w:tcPr>
          <w:p w14:paraId="50640D22" w14:textId="77777777" w:rsidR="002D66F3" w:rsidRPr="00360A40" w:rsidRDefault="002D66F3" w:rsidP="00360A40">
            <w:pPr>
              <w:pStyle w:val="TableParagraph"/>
              <w:kinsoku w:val="0"/>
              <w:overflowPunct w:val="0"/>
              <w:ind w:left="346"/>
              <w:rPr>
                <w:sz w:val="22"/>
                <w:szCs w:val="22"/>
                <w:lang w:val="hu-HU"/>
              </w:rPr>
            </w:pPr>
          </w:p>
        </w:tc>
        <w:tc>
          <w:tcPr>
            <w:tcW w:w="3004" w:type="dxa"/>
            <w:gridSpan w:val="2"/>
            <w:tcBorders>
              <w:top w:val="single" w:sz="4" w:space="0" w:color="000000"/>
              <w:left w:val="single" w:sz="4" w:space="0" w:color="000000"/>
              <w:bottom w:val="single" w:sz="4" w:space="0" w:color="000000"/>
              <w:right w:val="single" w:sz="4" w:space="0" w:color="000000"/>
            </w:tcBorders>
          </w:tcPr>
          <w:p w14:paraId="2958AC51"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0,012</w:t>
            </w:r>
          </w:p>
        </w:tc>
      </w:tr>
      <w:tr w:rsidR="002D66F3" w:rsidRPr="00360A40" w14:paraId="733FDDD9" w14:textId="77777777" w:rsidTr="00D25F36">
        <w:trPr>
          <w:cantSplit/>
        </w:trPr>
        <w:tc>
          <w:tcPr>
            <w:tcW w:w="6183" w:type="dxa"/>
            <w:vMerge w:val="restart"/>
            <w:tcBorders>
              <w:top w:val="single" w:sz="4" w:space="0" w:color="000000"/>
              <w:left w:val="single" w:sz="4" w:space="0" w:color="000000"/>
              <w:bottom w:val="single" w:sz="4" w:space="0" w:color="000000"/>
              <w:right w:val="single" w:sz="4" w:space="0" w:color="000000"/>
            </w:tcBorders>
          </w:tcPr>
          <w:p w14:paraId="678557B4" w14:textId="24462242" w:rsidR="002D66F3" w:rsidRPr="00360A40" w:rsidRDefault="002D66F3" w:rsidP="00360A40">
            <w:pPr>
              <w:pStyle w:val="TableParagraph"/>
              <w:kinsoku w:val="0"/>
              <w:overflowPunct w:val="0"/>
              <w:ind w:left="102"/>
              <w:rPr>
                <w:sz w:val="22"/>
                <w:szCs w:val="22"/>
                <w:lang w:val="hu-HU"/>
              </w:rPr>
            </w:pPr>
            <w:r w:rsidRPr="00360A40">
              <w:rPr>
                <w:sz w:val="22"/>
                <w:szCs w:val="22"/>
                <w:lang w:val="hu-HU"/>
              </w:rPr>
              <w:t>Betegek, akiknél vérzés jelentkezett (WHO 2–4.</w:t>
            </w:r>
            <w:r w:rsidR="00602004" w:rsidRPr="00360A40">
              <w:rPr>
                <w:sz w:val="22"/>
                <w:szCs w:val="22"/>
                <w:lang w:val="hu-HU"/>
              </w:rPr>
              <w:t> </w:t>
            </w:r>
            <w:r w:rsidRPr="00360A40">
              <w:rPr>
                <w:sz w:val="22"/>
                <w:szCs w:val="22"/>
                <w:lang w:val="hu-HU"/>
              </w:rPr>
              <w:t>fokozat) bármikor a 6 hónap során, n (%)</w:t>
            </w:r>
          </w:p>
          <w:p w14:paraId="01828E9A" w14:textId="354EF419" w:rsidR="002D66F3" w:rsidRPr="00360A40" w:rsidRDefault="002D66F3" w:rsidP="005D57C1">
            <w:pPr>
              <w:pStyle w:val="TableParagraph"/>
              <w:kinsoku w:val="0"/>
              <w:overflowPunct w:val="0"/>
              <w:ind w:left="670"/>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657" w:type="dxa"/>
            <w:tcBorders>
              <w:top w:val="single" w:sz="4" w:space="0" w:color="000000"/>
              <w:left w:val="single" w:sz="4" w:space="0" w:color="000000"/>
              <w:bottom w:val="single" w:sz="4" w:space="0" w:color="000000"/>
              <w:right w:val="single" w:sz="4" w:space="0" w:color="000000"/>
            </w:tcBorders>
          </w:tcPr>
          <w:p w14:paraId="08A5673E" w14:textId="77777777" w:rsidR="002D66F3" w:rsidRPr="00360A40" w:rsidRDefault="002D66F3" w:rsidP="00360A40">
            <w:pPr>
              <w:pStyle w:val="TableParagraph"/>
              <w:kinsoku w:val="0"/>
              <w:overflowPunct w:val="0"/>
              <w:ind w:left="500"/>
              <w:rPr>
                <w:sz w:val="22"/>
                <w:szCs w:val="22"/>
                <w:lang w:val="hu-HU"/>
              </w:rPr>
            </w:pPr>
            <w:r w:rsidRPr="00360A40">
              <w:rPr>
                <w:sz w:val="22"/>
                <w:szCs w:val="22"/>
                <w:lang w:val="hu-HU"/>
              </w:rPr>
              <w:t>44 (33)</w:t>
            </w:r>
          </w:p>
        </w:tc>
        <w:tc>
          <w:tcPr>
            <w:tcW w:w="1347" w:type="dxa"/>
            <w:tcBorders>
              <w:top w:val="single" w:sz="4" w:space="0" w:color="000000"/>
              <w:left w:val="single" w:sz="4" w:space="0" w:color="000000"/>
              <w:bottom w:val="single" w:sz="4" w:space="0" w:color="000000"/>
              <w:right w:val="single" w:sz="4" w:space="0" w:color="000000"/>
            </w:tcBorders>
          </w:tcPr>
          <w:p w14:paraId="4C7658F7" w14:textId="77777777" w:rsidR="002D66F3" w:rsidRPr="00360A40" w:rsidRDefault="002D66F3" w:rsidP="00360A40">
            <w:pPr>
              <w:pStyle w:val="TableParagraph"/>
              <w:kinsoku w:val="0"/>
              <w:overflowPunct w:val="0"/>
              <w:ind w:left="346"/>
              <w:rPr>
                <w:sz w:val="22"/>
                <w:szCs w:val="22"/>
                <w:lang w:val="hu-HU"/>
              </w:rPr>
            </w:pPr>
            <w:r w:rsidRPr="00360A40">
              <w:rPr>
                <w:sz w:val="22"/>
                <w:szCs w:val="22"/>
                <w:lang w:val="hu-HU"/>
              </w:rPr>
              <w:t>32 (53)</w:t>
            </w:r>
          </w:p>
        </w:tc>
      </w:tr>
      <w:tr w:rsidR="002D66F3" w:rsidRPr="00360A40" w14:paraId="49EFA0BA" w14:textId="77777777" w:rsidTr="00D25F36">
        <w:trPr>
          <w:cantSplit/>
        </w:trPr>
        <w:tc>
          <w:tcPr>
            <w:tcW w:w="6183" w:type="dxa"/>
            <w:vMerge/>
            <w:tcBorders>
              <w:top w:val="single" w:sz="4" w:space="0" w:color="000000"/>
              <w:left w:val="single" w:sz="4" w:space="0" w:color="000000"/>
              <w:bottom w:val="single" w:sz="4" w:space="0" w:color="000000"/>
              <w:right w:val="single" w:sz="4" w:space="0" w:color="000000"/>
            </w:tcBorders>
          </w:tcPr>
          <w:p w14:paraId="742EB561" w14:textId="77777777" w:rsidR="002D66F3" w:rsidRPr="00360A40" w:rsidRDefault="002D66F3" w:rsidP="00360A40">
            <w:pPr>
              <w:pStyle w:val="TableParagraph"/>
              <w:kinsoku w:val="0"/>
              <w:overflowPunct w:val="0"/>
              <w:ind w:left="346"/>
              <w:rPr>
                <w:sz w:val="22"/>
                <w:szCs w:val="22"/>
                <w:lang w:val="hu-HU"/>
              </w:rPr>
            </w:pPr>
          </w:p>
        </w:tc>
        <w:tc>
          <w:tcPr>
            <w:tcW w:w="3004" w:type="dxa"/>
            <w:gridSpan w:val="2"/>
            <w:tcBorders>
              <w:top w:val="single" w:sz="4" w:space="0" w:color="000000"/>
              <w:left w:val="single" w:sz="4" w:space="0" w:color="000000"/>
              <w:bottom w:val="single" w:sz="4" w:space="0" w:color="000000"/>
              <w:right w:val="single" w:sz="4" w:space="0" w:color="000000"/>
            </w:tcBorders>
          </w:tcPr>
          <w:p w14:paraId="3EF14BA4"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0,002</w:t>
            </w:r>
          </w:p>
        </w:tc>
      </w:tr>
      <w:tr w:rsidR="002D66F3" w:rsidRPr="00360A40" w14:paraId="104662A9" w14:textId="77777777" w:rsidTr="00D25F36">
        <w:trPr>
          <w:cantSplit/>
        </w:trPr>
        <w:tc>
          <w:tcPr>
            <w:tcW w:w="6183" w:type="dxa"/>
            <w:vMerge w:val="restart"/>
            <w:tcBorders>
              <w:top w:val="single" w:sz="4" w:space="0" w:color="000000"/>
              <w:left w:val="single" w:sz="4" w:space="0" w:color="000000"/>
              <w:bottom w:val="single" w:sz="4" w:space="0" w:color="000000"/>
              <w:right w:val="single" w:sz="4" w:space="0" w:color="000000"/>
            </w:tcBorders>
          </w:tcPr>
          <w:p w14:paraId="08F5EAB9"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Mentő terápiát igénylő betegek, n (%)</w:t>
            </w:r>
          </w:p>
          <w:p w14:paraId="5D3A64F1" w14:textId="30F7373A" w:rsidR="002D66F3" w:rsidRPr="00360A40" w:rsidRDefault="002D66F3" w:rsidP="005D57C1">
            <w:pPr>
              <w:pStyle w:val="TableParagraph"/>
              <w:kinsoku w:val="0"/>
              <w:overflowPunct w:val="0"/>
              <w:ind w:left="670"/>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657" w:type="dxa"/>
            <w:tcBorders>
              <w:top w:val="single" w:sz="4" w:space="0" w:color="000000"/>
              <w:left w:val="single" w:sz="4" w:space="0" w:color="000000"/>
              <w:bottom w:val="single" w:sz="4" w:space="0" w:color="000000"/>
              <w:right w:val="single" w:sz="4" w:space="0" w:color="000000"/>
            </w:tcBorders>
          </w:tcPr>
          <w:p w14:paraId="243F520F" w14:textId="77777777" w:rsidR="002D66F3" w:rsidRPr="00360A40" w:rsidRDefault="002D66F3" w:rsidP="00360A40">
            <w:pPr>
              <w:pStyle w:val="TableParagraph"/>
              <w:kinsoku w:val="0"/>
              <w:overflowPunct w:val="0"/>
              <w:ind w:left="500"/>
              <w:rPr>
                <w:sz w:val="22"/>
                <w:szCs w:val="22"/>
                <w:lang w:val="hu-HU"/>
              </w:rPr>
            </w:pPr>
            <w:r w:rsidRPr="00360A40">
              <w:rPr>
                <w:sz w:val="22"/>
                <w:szCs w:val="22"/>
                <w:lang w:val="hu-HU"/>
              </w:rPr>
              <w:t>24 (18)</w:t>
            </w:r>
          </w:p>
        </w:tc>
        <w:tc>
          <w:tcPr>
            <w:tcW w:w="1347" w:type="dxa"/>
            <w:tcBorders>
              <w:top w:val="single" w:sz="4" w:space="0" w:color="000000"/>
              <w:left w:val="single" w:sz="4" w:space="0" w:color="000000"/>
              <w:bottom w:val="single" w:sz="4" w:space="0" w:color="000000"/>
              <w:right w:val="single" w:sz="4" w:space="0" w:color="000000"/>
            </w:tcBorders>
          </w:tcPr>
          <w:p w14:paraId="2C3BE17E" w14:textId="77777777" w:rsidR="002D66F3" w:rsidRPr="00360A40" w:rsidRDefault="002D66F3" w:rsidP="00360A40">
            <w:pPr>
              <w:pStyle w:val="TableParagraph"/>
              <w:kinsoku w:val="0"/>
              <w:overflowPunct w:val="0"/>
              <w:ind w:left="346"/>
              <w:rPr>
                <w:sz w:val="22"/>
                <w:szCs w:val="22"/>
                <w:lang w:val="hu-HU"/>
              </w:rPr>
            </w:pPr>
            <w:r w:rsidRPr="00360A40">
              <w:rPr>
                <w:sz w:val="22"/>
                <w:szCs w:val="22"/>
                <w:lang w:val="hu-HU"/>
              </w:rPr>
              <w:t>25 (40)</w:t>
            </w:r>
          </w:p>
        </w:tc>
      </w:tr>
      <w:tr w:rsidR="002D66F3" w:rsidRPr="00360A40" w14:paraId="34D77342" w14:textId="77777777" w:rsidTr="00D25F36">
        <w:trPr>
          <w:cantSplit/>
        </w:trPr>
        <w:tc>
          <w:tcPr>
            <w:tcW w:w="6183" w:type="dxa"/>
            <w:vMerge/>
            <w:tcBorders>
              <w:top w:val="single" w:sz="4" w:space="0" w:color="000000"/>
              <w:left w:val="single" w:sz="4" w:space="0" w:color="000000"/>
              <w:bottom w:val="single" w:sz="4" w:space="0" w:color="000000"/>
              <w:right w:val="single" w:sz="4" w:space="0" w:color="000000"/>
            </w:tcBorders>
          </w:tcPr>
          <w:p w14:paraId="7743B699" w14:textId="77777777" w:rsidR="002D66F3" w:rsidRPr="00360A40" w:rsidRDefault="002D66F3" w:rsidP="00360A40">
            <w:pPr>
              <w:pStyle w:val="TableParagraph"/>
              <w:kinsoku w:val="0"/>
              <w:overflowPunct w:val="0"/>
              <w:ind w:left="346"/>
              <w:rPr>
                <w:sz w:val="22"/>
                <w:szCs w:val="22"/>
                <w:lang w:val="hu-HU"/>
              </w:rPr>
            </w:pPr>
          </w:p>
        </w:tc>
        <w:tc>
          <w:tcPr>
            <w:tcW w:w="3004" w:type="dxa"/>
            <w:gridSpan w:val="2"/>
            <w:tcBorders>
              <w:top w:val="single" w:sz="4" w:space="0" w:color="000000"/>
              <w:left w:val="single" w:sz="4" w:space="0" w:color="000000"/>
              <w:bottom w:val="single" w:sz="4" w:space="0" w:color="000000"/>
              <w:right w:val="single" w:sz="4" w:space="0" w:color="000000"/>
            </w:tcBorders>
          </w:tcPr>
          <w:p w14:paraId="7BC0F72D"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0,001</w:t>
            </w:r>
          </w:p>
        </w:tc>
      </w:tr>
      <w:tr w:rsidR="002D66F3" w:rsidRPr="00360A40" w14:paraId="7CCBEB04" w14:textId="77777777" w:rsidTr="00D25F36">
        <w:trPr>
          <w:cantSplit/>
        </w:trPr>
        <w:tc>
          <w:tcPr>
            <w:tcW w:w="6183" w:type="dxa"/>
            <w:tcBorders>
              <w:top w:val="single" w:sz="4" w:space="0" w:color="000000"/>
              <w:left w:val="single" w:sz="4" w:space="0" w:color="000000"/>
              <w:bottom w:val="single" w:sz="4" w:space="0" w:color="000000"/>
              <w:right w:val="single" w:sz="4" w:space="0" w:color="000000"/>
            </w:tcBorders>
          </w:tcPr>
          <w:p w14:paraId="486D72D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vizsgálat indításakor ITP miatt kezelést kapott betegek (n)</w:t>
            </w:r>
          </w:p>
        </w:tc>
        <w:tc>
          <w:tcPr>
            <w:tcW w:w="1657" w:type="dxa"/>
            <w:tcBorders>
              <w:top w:val="single" w:sz="4" w:space="0" w:color="000000"/>
              <w:left w:val="single" w:sz="4" w:space="0" w:color="000000"/>
              <w:bottom w:val="single" w:sz="4" w:space="0" w:color="000000"/>
              <w:right w:val="single" w:sz="4" w:space="0" w:color="000000"/>
            </w:tcBorders>
          </w:tcPr>
          <w:p w14:paraId="29DB36A3"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63</w:t>
            </w:r>
          </w:p>
        </w:tc>
        <w:tc>
          <w:tcPr>
            <w:tcW w:w="1347" w:type="dxa"/>
            <w:tcBorders>
              <w:top w:val="single" w:sz="4" w:space="0" w:color="000000"/>
              <w:left w:val="single" w:sz="4" w:space="0" w:color="000000"/>
              <w:bottom w:val="single" w:sz="4" w:space="0" w:color="000000"/>
              <w:right w:val="single" w:sz="4" w:space="0" w:color="000000"/>
            </w:tcBorders>
          </w:tcPr>
          <w:p w14:paraId="59CBDC36" w14:textId="77777777" w:rsidR="002D66F3" w:rsidRPr="00360A40" w:rsidRDefault="002D66F3" w:rsidP="009F4BD6">
            <w:pPr>
              <w:pStyle w:val="TableParagraph"/>
              <w:kinsoku w:val="0"/>
              <w:overflowPunct w:val="0"/>
              <w:ind w:left="1"/>
              <w:jc w:val="center"/>
              <w:rPr>
                <w:sz w:val="22"/>
                <w:szCs w:val="22"/>
                <w:lang w:val="hu-HU"/>
              </w:rPr>
            </w:pPr>
            <w:r w:rsidRPr="00360A40">
              <w:rPr>
                <w:sz w:val="22"/>
                <w:szCs w:val="22"/>
                <w:lang w:val="hu-HU"/>
              </w:rPr>
              <w:t>31</w:t>
            </w:r>
          </w:p>
        </w:tc>
      </w:tr>
      <w:tr w:rsidR="002D66F3" w:rsidRPr="00360A40" w14:paraId="0AD98498" w14:textId="77777777" w:rsidTr="00D25F36">
        <w:trPr>
          <w:cantSplit/>
        </w:trPr>
        <w:tc>
          <w:tcPr>
            <w:tcW w:w="6183" w:type="dxa"/>
            <w:vMerge w:val="restart"/>
            <w:tcBorders>
              <w:top w:val="single" w:sz="4" w:space="0" w:color="000000"/>
              <w:left w:val="single" w:sz="4" w:space="0" w:color="000000"/>
              <w:bottom w:val="single" w:sz="4" w:space="0" w:color="000000"/>
              <w:right w:val="single" w:sz="4" w:space="0" w:color="000000"/>
            </w:tcBorders>
          </w:tcPr>
          <w:p w14:paraId="3603EBC5"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vizsgálat indításakor kapott gyógyszerek csökkentését vagy abbahagyását megpróbáló betegek, n (%)</w:t>
            </w:r>
            <w:r w:rsidRPr="009F4BD6">
              <w:rPr>
                <w:sz w:val="22"/>
                <w:szCs w:val="22"/>
                <w:vertAlign w:val="superscript"/>
                <w:lang w:val="hu-HU"/>
              </w:rPr>
              <w:t>b</w:t>
            </w:r>
          </w:p>
          <w:p w14:paraId="4F78AD05" w14:textId="170E853D" w:rsidR="002D66F3" w:rsidRPr="00360A40" w:rsidRDefault="002D66F3" w:rsidP="005D57C1">
            <w:pPr>
              <w:pStyle w:val="TableParagraph"/>
              <w:kinsoku w:val="0"/>
              <w:overflowPunct w:val="0"/>
              <w:ind w:left="670"/>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657" w:type="dxa"/>
            <w:tcBorders>
              <w:top w:val="single" w:sz="4" w:space="0" w:color="000000"/>
              <w:left w:val="single" w:sz="4" w:space="0" w:color="000000"/>
              <w:bottom w:val="single" w:sz="4" w:space="0" w:color="000000"/>
              <w:right w:val="single" w:sz="4" w:space="0" w:color="000000"/>
            </w:tcBorders>
          </w:tcPr>
          <w:p w14:paraId="63928B74" w14:textId="77777777" w:rsidR="002D66F3" w:rsidRPr="00360A40" w:rsidRDefault="002D66F3" w:rsidP="00360A40">
            <w:pPr>
              <w:pStyle w:val="TableParagraph"/>
              <w:kinsoku w:val="0"/>
              <w:overflowPunct w:val="0"/>
              <w:ind w:left="500"/>
              <w:rPr>
                <w:sz w:val="22"/>
                <w:szCs w:val="22"/>
                <w:lang w:val="hu-HU"/>
              </w:rPr>
            </w:pPr>
            <w:r w:rsidRPr="00360A40">
              <w:rPr>
                <w:sz w:val="22"/>
                <w:szCs w:val="22"/>
                <w:lang w:val="hu-HU"/>
              </w:rPr>
              <w:t>37 (59)</w:t>
            </w:r>
          </w:p>
        </w:tc>
        <w:tc>
          <w:tcPr>
            <w:tcW w:w="1347" w:type="dxa"/>
            <w:tcBorders>
              <w:top w:val="single" w:sz="4" w:space="0" w:color="000000"/>
              <w:left w:val="single" w:sz="4" w:space="0" w:color="000000"/>
              <w:bottom w:val="single" w:sz="4" w:space="0" w:color="000000"/>
              <w:right w:val="single" w:sz="4" w:space="0" w:color="000000"/>
            </w:tcBorders>
          </w:tcPr>
          <w:p w14:paraId="07FCDDE6" w14:textId="77777777" w:rsidR="002D66F3" w:rsidRPr="00360A40" w:rsidRDefault="002D66F3" w:rsidP="00360A40">
            <w:pPr>
              <w:pStyle w:val="TableParagraph"/>
              <w:kinsoku w:val="0"/>
              <w:overflowPunct w:val="0"/>
              <w:ind w:left="346"/>
              <w:rPr>
                <w:sz w:val="22"/>
                <w:szCs w:val="22"/>
                <w:lang w:val="hu-HU"/>
              </w:rPr>
            </w:pPr>
            <w:r w:rsidRPr="00360A40">
              <w:rPr>
                <w:sz w:val="22"/>
                <w:szCs w:val="22"/>
                <w:lang w:val="hu-HU"/>
              </w:rPr>
              <w:t>10 (32)</w:t>
            </w:r>
          </w:p>
        </w:tc>
      </w:tr>
      <w:tr w:rsidR="002D66F3" w:rsidRPr="00360A40" w14:paraId="4A8BFC91" w14:textId="77777777" w:rsidTr="00D25F36">
        <w:trPr>
          <w:cantSplit/>
        </w:trPr>
        <w:tc>
          <w:tcPr>
            <w:tcW w:w="6183" w:type="dxa"/>
            <w:vMerge/>
            <w:tcBorders>
              <w:top w:val="single" w:sz="4" w:space="0" w:color="000000"/>
              <w:left w:val="single" w:sz="4" w:space="0" w:color="000000"/>
              <w:bottom w:val="single" w:sz="4" w:space="0" w:color="000000"/>
              <w:right w:val="single" w:sz="4" w:space="0" w:color="000000"/>
            </w:tcBorders>
          </w:tcPr>
          <w:p w14:paraId="55C06BFF" w14:textId="77777777" w:rsidR="002D66F3" w:rsidRPr="00360A40" w:rsidRDefault="002D66F3" w:rsidP="00360A40">
            <w:pPr>
              <w:pStyle w:val="TableParagraph"/>
              <w:kinsoku w:val="0"/>
              <w:overflowPunct w:val="0"/>
              <w:ind w:left="346"/>
              <w:rPr>
                <w:sz w:val="22"/>
                <w:szCs w:val="22"/>
                <w:lang w:val="hu-HU"/>
              </w:rPr>
            </w:pPr>
          </w:p>
        </w:tc>
        <w:tc>
          <w:tcPr>
            <w:tcW w:w="3004" w:type="dxa"/>
            <w:gridSpan w:val="2"/>
            <w:tcBorders>
              <w:top w:val="single" w:sz="4" w:space="0" w:color="000000"/>
              <w:left w:val="single" w:sz="4" w:space="0" w:color="000000"/>
              <w:bottom w:val="single" w:sz="4" w:space="0" w:color="000000"/>
              <w:right w:val="single" w:sz="4" w:space="0" w:color="000000"/>
            </w:tcBorders>
          </w:tcPr>
          <w:p w14:paraId="51FBF8FE"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0,016</w:t>
            </w:r>
          </w:p>
        </w:tc>
      </w:tr>
    </w:tbl>
    <w:p w14:paraId="77652DC6" w14:textId="77777777" w:rsidR="002D66F3" w:rsidRPr="00360A40" w:rsidRDefault="002D66F3" w:rsidP="00360A40">
      <w:pPr>
        <w:pStyle w:val="Szvegtrzs"/>
        <w:numPr>
          <w:ilvl w:val="0"/>
          <w:numId w:val="6"/>
        </w:numPr>
        <w:kinsoku w:val="0"/>
        <w:overflowPunct w:val="0"/>
        <w:ind w:left="567" w:hanging="567"/>
        <w:rPr>
          <w:lang w:val="hu-HU"/>
        </w:rPr>
      </w:pPr>
      <w:r w:rsidRPr="00360A40">
        <w:rPr>
          <w:lang w:val="hu-HU"/>
        </w:rPr>
        <w:t>Randomizációs stratifikációs változókkal korrigált logisztikai regressziós modell</w:t>
      </w:r>
    </w:p>
    <w:p w14:paraId="7F9A02BB" w14:textId="3ABFFF80" w:rsidR="002D66F3" w:rsidRPr="00360A40" w:rsidRDefault="002D66F3" w:rsidP="00360A40">
      <w:pPr>
        <w:pStyle w:val="Szvegtrzs"/>
        <w:numPr>
          <w:ilvl w:val="0"/>
          <w:numId w:val="6"/>
        </w:numPr>
        <w:kinsoku w:val="0"/>
        <w:overflowPunct w:val="0"/>
        <w:ind w:left="567" w:hanging="567"/>
        <w:rPr>
          <w:lang w:val="hu-HU"/>
        </w:rPr>
      </w:pPr>
      <w:r w:rsidRPr="00360A40">
        <w:rPr>
          <w:lang w:val="hu-HU"/>
        </w:rPr>
        <w:t>Az eltrombopaggal kezelt 63</w:t>
      </w:r>
      <w:r w:rsidR="00843337" w:rsidRPr="00360A40">
        <w:rPr>
          <w:lang w:val="hu-HU"/>
        </w:rPr>
        <w:t> </w:t>
      </w:r>
      <w:r w:rsidRPr="00360A40">
        <w:rPr>
          <w:lang w:val="hu-HU"/>
        </w:rPr>
        <w:t>beteg közül, akik a vizsgálat indításakor az ITP kezelésére gyógyszert szedtek, 21 (33%) tartósan abbahagyta az összes, kiinduláskor ITP-re alkalmazott gyógyszert.</w:t>
      </w:r>
    </w:p>
    <w:p w14:paraId="5267BF3C" w14:textId="77777777" w:rsidR="002D66F3" w:rsidRPr="00360A40" w:rsidRDefault="002D66F3" w:rsidP="00360A40">
      <w:pPr>
        <w:pStyle w:val="Szvegtrzs"/>
        <w:kinsoku w:val="0"/>
        <w:overflowPunct w:val="0"/>
        <w:ind w:left="0"/>
        <w:rPr>
          <w:lang w:val="hu-HU"/>
        </w:rPr>
      </w:pPr>
    </w:p>
    <w:p w14:paraId="47DAFBE4" w14:textId="3E31D34E" w:rsidR="002D66F3" w:rsidRPr="00360A40" w:rsidRDefault="002D66F3" w:rsidP="00360A40">
      <w:pPr>
        <w:pStyle w:val="Szvegtrzs"/>
        <w:kinsoku w:val="0"/>
        <w:overflowPunct w:val="0"/>
        <w:ind w:left="0"/>
        <w:rPr>
          <w:lang w:val="hu-HU"/>
        </w:rPr>
      </w:pPr>
      <w:r w:rsidRPr="00360A40">
        <w:rPr>
          <w:lang w:val="hu-HU"/>
        </w:rPr>
        <w:t>A vizsgálat indításakor minden kezelési csoportban az ITP-s betegek több mint 70%-a számolt be vérzésről (WHO 1–4. fokozat), és több mint 20% számolt be klinikailag jelentős vérzésről (WHO 2</w:t>
      </w:r>
      <w:r w:rsidR="00843337" w:rsidRPr="00360A40">
        <w:rPr>
          <w:lang w:val="hu-HU"/>
        </w:rPr>
        <w:noBreakHyphen/>
      </w:r>
      <w:r w:rsidRPr="00360A40">
        <w:rPr>
          <w:lang w:val="hu-HU"/>
        </w:rPr>
        <w:t>4.</w:t>
      </w:r>
      <w:r w:rsidR="00843337" w:rsidRPr="00360A40">
        <w:rPr>
          <w:lang w:val="hu-HU"/>
        </w:rPr>
        <w:t> </w:t>
      </w:r>
      <w:r w:rsidRPr="00360A40">
        <w:rPr>
          <w:lang w:val="hu-HU"/>
        </w:rPr>
        <w:t>fokozat). A bármilyen vérzést (1–4.</w:t>
      </w:r>
      <w:r w:rsidR="00843337" w:rsidRPr="00360A40">
        <w:rPr>
          <w:lang w:val="hu-HU"/>
        </w:rPr>
        <w:t> </w:t>
      </w:r>
      <w:r w:rsidRPr="00360A40">
        <w:rPr>
          <w:lang w:val="hu-HU"/>
        </w:rPr>
        <w:t>fokozat) és a klinikailag jelentős vérzést (2–4.</w:t>
      </w:r>
      <w:r w:rsidR="00843337" w:rsidRPr="00360A40">
        <w:rPr>
          <w:lang w:val="hu-HU"/>
        </w:rPr>
        <w:t> </w:t>
      </w:r>
      <w:r w:rsidRPr="00360A40">
        <w:rPr>
          <w:lang w:val="hu-HU"/>
        </w:rPr>
        <w:t>fokozat) észlelő, eltrombopagot kapó betegek aránya megközelítőleg 50%-kal csökkent a kiindulási értékhez képest a</w:t>
      </w:r>
      <w:r w:rsidR="00843337" w:rsidRPr="00360A40">
        <w:rPr>
          <w:lang w:val="hu-HU"/>
        </w:rPr>
        <w:t xml:space="preserve"> </w:t>
      </w:r>
      <w:r w:rsidRPr="00360A40">
        <w:rPr>
          <w:lang w:val="hu-HU"/>
        </w:rPr>
        <w:t>15.</w:t>
      </w:r>
      <w:r w:rsidR="00843337" w:rsidRPr="00360A40">
        <w:rPr>
          <w:lang w:val="hu-HU"/>
        </w:rPr>
        <w:t> </w:t>
      </w:r>
      <w:r w:rsidRPr="00360A40">
        <w:rPr>
          <w:lang w:val="hu-HU"/>
        </w:rPr>
        <w:t>naptól kezdődően a 6</w:t>
      </w:r>
      <w:r w:rsidR="00843337" w:rsidRPr="00360A40">
        <w:rPr>
          <w:lang w:val="hu-HU"/>
        </w:rPr>
        <w:t> </w:t>
      </w:r>
      <w:r w:rsidRPr="00360A40">
        <w:rPr>
          <w:lang w:val="hu-HU"/>
        </w:rPr>
        <w:t>hónapos kezelés alatt, a kezelés végéig.</w:t>
      </w:r>
    </w:p>
    <w:p w14:paraId="36FE37DD" w14:textId="77777777" w:rsidR="002D66F3" w:rsidRPr="00360A40" w:rsidRDefault="002D66F3" w:rsidP="00360A40">
      <w:pPr>
        <w:pStyle w:val="Szvegtrzs"/>
        <w:kinsoku w:val="0"/>
        <w:overflowPunct w:val="0"/>
        <w:ind w:left="0"/>
        <w:rPr>
          <w:lang w:val="hu-HU"/>
        </w:rPr>
      </w:pPr>
    </w:p>
    <w:p w14:paraId="51B1F18D" w14:textId="01EAAF8F" w:rsidR="002D66F3" w:rsidRPr="00360A40" w:rsidRDefault="002D66F3" w:rsidP="00360A40">
      <w:pPr>
        <w:pStyle w:val="Szvegtrzs"/>
        <w:kinsoku w:val="0"/>
        <w:overflowPunct w:val="0"/>
        <w:ind w:left="0"/>
        <w:rPr>
          <w:lang w:val="hu-HU"/>
        </w:rPr>
      </w:pPr>
      <w:r w:rsidRPr="00360A40">
        <w:rPr>
          <w:lang w:val="hu-HU"/>
        </w:rPr>
        <w:t xml:space="preserve">TRA100773B: Az elsődleges </w:t>
      </w:r>
      <w:r w:rsidR="004A32AB">
        <w:rPr>
          <w:lang w:val="hu-HU"/>
        </w:rPr>
        <w:t>hatásosság</w:t>
      </w:r>
      <w:r w:rsidRPr="00360A40">
        <w:rPr>
          <w:lang w:val="hu-HU"/>
        </w:rPr>
        <w:t xml:space="preserve">i végpont a válaszadók aránya volt, akik a definíció szerint olyan ITP-s betegek voltak, akiknek a vérlemezkeszáma </w:t>
      </w:r>
      <w:r w:rsidR="00BD4335" w:rsidRPr="00360A40">
        <w:rPr>
          <w:lang w:val="hu-HU"/>
        </w:rPr>
        <w:t>≥</w:t>
      </w:r>
      <w:r w:rsidR="00BD4335">
        <w:rPr>
          <w:lang w:val="hu-HU"/>
        </w:rPr>
        <w:t> </w:t>
      </w:r>
      <w:r w:rsidRPr="00360A40">
        <w:rPr>
          <w:lang w:val="hu-HU"/>
        </w:rPr>
        <w:t>50</w:t>
      </w:r>
      <w:r w:rsidR="00843337" w:rsidRPr="00360A40">
        <w:rPr>
          <w:lang w:val="hu-HU"/>
        </w:rPr>
        <w:t> </w:t>
      </w:r>
      <w:r w:rsidRPr="00360A40">
        <w:rPr>
          <w:lang w:val="hu-HU"/>
        </w:rPr>
        <w:t>000/</w:t>
      </w:r>
      <w:r w:rsidR="00BD4335" w:rsidRPr="00360A40">
        <w:rPr>
          <w:lang w:val="hu-HU"/>
        </w:rPr>
        <w:t>µ</w:t>
      </w:r>
      <w:r w:rsidRPr="00360A40">
        <w:rPr>
          <w:lang w:val="hu-HU"/>
        </w:rPr>
        <w:t>l értékre emelkedett a 43. napon a kiinduláskor mért &lt;</w:t>
      </w:r>
      <w:r w:rsidR="00843337" w:rsidRPr="00360A40">
        <w:rPr>
          <w:lang w:val="hu-HU"/>
        </w:rPr>
        <w:t> </w:t>
      </w:r>
      <w:r w:rsidRPr="00360A40">
        <w:rPr>
          <w:lang w:val="hu-HU"/>
        </w:rPr>
        <w:t>30</w:t>
      </w:r>
      <w:r w:rsidR="00843337" w:rsidRPr="00360A40">
        <w:rPr>
          <w:lang w:val="hu-HU"/>
        </w:rPr>
        <w:t> </w:t>
      </w:r>
      <w:r w:rsidRPr="00360A40">
        <w:rPr>
          <w:lang w:val="hu-HU"/>
        </w:rPr>
        <w:t>000/</w:t>
      </w:r>
      <w:r w:rsidR="00BD4335" w:rsidRPr="00360A40">
        <w:rPr>
          <w:lang w:val="hu-HU"/>
        </w:rPr>
        <w:t>µ</w:t>
      </w:r>
      <w:r w:rsidRPr="00360A40">
        <w:rPr>
          <w:lang w:val="hu-HU"/>
        </w:rPr>
        <w:t>l-ről; a vizsgálatból 200</w:t>
      </w:r>
      <w:r w:rsidR="00843337" w:rsidRPr="00360A40">
        <w:rPr>
          <w:lang w:val="hu-HU"/>
        </w:rPr>
        <w:t> </w:t>
      </w:r>
      <w:r w:rsidRPr="00360A40">
        <w:rPr>
          <w:lang w:val="hu-HU"/>
        </w:rPr>
        <w:t>000/</w:t>
      </w:r>
      <w:r w:rsidR="00BD4335" w:rsidRPr="00360A40">
        <w:rPr>
          <w:lang w:val="hu-HU"/>
        </w:rPr>
        <w:t>µ</w:t>
      </w:r>
      <w:r w:rsidRPr="00360A40">
        <w:rPr>
          <w:lang w:val="hu-HU"/>
        </w:rPr>
        <w:t>l-nél magasabb vérlemezkeszám miatt idő előtt kivont betegeket válaszadónak tekintették, azokat, akik más okból léptek ki vizsgálatból, választ nem adónak tekintették, tekintet nélkül a vérlemezkeszámra. Összesen 114, korábban ITP miatt kezelt beteget randomizáltak 2:1 arányban eltrombopagra (n</w:t>
      </w:r>
      <w:r w:rsidR="00843337" w:rsidRPr="00360A40">
        <w:rPr>
          <w:lang w:val="hu-HU"/>
        </w:rPr>
        <w:t> </w:t>
      </w:r>
      <w:r w:rsidRPr="00360A40">
        <w:rPr>
          <w:lang w:val="hu-HU"/>
        </w:rPr>
        <w:t>=</w:t>
      </w:r>
      <w:r w:rsidR="00843337" w:rsidRPr="00360A40">
        <w:rPr>
          <w:lang w:val="hu-HU"/>
        </w:rPr>
        <w:t> </w:t>
      </w:r>
      <w:r w:rsidRPr="00360A40">
        <w:rPr>
          <w:lang w:val="hu-HU"/>
        </w:rPr>
        <w:t>76) és placeb</w:t>
      </w:r>
      <w:r w:rsidR="00B133AD" w:rsidRPr="00360A40">
        <w:rPr>
          <w:lang w:val="hu-HU"/>
        </w:rPr>
        <w:t>ó</w:t>
      </w:r>
      <w:r w:rsidRPr="00360A40">
        <w:rPr>
          <w:lang w:val="hu-HU"/>
        </w:rPr>
        <w:t>ra (n</w:t>
      </w:r>
      <w:r w:rsidR="00843337" w:rsidRPr="00360A40">
        <w:rPr>
          <w:lang w:val="hu-HU"/>
        </w:rPr>
        <w:t> </w:t>
      </w:r>
      <w:r w:rsidRPr="00360A40">
        <w:rPr>
          <w:lang w:val="hu-HU"/>
        </w:rPr>
        <w:t>=</w:t>
      </w:r>
      <w:r w:rsidR="00843337" w:rsidRPr="00360A40">
        <w:rPr>
          <w:lang w:val="hu-HU"/>
        </w:rPr>
        <w:t> </w:t>
      </w:r>
      <w:r w:rsidRPr="00360A40">
        <w:rPr>
          <w:lang w:val="hu-HU"/>
        </w:rPr>
        <w:t>38).</w:t>
      </w:r>
    </w:p>
    <w:p w14:paraId="1F34A063" w14:textId="77777777" w:rsidR="00241A9D" w:rsidRPr="00360A40" w:rsidRDefault="00241A9D" w:rsidP="00360A40">
      <w:pPr>
        <w:pStyle w:val="Szvegtrzs"/>
        <w:kinsoku w:val="0"/>
        <w:overflowPunct w:val="0"/>
        <w:ind w:left="0"/>
        <w:rPr>
          <w:lang w:val="hu-HU"/>
        </w:rPr>
      </w:pPr>
    </w:p>
    <w:p w14:paraId="5424614B" w14:textId="6878CADF" w:rsidR="002D66F3" w:rsidRPr="00360A40" w:rsidRDefault="00FB7CC2" w:rsidP="00360A40">
      <w:pPr>
        <w:pStyle w:val="Cmsor1"/>
        <w:keepNext/>
        <w:widowControl/>
        <w:kinsoku w:val="0"/>
        <w:overflowPunct w:val="0"/>
        <w:ind w:left="0" w:firstLine="0"/>
        <w:rPr>
          <w:b w:val="0"/>
          <w:bCs w:val="0"/>
          <w:lang w:val="hu-HU"/>
        </w:rPr>
      </w:pPr>
      <w:r>
        <w:rPr>
          <w:lang w:val="hu-HU"/>
        </w:rPr>
        <w:lastRenderedPageBreak/>
        <w:t>4</w:t>
      </w:r>
      <w:r w:rsidR="002D66F3" w:rsidRPr="00360A40">
        <w:rPr>
          <w:lang w:val="hu-HU"/>
        </w:rPr>
        <w:t>.</w:t>
      </w:r>
      <w:r w:rsidR="00580238" w:rsidRPr="00360A40">
        <w:rPr>
          <w:lang w:val="hu-HU"/>
        </w:rPr>
        <w:t> </w:t>
      </w:r>
      <w:r w:rsidR="002D66F3" w:rsidRPr="00360A40">
        <w:rPr>
          <w:lang w:val="hu-HU"/>
        </w:rPr>
        <w:t>táblázat</w:t>
      </w:r>
      <w:r w:rsidR="002D66F3" w:rsidRPr="00360A40">
        <w:rPr>
          <w:lang w:val="hu-HU"/>
        </w:rPr>
        <w:tab/>
        <w:t xml:space="preserve">A TRA100773B vizsgálat </w:t>
      </w:r>
      <w:r w:rsidR="004A32AB">
        <w:rPr>
          <w:lang w:val="hu-HU"/>
        </w:rPr>
        <w:t>hatásosság</w:t>
      </w:r>
      <w:r w:rsidR="002D66F3" w:rsidRPr="00360A40">
        <w:rPr>
          <w:lang w:val="hu-HU"/>
        </w:rPr>
        <w:t>i eredményei</w:t>
      </w:r>
    </w:p>
    <w:p w14:paraId="12B566F8" w14:textId="77777777" w:rsidR="002D66F3" w:rsidRPr="00360A40" w:rsidRDefault="002D66F3" w:rsidP="00360A40">
      <w:pPr>
        <w:pStyle w:val="Szvegtrzs"/>
        <w:keepNext/>
        <w:widowControl/>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5679"/>
        <w:gridCol w:w="1804"/>
        <w:gridCol w:w="1704"/>
      </w:tblGrid>
      <w:tr w:rsidR="002D66F3" w:rsidRPr="00360A40" w14:paraId="7F46CFA4" w14:textId="77777777" w:rsidTr="00D25F36">
        <w:tc>
          <w:tcPr>
            <w:tcW w:w="5679" w:type="dxa"/>
            <w:tcBorders>
              <w:top w:val="single" w:sz="4" w:space="0" w:color="000000"/>
              <w:left w:val="single" w:sz="4" w:space="0" w:color="000000"/>
              <w:bottom w:val="single" w:sz="4" w:space="0" w:color="000000"/>
              <w:right w:val="single" w:sz="4" w:space="0" w:color="000000"/>
            </w:tcBorders>
          </w:tcPr>
          <w:p w14:paraId="543C0113" w14:textId="77777777" w:rsidR="002D66F3" w:rsidRPr="00360A40" w:rsidRDefault="002D66F3" w:rsidP="00360A40">
            <w:pPr>
              <w:keepNext/>
              <w:widowControl/>
              <w:rPr>
                <w:sz w:val="22"/>
                <w:szCs w:val="22"/>
                <w:lang w:val="hu-HU"/>
              </w:rPr>
            </w:pPr>
          </w:p>
        </w:tc>
        <w:tc>
          <w:tcPr>
            <w:tcW w:w="1804" w:type="dxa"/>
            <w:tcBorders>
              <w:top w:val="single" w:sz="4" w:space="0" w:color="000000"/>
              <w:left w:val="single" w:sz="4" w:space="0" w:color="000000"/>
              <w:bottom w:val="single" w:sz="4" w:space="0" w:color="000000"/>
              <w:right w:val="single" w:sz="4" w:space="0" w:color="000000"/>
            </w:tcBorders>
          </w:tcPr>
          <w:p w14:paraId="1D020C99" w14:textId="308DEF45" w:rsidR="002D66F3" w:rsidRPr="00360A40" w:rsidRDefault="002D66F3" w:rsidP="00360A40">
            <w:pPr>
              <w:pStyle w:val="TableParagraph"/>
              <w:keepNext/>
              <w:widowControl/>
              <w:kinsoku w:val="0"/>
              <w:overflowPunct w:val="0"/>
              <w:ind w:left="589" w:hanging="268"/>
              <w:rPr>
                <w:sz w:val="22"/>
                <w:szCs w:val="22"/>
                <w:lang w:val="hu-HU"/>
              </w:rPr>
            </w:pPr>
            <w:r w:rsidRPr="00360A40">
              <w:rPr>
                <w:sz w:val="22"/>
                <w:szCs w:val="22"/>
                <w:lang w:val="hu-HU"/>
              </w:rPr>
              <w:t>Eltrombopag N</w:t>
            </w:r>
            <w:r w:rsidR="00843337" w:rsidRPr="00360A40">
              <w:rPr>
                <w:sz w:val="22"/>
                <w:szCs w:val="22"/>
                <w:lang w:val="hu-HU"/>
              </w:rPr>
              <w:t> </w:t>
            </w:r>
            <w:r w:rsidRPr="00360A40">
              <w:rPr>
                <w:sz w:val="22"/>
                <w:szCs w:val="22"/>
                <w:lang w:val="hu-HU"/>
              </w:rPr>
              <w:t>=</w:t>
            </w:r>
            <w:r w:rsidR="00843337" w:rsidRPr="00360A40">
              <w:rPr>
                <w:sz w:val="22"/>
                <w:szCs w:val="22"/>
                <w:lang w:val="hu-HU"/>
              </w:rPr>
              <w:t> </w:t>
            </w:r>
            <w:r w:rsidRPr="00360A40">
              <w:rPr>
                <w:sz w:val="22"/>
                <w:szCs w:val="22"/>
                <w:lang w:val="hu-HU"/>
              </w:rPr>
              <w:t>74</w:t>
            </w:r>
          </w:p>
        </w:tc>
        <w:tc>
          <w:tcPr>
            <w:tcW w:w="1704" w:type="dxa"/>
            <w:tcBorders>
              <w:top w:val="single" w:sz="4" w:space="0" w:color="000000"/>
              <w:left w:val="single" w:sz="4" w:space="0" w:color="000000"/>
              <w:bottom w:val="single" w:sz="4" w:space="0" w:color="000000"/>
              <w:right w:val="single" w:sz="4" w:space="0" w:color="000000"/>
            </w:tcBorders>
          </w:tcPr>
          <w:p w14:paraId="72AA0320" w14:textId="1E0B781B" w:rsidR="002D66F3" w:rsidRPr="00360A40" w:rsidRDefault="002D66F3" w:rsidP="00360A40">
            <w:pPr>
              <w:pStyle w:val="TableParagraph"/>
              <w:keepNext/>
              <w:widowControl/>
              <w:kinsoku w:val="0"/>
              <w:overflowPunct w:val="0"/>
              <w:ind w:left="539" w:hanging="42"/>
              <w:rPr>
                <w:sz w:val="22"/>
                <w:szCs w:val="22"/>
                <w:lang w:val="hu-HU"/>
              </w:rPr>
            </w:pPr>
            <w:r w:rsidRPr="00360A40">
              <w:rPr>
                <w:sz w:val="22"/>
                <w:szCs w:val="22"/>
                <w:lang w:val="hu-HU"/>
              </w:rPr>
              <w:t>Placebo N</w:t>
            </w:r>
            <w:r w:rsidR="00843337" w:rsidRPr="00360A40">
              <w:rPr>
                <w:sz w:val="22"/>
                <w:szCs w:val="22"/>
                <w:lang w:val="hu-HU"/>
              </w:rPr>
              <w:t> </w:t>
            </w:r>
            <w:r w:rsidRPr="00360A40">
              <w:rPr>
                <w:sz w:val="22"/>
                <w:szCs w:val="22"/>
                <w:lang w:val="hu-HU"/>
              </w:rPr>
              <w:t>=</w:t>
            </w:r>
            <w:r w:rsidR="00843337" w:rsidRPr="00360A40">
              <w:rPr>
                <w:sz w:val="22"/>
                <w:szCs w:val="22"/>
                <w:lang w:val="hu-HU"/>
              </w:rPr>
              <w:t> </w:t>
            </w:r>
            <w:r w:rsidRPr="00360A40">
              <w:rPr>
                <w:sz w:val="22"/>
                <w:szCs w:val="22"/>
                <w:lang w:val="hu-HU"/>
              </w:rPr>
              <w:t>38</w:t>
            </w:r>
          </w:p>
        </w:tc>
      </w:tr>
      <w:tr w:rsidR="002D66F3" w:rsidRPr="00360A40" w14:paraId="33B82544" w14:textId="77777777" w:rsidTr="00D25F36">
        <w:tc>
          <w:tcPr>
            <w:tcW w:w="9187" w:type="dxa"/>
            <w:gridSpan w:val="3"/>
            <w:tcBorders>
              <w:top w:val="single" w:sz="4" w:space="0" w:color="000000"/>
              <w:left w:val="single" w:sz="4" w:space="0" w:color="000000"/>
              <w:bottom w:val="single" w:sz="4" w:space="0" w:color="000000"/>
              <w:right w:val="single" w:sz="4" w:space="0" w:color="000000"/>
            </w:tcBorders>
          </w:tcPr>
          <w:p w14:paraId="5A98D1DE" w14:textId="77777777"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A legfontosabb elsődleges végpontok</w:t>
            </w:r>
          </w:p>
        </w:tc>
      </w:tr>
      <w:tr w:rsidR="002D66F3" w:rsidRPr="00360A40" w14:paraId="347661AF" w14:textId="77777777" w:rsidTr="00D25F36">
        <w:tc>
          <w:tcPr>
            <w:tcW w:w="5679" w:type="dxa"/>
            <w:tcBorders>
              <w:top w:val="single" w:sz="4" w:space="0" w:color="000000"/>
              <w:left w:val="single" w:sz="4" w:space="0" w:color="000000"/>
              <w:bottom w:val="single" w:sz="4" w:space="0" w:color="000000"/>
              <w:right w:val="single" w:sz="4" w:space="0" w:color="000000"/>
            </w:tcBorders>
          </w:tcPr>
          <w:p w14:paraId="3A7A5F98" w14:textId="5B66FC36" w:rsidR="002D66F3" w:rsidRPr="00360A40" w:rsidRDefault="004A32AB" w:rsidP="00360A40">
            <w:pPr>
              <w:pStyle w:val="TableParagraph"/>
              <w:kinsoku w:val="0"/>
              <w:overflowPunct w:val="0"/>
              <w:ind w:left="102"/>
              <w:rPr>
                <w:sz w:val="22"/>
                <w:szCs w:val="22"/>
                <w:lang w:val="hu-HU"/>
              </w:rPr>
            </w:pPr>
            <w:r>
              <w:rPr>
                <w:sz w:val="22"/>
                <w:szCs w:val="22"/>
                <w:lang w:val="hu-HU"/>
              </w:rPr>
              <w:t>Hatásosság</w:t>
            </w:r>
            <w:r w:rsidR="002D66F3" w:rsidRPr="00360A40">
              <w:rPr>
                <w:sz w:val="22"/>
                <w:szCs w:val="22"/>
                <w:lang w:val="hu-HU"/>
              </w:rPr>
              <w:t>i analízisre alkalmas, n</w:t>
            </w:r>
          </w:p>
        </w:tc>
        <w:tc>
          <w:tcPr>
            <w:tcW w:w="1804" w:type="dxa"/>
            <w:tcBorders>
              <w:top w:val="single" w:sz="4" w:space="0" w:color="000000"/>
              <w:left w:val="single" w:sz="4" w:space="0" w:color="000000"/>
              <w:bottom w:val="single" w:sz="4" w:space="0" w:color="000000"/>
              <w:right w:val="single" w:sz="4" w:space="0" w:color="000000"/>
            </w:tcBorders>
          </w:tcPr>
          <w:p w14:paraId="03B22569"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73</w:t>
            </w:r>
          </w:p>
        </w:tc>
        <w:tc>
          <w:tcPr>
            <w:tcW w:w="1704" w:type="dxa"/>
            <w:tcBorders>
              <w:top w:val="single" w:sz="4" w:space="0" w:color="000000"/>
              <w:left w:val="single" w:sz="4" w:space="0" w:color="000000"/>
              <w:bottom w:val="single" w:sz="4" w:space="0" w:color="000000"/>
              <w:right w:val="single" w:sz="4" w:space="0" w:color="000000"/>
            </w:tcBorders>
          </w:tcPr>
          <w:p w14:paraId="6451E2CB"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37</w:t>
            </w:r>
          </w:p>
        </w:tc>
      </w:tr>
      <w:tr w:rsidR="002D66F3" w:rsidRPr="00360A40" w14:paraId="5647EC40" w14:textId="77777777" w:rsidTr="00D25F36">
        <w:tc>
          <w:tcPr>
            <w:tcW w:w="5679" w:type="dxa"/>
            <w:vMerge w:val="restart"/>
            <w:tcBorders>
              <w:top w:val="single" w:sz="4" w:space="0" w:color="000000"/>
              <w:left w:val="single" w:sz="4" w:space="0" w:color="000000"/>
              <w:bottom w:val="single" w:sz="4" w:space="0" w:color="000000"/>
              <w:right w:val="single" w:sz="4" w:space="0" w:color="000000"/>
            </w:tcBorders>
          </w:tcPr>
          <w:p w14:paraId="3C8E4B8B" w14:textId="09AF3DC9" w:rsidR="002D66F3" w:rsidRPr="00360A40" w:rsidRDefault="002D66F3" w:rsidP="00360A40">
            <w:pPr>
              <w:pStyle w:val="TableParagraph"/>
              <w:kinsoku w:val="0"/>
              <w:overflowPunct w:val="0"/>
              <w:ind w:left="102"/>
              <w:rPr>
                <w:sz w:val="22"/>
                <w:szCs w:val="22"/>
                <w:lang w:val="hu-HU"/>
              </w:rPr>
            </w:pPr>
            <w:r w:rsidRPr="00360A40">
              <w:rPr>
                <w:sz w:val="22"/>
                <w:szCs w:val="22"/>
                <w:lang w:val="hu-HU"/>
              </w:rPr>
              <w:t>Legfeljebb 42</w:t>
            </w:r>
            <w:r w:rsidR="00580238" w:rsidRPr="00360A40">
              <w:rPr>
                <w:sz w:val="22"/>
                <w:szCs w:val="22"/>
                <w:lang w:val="hu-HU"/>
              </w:rPr>
              <w:t> </w:t>
            </w:r>
            <w:r w:rsidRPr="00360A40">
              <w:rPr>
                <w:sz w:val="22"/>
                <w:szCs w:val="22"/>
                <w:lang w:val="hu-HU"/>
              </w:rPr>
              <w:t xml:space="preserve">napos adagolás után </w:t>
            </w:r>
            <w:r w:rsidR="00BD4335" w:rsidRPr="00360A40">
              <w:rPr>
                <w:sz w:val="22"/>
                <w:szCs w:val="22"/>
                <w:lang w:val="hu-HU"/>
              </w:rPr>
              <w:t>≥</w:t>
            </w:r>
            <w:r w:rsidR="00BD4335">
              <w:rPr>
                <w:sz w:val="22"/>
                <w:szCs w:val="22"/>
                <w:lang w:val="hu-HU"/>
              </w:rPr>
              <w:t> </w:t>
            </w:r>
            <w:r w:rsidRPr="00360A40">
              <w:rPr>
                <w:sz w:val="22"/>
                <w:szCs w:val="22"/>
                <w:lang w:val="hu-HU"/>
              </w:rPr>
              <w:t>50</w:t>
            </w:r>
            <w:r w:rsidR="00843337" w:rsidRPr="00360A40">
              <w:rPr>
                <w:sz w:val="22"/>
                <w:szCs w:val="22"/>
                <w:lang w:val="hu-HU"/>
              </w:rPr>
              <w:t> </w:t>
            </w:r>
            <w:r w:rsidRPr="00360A40">
              <w:rPr>
                <w:sz w:val="22"/>
                <w:szCs w:val="22"/>
                <w:lang w:val="hu-HU"/>
              </w:rPr>
              <w:t>000/</w:t>
            </w:r>
            <w:r w:rsidR="00BD4335" w:rsidRPr="00360A40">
              <w:rPr>
                <w:sz w:val="22"/>
                <w:szCs w:val="22"/>
                <w:lang w:val="hu-HU"/>
              </w:rPr>
              <w:t>µ</w:t>
            </w:r>
            <w:r w:rsidRPr="00360A40">
              <w:rPr>
                <w:sz w:val="22"/>
                <w:szCs w:val="22"/>
                <w:lang w:val="hu-HU"/>
              </w:rPr>
              <w:t>l vérlemezkeszámot elérő betegek (a kiindulási &lt;</w:t>
            </w:r>
            <w:r w:rsidR="00580238" w:rsidRPr="00360A40">
              <w:rPr>
                <w:sz w:val="22"/>
                <w:szCs w:val="22"/>
                <w:lang w:val="hu-HU"/>
              </w:rPr>
              <w:t> </w:t>
            </w:r>
            <w:r w:rsidRPr="00360A40">
              <w:rPr>
                <w:sz w:val="22"/>
                <w:szCs w:val="22"/>
                <w:lang w:val="hu-HU"/>
              </w:rPr>
              <w:t>30</w:t>
            </w:r>
            <w:r w:rsidR="00843337" w:rsidRPr="00360A40">
              <w:rPr>
                <w:sz w:val="22"/>
                <w:szCs w:val="22"/>
                <w:lang w:val="hu-HU"/>
              </w:rPr>
              <w:t> </w:t>
            </w:r>
            <w:r w:rsidRPr="00360A40">
              <w:rPr>
                <w:sz w:val="22"/>
                <w:szCs w:val="22"/>
                <w:lang w:val="hu-HU"/>
              </w:rPr>
              <w:t>000/</w:t>
            </w:r>
            <w:r w:rsidR="00BD4335" w:rsidRPr="00360A40">
              <w:rPr>
                <w:sz w:val="22"/>
                <w:szCs w:val="22"/>
                <w:lang w:val="hu-HU"/>
              </w:rPr>
              <w:t>µ</w:t>
            </w:r>
            <w:r w:rsidRPr="00360A40">
              <w:rPr>
                <w:sz w:val="22"/>
                <w:szCs w:val="22"/>
                <w:lang w:val="hu-HU"/>
              </w:rPr>
              <w:t>l értékhez képest), n (%)</w:t>
            </w:r>
          </w:p>
          <w:p w14:paraId="39F4EC96" w14:textId="77777777" w:rsidR="002D66F3" w:rsidRPr="00360A40" w:rsidRDefault="002D66F3" w:rsidP="009F4BD6">
            <w:pPr>
              <w:pStyle w:val="TableParagraph"/>
              <w:kinsoku w:val="0"/>
              <w:overflowPunct w:val="0"/>
              <w:jc w:val="center"/>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804" w:type="dxa"/>
            <w:tcBorders>
              <w:top w:val="single" w:sz="4" w:space="0" w:color="000000"/>
              <w:left w:val="single" w:sz="4" w:space="0" w:color="000000"/>
              <w:bottom w:val="single" w:sz="4" w:space="0" w:color="000000"/>
              <w:right w:val="single" w:sz="4" w:space="0" w:color="000000"/>
            </w:tcBorders>
          </w:tcPr>
          <w:p w14:paraId="04250F36" w14:textId="77777777" w:rsidR="002D66F3" w:rsidRPr="00360A40" w:rsidRDefault="002D66F3" w:rsidP="00360A40">
            <w:pPr>
              <w:pStyle w:val="TableParagraph"/>
              <w:kinsoku w:val="0"/>
              <w:overflowPunct w:val="0"/>
              <w:ind w:left="574"/>
              <w:rPr>
                <w:sz w:val="22"/>
                <w:szCs w:val="22"/>
                <w:lang w:val="hu-HU"/>
              </w:rPr>
            </w:pPr>
            <w:r w:rsidRPr="00360A40">
              <w:rPr>
                <w:sz w:val="22"/>
                <w:szCs w:val="22"/>
                <w:lang w:val="hu-HU"/>
              </w:rPr>
              <w:t>43 (59)</w:t>
            </w:r>
          </w:p>
        </w:tc>
        <w:tc>
          <w:tcPr>
            <w:tcW w:w="1704" w:type="dxa"/>
            <w:tcBorders>
              <w:top w:val="single" w:sz="4" w:space="0" w:color="000000"/>
              <w:left w:val="single" w:sz="4" w:space="0" w:color="000000"/>
              <w:bottom w:val="single" w:sz="4" w:space="0" w:color="000000"/>
              <w:right w:val="single" w:sz="4" w:space="0" w:color="000000"/>
            </w:tcBorders>
          </w:tcPr>
          <w:p w14:paraId="1CC5407E" w14:textId="77777777" w:rsidR="002D66F3" w:rsidRPr="00360A40" w:rsidRDefault="002D66F3" w:rsidP="00360A40">
            <w:pPr>
              <w:pStyle w:val="TableParagraph"/>
              <w:kinsoku w:val="0"/>
              <w:overflowPunct w:val="0"/>
              <w:rPr>
                <w:sz w:val="22"/>
                <w:szCs w:val="22"/>
                <w:lang w:val="hu-HU"/>
              </w:rPr>
            </w:pPr>
            <w:r w:rsidRPr="00360A40">
              <w:rPr>
                <w:sz w:val="22"/>
                <w:szCs w:val="22"/>
                <w:lang w:val="hu-HU"/>
              </w:rPr>
              <w:t>6 (16)</w:t>
            </w:r>
          </w:p>
        </w:tc>
      </w:tr>
      <w:tr w:rsidR="002D66F3" w:rsidRPr="00360A40" w14:paraId="5C729419" w14:textId="77777777" w:rsidTr="00D25F36">
        <w:tc>
          <w:tcPr>
            <w:tcW w:w="5679" w:type="dxa"/>
            <w:vMerge/>
            <w:tcBorders>
              <w:top w:val="single" w:sz="4" w:space="0" w:color="000000"/>
              <w:left w:val="single" w:sz="4" w:space="0" w:color="000000"/>
              <w:bottom w:val="single" w:sz="4" w:space="0" w:color="000000"/>
              <w:right w:val="single" w:sz="4" w:space="0" w:color="000000"/>
            </w:tcBorders>
          </w:tcPr>
          <w:p w14:paraId="203F4239" w14:textId="77777777" w:rsidR="002D66F3" w:rsidRPr="00360A40" w:rsidRDefault="002D66F3" w:rsidP="00360A40">
            <w:pPr>
              <w:pStyle w:val="TableParagraph"/>
              <w:kinsoku w:val="0"/>
              <w:overflowPunct w:val="0"/>
              <w:rPr>
                <w:sz w:val="22"/>
                <w:szCs w:val="22"/>
                <w:lang w:val="hu-HU"/>
              </w:rPr>
            </w:pPr>
          </w:p>
        </w:tc>
        <w:tc>
          <w:tcPr>
            <w:tcW w:w="3508" w:type="dxa"/>
            <w:gridSpan w:val="2"/>
            <w:tcBorders>
              <w:top w:val="single" w:sz="4" w:space="0" w:color="000000"/>
              <w:left w:val="single" w:sz="4" w:space="0" w:color="000000"/>
              <w:bottom w:val="single" w:sz="4" w:space="0" w:color="000000"/>
              <w:right w:val="single" w:sz="4" w:space="0" w:color="000000"/>
            </w:tcBorders>
          </w:tcPr>
          <w:p w14:paraId="35DC388F" w14:textId="3DFAA403" w:rsidR="002D66F3" w:rsidRPr="00360A40" w:rsidRDefault="002D66F3" w:rsidP="009F4BD6">
            <w:pPr>
              <w:pStyle w:val="TableParagraph"/>
              <w:kinsoku w:val="0"/>
              <w:overflowPunct w:val="0"/>
              <w:jc w:val="center"/>
              <w:rPr>
                <w:sz w:val="22"/>
                <w:szCs w:val="22"/>
                <w:lang w:val="hu-HU"/>
              </w:rPr>
            </w:pPr>
            <w:r w:rsidRPr="00360A40">
              <w:rPr>
                <w:sz w:val="22"/>
                <w:szCs w:val="22"/>
                <w:lang w:val="hu-HU"/>
              </w:rPr>
              <w:t>&lt;</w:t>
            </w:r>
            <w:r w:rsidR="00843337" w:rsidRPr="00360A40">
              <w:rPr>
                <w:sz w:val="22"/>
                <w:szCs w:val="22"/>
                <w:lang w:val="hu-HU"/>
              </w:rPr>
              <w:t> </w:t>
            </w:r>
            <w:r w:rsidRPr="00360A40">
              <w:rPr>
                <w:sz w:val="22"/>
                <w:szCs w:val="22"/>
                <w:lang w:val="hu-HU"/>
              </w:rPr>
              <w:t>0,001</w:t>
            </w:r>
          </w:p>
        </w:tc>
      </w:tr>
      <w:tr w:rsidR="002D66F3" w:rsidRPr="00360A40" w14:paraId="02999D89" w14:textId="77777777" w:rsidTr="00D25F36">
        <w:tc>
          <w:tcPr>
            <w:tcW w:w="9187" w:type="dxa"/>
            <w:gridSpan w:val="3"/>
            <w:tcBorders>
              <w:top w:val="single" w:sz="4" w:space="0" w:color="000000"/>
              <w:left w:val="single" w:sz="4" w:space="0" w:color="000000"/>
              <w:bottom w:val="single" w:sz="4" w:space="0" w:color="000000"/>
              <w:right w:val="single" w:sz="4" w:space="0" w:color="000000"/>
            </w:tcBorders>
          </w:tcPr>
          <w:p w14:paraId="32A86E3B"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A legfontosabb másodlagos végpontok</w:t>
            </w:r>
          </w:p>
        </w:tc>
      </w:tr>
      <w:tr w:rsidR="002D66F3" w:rsidRPr="00360A40" w14:paraId="5398233F" w14:textId="77777777" w:rsidTr="00D25F36">
        <w:tc>
          <w:tcPr>
            <w:tcW w:w="5679" w:type="dxa"/>
            <w:tcBorders>
              <w:top w:val="single" w:sz="4" w:space="0" w:color="000000"/>
              <w:left w:val="single" w:sz="4" w:space="0" w:color="000000"/>
              <w:bottom w:val="single" w:sz="4" w:space="0" w:color="000000"/>
              <w:right w:val="single" w:sz="4" w:space="0" w:color="000000"/>
            </w:tcBorders>
          </w:tcPr>
          <w:p w14:paraId="5A3D4AEA" w14:textId="5372CA99" w:rsidR="002D66F3" w:rsidRPr="00360A40" w:rsidRDefault="002D66F3" w:rsidP="00360A40">
            <w:pPr>
              <w:pStyle w:val="TableParagraph"/>
              <w:kinsoku w:val="0"/>
              <w:overflowPunct w:val="0"/>
              <w:ind w:left="102"/>
              <w:rPr>
                <w:sz w:val="22"/>
                <w:szCs w:val="22"/>
                <w:lang w:val="hu-HU"/>
              </w:rPr>
            </w:pPr>
            <w:r w:rsidRPr="00360A40">
              <w:rPr>
                <w:sz w:val="22"/>
                <w:szCs w:val="22"/>
                <w:lang w:val="hu-HU"/>
              </w:rPr>
              <w:t>Betegek, akiket a 43.</w:t>
            </w:r>
            <w:r w:rsidR="002A2DEB" w:rsidRPr="00360A40">
              <w:rPr>
                <w:sz w:val="22"/>
                <w:szCs w:val="22"/>
                <w:lang w:val="hu-HU"/>
              </w:rPr>
              <w:t> </w:t>
            </w:r>
            <w:r w:rsidRPr="00360A40">
              <w:rPr>
                <w:sz w:val="22"/>
                <w:szCs w:val="22"/>
                <w:lang w:val="hu-HU"/>
              </w:rPr>
              <w:t>napon vérzés szempontjából értékeltek, n</w:t>
            </w:r>
          </w:p>
        </w:tc>
        <w:tc>
          <w:tcPr>
            <w:tcW w:w="1804" w:type="dxa"/>
            <w:tcBorders>
              <w:top w:val="single" w:sz="4" w:space="0" w:color="000000"/>
              <w:left w:val="single" w:sz="4" w:space="0" w:color="000000"/>
              <w:bottom w:val="single" w:sz="4" w:space="0" w:color="000000"/>
              <w:right w:val="single" w:sz="4" w:space="0" w:color="000000"/>
            </w:tcBorders>
          </w:tcPr>
          <w:p w14:paraId="7C6FCB0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51</w:t>
            </w:r>
          </w:p>
        </w:tc>
        <w:tc>
          <w:tcPr>
            <w:tcW w:w="1704" w:type="dxa"/>
            <w:tcBorders>
              <w:top w:val="single" w:sz="4" w:space="0" w:color="000000"/>
              <w:left w:val="single" w:sz="4" w:space="0" w:color="000000"/>
              <w:bottom w:val="single" w:sz="4" w:space="0" w:color="000000"/>
              <w:right w:val="single" w:sz="4" w:space="0" w:color="000000"/>
            </w:tcBorders>
          </w:tcPr>
          <w:p w14:paraId="67CD8C9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30</w:t>
            </w:r>
          </w:p>
        </w:tc>
      </w:tr>
      <w:tr w:rsidR="002D66F3" w:rsidRPr="00360A40" w14:paraId="39CE454C" w14:textId="77777777" w:rsidTr="00D25F36">
        <w:tc>
          <w:tcPr>
            <w:tcW w:w="5679" w:type="dxa"/>
            <w:vMerge w:val="restart"/>
            <w:tcBorders>
              <w:top w:val="single" w:sz="4" w:space="0" w:color="000000"/>
              <w:left w:val="single" w:sz="4" w:space="0" w:color="000000"/>
              <w:bottom w:val="single" w:sz="4" w:space="0" w:color="000000"/>
              <w:right w:val="single" w:sz="4" w:space="0" w:color="000000"/>
            </w:tcBorders>
          </w:tcPr>
          <w:p w14:paraId="0E8D1B48" w14:textId="75D342AB" w:rsidR="002D66F3" w:rsidRPr="00360A40" w:rsidRDefault="002D66F3" w:rsidP="00360A40">
            <w:pPr>
              <w:pStyle w:val="TableParagraph"/>
              <w:kinsoku w:val="0"/>
              <w:overflowPunct w:val="0"/>
              <w:ind w:left="102"/>
              <w:rPr>
                <w:sz w:val="22"/>
                <w:szCs w:val="22"/>
                <w:lang w:val="hu-HU"/>
              </w:rPr>
            </w:pPr>
            <w:r w:rsidRPr="00360A40">
              <w:rPr>
                <w:sz w:val="22"/>
                <w:szCs w:val="22"/>
                <w:lang w:val="hu-HU"/>
              </w:rPr>
              <w:t>Vérzés (WHO 1–4</w:t>
            </w:r>
            <w:r w:rsidR="002A2DEB" w:rsidRPr="00360A40">
              <w:rPr>
                <w:sz w:val="22"/>
                <w:szCs w:val="22"/>
                <w:lang w:val="hu-HU"/>
              </w:rPr>
              <w:t> </w:t>
            </w:r>
            <w:r w:rsidRPr="00360A40">
              <w:rPr>
                <w:sz w:val="22"/>
                <w:szCs w:val="22"/>
                <w:lang w:val="hu-HU"/>
              </w:rPr>
              <w:t xml:space="preserve"> fokozat) n (%)</w:t>
            </w:r>
          </w:p>
          <w:p w14:paraId="565C4224" w14:textId="77777777" w:rsidR="002D66F3" w:rsidRPr="00360A40" w:rsidRDefault="002D66F3" w:rsidP="00360A40">
            <w:pPr>
              <w:pStyle w:val="TableParagraph"/>
              <w:kinsoku w:val="0"/>
              <w:overflowPunct w:val="0"/>
              <w:rPr>
                <w:b/>
                <w:bCs/>
                <w:sz w:val="22"/>
                <w:szCs w:val="22"/>
                <w:lang w:val="hu-HU"/>
              </w:rPr>
            </w:pPr>
          </w:p>
          <w:p w14:paraId="2C6246A1" w14:textId="77777777" w:rsidR="002D66F3" w:rsidRPr="00360A40" w:rsidRDefault="002D66F3" w:rsidP="009F4BD6">
            <w:pPr>
              <w:pStyle w:val="TableParagraph"/>
              <w:kinsoku w:val="0"/>
              <w:overflowPunct w:val="0"/>
              <w:jc w:val="center"/>
              <w:rPr>
                <w:sz w:val="22"/>
                <w:szCs w:val="22"/>
                <w:lang w:val="hu-HU"/>
              </w:rPr>
            </w:pPr>
            <w:r w:rsidRPr="00360A40">
              <w:rPr>
                <w:i/>
                <w:iCs/>
                <w:sz w:val="22"/>
                <w:szCs w:val="22"/>
                <w:lang w:val="hu-HU"/>
              </w:rPr>
              <w:t>p-</w:t>
            </w:r>
            <w:r w:rsidRPr="00360A40">
              <w:rPr>
                <w:sz w:val="22"/>
                <w:szCs w:val="22"/>
                <w:lang w:val="hu-HU"/>
              </w:rPr>
              <w:t>érték</w:t>
            </w:r>
            <w:r w:rsidRPr="009F4BD6">
              <w:rPr>
                <w:sz w:val="22"/>
                <w:szCs w:val="22"/>
                <w:vertAlign w:val="superscript"/>
                <w:lang w:val="hu-HU"/>
              </w:rPr>
              <w:t>a</w:t>
            </w:r>
          </w:p>
        </w:tc>
        <w:tc>
          <w:tcPr>
            <w:tcW w:w="1804" w:type="dxa"/>
            <w:tcBorders>
              <w:top w:val="single" w:sz="4" w:space="0" w:color="000000"/>
              <w:left w:val="single" w:sz="4" w:space="0" w:color="000000"/>
              <w:bottom w:val="single" w:sz="4" w:space="0" w:color="000000"/>
              <w:right w:val="single" w:sz="4" w:space="0" w:color="000000"/>
            </w:tcBorders>
          </w:tcPr>
          <w:p w14:paraId="513C6960" w14:textId="77777777" w:rsidR="002D66F3" w:rsidRPr="00360A40" w:rsidRDefault="002D66F3" w:rsidP="00360A40">
            <w:pPr>
              <w:pStyle w:val="TableParagraph"/>
              <w:kinsoku w:val="0"/>
              <w:overflowPunct w:val="0"/>
              <w:ind w:left="574"/>
              <w:rPr>
                <w:sz w:val="22"/>
                <w:szCs w:val="22"/>
                <w:lang w:val="hu-HU"/>
              </w:rPr>
            </w:pPr>
            <w:r w:rsidRPr="00360A40">
              <w:rPr>
                <w:sz w:val="22"/>
                <w:szCs w:val="22"/>
                <w:lang w:val="hu-HU"/>
              </w:rPr>
              <w:t>20 (39)</w:t>
            </w:r>
          </w:p>
        </w:tc>
        <w:tc>
          <w:tcPr>
            <w:tcW w:w="1704" w:type="dxa"/>
            <w:tcBorders>
              <w:top w:val="single" w:sz="4" w:space="0" w:color="000000"/>
              <w:left w:val="single" w:sz="4" w:space="0" w:color="000000"/>
              <w:bottom w:val="single" w:sz="4" w:space="0" w:color="000000"/>
              <w:right w:val="single" w:sz="4" w:space="0" w:color="000000"/>
            </w:tcBorders>
          </w:tcPr>
          <w:p w14:paraId="15A36E61" w14:textId="77777777" w:rsidR="002D66F3" w:rsidRPr="00360A40" w:rsidRDefault="002D66F3" w:rsidP="00360A40">
            <w:pPr>
              <w:pStyle w:val="TableParagraph"/>
              <w:kinsoku w:val="0"/>
              <w:overflowPunct w:val="0"/>
              <w:ind w:left="524"/>
              <w:rPr>
                <w:sz w:val="22"/>
                <w:szCs w:val="22"/>
                <w:lang w:val="hu-HU"/>
              </w:rPr>
            </w:pPr>
            <w:r w:rsidRPr="00360A40">
              <w:rPr>
                <w:sz w:val="22"/>
                <w:szCs w:val="22"/>
                <w:lang w:val="hu-HU"/>
              </w:rPr>
              <w:t>18 (60)</w:t>
            </w:r>
          </w:p>
        </w:tc>
      </w:tr>
      <w:tr w:rsidR="002D66F3" w:rsidRPr="00360A40" w14:paraId="2195E376" w14:textId="77777777" w:rsidTr="00D25F36">
        <w:tc>
          <w:tcPr>
            <w:tcW w:w="5679" w:type="dxa"/>
            <w:vMerge/>
            <w:tcBorders>
              <w:top w:val="single" w:sz="4" w:space="0" w:color="000000"/>
              <w:left w:val="single" w:sz="4" w:space="0" w:color="000000"/>
              <w:bottom w:val="single" w:sz="4" w:space="0" w:color="000000"/>
              <w:right w:val="single" w:sz="4" w:space="0" w:color="000000"/>
            </w:tcBorders>
          </w:tcPr>
          <w:p w14:paraId="39454815" w14:textId="77777777" w:rsidR="002D66F3" w:rsidRPr="00360A40" w:rsidRDefault="002D66F3" w:rsidP="00360A40">
            <w:pPr>
              <w:pStyle w:val="TableParagraph"/>
              <w:kinsoku w:val="0"/>
              <w:overflowPunct w:val="0"/>
              <w:ind w:left="524"/>
              <w:rPr>
                <w:sz w:val="22"/>
                <w:szCs w:val="22"/>
                <w:lang w:val="hu-HU"/>
              </w:rPr>
            </w:pPr>
          </w:p>
        </w:tc>
        <w:tc>
          <w:tcPr>
            <w:tcW w:w="3508" w:type="dxa"/>
            <w:gridSpan w:val="2"/>
            <w:tcBorders>
              <w:top w:val="single" w:sz="4" w:space="0" w:color="000000"/>
              <w:left w:val="single" w:sz="4" w:space="0" w:color="000000"/>
              <w:bottom w:val="single" w:sz="4" w:space="0" w:color="000000"/>
              <w:right w:val="single" w:sz="4" w:space="0" w:color="000000"/>
            </w:tcBorders>
          </w:tcPr>
          <w:p w14:paraId="31EB0E71"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0,029</w:t>
            </w:r>
          </w:p>
        </w:tc>
      </w:tr>
    </w:tbl>
    <w:p w14:paraId="0E43FA9D" w14:textId="77777777" w:rsidR="002D66F3" w:rsidRPr="00360A40" w:rsidRDefault="002D66F3" w:rsidP="00360A40">
      <w:pPr>
        <w:pStyle w:val="Szvegtrzs"/>
        <w:kinsoku w:val="0"/>
        <w:overflowPunct w:val="0"/>
        <w:ind w:left="0"/>
        <w:rPr>
          <w:lang w:val="hu-HU"/>
        </w:rPr>
      </w:pPr>
      <w:r w:rsidRPr="00360A40">
        <w:rPr>
          <w:lang w:val="hu-HU"/>
        </w:rPr>
        <w:t>a</w:t>
      </w:r>
      <w:r w:rsidRPr="00360A40">
        <w:rPr>
          <w:lang w:val="hu-HU"/>
        </w:rPr>
        <w:tab/>
        <w:t>Randomizációs stratifikációs változókkal korrigált logisztikai regressziós modell</w:t>
      </w:r>
    </w:p>
    <w:p w14:paraId="60F21D38" w14:textId="77777777" w:rsidR="002D66F3" w:rsidRPr="00360A40" w:rsidRDefault="002D66F3" w:rsidP="00360A40">
      <w:pPr>
        <w:pStyle w:val="Szvegtrzs"/>
        <w:kinsoku w:val="0"/>
        <w:overflowPunct w:val="0"/>
        <w:ind w:left="0"/>
        <w:rPr>
          <w:lang w:val="hu-HU"/>
        </w:rPr>
      </w:pPr>
    </w:p>
    <w:p w14:paraId="4357D26C" w14:textId="4C92AFA4" w:rsidR="002D66F3" w:rsidRPr="00360A40" w:rsidRDefault="002D66F3" w:rsidP="00360A40">
      <w:pPr>
        <w:pStyle w:val="Szvegtrzs"/>
        <w:kinsoku w:val="0"/>
        <w:overflowPunct w:val="0"/>
        <w:ind w:left="0"/>
        <w:rPr>
          <w:lang w:val="hu-HU"/>
        </w:rPr>
      </w:pPr>
      <w:r w:rsidRPr="00360A40">
        <w:rPr>
          <w:lang w:val="hu-HU"/>
        </w:rPr>
        <w:t>Mind a RAISE, mind a TRA100773B vizsgálatban a placeb</w:t>
      </w:r>
      <w:r w:rsidR="00CF7645" w:rsidRPr="00360A40">
        <w:rPr>
          <w:lang w:val="hu-HU"/>
        </w:rPr>
        <w:t>ó</w:t>
      </w:r>
      <w:r w:rsidRPr="00360A40">
        <w:rPr>
          <w:lang w:val="hu-HU"/>
        </w:rPr>
        <w:t>ra és az eltrombopagra adott válasz hasonló volt, tekintet nélkül az ITP kezelésére alkalmazott gyógyszerekre, a splenectomiás státuszra és a randomizáláskor mért kiindulási vérlemezkeszámra (≤</w:t>
      </w:r>
      <w:r w:rsidR="00580238" w:rsidRPr="00360A40">
        <w:rPr>
          <w:lang w:val="hu-HU"/>
        </w:rPr>
        <w:t> </w:t>
      </w:r>
      <w:r w:rsidRPr="00360A40">
        <w:rPr>
          <w:lang w:val="hu-HU"/>
        </w:rPr>
        <w:t>15</w:t>
      </w:r>
      <w:r w:rsidR="00580238" w:rsidRPr="00360A40">
        <w:rPr>
          <w:lang w:val="hu-HU"/>
        </w:rPr>
        <w:t> </w:t>
      </w:r>
      <w:r w:rsidRPr="00360A40">
        <w:rPr>
          <w:lang w:val="hu-HU"/>
        </w:rPr>
        <w:t>000/µl, &gt;</w:t>
      </w:r>
      <w:r w:rsidR="00580238" w:rsidRPr="00360A40">
        <w:rPr>
          <w:lang w:val="hu-HU"/>
        </w:rPr>
        <w:t> </w:t>
      </w:r>
      <w:r w:rsidRPr="00360A40">
        <w:rPr>
          <w:lang w:val="hu-HU"/>
        </w:rPr>
        <w:t>15</w:t>
      </w:r>
      <w:r w:rsidR="00580238" w:rsidRPr="00360A40">
        <w:rPr>
          <w:lang w:val="hu-HU"/>
        </w:rPr>
        <w:t> </w:t>
      </w:r>
      <w:r w:rsidRPr="00360A40">
        <w:rPr>
          <w:lang w:val="hu-HU"/>
        </w:rPr>
        <w:t>000/µl).</w:t>
      </w:r>
    </w:p>
    <w:p w14:paraId="1B30545A" w14:textId="77777777" w:rsidR="002D66F3" w:rsidRPr="00360A40" w:rsidRDefault="002D66F3" w:rsidP="00360A40">
      <w:pPr>
        <w:pStyle w:val="Szvegtrzs"/>
        <w:kinsoku w:val="0"/>
        <w:overflowPunct w:val="0"/>
        <w:ind w:left="0"/>
        <w:rPr>
          <w:lang w:val="hu-HU"/>
        </w:rPr>
      </w:pPr>
    </w:p>
    <w:p w14:paraId="08F4D5F0" w14:textId="22E1FB6C" w:rsidR="002D66F3" w:rsidRPr="00360A40" w:rsidRDefault="002D66F3" w:rsidP="00360A40">
      <w:pPr>
        <w:pStyle w:val="Szvegtrzs"/>
        <w:kinsoku w:val="0"/>
        <w:overflowPunct w:val="0"/>
        <w:ind w:left="0"/>
        <w:rPr>
          <w:lang w:val="hu-HU"/>
        </w:rPr>
      </w:pPr>
      <w:r w:rsidRPr="00360A40">
        <w:rPr>
          <w:lang w:val="hu-HU"/>
        </w:rPr>
        <w:t>A RAISE és a TRA100773B vizsgálatban az ITP-s betegeknek abban az alcsoportjában, ahol a kiindulási vérlemezkeszám ≤</w:t>
      </w:r>
      <w:r w:rsidR="00580238" w:rsidRPr="00360A40">
        <w:rPr>
          <w:lang w:val="hu-HU"/>
        </w:rPr>
        <w:t> </w:t>
      </w:r>
      <w:r w:rsidRPr="00360A40">
        <w:rPr>
          <w:lang w:val="hu-HU"/>
        </w:rPr>
        <w:t>15</w:t>
      </w:r>
      <w:r w:rsidR="00580238" w:rsidRPr="00360A40">
        <w:rPr>
          <w:lang w:val="hu-HU"/>
        </w:rPr>
        <w:t> </w:t>
      </w:r>
      <w:r w:rsidRPr="00360A40">
        <w:rPr>
          <w:lang w:val="hu-HU"/>
        </w:rPr>
        <w:t>000/</w:t>
      </w:r>
      <w:r w:rsidR="004A32AB">
        <w:rPr>
          <w:lang w:val="hu-HU"/>
        </w:rPr>
        <w:t>µl</w:t>
      </w:r>
      <w:r w:rsidRPr="00360A40">
        <w:rPr>
          <w:lang w:val="hu-HU"/>
        </w:rPr>
        <w:t xml:space="preserve"> volt, a medián vérlemezkeszám nem érte el a megcélzott szintet (&gt;</w:t>
      </w:r>
      <w:r w:rsidR="00580238" w:rsidRPr="00360A40">
        <w:rPr>
          <w:lang w:val="hu-HU"/>
        </w:rPr>
        <w:t> </w:t>
      </w:r>
      <w:r w:rsidRPr="00360A40">
        <w:rPr>
          <w:lang w:val="hu-HU"/>
        </w:rPr>
        <w:t>50</w:t>
      </w:r>
      <w:r w:rsidR="00580238" w:rsidRPr="00360A40">
        <w:rPr>
          <w:lang w:val="hu-HU"/>
        </w:rPr>
        <w:t> </w:t>
      </w:r>
      <w:r w:rsidRPr="00360A40">
        <w:rPr>
          <w:lang w:val="hu-HU"/>
        </w:rPr>
        <w:t>000/</w:t>
      </w:r>
      <w:r w:rsidR="00BD4335">
        <w:rPr>
          <w:lang w:val="hu-HU"/>
        </w:rPr>
        <w:t>µl</w:t>
      </w:r>
      <w:r w:rsidRPr="00360A40">
        <w:rPr>
          <w:lang w:val="hu-HU"/>
        </w:rPr>
        <w:t>), bár mindkét vizsgálatban ezeknek az eltrombopaggal kezelt betegeknek a 43%-a reagált 6</w:t>
      </w:r>
      <w:r w:rsidR="00580238" w:rsidRPr="00360A40">
        <w:rPr>
          <w:lang w:val="hu-HU"/>
        </w:rPr>
        <w:t> </w:t>
      </w:r>
      <w:r w:rsidRPr="00360A40">
        <w:rPr>
          <w:lang w:val="hu-HU"/>
        </w:rPr>
        <w:t>hét után a kezelésre. Ezen túlmenően, a RAISE vizsgálatban azoknak az eltrombopaggal kezelt betegeknek, akiknek kiinduláskor ≤</w:t>
      </w:r>
      <w:r w:rsidR="00580238" w:rsidRPr="00360A40">
        <w:rPr>
          <w:lang w:val="hu-HU"/>
        </w:rPr>
        <w:t> </w:t>
      </w:r>
      <w:r w:rsidRPr="00360A40">
        <w:rPr>
          <w:lang w:val="hu-HU"/>
        </w:rPr>
        <w:t>15</w:t>
      </w:r>
      <w:r w:rsidR="00580238" w:rsidRPr="00360A40">
        <w:rPr>
          <w:lang w:val="hu-HU"/>
        </w:rPr>
        <w:t> </w:t>
      </w:r>
      <w:r w:rsidRPr="00360A40">
        <w:rPr>
          <w:lang w:val="hu-HU"/>
        </w:rPr>
        <w:t>000/</w:t>
      </w:r>
      <w:r w:rsidR="004A32AB">
        <w:rPr>
          <w:lang w:val="hu-HU"/>
        </w:rPr>
        <w:t>µl</w:t>
      </w:r>
      <w:r w:rsidRPr="00360A40">
        <w:rPr>
          <w:lang w:val="hu-HU"/>
        </w:rPr>
        <w:t xml:space="preserve"> volt a vérlemezkeszáma, 42%-a reagált a</w:t>
      </w:r>
      <w:r w:rsidR="00580238" w:rsidRPr="00360A40">
        <w:rPr>
          <w:lang w:val="hu-HU"/>
        </w:rPr>
        <w:t xml:space="preserve"> </w:t>
      </w:r>
      <w:r w:rsidRPr="00360A40">
        <w:rPr>
          <w:lang w:val="hu-HU"/>
        </w:rPr>
        <w:t>6</w:t>
      </w:r>
      <w:r w:rsidR="00580238" w:rsidRPr="00360A40">
        <w:rPr>
          <w:lang w:val="hu-HU"/>
        </w:rPr>
        <w:t> </w:t>
      </w:r>
      <w:r w:rsidRPr="00360A40">
        <w:rPr>
          <w:lang w:val="hu-HU"/>
        </w:rPr>
        <w:t>hónapos kezelési időszak végén. A RAISE vizsgálatban az eltrombopagot kapó betegek 42-60%-a kapott 75</w:t>
      </w:r>
      <w:r w:rsidR="00580238" w:rsidRPr="00360A40">
        <w:rPr>
          <w:lang w:val="hu-HU"/>
        </w:rPr>
        <w:t> </w:t>
      </w:r>
      <w:r w:rsidRPr="00360A40">
        <w:rPr>
          <w:lang w:val="hu-HU"/>
        </w:rPr>
        <w:t>mg-ot a 29.</w:t>
      </w:r>
      <w:r w:rsidR="002A2DEB" w:rsidRPr="00360A40">
        <w:rPr>
          <w:lang w:val="hu-HU"/>
        </w:rPr>
        <w:t> </w:t>
      </w:r>
      <w:r w:rsidRPr="00360A40">
        <w:rPr>
          <w:lang w:val="hu-HU"/>
        </w:rPr>
        <w:t>naptól kezdve a kezelés végéig.</w:t>
      </w:r>
    </w:p>
    <w:p w14:paraId="33C0066B" w14:textId="77777777" w:rsidR="002D66F3" w:rsidRPr="00360A40" w:rsidRDefault="002D66F3" w:rsidP="00360A40">
      <w:pPr>
        <w:pStyle w:val="Szvegtrzs"/>
        <w:kinsoku w:val="0"/>
        <w:overflowPunct w:val="0"/>
        <w:ind w:left="0"/>
        <w:rPr>
          <w:lang w:val="hu-HU"/>
        </w:rPr>
      </w:pPr>
    </w:p>
    <w:p w14:paraId="68C3137B" w14:textId="77777777" w:rsidR="002D66F3" w:rsidRPr="00360A40" w:rsidRDefault="002D66F3" w:rsidP="00360A40">
      <w:pPr>
        <w:pStyle w:val="Szvegtrzs"/>
        <w:kinsoku w:val="0"/>
        <w:overflowPunct w:val="0"/>
        <w:ind w:left="0"/>
        <w:rPr>
          <w:lang w:val="hu-HU"/>
        </w:rPr>
      </w:pPr>
      <w:r w:rsidRPr="00360A40">
        <w:rPr>
          <w:i/>
          <w:iCs/>
          <w:lang w:val="hu-HU"/>
        </w:rPr>
        <w:t>Nyílt elrendezésű, nem kontrollos vizsgálatok</w:t>
      </w:r>
    </w:p>
    <w:p w14:paraId="104A57BB" w14:textId="60CB9584" w:rsidR="002D66F3" w:rsidRPr="00360A40" w:rsidRDefault="002D66F3" w:rsidP="00360A40">
      <w:pPr>
        <w:pStyle w:val="Szvegtrzs"/>
        <w:kinsoku w:val="0"/>
        <w:overflowPunct w:val="0"/>
        <w:ind w:left="0"/>
        <w:rPr>
          <w:lang w:val="hu-HU"/>
        </w:rPr>
      </w:pPr>
      <w:r w:rsidRPr="00360A40">
        <w:rPr>
          <w:lang w:val="hu-HU"/>
        </w:rPr>
        <w:t>REPEAT (TRA108057): Ez a nyílt, ismételt dózisú vizsgálat (6</w:t>
      </w:r>
      <w:r w:rsidR="00580238" w:rsidRPr="00360A40">
        <w:rPr>
          <w:lang w:val="hu-HU"/>
        </w:rPr>
        <w:t> </w:t>
      </w:r>
      <w:r w:rsidRPr="00360A40">
        <w:rPr>
          <w:lang w:val="hu-HU"/>
        </w:rPr>
        <w:t>hetes kezelés 4</w:t>
      </w:r>
      <w:r w:rsidR="00580238" w:rsidRPr="00360A40">
        <w:rPr>
          <w:lang w:val="hu-HU"/>
        </w:rPr>
        <w:t> </w:t>
      </w:r>
      <w:r w:rsidRPr="00360A40">
        <w:rPr>
          <w:lang w:val="hu-HU"/>
        </w:rPr>
        <w:t>hét szünettel</w:t>
      </w:r>
      <w:r w:rsidR="00580238" w:rsidRPr="00360A40">
        <w:rPr>
          <w:lang w:val="hu-HU"/>
        </w:rPr>
        <w:t xml:space="preserve"> </w:t>
      </w:r>
      <w:r w:rsidRPr="00360A40">
        <w:rPr>
          <w:lang w:val="hu-HU"/>
        </w:rPr>
        <w:t>3 ciklusban) azt mutatta, hogy a többszöri eltrombopag kúra epizódszerű alkalmazása nem csökkenti a terápiás választ.</w:t>
      </w:r>
    </w:p>
    <w:p w14:paraId="0F1456A9" w14:textId="77777777" w:rsidR="002D66F3" w:rsidRPr="00360A40" w:rsidRDefault="002D66F3" w:rsidP="00360A40">
      <w:pPr>
        <w:pStyle w:val="Szvegtrzs"/>
        <w:kinsoku w:val="0"/>
        <w:overflowPunct w:val="0"/>
        <w:ind w:left="0"/>
        <w:rPr>
          <w:lang w:val="hu-HU"/>
        </w:rPr>
      </w:pPr>
    </w:p>
    <w:p w14:paraId="22B3C10A" w14:textId="74A2BD36" w:rsidR="002D66F3" w:rsidRPr="00360A40" w:rsidRDefault="002D66F3" w:rsidP="00360A40">
      <w:pPr>
        <w:pStyle w:val="Szvegtrzs"/>
        <w:kinsoku w:val="0"/>
        <w:overflowPunct w:val="0"/>
        <w:ind w:left="0"/>
        <w:rPr>
          <w:lang w:val="hu-HU"/>
        </w:rPr>
      </w:pPr>
      <w:r w:rsidRPr="00360A40">
        <w:rPr>
          <w:lang w:val="hu-HU"/>
        </w:rPr>
        <w:t xml:space="preserve">EXTEND (TRA105325): </w:t>
      </w:r>
      <w:r w:rsidR="005D57C1">
        <w:rPr>
          <w:lang w:val="hu-HU"/>
        </w:rPr>
        <w:t>Ebben a</w:t>
      </w:r>
      <w:r w:rsidRPr="00360A40">
        <w:rPr>
          <w:lang w:val="hu-HU"/>
        </w:rPr>
        <w:t xml:space="preserve"> kiterjesztett, nyílt vizsgálatban 302, ITP-s beteg kapott eltrombopagot; 218</w:t>
      </w:r>
      <w:r w:rsidR="00580238" w:rsidRPr="00360A40">
        <w:rPr>
          <w:lang w:val="hu-HU"/>
        </w:rPr>
        <w:t> </w:t>
      </w:r>
      <w:r w:rsidRPr="00360A40">
        <w:rPr>
          <w:lang w:val="hu-HU"/>
        </w:rPr>
        <w:t>beteg 1</w:t>
      </w:r>
      <w:r w:rsidR="00580238" w:rsidRPr="00360A40">
        <w:rPr>
          <w:lang w:val="hu-HU"/>
        </w:rPr>
        <w:t> </w:t>
      </w:r>
      <w:r w:rsidRPr="00360A40">
        <w:rPr>
          <w:lang w:val="hu-HU"/>
        </w:rPr>
        <w:t>évig, 180</w:t>
      </w:r>
      <w:r w:rsidR="00580238" w:rsidRPr="00360A40">
        <w:rPr>
          <w:lang w:val="hu-HU"/>
        </w:rPr>
        <w:t> </w:t>
      </w:r>
      <w:r w:rsidRPr="00360A40">
        <w:rPr>
          <w:lang w:val="hu-HU"/>
        </w:rPr>
        <w:t>beteg 2</w:t>
      </w:r>
      <w:r w:rsidR="00580238" w:rsidRPr="00360A40">
        <w:rPr>
          <w:lang w:val="hu-HU"/>
        </w:rPr>
        <w:t> </w:t>
      </w:r>
      <w:r w:rsidRPr="00360A40">
        <w:rPr>
          <w:lang w:val="hu-HU"/>
        </w:rPr>
        <w:t>évig, 107</w:t>
      </w:r>
      <w:r w:rsidR="00580238" w:rsidRPr="00360A40">
        <w:rPr>
          <w:lang w:val="hu-HU"/>
        </w:rPr>
        <w:t> </w:t>
      </w:r>
      <w:r w:rsidRPr="00360A40">
        <w:rPr>
          <w:lang w:val="hu-HU"/>
        </w:rPr>
        <w:t>beteg 3</w:t>
      </w:r>
      <w:r w:rsidR="00580238" w:rsidRPr="00360A40">
        <w:rPr>
          <w:lang w:val="hu-HU"/>
        </w:rPr>
        <w:t> </w:t>
      </w:r>
      <w:r w:rsidRPr="00360A40">
        <w:rPr>
          <w:lang w:val="hu-HU"/>
        </w:rPr>
        <w:t>évig, 75</w:t>
      </w:r>
      <w:r w:rsidR="00580238" w:rsidRPr="00360A40">
        <w:rPr>
          <w:lang w:val="hu-HU"/>
        </w:rPr>
        <w:t> </w:t>
      </w:r>
      <w:r w:rsidRPr="00360A40">
        <w:rPr>
          <w:lang w:val="hu-HU"/>
        </w:rPr>
        <w:t>beteg 4</w:t>
      </w:r>
      <w:r w:rsidR="00580238" w:rsidRPr="00360A40">
        <w:rPr>
          <w:lang w:val="hu-HU"/>
        </w:rPr>
        <w:t> </w:t>
      </w:r>
      <w:r w:rsidRPr="00360A40">
        <w:rPr>
          <w:lang w:val="hu-HU"/>
        </w:rPr>
        <w:t>évig, 34</w:t>
      </w:r>
      <w:r w:rsidR="00580238" w:rsidRPr="00360A40">
        <w:rPr>
          <w:lang w:val="hu-HU"/>
        </w:rPr>
        <w:t> </w:t>
      </w:r>
      <w:r w:rsidRPr="00360A40">
        <w:rPr>
          <w:lang w:val="hu-HU"/>
        </w:rPr>
        <w:t>beteg 5</w:t>
      </w:r>
      <w:r w:rsidR="00580238" w:rsidRPr="00360A40">
        <w:rPr>
          <w:lang w:val="hu-HU"/>
        </w:rPr>
        <w:t> </w:t>
      </w:r>
      <w:r w:rsidRPr="00360A40">
        <w:rPr>
          <w:lang w:val="hu-HU"/>
        </w:rPr>
        <w:t>évig, 18</w:t>
      </w:r>
      <w:r w:rsidR="00580238" w:rsidRPr="00360A40">
        <w:rPr>
          <w:lang w:val="hu-HU"/>
        </w:rPr>
        <w:t> </w:t>
      </w:r>
      <w:r w:rsidRPr="00360A40">
        <w:rPr>
          <w:lang w:val="hu-HU"/>
        </w:rPr>
        <w:t>beteg 6</w:t>
      </w:r>
      <w:r w:rsidR="00580238" w:rsidRPr="00360A40">
        <w:rPr>
          <w:lang w:val="hu-HU"/>
        </w:rPr>
        <w:t> </w:t>
      </w:r>
      <w:r w:rsidRPr="00360A40">
        <w:rPr>
          <w:lang w:val="hu-HU"/>
        </w:rPr>
        <w:t>évig kapta a kezelést. A medián kiindulási vérlemezkeszám 19</w:t>
      </w:r>
      <w:r w:rsidR="00580238" w:rsidRPr="00360A40">
        <w:rPr>
          <w:lang w:val="hu-HU"/>
        </w:rPr>
        <w:t> </w:t>
      </w:r>
      <w:r w:rsidRPr="00360A40">
        <w:rPr>
          <w:lang w:val="hu-HU"/>
        </w:rPr>
        <w:t>000/</w:t>
      </w:r>
      <w:r w:rsidR="00BD4335">
        <w:rPr>
          <w:lang w:val="hu-HU"/>
        </w:rPr>
        <w:t>µl</w:t>
      </w:r>
      <w:r w:rsidRPr="00360A40">
        <w:rPr>
          <w:lang w:val="hu-HU"/>
        </w:rPr>
        <w:t xml:space="preserve"> volt az eltrombopag adása előtt. A medián vérlemezkeszám a vizsgálat 1, 2, 3, 4, 5, 6 és 7</w:t>
      </w:r>
      <w:r w:rsidR="00580238" w:rsidRPr="00360A40">
        <w:rPr>
          <w:lang w:val="hu-HU"/>
        </w:rPr>
        <w:t> </w:t>
      </w:r>
      <w:r w:rsidRPr="00360A40">
        <w:rPr>
          <w:lang w:val="hu-HU"/>
        </w:rPr>
        <w:t>évében 85</w:t>
      </w:r>
      <w:r w:rsidR="00580238" w:rsidRPr="00360A40">
        <w:rPr>
          <w:lang w:val="hu-HU"/>
        </w:rPr>
        <w:t> </w:t>
      </w:r>
      <w:r w:rsidRPr="00360A40">
        <w:rPr>
          <w:lang w:val="hu-HU"/>
        </w:rPr>
        <w:t>000/</w:t>
      </w:r>
      <w:r w:rsidR="00BD4335">
        <w:rPr>
          <w:lang w:val="hu-HU"/>
        </w:rPr>
        <w:t>µl</w:t>
      </w:r>
      <w:r w:rsidRPr="00360A40">
        <w:rPr>
          <w:lang w:val="hu-HU"/>
        </w:rPr>
        <w:t>, 85</w:t>
      </w:r>
      <w:r w:rsidR="002A2DEB" w:rsidRPr="00360A40">
        <w:rPr>
          <w:lang w:val="hu-HU"/>
        </w:rPr>
        <w:t> </w:t>
      </w:r>
      <w:r w:rsidRPr="00360A40">
        <w:rPr>
          <w:lang w:val="hu-HU"/>
        </w:rPr>
        <w:t>000/</w:t>
      </w:r>
      <w:r w:rsidR="00BD4335">
        <w:rPr>
          <w:lang w:val="hu-HU"/>
        </w:rPr>
        <w:t>µl</w:t>
      </w:r>
      <w:r w:rsidRPr="00360A40">
        <w:rPr>
          <w:lang w:val="hu-HU"/>
        </w:rPr>
        <w:t>, 105</w:t>
      </w:r>
      <w:r w:rsidR="00580238" w:rsidRPr="00360A40">
        <w:rPr>
          <w:lang w:val="hu-HU"/>
        </w:rPr>
        <w:t> </w:t>
      </w:r>
      <w:r w:rsidRPr="00360A40">
        <w:rPr>
          <w:lang w:val="hu-HU"/>
        </w:rPr>
        <w:t>000/</w:t>
      </w:r>
      <w:r w:rsidR="00BD4335">
        <w:rPr>
          <w:lang w:val="hu-HU"/>
        </w:rPr>
        <w:t>µl</w:t>
      </w:r>
      <w:r w:rsidRPr="00360A40">
        <w:rPr>
          <w:lang w:val="hu-HU"/>
        </w:rPr>
        <w:t>,</w:t>
      </w:r>
      <w:r w:rsidR="00580238" w:rsidRPr="00360A40">
        <w:rPr>
          <w:lang w:val="hu-HU"/>
        </w:rPr>
        <w:t xml:space="preserve"> </w:t>
      </w:r>
      <w:r w:rsidRPr="00360A40">
        <w:rPr>
          <w:lang w:val="hu-HU"/>
        </w:rPr>
        <w:t>64</w:t>
      </w:r>
      <w:r w:rsidR="00580238" w:rsidRPr="00360A40">
        <w:rPr>
          <w:lang w:val="hu-HU"/>
        </w:rPr>
        <w:t> </w:t>
      </w:r>
      <w:r w:rsidRPr="00360A40">
        <w:rPr>
          <w:lang w:val="hu-HU"/>
        </w:rPr>
        <w:t>000/</w:t>
      </w:r>
      <w:r w:rsidR="00BD4335">
        <w:rPr>
          <w:lang w:val="hu-HU"/>
        </w:rPr>
        <w:t>µl</w:t>
      </w:r>
      <w:r w:rsidRPr="00360A40">
        <w:rPr>
          <w:lang w:val="hu-HU"/>
        </w:rPr>
        <w:t>, 75</w:t>
      </w:r>
      <w:r w:rsidR="00580238" w:rsidRPr="00360A40">
        <w:rPr>
          <w:lang w:val="hu-HU"/>
        </w:rPr>
        <w:t> </w:t>
      </w:r>
      <w:r w:rsidRPr="00360A40">
        <w:rPr>
          <w:lang w:val="hu-HU"/>
        </w:rPr>
        <w:t>000/</w:t>
      </w:r>
      <w:r w:rsidR="00BD4335">
        <w:rPr>
          <w:lang w:val="hu-HU"/>
        </w:rPr>
        <w:t>µl</w:t>
      </w:r>
      <w:r w:rsidRPr="00360A40">
        <w:rPr>
          <w:lang w:val="hu-HU"/>
        </w:rPr>
        <w:t>, 119</w:t>
      </w:r>
      <w:r w:rsidR="00580238" w:rsidRPr="00360A40">
        <w:rPr>
          <w:lang w:val="hu-HU"/>
        </w:rPr>
        <w:t> </w:t>
      </w:r>
      <w:r w:rsidRPr="00360A40">
        <w:rPr>
          <w:lang w:val="hu-HU"/>
        </w:rPr>
        <w:t>000/</w:t>
      </w:r>
      <w:r w:rsidR="00BD4335">
        <w:rPr>
          <w:lang w:val="hu-HU"/>
        </w:rPr>
        <w:t>µl</w:t>
      </w:r>
      <w:r w:rsidRPr="00360A40">
        <w:rPr>
          <w:lang w:val="hu-HU"/>
        </w:rPr>
        <w:t>, illetve 76</w:t>
      </w:r>
      <w:r w:rsidR="00580238" w:rsidRPr="00360A40">
        <w:rPr>
          <w:lang w:val="hu-HU"/>
        </w:rPr>
        <w:t> </w:t>
      </w:r>
      <w:r w:rsidRPr="00360A40">
        <w:rPr>
          <w:lang w:val="hu-HU"/>
        </w:rPr>
        <w:t>000/</w:t>
      </w:r>
      <w:r w:rsidR="00BD4335">
        <w:rPr>
          <w:lang w:val="hu-HU"/>
        </w:rPr>
        <w:t>µl</w:t>
      </w:r>
      <w:r w:rsidRPr="00360A40">
        <w:rPr>
          <w:lang w:val="hu-HU"/>
        </w:rPr>
        <w:t xml:space="preserve"> volt, ebben a sorrendben.</w:t>
      </w:r>
    </w:p>
    <w:p w14:paraId="65014FBB" w14:textId="77777777" w:rsidR="002D66F3" w:rsidRPr="00360A40" w:rsidRDefault="002D66F3" w:rsidP="00360A40">
      <w:pPr>
        <w:pStyle w:val="Szvegtrzs"/>
        <w:kinsoku w:val="0"/>
        <w:overflowPunct w:val="0"/>
        <w:ind w:left="0"/>
        <w:rPr>
          <w:lang w:val="hu-HU"/>
        </w:rPr>
      </w:pPr>
    </w:p>
    <w:p w14:paraId="7E5CB47D" w14:textId="617476F4" w:rsidR="002D66F3" w:rsidRPr="00360A40" w:rsidRDefault="002D66F3" w:rsidP="00360A40">
      <w:pPr>
        <w:pStyle w:val="Szvegtrzs"/>
        <w:kinsoku w:val="0"/>
        <w:overflowPunct w:val="0"/>
        <w:ind w:left="0"/>
        <w:rPr>
          <w:lang w:val="hu-HU"/>
        </w:rPr>
      </w:pPr>
      <w:r w:rsidRPr="00360A40">
        <w:rPr>
          <w:lang w:val="hu-HU"/>
        </w:rPr>
        <w:t>TAPER (CETB115J2411): Ebben az egy karú, II. fázisú vizsgálatban olyan ITP-s betegek vettek részt, akiket eltrombopaggal kezeltek az első vonalban alkalmazott kortikoszteroidok kudarcát követően, a diagnózis óta eltelt időre való tekintet nélkül. Összesen 105</w:t>
      </w:r>
      <w:r w:rsidR="00580238" w:rsidRPr="00360A40">
        <w:rPr>
          <w:lang w:val="hu-HU"/>
        </w:rPr>
        <w:t> </w:t>
      </w:r>
      <w:r w:rsidRPr="00360A40">
        <w:rPr>
          <w:lang w:val="hu-HU"/>
        </w:rPr>
        <w:t>beteget vontak be a vizsgálatba, akik naponta egyszer 50</w:t>
      </w:r>
      <w:r w:rsidR="00CF46F8" w:rsidRPr="00360A40">
        <w:rPr>
          <w:lang w:val="hu-HU"/>
        </w:rPr>
        <w:t> </w:t>
      </w:r>
      <w:r w:rsidRPr="00360A40">
        <w:rPr>
          <w:lang w:val="hu-HU"/>
        </w:rPr>
        <w:t>mg dózissal kezdték meg az eltrombopag-kezelést (a dózis naponta egyszer 25</w:t>
      </w:r>
      <w:r w:rsidR="00580238" w:rsidRPr="00360A40">
        <w:rPr>
          <w:lang w:val="hu-HU"/>
        </w:rPr>
        <w:t> </w:t>
      </w:r>
      <w:r w:rsidRPr="00360A40">
        <w:rPr>
          <w:lang w:val="hu-HU"/>
        </w:rPr>
        <w:t>mg volt a kelet- vagy délkelet-ázsiai felmenőkkel rendelkező betegeknél). A kezelési időszak során az adott beteg vérlemezkeszáma szerint módosították az eltrombopag dózisát azzal a céllal, hogy a vérlemezkeszám elérje vagy meghaladja a 100</w:t>
      </w:r>
      <w:r w:rsidR="00580238" w:rsidRPr="00360A40">
        <w:rPr>
          <w:lang w:val="hu-HU"/>
        </w:rPr>
        <w:t> </w:t>
      </w:r>
      <w:r w:rsidRPr="00360A40">
        <w:rPr>
          <w:lang w:val="hu-HU"/>
        </w:rPr>
        <w:t>000/µl-t.</w:t>
      </w:r>
    </w:p>
    <w:p w14:paraId="45850D68" w14:textId="77777777" w:rsidR="002D66F3" w:rsidRPr="00360A40" w:rsidRDefault="002D66F3" w:rsidP="00360A40">
      <w:pPr>
        <w:pStyle w:val="Szvegtrzs"/>
        <w:kinsoku w:val="0"/>
        <w:overflowPunct w:val="0"/>
        <w:ind w:left="0"/>
        <w:rPr>
          <w:lang w:val="hu-HU"/>
        </w:rPr>
      </w:pPr>
    </w:p>
    <w:p w14:paraId="63270EB5" w14:textId="5FDD31DD" w:rsidR="00D224C3" w:rsidRPr="00360A40" w:rsidRDefault="00D224C3" w:rsidP="00360A40">
      <w:pPr>
        <w:pStyle w:val="Szvegtrzs"/>
        <w:kinsoku w:val="0"/>
        <w:overflowPunct w:val="0"/>
        <w:ind w:left="0"/>
        <w:rPr>
          <w:lang w:val="hu-HU"/>
        </w:rPr>
      </w:pPr>
      <w:r w:rsidRPr="00360A40">
        <w:rPr>
          <w:lang w:val="hu-HU"/>
        </w:rPr>
        <w:t>A vizsgálatba beválasztott és legalább egy eltrombopag-dózist kapott, 105</w:t>
      </w:r>
      <w:r w:rsidR="00602004" w:rsidRPr="00360A40">
        <w:rPr>
          <w:lang w:val="hu-HU"/>
        </w:rPr>
        <w:t> </w:t>
      </w:r>
      <w:r w:rsidRPr="00360A40">
        <w:rPr>
          <w:lang w:val="hu-HU"/>
        </w:rPr>
        <w:t>beteg közül 69</w:t>
      </w:r>
      <w:r w:rsidR="00602004" w:rsidRPr="00360A40">
        <w:rPr>
          <w:lang w:val="hu-HU"/>
        </w:rPr>
        <w:t> </w:t>
      </w:r>
      <w:r w:rsidRPr="00360A40">
        <w:rPr>
          <w:lang w:val="hu-HU"/>
        </w:rPr>
        <w:t>beteg</w:t>
      </w:r>
      <w:r w:rsidR="00602004" w:rsidRPr="00360A40">
        <w:rPr>
          <w:lang w:val="hu-HU"/>
        </w:rPr>
        <w:t xml:space="preserve"> </w:t>
      </w:r>
      <w:r w:rsidRPr="00360A40">
        <w:rPr>
          <w:lang w:val="hu-HU"/>
        </w:rPr>
        <w:t xml:space="preserve">(65,7%) </w:t>
      </w:r>
      <w:r w:rsidR="00367A1A" w:rsidRPr="00360A40">
        <w:rPr>
          <w:lang w:val="hu-HU"/>
        </w:rPr>
        <w:t>kapott teljes</w:t>
      </w:r>
      <w:r w:rsidR="00602004" w:rsidRPr="00360A40">
        <w:rPr>
          <w:lang w:val="hu-HU"/>
        </w:rPr>
        <w:t xml:space="preserve"> kezelést</w:t>
      </w:r>
      <w:r w:rsidRPr="00360A40">
        <w:rPr>
          <w:lang w:val="hu-HU"/>
        </w:rPr>
        <w:t>, 36</w:t>
      </w:r>
      <w:r w:rsidR="00602004" w:rsidRPr="00360A40">
        <w:rPr>
          <w:lang w:val="hu-HU"/>
        </w:rPr>
        <w:t> </w:t>
      </w:r>
      <w:r w:rsidRPr="00360A40">
        <w:rPr>
          <w:lang w:val="hu-HU"/>
        </w:rPr>
        <w:t>beteg (34,3%) pedig idő előtt abbahagyta azt.</w:t>
      </w:r>
    </w:p>
    <w:p w14:paraId="41E30926" w14:textId="77777777" w:rsidR="00602004" w:rsidRPr="00360A40" w:rsidRDefault="00602004" w:rsidP="00360A40">
      <w:pPr>
        <w:pStyle w:val="Szvegtrzs"/>
        <w:kinsoku w:val="0"/>
        <w:overflowPunct w:val="0"/>
        <w:ind w:left="0"/>
        <w:rPr>
          <w:lang w:val="hu-HU"/>
        </w:rPr>
      </w:pPr>
    </w:p>
    <w:p w14:paraId="6C6C1C7A" w14:textId="11FD6A48" w:rsidR="00D224C3" w:rsidRPr="00360A40" w:rsidRDefault="00D224C3" w:rsidP="00360A40">
      <w:pPr>
        <w:pStyle w:val="Szvegtrzs"/>
        <w:kinsoku w:val="0"/>
        <w:overflowPunct w:val="0"/>
        <w:ind w:left="0"/>
        <w:rPr>
          <w:lang w:val="hu-HU"/>
        </w:rPr>
      </w:pPr>
      <w:r w:rsidRPr="00360A40">
        <w:rPr>
          <w:lang w:val="hu-HU"/>
        </w:rPr>
        <w:t>A kezelés abbahagyása után fennmaradó tartós válasz elemzése</w:t>
      </w:r>
    </w:p>
    <w:p w14:paraId="5D661AF1" w14:textId="2241A5EC" w:rsidR="00D224C3" w:rsidRPr="00360A40" w:rsidRDefault="00D224C3" w:rsidP="00360A40">
      <w:pPr>
        <w:pStyle w:val="Szvegtrzs"/>
        <w:kinsoku w:val="0"/>
        <w:overflowPunct w:val="0"/>
        <w:ind w:left="0"/>
        <w:rPr>
          <w:lang w:val="hu-HU"/>
        </w:rPr>
      </w:pPr>
      <w:r w:rsidRPr="00360A40">
        <w:rPr>
          <w:lang w:val="hu-HU"/>
        </w:rPr>
        <w:t>Az elsődleges végpont azon betegek aránya volt, akik a kezelés abbahagyása</w:t>
      </w:r>
      <w:r w:rsidR="00602004" w:rsidRPr="00360A40">
        <w:rPr>
          <w:lang w:val="hu-HU"/>
        </w:rPr>
        <w:t xml:space="preserve"> </w:t>
      </w:r>
      <w:r w:rsidRPr="00360A40">
        <w:rPr>
          <w:lang w:val="hu-HU"/>
        </w:rPr>
        <w:t>után 12.</w:t>
      </w:r>
      <w:r w:rsidR="00602004" w:rsidRPr="00360A40">
        <w:rPr>
          <w:lang w:val="hu-HU"/>
        </w:rPr>
        <w:t> </w:t>
      </w:r>
      <w:r w:rsidRPr="00360A40">
        <w:rPr>
          <w:lang w:val="hu-HU"/>
        </w:rPr>
        <w:t>hónapig</w:t>
      </w:r>
      <w:r w:rsidR="00602004" w:rsidRPr="00360A40">
        <w:rPr>
          <w:lang w:val="hu-HU"/>
        </w:rPr>
        <w:t xml:space="preserve"> tartós választ mutattak</w:t>
      </w:r>
      <w:r w:rsidRPr="00360A40">
        <w:rPr>
          <w:lang w:val="hu-HU"/>
        </w:rPr>
        <w:t xml:space="preserve">. </w:t>
      </w:r>
      <w:r w:rsidR="00781785" w:rsidRPr="00360A40">
        <w:rPr>
          <w:lang w:val="hu-HU"/>
        </w:rPr>
        <w:t>A</w:t>
      </w:r>
      <w:r w:rsidRPr="00360A40">
        <w:rPr>
          <w:lang w:val="hu-HU"/>
        </w:rPr>
        <w:t>zoknál a betegeknél, akiknek a vérlemezkeszáma elérte a ≥</w:t>
      </w:r>
      <w:r w:rsidR="00602004" w:rsidRPr="00360A40">
        <w:rPr>
          <w:lang w:val="hu-HU"/>
        </w:rPr>
        <w:t> </w:t>
      </w:r>
      <w:r w:rsidRPr="00360A40">
        <w:rPr>
          <w:lang w:val="hu-HU"/>
        </w:rPr>
        <w:t>100</w:t>
      </w:r>
      <w:r w:rsidR="00602004" w:rsidRPr="00360A40">
        <w:rPr>
          <w:lang w:val="hu-HU"/>
        </w:rPr>
        <w:t> </w:t>
      </w:r>
      <w:r w:rsidRPr="00360A40">
        <w:rPr>
          <w:lang w:val="hu-HU"/>
        </w:rPr>
        <w:t>000/</w:t>
      </w:r>
      <w:r w:rsidR="00602004" w:rsidRPr="00360A40">
        <w:rPr>
          <w:rFonts w:eastAsia="SimSun"/>
          <w:lang w:eastAsia="en-GB"/>
        </w:rPr>
        <w:t>µl</w:t>
      </w:r>
      <w:r w:rsidRPr="00360A40">
        <w:rPr>
          <w:lang w:val="hu-HU"/>
        </w:rPr>
        <w:t xml:space="preserve"> értéket</w:t>
      </w:r>
      <w:r w:rsidR="004836D1" w:rsidRPr="00360A40">
        <w:rPr>
          <w:lang w:val="hu-HU"/>
        </w:rPr>
        <w:t xml:space="preserve"> és 2 hónapig </w:t>
      </w:r>
      <w:r w:rsidRPr="00360A40">
        <w:rPr>
          <w:lang w:val="hu-HU"/>
        </w:rPr>
        <w:t>100</w:t>
      </w:r>
      <w:r w:rsidR="003F5C15" w:rsidRPr="00360A40">
        <w:rPr>
          <w:lang w:val="hu-HU"/>
        </w:rPr>
        <w:t> </w:t>
      </w:r>
      <w:r w:rsidRPr="00360A40">
        <w:rPr>
          <w:lang w:val="hu-HU"/>
        </w:rPr>
        <w:t>000/</w:t>
      </w:r>
      <w:r w:rsidR="00602004" w:rsidRPr="00360A40">
        <w:rPr>
          <w:rFonts w:eastAsia="SimSun"/>
          <w:lang w:eastAsia="en-GB"/>
        </w:rPr>
        <w:t>µl</w:t>
      </w:r>
      <w:r w:rsidRPr="00360A40">
        <w:rPr>
          <w:lang w:val="hu-HU"/>
        </w:rPr>
        <w:t xml:space="preserve"> érték körül </w:t>
      </w:r>
      <w:r w:rsidR="004836D1" w:rsidRPr="00360A40">
        <w:rPr>
          <w:lang w:val="hu-HU"/>
        </w:rPr>
        <w:t>maradt</w:t>
      </w:r>
      <w:r w:rsidRPr="00360A40">
        <w:rPr>
          <w:lang w:val="hu-HU"/>
        </w:rPr>
        <w:t xml:space="preserve"> (egyszer sem csökken</w:t>
      </w:r>
      <w:r w:rsidR="004836D1" w:rsidRPr="00360A40">
        <w:rPr>
          <w:lang w:val="hu-HU"/>
        </w:rPr>
        <w:t>t</w:t>
      </w:r>
      <w:r w:rsidR="00602004" w:rsidRPr="00360A40">
        <w:rPr>
          <w:lang w:val="hu-HU"/>
        </w:rPr>
        <w:t xml:space="preserve"> </w:t>
      </w:r>
      <w:r w:rsidRPr="00360A40">
        <w:rPr>
          <w:lang w:val="hu-HU"/>
        </w:rPr>
        <w:t>70</w:t>
      </w:r>
      <w:r w:rsidR="00602004" w:rsidRPr="00360A40">
        <w:rPr>
          <w:lang w:val="hu-HU"/>
        </w:rPr>
        <w:t> </w:t>
      </w:r>
      <w:r w:rsidRPr="00360A40">
        <w:rPr>
          <w:lang w:val="hu-HU"/>
        </w:rPr>
        <w:t>000/</w:t>
      </w:r>
      <w:r w:rsidR="00602004" w:rsidRPr="00360A40">
        <w:rPr>
          <w:rFonts w:eastAsia="SimSun"/>
          <w:lang w:eastAsia="en-GB"/>
        </w:rPr>
        <w:t>µl</w:t>
      </w:r>
      <w:r w:rsidRPr="00360A40">
        <w:rPr>
          <w:lang w:val="hu-HU"/>
        </w:rPr>
        <w:t xml:space="preserve"> alá)</w:t>
      </w:r>
      <w:r w:rsidR="00781785" w:rsidRPr="00360A40">
        <w:rPr>
          <w:lang w:val="hu-HU"/>
        </w:rPr>
        <w:t>,</w:t>
      </w:r>
      <w:r w:rsidRPr="00360A40">
        <w:rPr>
          <w:lang w:val="hu-HU"/>
        </w:rPr>
        <w:t xml:space="preserve"> </w:t>
      </w:r>
      <w:r w:rsidR="00781785" w:rsidRPr="00360A40">
        <w:rPr>
          <w:lang w:val="hu-HU"/>
        </w:rPr>
        <w:t xml:space="preserve">lehetőség volt az eltrombopag dózisának fokozatos csökkentésére és a kezelés abbahagyására </w:t>
      </w:r>
      <w:r w:rsidRPr="00360A40">
        <w:rPr>
          <w:lang w:val="hu-HU"/>
        </w:rPr>
        <w:t xml:space="preserve">Azokat a betegeket </w:t>
      </w:r>
      <w:r w:rsidRPr="00360A40">
        <w:rPr>
          <w:lang w:val="hu-HU"/>
        </w:rPr>
        <w:lastRenderedPageBreak/>
        <w:t>tekintették tartós választ</w:t>
      </w:r>
      <w:r w:rsidR="00367A1A" w:rsidRPr="00360A40">
        <w:rPr>
          <w:lang w:val="hu-HU"/>
        </w:rPr>
        <w:t xml:space="preserve"> </w:t>
      </w:r>
      <w:r w:rsidRPr="00360A40">
        <w:rPr>
          <w:lang w:val="hu-HU"/>
        </w:rPr>
        <w:t xml:space="preserve">elérőknek, akiknél </w:t>
      </w:r>
      <w:r w:rsidR="004A668F" w:rsidRPr="00360A40">
        <w:rPr>
          <w:lang w:val="hu-HU"/>
        </w:rPr>
        <w:t xml:space="preserve">a kezelés abbahagyása után </w:t>
      </w:r>
      <w:r w:rsidRPr="00360A40">
        <w:rPr>
          <w:lang w:val="hu-HU"/>
        </w:rPr>
        <w:t>a vérlemezkeszám ≥</w:t>
      </w:r>
      <w:r w:rsidR="00367A1A" w:rsidRPr="00360A40">
        <w:rPr>
          <w:lang w:val="hu-HU"/>
        </w:rPr>
        <w:t> </w:t>
      </w:r>
      <w:r w:rsidRPr="00360A40">
        <w:rPr>
          <w:lang w:val="hu-HU"/>
        </w:rPr>
        <w:t>30</w:t>
      </w:r>
      <w:r w:rsidR="00367A1A" w:rsidRPr="00360A40">
        <w:rPr>
          <w:lang w:val="hu-HU"/>
        </w:rPr>
        <w:t> </w:t>
      </w:r>
      <w:r w:rsidRPr="00360A40">
        <w:rPr>
          <w:lang w:val="hu-HU"/>
        </w:rPr>
        <w:t xml:space="preserve">000/mikroliter maradt, </w:t>
      </w:r>
      <w:r w:rsidR="00B6223B" w:rsidRPr="00360A40">
        <w:rPr>
          <w:lang w:val="hu-HU"/>
        </w:rPr>
        <w:t xml:space="preserve">nem voltak </w:t>
      </w:r>
      <w:r w:rsidRPr="00360A40">
        <w:rPr>
          <w:lang w:val="hu-HU"/>
        </w:rPr>
        <w:t>vérzéses</w:t>
      </w:r>
      <w:r w:rsidR="00367A1A" w:rsidRPr="00360A40">
        <w:rPr>
          <w:lang w:val="hu-HU"/>
        </w:rPr>
        <w:t xml:space="preserve"> </w:t>
      </w:r>
      <w:r w:rsidRPr="00360A40">
        <w:rPr>
          <w:lang w:val="hu-HU"/>
        </w:rPr>
        <w:t>események</w:t>
      </w:r>
      <w:r w:rsidR="004A668F" w:rsidRPr="00360A40">
        <w:rPr>
          <w:lang w:val="hu-HU"/>
        </w:rPr>
        <w:t xml:space="preserve"> vagy</w:t>
      </w:r>
      <w:r w:rsidRPr="00360A40">
        <w:rPr>
          <w:lang w:val="hu-HU"/>
        </w:rPr>
        <w:t xml:space="preserve"> </w:t>
      </w:r>
      <w:r w:rsidR="00B6223B" w:rsidRPr="00360A40">
        <w:rPr>
          <w:lang w:val="hu-HU"/>
        </w:rPr>
        <w:t xml:space="preserve">nem kellett </w:t>
      </w:r>
      <w:r w:rsidRPr="00360A40">
        <w:rPr>
          <w:lang w:val="hu-HU"/>
        </w:rPr>
        <w:t xml:space="preserve">mentő kezelést </w:t>
      </w:r>
      <w:r w:rsidR="00367A1A" w:rsidRPr="00360A40">
        <w:rPr>
          <w:lang w:val="hu-HU"/>
        </w:rPr>
        <w:t>alkalmaz</w:t>
      </w:r>
      <w:r w:rsidR="00B6223B" w:rsidRPr="00360A40">
        <w:rPr>
          <w:lang w:val="hu-HU"/>
        </w:rPr>
        <w:t>ni</w:t>
      </w:r>
      <w:r w:rsidR="004A668F" w:rsidRPr="00360A40">
        <w:rPr>
          <w:lang w:val="hu-HU"/>
        </w:rPr>
        <w:t xml:space="preserve">, </w:t>
      </w:r>
      <w:r w:rsidRPr="00360A40">
        <w:rPr>
          <w:lang w:val="hu-HU"/>
        </w:rPr>
        <w:t>a dózis fokozatos csökkentésének</w:t>
      </w:r>
      <w:r w:rsidR="00367A1A" w:rsidRPr="00360A40">
        <w:rPr>
          <w:lang w:val="hu-HU"/>
        </w:rPr>
        <w:t xml:space="preserve"> </w:t>
      </w:r>
      <w:r w:rsidRPr="00360A40">
        <w:rPr>
          <w:lang w:val="hu-HU"/>
        </w:rPr>
        <w:t>időszakában, valamint a kezelés abbahagyását követően, 12.</w:t>
      </w:r>
      <w:r w:rsidR="00781785" w:rsidRPr="00360A40">
        <w:rPr>
          <w:lang w:val="hu-HU"/>
        </w:rPr>
        <w:t> </w:t>
      </w:r>
      <w:r w:rsidRPr="00360A40">
        <w:rPr>
          <w:lang w:val="hu-HU"/>
        </w:rPr>
        <w:t>hónapig.</w:t>
      </w:r>
    </w:p>
    <w:p w14:paraId="0CCE41BD" w14:textId="5276B75C" w:rsidR="00D224C3" w:rsidRPr="00360A40" w:rsidRDefault="00D224C3" w:rsidP="00360A40">
      <w:pPr>
        <w:pStyle w:val="Szvegtrzs"/>
        <w:kinsoku w:val="0"/>
        <w:overflowPunct w:val="0"/>
        <w:ind w:left="0"/>
        <w:rPr>
          <w:lang w:val="hu-HU"/>
        </w:rPr>
      </w:pPr>
    </w:p>
    <w:p w14:paraId="453C6380" w14:textId="2C3FED7F" w:rsidR="00D224C3" w:rsidRPr="00360A40" w:rsidRDefault="00D224C3" w:rsidP="00360A40">
      <w:pPr>
        <w:pStyle w:val="Szvegtrzs"/>
        <w:kinsoku w:val="0"/>
        <w:overflowPunct w:val="0"/>
        <w:ind w:left="0"/>
        <w:rPr>
          <w:lang w:val="hu-HU"/>
        </w:rPr>
      </w:pPr>
      <w:r w:rsidRPr="00360A40">
        <w:rPr>
          <w:lang w:val="hu-HU"/>
        </w:rPr>
        <w:t>A fokozatos dóziscsökkentés időtartamát a kezdődózis és a beteg terápiás</w:t>
      </w:r>
      <w:r w:rsidR="004A668F" w:rsidRPr="00360A40">
        <w:rPr>
          <w:lang w:val="hu-HU"/>
        </w:rPr>
        <w:t xml:space="preserve"> </w:t>
      </w:r>
      <w:r w:rsidRPr="00360A40">
        <w:rPr>
          <w:lang w:val="hu-HU"/>
        </w:rPr>
        <w:t>válasza függvényében</w:t>
      </w:r>
      <w:r w:rsidR="00362166" w:rsidRPr="00360A40">
        <w:rPr>
          <w:lang w:val="hu-HU"/>
        </w:rPr>
        <w:t xml:space="preserve"> egyénileg állapították meg</w:t>
      </w:r>
      <w:r w:rsidRPr="00360A40">
        <w:rPr>
          <w:lang w:val="hu-HU"/>
        </w:rPr>
        <w:t>. A fokozatos dóziscsökkentés ütemterve 2</w:t>
      </w:r>
      <w:r w:rsidR="00362166" w:rsidRPr="00360A40">
        <w:rPr>
          <w:lang w:val="hu-HU"/>
        </w:rPr>
        <w:t> </w:t>
      </w:r>
      <w:r w:rsidRPr="00360A40">
        <w:rPr>
          <w:lang w:val="hu-HU"/>
        </w:rPr>
        <w:t>hetenként 25</w:t>
      </w:r>
      <w:r w:rsidR="00362166" w:rsidRPr="00360A40">
        <w:rPr>
          <w:lang w:val="hu-HU"/>
        </w:rPr>
        <w:t> </w:t>
      </w:r>
      <w:r w:rsidRPr="00360A40">
        <w:rPr>
          <w:lang w:val="hu-HU"/>
        </w:rPr>
        <w:t>mg-os dóziscsökkentést</w:t>
      </w:r>
      <w:r w:rsidR="00362166" w:rsidRPr="00360A40">
        <w:rPr>
          <w:lang w:val="hu-HU"/>
        </w:rPr>
        <w:t xml:space="preserve"> </w:t>
      </w:r>
      <w:r w:rsidRPr="00360A40">
        <w:rPr>
          <w:lang w:val="hu-HU"/>
        </w:rPr>
        <w:t xml:space="preserve">ajánlott abban az esetben, ha a vérlemezkeszám stabil volt. Miután a </w:t>
      </w:r>
      <w:r w:rsidR="00B6223B" w:rsidRPr="00360A40">
        <w:rPr>
          <w:lang w:val="hu-HU"/>
        </w:rPr>
        <w:t>25 mg</w:t>
      </w:r>
      <w:r w:rsidR="003F5C15" w:rsidRPr="00360A40">
        <w:rPr>
          <w:lang w:val="hu-HU"/>
        </w:rPr>
        <w:noBreakHyphen/>
        <w:t xml:space="preserve">ra </w:t>
      </w:r>
      <w:r w:rsidR="004F4DD2" w:rsidRPr="00360A40">
        <w:rPr>
          <w:lang w:val="hu-HU"/>
        </w:rPr>
        <w:t xml:space="preserve">csökkentett </w:t>
      </w:r>
      <w:r w:rsidRPr="00360A40">
        <w:rPr>
          <w:lang w:val="hu-HU"/>
        </w:rPr>
        <w:t>napi dózist</w:t>
      </w:r>
      <w:r w:rsidR="00362166" w:rsidRPr="00360A40">
        <w:rPr>
          <w:lang w:val="hu-HU"/>
        </w:rPr>
        <w:t xml:space="preserve"> 2</w:t>
      </w:r>
      <w:r w:rsidR="003F5C15" w:rsidRPr="00360A40">
        <w:rPr>
          <w:lang w:val="hu-HU"/>
        </w:rPr>
        <w:t> </w:t>
      </w:r>
      <w:r w:rsidR="00362166" w:rsidRPr="00360A40">
        <w:rPr>
          <w:lang w:val="hu-HU"/>
        </w:rPr>
        <w:t>hétig</w:t>
      </w:r>
      <w:r w:rsidR="003F5C15" w:rsidRPr="00360A40">
        <w:rPr>
          <w:lang w:val="hu-HU"/>
        </w:rPr>
        <w:t xml:space="preserve"> adták</w:t>
      </w:r>
      <w:r w:rsidRPr="00360A40">
        <w:rPr>
          <w:lang w:val="hu-HU"/>
        </w:rPr>
        <w:t>, a kezelés abbahagyásáig már csak minden második napon adtak 25</w:t>
      </w:r>
      <w:r w:rsidR="00362166" w:rsidRPr="00360A40">
        <w:rPr>
          <w:lang w:val="hu-HU"/>
        </w:rPr>
        <w:t> </w:t>
      </w:r>
      <w:r w:rsidRPr="00360A40">
        <w:rPr>
          <w:lang w:val="hu-HU"/>
        </w:rPr>
        <w:t>mg-os dózist</w:t>
      </w:r>
      <w:r w:rsidR="00362166" w:rsidRPr="00360A40">
        <w:rPr>
          <w:lang w:val="hu-HU"/>
        </w:rPr>
        <w:t xml:space="preserve"> </w:t>
      </w:r>
      <w:r w:rsidRPr="00360A40">
        <w:rPr>
          <w:lang w:val="hu-HU"/>
        </w:rPr>
        <w:t>2</w:t>
      </w:r>
      <w:r w:rsidR="003F5C15" w:rsidRPr="00360A40">
        <w:rPr>
          <w:lang w:val="hu-HU"/>
        </w:rPr>
        <w:t> </w:t>
      </w:r>
      <w:r w:rsidRPr="00360A40">
        <w:rPr>
          <w:lang w:val="hu-HU"/>
        </w:rPr>
        <w:t>hétig. Kelet- vagy délkelet-ázsiai felmenőkkel rendelkező betegeknél kisebb – minden második</w:t>
      </w:r>
      <w:r w:rsidR="003F5C15" w:rsidRPr="00360A40">
        <w:rPr>
          <w:lang w:val="hu-HU"/>
        </w:rPr>
        <w:t xml:space="preserve"> </w:t>
      </w:r>
      <w:r w:rsidRPr="00360A40">
        <w:rPr>
          <w:lang w:val="hu-HU"/>
        </w:rPr>
        <w:t>héten 12,5</w:t>
      </w:r>
      <w:r w:rsidR="00781785" w:rsidRPr="00360A40">
        <w:rPr>
          <w:lang w:val="hu-HU"/>
        </w:rPr>
        <w:t> </w:t>
      </w:r>
      <w:r w:rsidRPr="00360A40">
        <w:rPr>
          <w:lang w:val="hu-HU"/>
        </w:rPr>
        <w:t>mg-os – lépésekkel végezték a fokozatos dóziscsökkentést. Amennyiben relapszus</w:t>
      </w:r>
      <w:r w:rsidR="003F5C15" w:rsidRPr="00360A40">
        <w:rPr>
          <w:lang w:val="hu-HU"/>
        </w:rPr>
        <w:t xml:space="preserve"> </w:t>
      </w:r>
      <w:r w:rsidRPr="00360A40">
        <w:rPr>
          <w:lang w:val="hu-HU"/>
        </w:rPr>
        <w:t>(meghatározása: 30</w:t>
      </w:r>
      <w:r w:rsidR="003F5C15" w:rsidRPr="00360A40">
        <w:rPr>
          <w:lang w:val="hu-HU"/>
        </w:rPr>
        <w:t> </w:t>
      </w:r>
      <w:r w:rsidRPr="00360A40">
        <w:rPr>
          <w:lang w:val="hu-HU"/>
        </w:rPr>
        <w:t>000/</w:t>
      </w:r>
      <w:r w:rsidR="003F5C15" w:rsidRPr="00360A40">
        <w:rPr>
          <w:rFonts w:eastAsia="SimSun"/>
          <w:lang w:eastAsia="en-GB"/>
        </w:rPr>
        <w:t>µl</w:t>
      </w:r>
      <w:r w:rsidRPr="00360A40">
        <w:rPr>
          <w:lang w:val="hu-HU"/>
        </w:rPr>
        <w:t xml:space="preserve"> alatti vérlemezkeszám) következett be, a betegeknek újabb</w:t>
      </w:r>
      <w:r w:rsidR="003F5C15" w:rsidRPr="00360A40">
        <w:rPr>
          <w:lang w:val="hu-HU"/>
        </w:rPr>
        <w:t xml:space="preserve"> </w:t>
      </w:r>
      <w:r w:rsidRPr="00360A40">
        <w:rPr>
          <w:lang w:val="hu-HU"/>
        </w:rPr>
        <w:t>eltrombopag-kezelést ajánlottak fel, amelyet a megfelelő kezdődózissal indítottak.</w:t>
      </w:r>
    </w:p>
    <w:p w14:paraId="6DEE71AA" w14:textId="77777777" w:rsidR="003F5C15" w:rsidRPr="00360A40" w:rsidRDefault="003F5C15" w:rsidP="00360A40">
      <w:pPr>
        <w:pStyle w:val="Szvegtrzs"/>
        <w:kinsoku w:val="0"/>
        <w:overflowPunct w:val="0"/>
        <w:ind w:left="0"/>
        <w:rPr>
          <w:lang w:val="hu-HU"/>
        </w:rPr>
      </w:pPr>
    </w:p>
    <w:p w14:paraId="1DF2EB86" w14:textId="5A8B44BA" w:rsidR="00D224C3" w:rsidRPr="00360A40" w:rsidRDefault="00D224C3" w:rsidP="00360A40">
      <w:pPr>
        <w:pStyle w:val="Szvegtrzs"/>
        <w:kinsoku w:val="0"/>
        <w:overflowPunct w:val="0"/>
        <w:ind w:left="0"/>
        <w:rPr>
          <w:lang w:val="hu-HU"/>
        </w:rPr>
      </w:pPr>
      <w:r w:rsidRPr="00360A40">
        <w:rPr>
          <w:lang w:val="hu-HU"/>
        </w:rPr>
        <w:t>Nyolcvankilenc beteg (84,8%) ért el teljes választ (vérlemezkeszám ≥</w:t>
      </w:r>
      <w:r w:rsidR="003F5C15" w:rsidRPr="00360A40">
        <w:rPr>
          <w:lang w:val="hu-HU"/>
        </w:rPr>
        <w:t> </w:t>
      </w:r>
      <w:r w:rsidRPr="00360A40">
        <w:rPr>
          <w:lang w:val="hu-HU"/>
        </w:rPr>
        <w:t>100</w:t>
      </w:r>
      <w:r w:rsidR="003F5C15" w:rsidRPr="00360A40">
        <w:rPr>
          <w:lang w:val="hu-HU"/>
        </w:rPr>
        <w:t> </w:t>
      </w:r>
      <w:r w:rsidRPr="00360A40">
        <w:rPr>
          <w:lang w:val="hu-HU"/>
        </w:rPr>
        <w:t>000/</w:t>
      </w:r>
      <w:r w:rsidR="003F5C15" w:rsidRPr="00360A40">
        <w:rPr>
          <w:rFonts w:eastAsia="SimSun"/>
          <w:lang w:eastAsia="en-GB"/>
        </w:rPr>
        <w:t>µl</w:t>
      </w:r>
      <w:r w:rsidRPr="00360A40">
        <w:rPr>
          <w:lang w:val="hu-HU"/>
        </w:rPr>
        <w:t>) (1.</w:t>
      </w:r>
      <w:r w:rsidR="003F5C15" w:rsidRPr="00360A40">
        <w:rPr>
          <w:lang w:val="hu-HU"/>
        </w:rPr>
        <w:t> </w:t>
      </w:r>
      <w:r w:rsidRPr="00360A40">
        <w:rPr>
          <w:lang w:val="hu-HU"/>
        </w:rPr>
        <w:t>lépés,</w:t>
      </w:r>
      <w:r w:rsidR="003F5C15" w:rsidRPr="00360A40">
        <w:rPr>
          <w:lang w:val="hu-HU"/>
        </w:rPr>
        <w:t xml:space="preserve"> </w:t>
      </w:r>
      <w:r w:rsidR="00FB7CC2">
        <w:rPr>
          <w:lang w:val="hu-HU"/>
        </w:rPr>
        <w:t>5</w:t>
      </w:r>
      <w:r w:rsidRPr="00360A40">
        <w:rPr>
          <w:lang w:val="hu-HU"/>
        </w:rPr>
        <w:t>.</w:t>
      </w:r>
      <w:r w:rsidR="003F5C15" w:rsidRPr="00360A40">
        <w:rPr>
          <w:lang w:val="hu-HU"/>
        </w:rPr>
        <w:t> </w:t>
      </w:r>
      <w:r w:rsidRPr="00360A40">
        <w:rPr>
          <w:lang w:val="hu-HU"/>
        </w:rPr>
        <w:t>táblázat), 65</w:t>
      </w:r>
      <w:r w:rsidR="003F5C15" w:rsidRPr="00360A40">
        <w:rPr>
          <w:lang w:val="hu-HU"/>
        </w:rPr>
        <w:t> </w:t>
      </w:r>
      <w:r w:rsidRPr="00360A40">
        <w:rPr>
          <w:lang w:val="hu-HU"/>
        </w:rPr>
        <w:t>betegnél (61,9%) pedig legalább 2</w:t>
      </w:r>
      <w:r w:rsidR="003F5C15" w:rsidRPr="00360A40">
        <w:rPr>
          <w:lang w:val="hu-HU"/>
        </w:rPr>
        <w:t> </w:t>
      </w:r>
      <w:r w:rsidRPr="00360A40">
        <w:rPr>
          <w:lang w:val="hu-HU"/>
        </w:rPr>
        <w:t>hónapig fennmaradt a tartós válasz anélkül, hogy a</w:t>
      </w:r>
      <w:r w:rsidR="003F5C15" w:rsidRPr="00360A40">
        <w:rPr>
          <w:lang w:val="hu-HU"/>
        </w:rPr>
        <w:t xml:space="preserve"> </w:t>
      </w:r>
      <w:r w:rsidRPr="00360A40">
        <w:rPr>
          <w:lang w:val="hu-HU"/>
        </w:rPr>
        <w:t>vérlemezkeszám 70</w:t>
      </w:r>
      <w:r w:rsidR="003F5C15" w:rsidRPr="00360A40">
        <w:rPr>
          <w:lang w:val="hu-HU"/>
        </w:rPr>
        <w:t> </w:t>
      </w:r>
      <w:r w:rsidRPr="00360A40">
        <w:rPr>
          <w:lang w:val="hu-HU"/>
        </w:rPr>
        <w:t>000/</w:t>
      </w:r>
      <w:r w:rsidR="003F5C15" w:rsidRPr="00360A40">
        <w:rPr>
          <w:rFonts w:eastAsia="SimSun"/>
          <w:lang w:eastAsia="en-GB"/>
        </w:rPr>
        <w:t>µl</w:t>
      </w:r>
      <w:r w:rsidRPr="00360A40">
        <w:rPr>
          <w:lang w:val="hu-HU"/>
        </w:rPr>
        <w:t xml:space="preserve"> alá csökkent volna (2.</w:t>
      </w:r>
      <w:r w:rsidR="003F5C15" w:rsidRPr="00360A40">
        <w:rPr>
          <w:lang w:val="hu-HU"/>
        </w:rPr>
        <w:t> </w:t>
      </w:r>
      <w:r w:rsidRPr="00360A40">
        <w:rPr>
          <w:lang w:val="hu-HU"/>
        </w:rPr>
        <w:t xml:space="preserve">lépés, </w:t>
      </w:r>
      <w:r w:rsidR="00FB7CC2">
        <w:rPr>
          <w:lang w:val="hu-HU"/>
        </w:rPr>
        <w:t>5</w:t>
      </w:r>
      <w:r w:rsidRPr="00360A40">
        <w:rPr>
          <w:lang w:val="hu-HU"/>
        </w:rPr>
        <w:t>.</w:t>
      </w:r>
      <w:r w:rsidR="003F5C15" w:rsidRPr="00360A40">
        <w:rPr>
          <w:lang w:val="hu-HU"/>
        </w:rPr>
        <w:t> </w:t>
      </w:r>
      <w:r w:rsidRPr="00360A40">
        <w:rPr>
          <w:lang w:val="hu-HU"/>
        </w:rPr>
        <w:t>táblázat). Negyvennégy betegnél</w:t>
      </w:r>
      <w:r w:rsidR="003F5C15" w:rsidRPr="00360A40">
        <w:rPr>
          <w:lang w:val="hu-HU"/>
        </w:rPr>
        <w:t xml:space="preserve"> </w:t>
      </w:r>
      <w:r w:rsidRPr="00360A40">
        <w:rPr>
          <w:lang w:val="hu-HU"/>
        </w:rPr>
        <w:t>(41,9%) sikerült a fokozatos csökkentést követően abbahagyni az eltrombopag alkalmazását úgy, hogy</w:t>
      </w:r>
      <w:r w:rsidR="003F5C15" w:rsidRPr="00360A40">
        <w:rPr>
          <w:lang w:val="hu-HU"/>
        </w:rPr>
        <w:t xml:space="preserve"> </w:t>
      </w:r>
      <w:r w:rsidRPr="00360A40">
        <w:rPr>
          <w:lang w:val="hu-HU"/>
        </w:rPr>
        <w:t>eközben a vérlemezkeszám ≥</w:t>
      </w:r>
      <w:r w:rsidR="003F5C15" w:rsidRPr="00360A40">
        <w:rPr>
          <w:lang w:val="hu-HU"/>
        </w:rPr>
        <w:t> </w:t>
      </w:r>
      <w:r w:rsidRPr="00360A40">
        <w:rPr>
          <w:lang w:val="hu-HU"/>
        </w:rPr>
        <w:t>30</w:t>
      </w:r>
      <w:r w:rsidR="003F5C15" w:rsidRPr="00360A40">
        <w:rPr>
          <w:lang w:val="hu-HU"/>
        </w:rPr>
        <w:t> </w:t>
      </w:r>
      <w:r w:rsidRPr="00360A40">
        <w:rPr>
          <w:lang w:val="hu-HU"/>
        </w:rPr>
        <w:t>000/</w:t>
      </w:r>
      <w:r w:rsidR="003F5C15" w:rsidRPr="00360A40">
        <w:rPr>
          <w:rFonts w:eastAsia="SimSun"/>
          <w:lang w:eastAsia="en-GB"/>
        </w:rPr>
        <w:t>µl</w:t>
      </w:r>
      <w:r w:rsidR="003F5C15" w:rsidRPr="00360A40">
        <w:rPr>
          <w:lang w:val="hu-HU"/>
        </w:rPr>
        <w:t xml:space="preserve"> </w:t>
      </w:r>
      <w:r w:rsidRPr="00360A40">
        <w:rPr>
          <w:lang w:val="hu-HU"/>
        </w:rPr>
        <w:t xml:space="preserve">maradt, nem </w:t>
      </w:r>
      <w:r w:rsidR="003F5C15" w:rsidRPr="00360A40">
        <w:rPr>
          <w:lang w:val="hu-HU"/>
        </w:rPr>
        <w:t>voltak</w:t>
      </w:r>
      <w:r w:rsidRPr="00360A40">
        <w:rPr>
          <w:lang w:val="hu-HU"/>
        </w:rPr>
        <w:t xml:space="preserve"> vérzéses események, illetve</w:t>
      </w:r>
      <w:r w:rsidR="003F5C15" w:rsidRPr="00360A40">
        <w:rPr>
          <w:lang w:val="hu-HU"/>
        </w:rPr>
        <w:t xml:space="preserve"> </w:t>
      </w:r>
      <w:r w:rsidRPr="00360A40">
        <w:rPr>
          <w:lang w:val="hu-HU"/>
        </w:rPr>
        <w:t xml:space="preserve">nem kellett mentő kezelést </w:t>
      </w:r>
      <w:r w:rsidR="003F5C15" w:rsidRPr="00360A40">
        <w:rPr>
          <w:lang w:val="hu-HU"/>
        </w:rPr>
        <w:t>alkalmazni</w:t>
      </w:r>
      <w:r w:rsidRPr="00360A40">
        <w:rPr>
          <w:lang w:val="hu-HU"/>
        </w:rPr>
        <w:t xml:space="preserve"> (3.</w:t>
      </w:r>
      <w:r w:rsidR="003F5C15" w:rsidRPr="00360A40">
        <w:rPr>
          <w:lang w:val="hu-HU"/>
        </w:rPr>
        <w:t> </w:t>
      </w:r>
      <w:r w:rsidRPr="00360A40">
        <w:rPr>
          <w:lang w:val="hu-HU"/>
        </w:rPr>
        <w:t xml:space="preserve">lépés, </w:t>
      </w:r>
      <w:r w:rsidR="00FB7CC2">
        <w:rPr>
          <w:lang w:val="hu-HU"/>
        </w:rPr>
        <w:t>5</w:t>
      </w:r>
      <w:r w:rsidRPr="00360A40">
        <w:rPr>
          <w:lang w:val="hu-HU"/>
        </w:rPr>
        <w:t>.</w:t>
      </w:r>
      <w:r w:rsidR="003F5C15" w:rsidRPr="00360A40">
        <w:rPr>
          <w:lang w:val="hu-HU"/>
        </w:rPr>
        <w:t> </w:t>
      </w:r>
      <w:r w:rsidRPr="00360A40">
        <w:rPr>
          <w:lang w:val="hu-HU"/>
        </w:rPr>
        <w:t>táblázat).</w:t>
      </w:r>
    </w:p>
    <w:p w14:paraId="00437CD4" w14:textId="77777777" w:rsidR="00D224C3" w:rsidRPr="00360A40" w:rsidRDefault="00D224C3" w:rsidP="00360A40">
      <w:pPr>
        <w:pStyle w:val="Szvegtrzs"/>
        <w:kinsoku w:val="0"/>
        <w:overflowPunct w:val="0"/>
        <w:ind w:left="0"/>
        <w:rPr>
          <w:lang w:val="hu-HU"/>
        </w:rPr>
      </w:pPr>
    </w:p>
    <w:p w14:paraId="1371F2F4" w14:textId="2B656A3D" w:rsidR="00D224C3" w:rsidRPr="00360A40" w:rsidRDefault="00D224C3" w:rsidP="00360A40">
      <w:pPr>
        <w:pStyle w:val="Szvegtrzs"/>
        <w:kinsoku w:val="0"/>
        <w:overflowPunct w:val="0"/>
        <w:ind w:left="0"/>
        <w:rPr>
          <w:lang w:val="hu-HU"/>
        </w:rPr>
      </w:pPr>
      <w:r w:rsidRPr="00360A40">
        <w:rPr>
          <w:lang w:val="hu-HU"/>
        </w:rPr>
        <w:t>A vizsgálat igazolta, hogy az eltrombopag tartós választ tudott indukálni vérzéses események vagy</w:t>
      </w:r>
      <w:r w:rsidR="003F5C15" w:rsidRPr="00360A40">
        <w:rPr>
          <w:lang w:val="hu-HU"/>
        </w:rPr>
        <w:t xml:space="preserve"> </w:t>
      </w:r>
      <w:r w:rsidRPr="00360A40">
        <w:rPr>
          <w:lang w:val="hu-HU"/>
        </w:rPr>
        <w:t>mentő kezelés alkalmazása nélkül, a kezelés abbahagyása után a 12.</w:t>
      </w:r>
      <w:r w:rsidR="003F5C15" w:rsidRPr="00360A40">
        <w:rPr>
          <w:lang w:val="hu-HU"/>
        </w:rPr>
        <w:t> </w:t>
      </w:r>
      <w:r w:rsidRPr="00360A40">
        <w:rPr>
          <w:lang w:val="hu-HU"/>
        </w:rPr>
        <w:t>hónapig a 105</w:t>
      </w:r>
      <w:r w:rsidR="003F5C15" w:rsidRPr="00360A40">
        <w:rPr>
          <w:lang w:val="hu-HU"/>
        </w:rPr>
        <w:t> </w:t>
      </w:r>
      <w:r w:rsidRPr="00360A40">
        <w:rPr>
          <w:lang w:val="hu-HU"/>
        </w:rPr>
        <w:t>beválasztott beteg</w:t>
      </w:r>
      <w:r w:rsidR="003F5C15" w:rsidRPr="00360A40">
        <w:rPr>
          <w:lang w:val="hu-HU"/>
        </w:rPr>
        <w:t xml:space="preserve"> </w:t>
      </w:r>
      <w:r w:rsidRPr="00360A40">
        <w:rPr>
          <w:lang w:val="hu-HU"/>
        </w:rPr>
        <w:t>közül 32</w:t>
      </w:r>
      <w:r w:rsidR="003F5C15" w:rsidRPr="00360A40">
        <w:rPr>
          <w:lang w:val="hu-HU"/>
        </w:rPr>
        <w:t> </w:t>
      </w:r>
      <w:r w:rsidRPr="00360A40">
        <w:rPr>
          <w:lang w:val="hu-HU"/>
        </w:rPr>
        <w:t>főnél (30,5%; p</w:t>
      </w:r>
      <w:r w:rsidR="003F5C15" w:rsidRPr="00360A40">
        <w:rPr>
          <w:lang w:val="hu-HU"/>
        </w:rPr>
        <w:t> </w:t>
      </w:r>
      <w:r w:rsidRPr="00360A40">
        <w:rPr>
          <w:lang w:val="hu-HU"/>
        </w:rPr>
        <w:t>&lt;</w:t>
      </w:r>
      <w:r w:rsidR="003F5C15" w:rsidRPr="00360A40">
        <w:rPr>
          <w:lang w:val="hu-HU"/>
        </w:rPr>
        <w:t> </w:t>
      </w:r>
      <w:r w:rsidRPr="00360A40">
        <w:rPr>
          <w:lang w:val="hu-HU"/>
        </w:rPr>
        <w:t>0,0001; 95%-os CI: 21,9; 40,2), és ezzel elérte elsődleges célját (4.</w:t>
      </w:r>
      <w:r w:rsidR="003F5C15" w:rsidRPr="00360A40">
        <w:rPr>
          <w:lang w:val="hu-HU"/>
        </w:rPr>
        <w:t> </w:t>
      </w:r>
      <w:r w:rsidRPr="00360A40">
        <w:rPr>
          <w:lang w:val="hu-HU"/>
        </w:rPr>
        <w:t>lépés,</w:t>
      </w:r>
      <w:r w:rsidR="003F5C15" w:rsidRPr="00360A40">
        <w:rPr>
          <w:lang w:val="hu-HU"/>
        </w:rPr>
        <w:t xml:space="preserve"> </w:t>
      </w:r>
      <w:r w:rsidR="00FB7CC2">
        <w:rPr>
          <w:lang w:val="hu-HU"/>
        </w:rPr>
        <w:t>5</w:t>
      </w:r>
      <w:r w:rsidRPr="00360A40">
        <w:rPr>
          <w:lang w:val="hu-HU"/>
        </w:rPr>
        <w:t>.</w:t>
      </w:r>
      <w:r w:rsidR="003F5C15" w:rsidRPr="00360A40">
        <w:rPr>
          <w:lang w:val="hu-HU"/>
        </w:rPr>
        <w:t> </w:t>
      </w:r>
      <w:r w:rsidRPr="00360A40">
        <w:rPr>
          <w:lang w:val="hu-HU"/>
        </w:rPr>
        <w:t>táblázat). A 24.</w:t>
      </w:r>
      <w:r w:rsidR="000C37A6" w:rsidRPr="00360A40">
        <w:rPr>
          <w:lang w:val="hu-HU"/>
        </w:rPr>
        <w:t> </w:t>
      </w:r>
      <w:r w:rsidRPr="00360A40">
        <w:rPr>
          <w:lang w:val="hu-HU"/>
        </w:rPr>
        <w:t>hónapig a 105</w:t>
      </w:r>
      <w:r w:rsidR="000C37A6" w:rsidRPr="00360A40">
        <w:rPr>
          <w:lang w:val="hu-HU"/>
        </w:rPr>
        <w:t> </w:t>
      </w:r>
      <w:r w:rsidRPr="00360A40">
        <w:rPr>
          <w:lang w:val="hu-HU"/>
        </w:rPr>
        <w:t>beválasztott beteg közül 20</w:t>
      </w:r>
      <w:r w:rsidR="000C37A6" w:rsidRPr="00360A40">
        <w:rPr>
          <w:lang w:val="hu-HU"/>
        </w:rPr>
        <w:t> </w:t>
      </w:r>
      <w:r w:rsidRPr="00360A40">
        <w:rPr>
          <w:lang w:val="hu-HU"/>
        </w:rPr>
        <w:t>főnél (19,0%; 95%-os CI: 12,0; 27,9)</w:t>
      </w:r>
      <w:r w:rsidR="000C37A6" w:rsidRPr="00360A40">
        <w:rPr>
          <w:lang w:val="hu-HU"/>
        </w:rPr>
        <w:t xml:space="preserve"> </w:t>
      </w:r>
      <w:r w:rsidRPr="00360A40">
        <w:rPr>
          <w:lang w:val="hu-HU"/>
        </w:rPr>
        <w:t>maradt fenn tartós válasz vérzéses események vagy mentő kezelés alkalmazása nélkül a kezelés</w:t>
      </w:r>
      <w:r w:rsidR="000C37A6" w:rsidRPr="00360A40">
        <w:rPr>
          <w:lang w:val="hu-HU"/>
        </w:rPr>
        <w:t xml:space="preserve"> </w:t>
      </w:r>
      <w:r w:rsidRPr="00360A40">
        <w:rPr>
          <w:lang w:val="hu-HU"/>
        </w:rPr>
        <w:t>abbahagyása után (5.</w:t>
      </w:r>
      <w:r w:rsidR="000C37A6" w:rsidRPr="00360A40">
        <w:rPr>
          <w:lang w:val="hu-HU"/>
        </w:rPr>
        <w:t> </w:t>
      </w:r>
      <w:r w:rsidRPr="00360A40">
        <w:rPr>
          <w:lang w:val="hu-HU"/>
        </w:rPr>
        <w:t xml:space="preserve">lépés, </w:t>
      </w:r>
      <w:r w:rsidR="00FB7CC2">
        <w:rPr>
          <w:lang w:val="hu-HU"/>
        </w:rPr>
        <w:t>5</w:t>
      </w:r>
      <w:r w:rsidRPr="00360A40">
        <w:rPr>
          <w:lang w:val="hu-HU"/>
        </w:rPr>
        <w:t>.</w:t>
      </w:r>
      <w:r w:rsidR="000C37A6" w:rsidRPr="00360A40">
        <w:rPr>
          <w:lang w:val="hu-HU"/>
        </w:rPr>
        <w:t> </w:t>
      </w:r>
      <w:r w:rsidRPr="00360A40">
        <w:rPr>
          <w:lang w:val="hu-HU"/>
        </w:rPr>
        <w:t>táblázat).</w:t>
      </w:r>
    </w:p>
    <w:p w14:paraId="1C9C39A5" w14:textId="77777777" w:rsidR="000C37A6" w:rsidRPr="00360A40" w:rsidRDefault="000C37A6" w:rsidP="00360A40">
      <w:pPr>
        <w:pStyle w:val="Szvegtrzs"/>
        <w:kinsoku w:val="0"/>
        <w:overflowPunct w:val="0"/>
        <w:ind w:left="0"/>
        <w:rPr>
          <w:lang w:val="hu-HU"/>
        </w:rPr>
      </w:pPr>
    </w:p>
    <w:p w14:paraId="4123C0C9" w14:textId="78C9EF5E" w:rsidR="00D224C3" w:rsidRPr="00360A40" w:rsidRDefault="00495312" w:rsidP="00360A40">
      <w:pPr>
        <w:pStyle w:val="Szvegtrzs"/>
        <w:kinsoku w:val="0"/>
        <w:overflowPunct w:val="0"/>
        <w:ind w:left="0"/>
        <w:rPr>
          <w:lang w:val="hu-HU"/>
        </w:rPr>
      </w:pPr>
      <w:r w:rsidRPr="00360A40">
        <w:rPr>
          <w:lang w:val="hu-HU"/>
        </w:rPr>
        <w:t>A kezel</w:t>
      </w:r>
      <w:r w:rsidRPr="00360A40">
        <w:rPr>
          <w:rFonts w:hint="eastAsia"/>
          <w:lang w:val="hu-HU"/>
        </w:rPr>
        <w:t>é</w:t>
      </w:r>
      <w:r w:rsidRPr="00360A40">
        <w:rPr>
          <w:lang w:val="hu-HU"/>
        </w:rPr>
        <w:t>s abbahagy</w:t>
      </w:r>
      <w:r w:rsidRPr="00360A40">
        <w:rPr>
          <w:rFonts w:hint="eastAsia"/>
          <w:lang w:val="hu-HU"/>
        </w:rPr>
        <w:t>á</w:t>
      </w:r>
      <w:r w:rsidRPr="00360A40">
        <w:rPr>
          <w:lang w:val="hu-HU"/>
        </w:rPr>
        <w:t>sa ut</w:t>
      </w:r>
      <w:r w:rsidRPr="00360A40">
        <w:rPr>
          <w:rFonts w:hint="eastAsia"/>
          <w:lang w:val="hu-HU"/>
        </w:rPr>
        <w:t>á</w:t>
      </w:r>
      <w:r w:rsidRPr="00360A40">
        <w:rPr>
          <w:lang w:val="hu-HU"/>
        </w:rPr>
        <w:t>ni 12. hónapig a tart</w:t>
      </w:r>
      <w:r w:rsidRPr="00360A40">
        <w:rPr>
          <w:rFonts w:hint="eastAsia"/>
          <w:lang w:val="hu-HU"/>
        </w:rPr>
        <w:t>ó</w:t>
      </w:r>
      <w:r w:rsidRPr="00360A40">
        <w:rPr>
          <w:lang w:val="hu-HU"/>
        </w:rPr>
        <w:t>s v</w:t>
      </w:r>
      <w:r w:rsidRPr="00360A40">
        <w:rPr>
          <w:rFonts w:hint="eastAsia"/>
          <w:lang w:val="hu-HU"/>
        </w:rPr>
        <w:t>á</w:t>
      </w:r>
      <w:r w:rsidRPr="00360A40">
        <w:rPr>
          <w:lang w:val="hu-HU"/>
        </w:rPr>
        <w:t>lasz medi</w:t>
      </w:r>
      <w:r w:rsidRPr="00360A40">
        <w:rPr>
          <w:rFonts w:hint="eastAsia"/>
          <w:lang w:val="hu-HU"/>
        </w:rPr>
        <w:t>á</w:t>
      </w:r>
      <w:r w:rsidRPr="00360A40">
        <w:rPr>
          <w:lang w:val="hu-HU"/>
        </w:rPr>
        <w:t>n id</w:t>
      </w:r>
      <w:r w:rsidRPr="00360A40">
        <w:rPr>
          <w:rFonts w:hint="eastAsia"/>
          <w:lang w:val="hu-HU"/>
        </w:rPr>
        <w:t>ő</w:t>
      </w:r>
      <w:r w:rsidRPr="00360A40">
        <w:rPr>
          <w:lang w:val="hu-HU"/>
        </w:rPr>
        <w:t xml:space="preserve">tartama </w:t>
      </w:r>
      <w:r w:rsidR="00D224C3" w:rsidRPr="00360A40">
        <w:rPr>
          <w:lang w:val="hu-HU"/>
        </w:rPr>
        <w:t>33,3</w:t>
      </w:r>
      <w:r w:rsidR="000C37A6" w:rsidRPr="00360A40">
        <w:rPr>
          <w:lang w:val="hu-HU"/>
        </w:rPr>
        <w:t> </w:t>
      </w:r>
      <w:r w:rsidR="00D224C3" w:rsidRPr="00360A40">
        <w:rPr>
          <w:lang w:val="hu-HU"/>
        </w:rPr>
        <w:t>hét volt</w:t>
      </w:r>
      <w:r w:rsidR="000C37A6" w:rsidRPr="00360A40">
        <w:rPr>
          <w:lang w:val="hu-HU"/>
        </w:rPr>
        <w:t xml:space="preserve"> </w:t>
      </w:r>
      <w:r w:rsidR="00D224C3" w:rsidRPr="00360A40">
        <w:rPr>
          <w:lang w:val="hu-HU"/>
        </w:rPr>
        <w:t>(szélsőértékek: 4 és 51</w:t>
      </w:r>
      <w:r w:rsidR="000C37A6" w:rsidRPr="00360A40">
        <w:rPr>
          <w:lang w:val="hu-HU"/>
        </w:rPr>
        <w:t> </w:t>
      </w:r>
      <w:r w:rsidR="00D224C3" w:rsidRPr="00360A40">
        <w:rPr>
          <w:lang w:val="hu-HU"/>
        </w:rPr>
        <w:t xml:space="preserve">hét), a </w:t>
      </w:r>
      <w:r w:rsidRPr="00360A40">
        <w:rPr>
          <w:lang w:val="hu-HU"/>
        </w:rPr>
        <w:t>kezel</w:t>
      </w:r>
      <w:r w:rsidRPr="00360A40">
        <w:rPr>
          <w:rFonts w:hint="eastAsia"/>
          <w:lang w:val="hu-HU"/>
        </w:rPr>
        <w:t>é</w:t>
      </w:r>
      <w:r w:rsidRPr="00360A40">
        <w:rPr>
          <w:lang w:val="hu-HU"/>
        </w:rPr>
        <w:t>s abbahagy</w:t>
      </w:r>
      <w:r w:rsidRPr="00360A40">
        <w:rPr>
          <w:rFonts w:hint="eastAsia"/>
          <w:lang w:val="hu-HU"/>
        </w:rPr>
        <w:t>á</w:t>
      </w:r>
      <w:r w:rsidRPr="00360A40">
        <w:rPr>
          <w:lang w:val="hu-HU"/>
        </w:rPr>
        <w:t>sa ut</w:t>
      </w:r>
      <w:r w:rsidRPr="00360A40">
        <w:rPr>
          <w:rFonts w:hint="eastAsia"/>
          <w:lang w:val="hu-HU"/>
        </w:rPr>
        <w:t>á</w:t>
      </w:r>
      <w:r w:rsidRPr="00360A40">
        <w:rPr>
          <w:lang w:val="hu-HU"/>
        </w:rPr>
        <w:t xml:space="preserve">ni 24. hónapig a </w:t>
      </w:r>
      <w:r w:rsidR="00D224C3" w:rsidRPr="00360A40">
        <w:rPr>
          <w:lang w:val="hu-HU"/>
        </w:rPr>
        <w:t>tartós válasz medián időtartama pedig 88,6</w:t>
      </w:r>
      <w:r w:rsidR="000C37A6" w:rsidRPr="00360A40">
        <w:rPr>
          <w:lang w:val="hu-HU"/>
        </w:rPr>
        <w:t> </w:t>
      </w:r>
      <w:r w:rsidR="00D224C3" w:rsidRPr="00360A40">
        <w:rPr>
          <w:lang w:val="hu-HU"/>
        </w:rPr>
        <w:t>hét volt (szélsőértékek: 57 és 107</w:t>
      </w:r>
      <w:r w:rsidR="000C37A6" w:rsidRPr="00360A40">
        <w:rPr>
          <w:lang w:val="hu-HU"/>
        </w:rPr>
        <w:t> </w:t>
      </w:r>
      <w:r w:rsidR="00D224C3" w:rsidRPr="00360A40">
        <w:rPr>
          <w:lang w:val="hu-HU"/>
        </w:rPr>
        <w:t>hét).</w:t>
      </w:r>
    </w:p>
    <w:p w14:paraId="79718150" w14:textId="77777777" w:rsidR="000C37A6" w:rsidRPr="00360A40" w:rsidRDefault="000C37A6" w:rsidP="00360A40">
      <w:pPr>
        <w:pStyle w:val="Szvegtrzs"/>
        <w:kinsoku w:val="0"/>
        <w:overflowPunct w:val="0"/>
        <w:ind w:left="0"/>
        <w:rPr>
          <w:lang w:val="hu-HU"/>
        </w:rPr>
      </w:pPr>
    </w:p>
    <w:p w14:paraId="395AC380" w14:textId="329A5045" w:rsidR="00D224C3" w:rsidRPr="00360A40" w:rsidRDefault="00D224C3" w:rsidP="00360A40">
      <w:pPr>
        <w:pStyle w:val="Szvegtrzs"/>
        <w:kinsoku w:val="0"/>
        <w:overflowPunct w:val="0"/>
        <w:ind w:left="0"/>
        <w:rPr>
          <w:lang w:val="hu-HU"/>
        </w:rPr>
      </w:pPr>
      <w:r w:rsidRPr="00360A40">
        <w:rPr>
          <w:lang w:val="hu-HU"/>
        </w:rPr>
        <w:t>Az eltrombopag-dózis fokozatos csökkentése és a kezelés abbahagyása után 12</w:t>
      </w:r>
      <w:r w:rsidR="001736F7" w:rsidRPr="00360A40">
        <w:rPr>
          <w:lang w:val="hu-HU"/>
        </w:rPr>
        <w:t> </w:t>
      </w:r>
      <w:r w:rsidRPr="00360A40">
        <w:rPr>
          <w:lang w:val="hu-HU"/>
        </w:rPr>
        <w:t>betegnél szűnt meg a</w:t>
      </w:r>
      <w:r w:rsidR="001736F7" w:rsidRPr="00360A40">
        <w:rPr>
          <w:lang w:val="hu-HU"/>
        </w:rPr>
        <w:t xml:space="preserve"> </w:t>
      </w:r>
      <w:r w:rsidRPr="00360A40">
        <w:rPr>
          <w:lang w:val="hu-HU"/>
        </w:rPr>
        <w:t>terápiás válasz; 8-an közülük újrakezdték az eltrombopag alkalmazását, 7</w:t>
      </w:r>
      <w:r w:rsidR="001736F7" w:rsidRPr="00360A40">
        <w:rPr>
          <w:lang w:val="hu-HU"/>
        </w:rPr>
        <w:t> </w:t>
      </w:r>
      <w:r w:rsidRPr="00360A40">
        <w:rPr>
          <w:lang w:val="hu-HU"/>
        </w:rPr>
        <w:t>főnél pedig helyre is állt a</w:t>
      </w:r>
      <w:r w:rsidR="001736F7" w:rsidRPr="00360A40">
        <w:rPr>
          <w:lang w:val="hu-HU"/>
        </w:rPr>
        <w:t xml:space="preserve"> </w:t>
      </w:r>
      <w:r w:rsidRPr="00360A40">
        <w:rPr>
          <w:lang w:val="hu-HU"/>
        </w:rPr>
        <w:t>terápiás válasz.</w:t>
      </w:r>
    </w:p>
    <w:p w14:paraId="0E52E6BD" w14:textId="77777777" w:rsidR="001736F7" w:rsidRPr="00360A40" w:rsidRDefault="001736F7" w:rsidP="00360A40">
      <w:pPr>
        <w:pStyle w:val="Szvegtrzs"/>
        <w:kinsoku w:val="0"/>
        <w:overflowPunct w:val="0"/>
        <w:ind w:left="0"/>
        <w:rPr>
          <w:lang w:val="hu-HU"/>
        </w:rPr>
      </w:pPr>
    </w:p>
    <w:p w14:paraId="79F322FC" w14:textId="1118D178" w:rsidR="00D224C3" w:rsidRPr="00360A40" w:rsidRDefault="001736F7" w:rsidP="00360A40">
      <w:pPr>
        <w:pStyle w:val="Szvegtrzs"/>
        <w:kinsoku w:val="0"/>
        <w:overflowPunct w:val="0"/>
        <w:ind w:left="0"/>
        <w:rPr>
          <w:lang w:val="hu-HU"/>
        </w:rPr>
      </w:pPr>
      <w:r w:rsidRPr="00360A40">
        <w:rPr>
          <w:lang w:val="hu-HU"/>
        </w:rPr>
        <w:t>A 2 éves követés ideje alatt 105-ből 6 betegnél (5,7%) léptek fel thromboemboliás események: közülük 3 betegnél (2,9%) mélyvénás thrombosis, 1 betegnél (1,0%) felszíni vénás thrombosis, 1 betegnél (1,0%) sinus cavernosus thrombosis, 1 betegnél (1,0%) cerebrovascularis történés, 1 betegnél (1,0%) pedig pulmonalis embolia alakult ki. A 6 beteg közül 4 főnél léptek fel 3. vagy magasabb fokozatúnak jelentett thromboemboliás események, 4 betegnél pedig súlyosnak jelentett thromboemboliás esemény fordult elő. Nem számoltak be végzetes kimenetelű esetekről.</w:t>
      </w:r>
    </w:p>
    <w:p w14:paraId="47799AD7" w14:textId="77777777" w:rsidR="001736F7" w:rsidRPr="00360A40" w:rsidRDefault="001736F7" w:rsidP="00360A40">
      <w:pPr>
        <w:pStyle w:val="Szvegtrzs"/>
        <w:kinsoku w:val="0"/>
        <w:overflowPunct w:val="0"/>
        <w:ind w:left="0"/>
        <w:rPr>
          <w:lang w:val="hu-HU"/>
        </w:rPr>
      </w:pPr>
    </w:p>
    <w:p w14:paraId="5FC174A7" w14:textId="762B3DEE" w:rsidR="001736F7" w:rsidRPr="00360A40" w:rsidRDefault="001736F7" w:rsidP="00360A40">
      <w:pPr>
        <w:pStyle w:val="Szvegtrzs"/>
        <w:kinsoku w:val="0"/>
        <w:overflowPunct w:val="0"/>
        <w:ind w:left="0"/>
        <w:rPr>
          <w:lang w:val="hu-HU"/>
        </w:rPr>
      </w:pPr>
      <w:r w:rsidRPr="00360A40">
        <w:rPr>
          <w:lang w:val="hu-HU"/>
        </w:rPr>
        <w:t>A 105-ből 20 beteg (19,0%) tapasztalt enyhétől súlyosig terjedő vérzéses eseményeket a kezelés során, mielőtt megkezdődött volna a fokozatos dóziscsökkentés. A fokozatos csökkentést megkezdő 65 beteg közül 5 betegnél (7,7%) léptek fel enyhe vagy közepesen súlyos vérzéses események a fokozatos dóziscsökkentés során. Nem számoltak be súlyos vérzésről a fokozatos dóziscsökkentés során. Az eltrombopag-kezelést fokozatos dóziscsökkentés után abbahagyó 44 beteg közül 2 betegnél (4,5%) léptek fel enyhe vagy közepesen súlyos vérzéses események a kezelés abbahagyását követően, a 12.</w:t>
      </w:r>
      <w:r w:rsidR="00D445F9" w:rsidRPr="00360A40">
        <w:rPr>
          <w:lang w:val="hu-HU"/>
        </w:rPr>
        <w:t> </w:t>
      </w:r>
      <w:r w:rsidRPr="00360A40">
        <w:rPr>
          <w:lang w:val="hu-HU"/>
        </w:rPr>
        <w:t>hónapig. Nem számoltak be súlyos vérzésről ebben az időszakban. Az eltrombopag-kezelést</w:t>
      </w:r>
      <w:r w:rsidR="00D445F9" w:rsidRPr="00360A40">
        <w:rPr>
          <w:lang w:val="hu-HU"/>
        </w:rPr>
        <w:t xml:space="preserve"> </w:t>
      </w:r>
      <w:r w:rsidRPr="00360A40">
        <w:rPr>
          <w:lang w:val="hu-HU"/>
        </w:rPr>
        <w:t>abbahagyó és a követés második évét megkezdő betegek közül senkinél sem lépett fel vérzéses</w:t>
      </w:r>
      <w:r w:rsidR="00D445F9" w:rsidRPr="00360A40">
        <w:rPr>
          <w:lang w:val="hu-HU"/>
        </w:rPr>
        <w:t xml:space="preserve"> </w:t>
      </w:r>
      <w:r w:rsidRPr="00360A40">
        <w:rPr>
          <w:lang w:val="hu-HU"/>
        </w:rPr>
        <w:t>esemény a második év során. Kettő végzetes kimenetelű intracranialis vérzéses eseményről számoltak</w:t>
      </w:r>
      <w:r w:rsidR="00D445F9" w:rsidRPr="00360A40">
        <w:rPr>
          <w:lang w:val="hu-HU"/>
        </w:rPr>
        <w:t xml:space="preserve"> </w:t>
      </w:r>
      <w:r w:rsidRPr="00360A40">
        <w:rPr>
          <w:lang w:val="hu-HU"/>
        </w:rPr>
        <w:t>be a 2</w:t>
      </w:r>
      <w:r w:rsidR="00D445F9" w:rsidRPr="00360A40">
        <w:rPr>
          <w:lang w:val="hu-HU"/>
        </w:rPr>
        <w:t> </w:t>
      </w:r>
      <w:r w:rsidRPr="00360A40">
        <w:rPr>
          <w:lang w:val="hu-HU"/>
        </w:rPr>
        <w:t>éves követés során. Mindkét eseményre a kezelés közben került sor, nem a fokozatos</w:t>
      </w:r>
      <w:r w:rsidR="00D445F9" w:rsidRPr="00360A40">
        <w:rPr>
          <w:lang w:val="hu-HU"/>
        </w:rPr>
        <w:t xml:space="preserve"> </w:t>
      </w:r>
      <w:r w:rsidRPr="00360A40">
        <w:rPr>
          <w:lang w:val="hu-HU"/>
        </w:rPr>
        <w:t>dóziscsökkentéssel összefüggésben. Az eseményeket nem tekintették a vizsgálati kezeléssel</w:t>
      </w:r>
      <w:r w:rsidR="00D445F9" w:rsidRPr="00360A40">
        <w:rPr>
          <w:lang w:val="hu-HU"/>
        </w:rPr>
        <w:t xml:space="preserve"> </w:t>
      </w:r>
      <w:r w:rsidRPr="00360A40">
        <w:rPr>
          <w:lang w:val="hu-HU"/>
        </w:rPr>
        <w:t>összefüggőnek.</w:t>
      </w:r>
    </w:p>
    <w:p w14:paraId="51E4D31F" w14:textId="77777777" w:rsidR="00D445F9" w:rsidRPr="00360A40" w:rsidRDefault="00D445F9" w:rsidP="00360A40">
      <w:pPr>
        <w:pStyle w:val="Szvegtrzs"/>
        <w:kinsoku w:val="0"/>
        <w:overflowPunct w:val="0"/>
        <w:ind w:left="0"/>
        <w:rPr>
          <w:lang w:val="hu-HU"/>
        </w:rPr>
      </w:pPr>
    </w:p>
    <w:p w14:paraId="47D54134" w14:textId="7C635E18" w:rsidR="001736F7" w:rsidRPr="00360A40" w:rsidRDefault="001736F7" w:rsidP="00360A40">
      <w:pPr>
        <w:pStyle w:val="Szvegtrzs"/>
        <w:kinsoku w:val="0"/>
        <w:overflowPunct w:val="0"/>
        <w:ind w:left="0"/>
        <w:rPr>
          <w:lang w:val="hu-HU"/>
        </w:rPr>
      </w:pPr>
      <w:r w:rsidRPr="00360A40">
        <w:rPr>
          <w:lang w:val="hu-HU"/>
        </w:rPr>
        <w:t>Az általános biztonságossági elemzés összhangban van a korábban jelentett adatokkal, az ITP-s</w:t>
      </w:r>
      <w:r w:rsidR="00D445F9" w:rsidRPr="00360A40">
        <w:rPr>
          <w:lang w:val="hu-HU"/>
        </w:rPr>
        <w:t xml:space="preserve"> </w:t>
      </w:r>
      <w:r w:rsidRPr="00360A40">
        <w:rPr>
          <w:lang w:val="hu-HU"/>
        </w:rPr>
        <w:lastRenderedPageBreak/>
        <w:t>betegeknél alkalmazott eltrombopagra vonatkozó előny-kockázat értékelés nem változott.</w:t>
      </w:r>
    </w:p>
    <w:p w14:paraId="0A3EF070" w14:textId="77777777" w:rsidR="00D445F9" w:rsidRPr="00360A40" w:rsidRDefault="00D445F9" w:rsidP="00360A40">
      <w:pPr>
        <w:pStyle w:val="Szvegtrzs"/>
        <w:kinsoku w:val="0"/>
        <w:overflowPunct w:val="0"/>
        <w:ind w:left="0"/>
        <w:rPr>
          <w:lang w:val="hu-HU"/>
        </w:rPr>
      </w:pPr>
    </w:p>
    <w:p w14:paraId="5D8DA3BD" w14:textId="6CA96326" w:rsidR="00D445F9" w:rsidRPr="00360A40" w:rsidRDefault="00FB7CC2" w:rsidP="00360A40">
      <w:pPr>
        <w:pStyle w:val="Szvegtrzs"/>
        <w:kinsoku w:val="0"/>
        <w:overflowPunct w:val="0"/>
        <w:ind w:left="1701" w:hanging="1701"/>
        <w:rPr>
          <w:b/>
          <w:bCs/>
          <w:lang w:val="hu-HU"/>
        </w:rPr>
      </w:pPr>
      <w:r>
        <w:rPr>
          <w:b/>
          <w:bCs/>
          <w:lang w:val="hu-HU"/>
        </w:rPr>
        <w:t>5</w:t>
      </w:r>
      <w:r w:rsidR="00D445F9" w:rsidRPr="00360A40">
        <w:rPr>
          <w:b/>
          <w:bCs/>
          <w:lang w:val="hu-HU"/>
        </w:rPr>
        <w:t>. táblázat</w:t>
      </w:r>
      <w:r w:rsidR="00D445F9" w:rsidRPr="00360A40">
        <w:rPr>
          <w:lang w:val="hu-HU"/>
        </w:rPr>
        <w:tab/>
      </w:r>
      <w:r w:rsidR="00D445F9" w:rsidRPr="00360A40">
        <w:rPr>
          <w:lang w:val="hu-HU"/>
        </w:rPr>
        <w:tab/>
      </w:r>
      <w:r w:rsidR="00D445F9" w:rsidRPr="00360A40">
        <w:rPr>
          <w:b/>
          <w:bCs/>
          <w:lang w:val="hu-HU"/>
        </w:rPr>
        <w:t>A kezelés abbahagyása után tartós választ elérő betegek aránya a 12. hónapra és a 24. hónapra (teljes elemzési populáció) a TAPER vizsgálat során</w:t>
      </w:r>
    </w:p>
    <w:p w14:paraId="731C6D7F" w14:textId="77777777" w:rsidR="00D445F9" w:rsidRPr="00360A40" w:rsidRDefault="00D445F9" w:rsidP="00360A40">
      <w:pPr>
        <w:pStyle w:val="Szvegtrzs"/>
        <w:kinsoku w:val="0"/>
        <w:overflowPunct w:val="0"/>
        <w:ind w:left="0"/>
        <w:rPr>
          <w:b/>
          <w:bCs/>
          <w:lang w:val="hu-HU"/>
        </w:rPr>
      </w:pPr>
    </w:p>
    <w:tbl>
      <w:tblPr>
        <w:tblStyle w:val="Rcsostblzat"/>
        <w:tblW w:w="9182" w:type="dxa"/>
        <w:tblLook w:val="04A0" w:firstRow="1" w:lastRow="0" w:firstColumn="1" w:lastColumn="0" w:noHBand="0" w:noVBand="1"/>
      </w:tblPr>
      <w:tblGrid>
        <w:gridCol w:w="4673"/>
        <w:gridCol w:w="1134"/>
        <w:gridCol w:w="1266"/>
        <w:gridCol w:w="1056"/>
        <w:gridCol w:w="1053"/>
      </w:tblGrid>
      <w:tr w:rsidR="0085790D" w:rsidRPr="00360A40" w14:paraId="3DB7156B" w14:textId="77777777" w:rsidTr="00650C6D">
        <w:trPr>
          <w:trHeight w:val="759"/>
        </w:trPr>
        <w:tc>
          <w:tcPr>
            <w:tcW w:w="4673" w:type="dxa"/>
            <w:vMerge w:val="restart"/>
          </w:tcPr>
          <w:p w14:paraId="312DB0CB" w14:textId="77777777" w:rsidR="00D445F9" w:rsidRPr="00360A40" w:rsidRDefault="00D445F9" w:rsidP="00360A40">
            <w:pPr>
              <w:widowControl/>
              <w:rPr>
                <w:sz w:val="22"/>
                <w:szCs w:val="22"/>
                <w:lang w:val="en-GB" w:eastAsia="en-GB"/>
              </w:rPr>
            </w:pPr>
          </w:p>
        </w:tc>
        <w:tc>
          <w:tcPr>
            <w:tcW w:w="2400" w:type="dxa"/>
            <w:gridSpan w:val="2"/>
            <w:tcBorders>
              <w:bottom w:val="nil"/>
            </w:tcBorders>
          </w:tcPr>
          <w:p w14:paraId="40E4196A" w14:textId="4B871863" w:rsidR="00D445F9" w:rsidRPr="00360A40" w:rsidRDefault="005314EB" w:rsidP="00360A40">
            <w:pPr>
              <w:widowControl/>
              <w:rPr>
                <w:b/>
                <w:bCs/>
                <w:sz w:val="22"/>
                <w:szCs w:val="22"/>
                <w:lang w:val="en-GB" w:eastAsia="en-GB"/>
              </w:rPr>
            </w:pPr>
            <w:r>
              <w:rPr>
                <w:b/>
                <w:bCs/>
                <w:sz w:val="22"/>
                <w:szCs w:val="22"/>
                <w:lang w:val="en-GB" w:eastAsia="en-GB"/>
              </w:rPr>
              <w:t>Minden beteg</w:t>
            </w:r>
          </w:p>
          <w:p w14:paraId="3610D6C2" w14:textId="2E1340BF" w:rsidR="00D445F9" w:rsidRPr="00360A40" w:rsidRDefault="00984B48" w:rsidP="00360A40">
            <w:pPr>
              <w:widowControl/>
              <w:rPr>
                <w:b/>
                <w:sz w:val="22"/>
                <w:szCs w:val="22"/>
                <w:lang w:val="pl-PL" w:eastAsia="en-GB"/>
              </w:rPr>
            </w:pPr>
            <w:r w:rsidRPr="00360A40">
              <w:rPr>
                <w:b/>
                <w:bCs/>
                <w:sz w:val="22"/>
                <w:szCs w:val="22"/>
                <w:lang w:val="en-GB" w:eastAsia="en-GB"/>
              </w:rPr>
              <w:t>N</w:t>
            </w:r>
            <w:r w:rsidR="00D445F9" w:rsidRPr="00360A40">
              <w:rPr>
                <w:b/>
                <w:bCs/>
                <w:sz w:val="22"/>
                <w:szCs w:val="22"/>
                <w:lang w:val="en-GB" w:eastAsia="en-GB"/>
              </w:rPr>
              <w:t>=105</w:t>
            </w:r>
          </w:p>
        </w:tc>
        <w:tc>
          <w:tcPr>
            <w:tcW w:w="2109" w:type="dxa"/>
            <w:gridSpan w:val="2"/>
            <w:tcBorders>
              <w:bottom w:val="nil"/>
            </w:tcBorders>
          </w:tcPr>
          <w:p w14:paraId="3F0BAB4A" w14:textId="18BF7D03" w:rsidR="00D445F9" w:rsidRPr="00360A40" w:rsidRDefault="005314EB" w:rsidP="00360A40">
            <w:pPr>
              <w:widowControl/>
              <w:rPr>
                <w:b/>
                <w:sz w:val="22"/>
                <w:szCs w:val="22"/>
                <w:lang w:val="pl-PL" w:eastAsia="en-GB"/>
              </w:rPr>
            </w:pPr>
            <w:r>
              <w:rPr>
                <w:b/>
                <w:bCs/>
                <w:sz w:val="22"/>
                <w:szCs w:val="22"/>
                <w:lang w:val="en-GB" w:eastAsia="en-GB"/>
              </w:rPr>
              <w:t>Hipotézisvizsgálat</w:t>
            </w:r>
          </w:p>
        </w:tc>
      </w:tr>
      <w:tr w:rsidR="0085790D" w:rsidRPr="00360A40" w14:paraId="10BFED0E" w14:textId="77777777" w:rsidTr="0085790D">
        <w:trPr>
          <w:trHeight w:val="287"/>
        </w:trPr>
        <w:tc>
          <w:tcPr>
            <w:tcW w:w="4673" w:type="dxa"/>
            <w:vMerge/>
          </w:tcPr>
          <w:p w14:paraId="33BD740D" w14:textId="77777777" w:rsidR="00D445F9" w:rsidRPr="00360A40" w:rsidRDefault="00D445F9" w:rsidP="00360A40">
            <w:pPr>
              <w:widowControl/>
              <w:rPr>
                <w:sz w:val="22"/>
                <w:szCs w:val="22"/>
                <w:lang w:val="pl-PL" w:eastAsia="en-GB"/>
              </w:rPr>
            </w:pPr>
          </w:p>
        </w:tc>
        <w:tc>
          <w:tcPr>
            <w:tcW w:w="1134" w:type="dxa"/>
            <w:tcBorders>
              <w:top w:val="nil"/>
            </w:tcBorders>
          </w:tcPr>
          <w:p w14:paraId="0619E9D2" w14:textId="77777777" w:rsidR="00D445F9" w:rsidRPr="00360A40" w:rsidRDefault="00D445F9" w:rsidP="00360A40">
            <w:pPr>
              <w:widowControl/>
              <w:rPr>
                <w:b/>
                <w:sz w:val="22"/>
                <w:szCs w:val="22"/>
                <w:lang w:val="pl-PL" w:eastAsia="en-GB"/>
              </w:rPr>
            </w:pPr>
            <w:r w:rsidRPr="00360A40">
              <w:rPr>
                <w:b/>
                <w:bCs/>
                <w:sz w:val="22"/>
                <w:szCs w:val="22"/>
                <w:lang w:val="en-GB" w:eastAsia="en-GB"/>
              </w:rPr>
              <w:t>n (%)</w:t>
            </w:r>
          </w:p>
        </w:tc>
        <w:tc>
          <w:tcPr>
            <w:tcW w:w="1266" w:type="dxa"/>
            <w:tcBorders>
              <w:top w:val="nil"/>
            </w:tcBorders>
          </w:tcPr>
          <w:p w14:paraId="2B2BE1A0" w14:textId="712BC3D7" w:rsidR="00D445F9" w:rsidRPr="00360A40" w:rsidRDefault="00D445F9" w:rsidP="00360A40">
            <w:pPr>
              <w:widowControl/>
              <w:rPr>
                <w:b/>
                <w:sz w:val="22"/>
                <w:szCs w:val="22"/>
                <w:lang w:val="pl-PL" w:eastAsia="en-GB"/>
              </w:rPr>
            </w:pPr>
            <w:r w:rsidRPr="00360A40">
              <w:rPr>
                <w:b/>
                <w:sz w:val="22"/>
                <w:szCs w:val="22"/>
                <w:lang w:val="pl-PL" w:eastAsia="en-GB"/>
              </w:rPr>
              <w:t>95%</w:t>
            </w:r>
            <w:r w:rsidR="005314EB">
              <w:rPr>
                <w:b/>
                <w:sz w:val="22"/>
                <w:szCs w:val="22"/>
                <w:lang w:val="pl-PL" w:eastAsia="en-GB"/>
              </w:rPr>
              <w:t>-os</w:t>
            </w:r>
            <w:r w:rsidRPr="00360A40">
              <w:rPr>
                <w:b/>
                <w:sz w:val="22"/>
                <w:szCs w:val="22"/>
                <w:lang w:val="pl-PL" w:eastAsia="en-GB"/>
              </w:rPr>
              <w:t xml:space="preserve"> CI</w:t>
            </w:r>
          </w:p>
        </w:tc>
        <w:tc>
          <w:tcPr>
            <w:tcW w:w="1056" w:type="dxa"/>
            <w:tcBorders>
              <w:top w:val="nil"/>
            </w:tcBorders>
          </w:tcPr>
          <w:p w14:paraId="4D7B83C7" w14:textId="491B5874" w:rsidR="00D445F9" w:rsidRPr="00360A40" w:rsidRDefault="00D445F9" w:rsidP="00360A40">
            <w:pPr>
              <w:widowControl/>
              <w:rPr>
                <w:b/>
                <w:sz w:val="22"/>
                <w:szCs w:val="22"/>
                <w:lang w:val="pl-PL" w:eastAsia="en-GB"/>
              </w:rPr>
            </w:pPr>
            <w:r w:rsidRPr="00360A40">
              <w:rPr>
                <w:b/>
                <w:bCs/>
                <w:sz w:val="22"/>
                <w:szCs w:val="22"/>
                <w:lang w:val="en-GB" w:eastAsia="en-GB"/>
              </w:rPr>
              <w:t>p-</w:t>
            </w:r>
            <w:r w:rsidR="00DC3AFD" w:rsidRPr="00360A40">
              <w:rPr>
                <w:b/>
                <w:bCs/>
                <w:sz w:val="22"/>
                <w:szCs w:val="22"/>
                <w:lang w:val="en-GB" w:eastAsia="en-GB"/>
              </w:rPr>
              <w:t>érték</w:t>
            </w:r>
          </w:p>
        </w:tc>
        <w:tc>
          <w:tcPr>
            <w:tcW w:w="1053" w:type="dxa"/>
            <w:tcBorders>
              <w:top w:val="nil"/>
            </w:tcBorders>
          </w:tcPr>
          <w:p w14:paraId="167B3C2B" w14:textId="5ED5E719" w:rsidR="00D445F9" w:rsidRPr="00360A40" w:rsidRDefault="00D445F9" w:rsidP="00360A40">
            <w:pPr>
              <w:widowControl/>
              <w:rPr>
                <w:b/>
                <w:sz w:val="22"/>
                <w:szCs w:val="22"/>
                <w:lang w:val="pl-PL" w:eastAsia="en-GB"/>
              </w:rPr>
            </w:pPr>
            <w:r w:rsidRPr="00360A40">
              <w:rPr>
                <w:b/>
                <w:sz w:val="22"/>
                <w:szCs w:val="22"/>
                <w:lang w:val="pl-PL" w:eastAsia="en-GB"/>
              </w:rPr>
              <w:t>H0</w:t>
            </w:r>
            <w:r w:rsidR="00DC3AFD" w:rsidRPr="00360A40">
              <w:rPr>
                <w:b/>
                <w:sz w:val="22"/>
                <w:szCs w:val="22"/>
                <w:lang w:val="pl-PL" w:eastAsia="en-GB"/>
              </w:rPr>
              <w:t xml:space="preserve"> elvetése</w:t>
            </w:r>
          </w:p>
        </w:tc>
      </w:tr>
      <w:tr w:rsidR="0085790D" w:rsidRPr="00360A40" w14:paraId="7A125B58" w14:textId="77777777" w:rsidTr="0085790D">
        <w:tc>
          <w:tcPr>
            <w:tcW w:w="4673" w:type="dxa"/>
          </w:tcPr>
          <w:p w14:paraId="2DF5E4BD" w14:textId="1E4B446A" w:rsidR="00D445F9" w:rsidRPr="00360A40" w:rsidRDefault="00DC3AFD" w:rsidP="00360A40">
            <w:pPr>
              <w:widowControl/>
              <w:ind w:left="595" w:hanging="709"/>
              <w:rPr>
                <w:sz w:val="22"/>
                <w:szCs w:val="22"/>
                <w:lang w:val="en-GB" w:eastAsia="en-GB"/>
              </w:rPr>
            </w:pPr>
            <w:r w:rsidRPr="00360A40">
              <w:rPr>
                <w:sz w:val="22"/>
                <w:szCs w:val="22"/>
                <w:lang w:val="hu-HU" w:eastAsia="en-GB"/>
              </w:rPr>
              <w:t>1.</w:t>
            </w:r>
            <w:r w:rsidR="0085790D" w:rsidRPr="00360A40">
              <w:rPr>
                <w:sz w:val="22"/>
                <w:szCs w:val="22"/>
                <w:lang w:val="hu-HU" w:eastAsia="en-GB"/>
              </w:rPr>
              <w:t> </w:t>
            </w:r>
            <w:r w:rsidRPr="00360A40">
              <w:rPr>
                <w:sz w:val="22"/>
                <w:szCs w:val="22"/>
                <w:lang w:val="hu-HU" w:eastAsia="en-GB"/>
              </w:rPr>
              <w:t xml:space="preserve">lépés: Azon betegek, akik legalább egyszer elérték a </w:t>
            </w:r>
            <w:r w:rsidR="00D445F9" w:rsidRPr="00360A40">
              <w:rPr>
                <w:sz w:val="22"/>
                <w:szCs w:val="22"/>
                <w:lang w:val="en-GB" w:eastAsia="en-GB"/>
              </w:rPr>
              <w:t>≥100</w:t>
            </w:r>
            <w:r w:rsidR="0085790D" w:rsidRPr="00360A40">
              <w:rPr>
                <w:sz w:val="22"/>
                <w:szCs w:val="22"/>
                <w:lang w:val="en-GB" w:eastAsia="en-GB"/>
              </w:rPr>
              <w:t> </w:t>
            </w:r>
            <w:r w:rsidR="00D445F9" w:rsidRPr="00360A40">
              <w:rPr>
                <w:sz w:val="22"/>
                <w:szCs w:val="22"/>
                <w:lang w:val="en-GB" w:eastAsia="en-GB"/>
              </w:rPr>
              <w:t xml:space="preserve">000/µl </w:t>
            </w:r>
            <w:r w:rsidRPr="00360A40">
              <w:rPr>
                <w:sz w:val="22"/>
                <w:szCs w:val="22"/>
                <w:lang w:val="hu-HU" w:eastAsia="en-GB"/>
              </w:rPr>
              <w:t>vérlemezkeszámot</w:t>
            </w:r>
          </w:p>
        </w:tc>
        <w:tc>
          <w:tcPr>
            <w:tcW w:w="1134" w:type="dxa"/>
          </w:tcPr>
          <w:p w14:paraId="4D54F868" w14:textId="5DAFC17F" w:rsidR="00D445F9" w:rsidRPr="00360A40" w:rsidRDefault="00D445F9" w:rsidP="00360A40">
            <w:pPr>
              <w:widowControl/>
              <w:rPr>
                <w:sz w:val="22"/>
                <w:szCs w:val="22"/>
                <w:lang w:val="pl-PL" w:eastAsia="en-GB"/>
              </w:rPr>
            </w:pPr>
            <w:r w:rsidRPr="00360A40">
              <w:rPr>
                <w:sz w:val="22"/>
                <w:szCs w:val="22"/>
                <w:lang w:val="en-GB" w:eastAsia="en-GB"/>
              </w:rPr>
              <w:t>89 (84</w:t>
            </w:r>
            <w:r w:rsidR="00984B48" w:rsidRPr="00360A40">
              <w:rPr>
                <w:sz w:val="22"/>
                <w:szCs w:val="22"/>
                <w:lang w:val="en-GB" w:eastAsia="en-GB"/>
              </w:rPr>
              <w:t>,</w:t>
            </w:r>
            <w:r w:rsidRPr="00360A40">
              <w:rPr>
                <w:sz w:val="22"/>
                <w:szCs w:val="22"/>
                <w:lang w:val="en-GB" w:eastAsia="en-GB"/>
              </w:rPr>
              <w:t>8)</w:t>
            </w:r>
          </w:p>
        </w:tc>
        <w:tc>
          <w:tcPr>
            <w:tcW w:w="1266" w:type="dxa"/>
          </w:tcPr>
          <w:p w14:paraId="4FCA8E23" w14:textId="475A70E5" w:rsidR="00D445F9" w:rsidRPr="00360A40" w:rsidRDefault="00D445F9" w:rsidP="00360A40">
            <w:pPr>
              <w:widowControl/>
              <w:rPr>
                <w:sz w:val="22"/>
                <w:szCs w:val="22"/>
                <w:lang w:val="pl-PL" w:eastAsia="en-GB"/>
              </w:rPr>
            </w:pPr>
            <w:r w:rsidRPr="00360A40">
              <w:rPr>
                <w:sz w:val="22"/>
                <w:szCs w:val="22"/>
                <w:lang w:val="en-GB" w:eastAsia="en-GB"/>
              </w:rPr>
              <w:t>(76</w:t>
            </w:r>
            <w:r w:rsidR="00984B48" w:rsidRPr="00360A40">
              <w:rPr>
                <w:sz w:val="22"/>
                <w:szCs w:val="22"/>
                <w:lang w:val="en-GB" w:eastAsia="en-GB"/>
              </w:rPr>
              <w:t>,</w:t>
            </w:r>
            <w:r w:rsidRPr="00360A40">
              <w:rPr>
                <w:sz w:val="22"/>
                <w:szCs w:val="22"/>
                <w:lang w:val="en-GB" w:eastAsia="en-GB"/>
              </w:rPr>
              <w:t>4</w:t>
            </w:r>
            <w:r w:rsidR="00984B48" w:rsidRPr="00360A40">
              <w:rPr>
                <w:sz w:val="22"/>
                <w:szCs w:val="22"/>
                <w:lang w:val="en-GB" w:eastAsia="en-GB"/>
              </w:rPr>
              <w:t>;</w:t>
            </w:r>
            <w:r w:rsidRPr="00360A40">
              <w:rPr>
                <w:sz w:val="22"/>
                <w:szCs w:val="22"/>
                <w:lang w:val="en-GB" w:eastAsia="en-GB"/>
              </w:rPr>
              <w:t xml:space="preserve"> 91</w:t>
            </w:r>
            <w:r w:rsidR="00984B48" w:rsidRPr="00360A40">
              <w:rPr>
                <w:sz w:val="22"/>
                <w:szCs w:val="22"/>
                <w:lang w:val="en-GB" w:eastAsia="en-GB"/>
              </w:rPr>
              <w:t>,</w:t>
            </w:r>
            <w:r w:rsidRPr="00360A40">
              <w:rPr>
                <w:sz w:val="22"/>
                <w:szCs w:val="22"/>
                <w:lang w:val="en-GB" w:eastAsia="en-GB"/>
              </w:rPr>
              <w:t>0)</w:t>
            </w:r>
          </w:p>
        </w:tc>
        <w:tc>
          <w:tcPr>
            <w:tcW w:w="1056" w:type="dxa"/>
          </w:tcPr>
          <w:p w14:paraId="28BBC52F" w14:textId="77777777" w:rsidR="00D445F9" w:rsidRPr="00360A40" w:rsidRDefault="00D445F9" w:rsidP="00360A40">
            <w:pPr>
              <w:widowControl/>
              <w:rPr>
                <w:sz w:val="22"/>
                <w:szCs w:val="22"/>
                <w:lang w:val="pl-PL" w:eastAsia="en-GB"/>
              </w:rPr>
            </w:pPr>
          </w:p>
        </w:tc>
        <w:tc>
          <w:tcPr>
            <w:tcW w:w="1053" w:type="dxa"/>
          </w:tcPr>
          <w:p w14:paraId="46886834" w14:textId="77777777" w:rsidR="00D445F9" w:rsidRPr="00360A40" w:rsidRDefault="00D445F9" w:rsidP="00360A40">
            <w:pPr>
              <w:widowControl/>
              <w:rPr>
                <w:sz w:val="22"/>
                <w:szCs w:val="22"/>
                <w:lang w:val="pl-PL" w:eastAsia="en-GB"/>
              </w:rPr>
            </w:pPr>
          </w:p>
        </w:tc>
      </w:tr>
      <w:tr w:rsidR="0085790D" w:rsidRPr="00360A40" w14:paraId="13923868" w14:textId="77777777" w:rsidTr="0085790D">
        <w:tc>
          <w:tcPr>
            <w:tcW w:w="4673" w:type="dxa"/>
          </w:tcPr>
          <w:p w14:paraId="2D47319C" w14:textId="76BB47C6" w:rsidR="00D445F9" w:rsidRPr="00360A40" w:rsidRDefault="0085790D" w:rsidP="00360A40">
            <w:pPr>
              <w:widowControl/>
              <w:ind w:left="595" w:hanging="709"/>
              <w:rPr>
                <w:sz w:val="22"/>
                <w:szCs w:val="22"/>
                <w:lang w:val="en-GB" w:eastAsia="en-GB"/>
              </w:rPr>
            </w:pPr>
            <w:r w:rsidRPr="00360A40">
              <w:rPr>
                <w:sz w:val="22"/>
                <w:szCs w:val="22"/>
                <w:lang w:val="hu-HU" w:eastAsia="en-GB"/>
              </w:rPr>
              <w:t>2. lépés: Azon betegek, akiknél stabil maradt a vérlemezkeszám 2 hónapig, miután elérték a 100 000/</w:t>
            </w:r>
            <w:r w:rsidRPr="00360A40">
              <w:rPr>
                <w:sz w:val="22"/>
                <w:szCs w:val="22"/>
                <w:lang w:val="en-GB" w:eastAsia="en-GB"/>
              </w:rPr>
              <w:t>µl</w:t>
            </w:r>
            <w:r w:rsidRPr="00360A40">
              <w:rPr>
                <w:sz w:val="22"/>
                <w:szCs w:val="22"/>
                <w:lang w:val="hu-HU" w:eastAsia="en-GB"/>
              </w:rPr>
              <w:t xml:space="preserve"> értéket (egy alkalommal sem süllyedt 70 000/</w:t>
            </w:r>
            <w:r w:rsidRPr="00360A40">
              <w:rPr>
                <w:sz w:val="22"/>
                <w:szCs w:val="22"/>
                <w:lang w:val="en-GB" w:eastAsia="en-GB"/>
              </w:rPr>
              <w:t>µl</w:t>
            </w:r>
            <w:r w:rsidRPr="00360A40">
              <w:rPr>
                <w:sz w:val="22"/>
                <w:szCs w:val="22"/>
                <w:lang w:val="hu-HU" w:eastAsia="en-GB"/>
              </w:rPr>
              <w:t xml:space="preserve"> alá</w:t>
            </w:r>
          </w:p>
        </w:tc>
        <w:tc>
          <w:tcPr>
            <w:tcW w:w="1134" w:type="dxa"/>
          </w:tcPr>
          <w:p w14:paraId="1F470437" w14:textId="7F219280" w:rsidR="00D445F9" w:rsidRPr="00360A40" w:rsidRDefault="00D445F9" w:rsidP="00360A40">
            <w:pPr>
              <w:widowControl/>
              <w:rPr>
                <w:sz w:val="22"/>
                <w:szCs w:val="22"/>
                <w:lang w:val="pl-PL" w:eastAsia="en-GB"/>
              </w:rPr>
            </w:pPr>
            <w:r w:rsidRPr="00360A40">
              <w:rPr>
                <w:sz w:val="22"/>
                <w:szCs w:val="22"/>
                <w:lang w:val="en-GB" w:eastAsia="en-GB"/>
              </w:rPr>
              <w:t>65 (61</w:t>
            </w:r>
            <w:r w:rsidR="00984B48" w:rsidRPr="00360A40">
              <w:rPr>
                <w:sz w:val="22"/>
                <w:szCs w:val="22"/>
                <w:lang w:val="en-GB" w:eastAsia="en-GB"/>
              </w:rPr>
              <w:t>,</w:t>
            </w:r>
            <w:r w:rsidRPr="00360A40">
              <w:rPr>
                <w:sz w:val="22"/>
                <w:szCs w:val="22"/>
                <w:lang w:val="en-GB" w:eastAsia="en-GB"/>
              </w:rPr>
              <w:t>9)</w:t>
            </w:r>
          </w:p>
        </w:tc>
        <w:tc>
          <w:tcPr>
            <w:tcW w:w="1266" w:type="dxa"/>
          </w:tcPr>
          <w:p w14:paraId="027983F5" w14:textId="372CC577" w:rsidR="00D445F9" w:rsidRPr="00360A40" w:rsidRDefault="00D445F9" w:rsidP="00360A40">
            <w:pPr>
              <w:widowControl/>
              <w:rPr>
                <w:sz w:val="22"/>
                <w:szCs w:val="22"/>
                <w:lang w:val="pl-PL" w:eastAsia="en-GB"/>
              </w:rPr>
            </w:pPr>
            <w:r w:rsidRPr="00360A40">
              <w:rPr>
                <w:sz w:val="22"/>
                <w:szCs w:val="22"/>
                <w:lang w:val="en-GB" w:eastAsia="en-GB"/>
              </w:rPr>
              <w:t>(51</w:t>
            </w:r>
            <w:r w:rsidR="00984B48" w:rsidRPr="00360A40">
              <w:rPr>
                <w:sz w:val="22"/>
                <w:szCs w:val="22"/>
                <w:lang w:val="en-GB" w:eastAsia="en-GB"/>
              </w:rPr>
              <w:t>,</w:t>
            </w:r>
            <w:r w:rsidRPr="00360A40">
              <w:rPr>
                <w:sz w:val="22"/>
                <w:szCs w:val="22"/>
                <w:lang w:val="en-GB" w:eastAsia="en-GB"/>
              </w:rPr>
              <w:t>9</w:t>
            </w:r>
            <w:r w:rsidR="00984B48" w:rsidRPr="00360A40">
              <w:rPr>
                <w:sz w:val="22"/>
                <w:szCs w:val="22"/>
                <w:lang w:val="en-GB" w:eastAsia="en-GB"/>
              </w:rPr>
              <w:t>;</w:t>
            </w:r>
            <w:r w:rsidRPr="00360A40">
              <w:rPr>
                <w:sz w:val="22"/>
                <w:szCs w:val="22"/>
                <w:lang w:val="en-GB" w:eastAsia="en-GB"/>
              </w:rPr>
              <w:t xml:space="preserve"> 71</w:t>
            </w:r>
            <w:r w:rsidR="00984B48" w:rsidRPr="00360A40">
              <w:rPr>
                <w:sz w:val="22"/>
                <w:szCs w:val="22"/>
                <w:lang w:val="en-GB" w:eastAsia="en-GB"/>
              </w:rPr>
              <w:t>,</w:t>
            </w:r>
            <w:r w:rsidRPr="00360A40">
              <w:rPr>
                <w:sz w:val="22"/>
                <w:szCs w:val="22"/>
                <w:lang w:val="en-GB" w:eastAsia="en-GB"/>
              </w:rPr>
              <w:t>2)</w:t>
            </w:r>
          </w:p>
        </w:tc>
        <w:tc>
          <w:tcPr>
            <w:tcW w:w="1056" w:type="dxa"/>
          </w:tcPr>
          <w:p w14:paraId="0AC7F68B" w14:textId="77777777" w:rsidR="00D445F9" w:rsidRPr="00360A40" w:rsidRDefault="00D445F9" w:rsidP="00360A40">
            <w:pPr>
              <w:widowControl/>
              <w:rPr>
                <w:sz w:val="22"/>
                <w:szCs w:val="22"/>
                <w:lang w:val="en-GB" w:eastAsia="en-GB"/>
              </w:rPr>
            </w:pPr>
          </w:p>
        </w:tc>
        <w:tc>
          <w:tcPr>
            <w:tcW w:w="1053" w:type="dxa"/>
          </w:tcPr>
          <w:p w14:paraId="3449F03E" w14:textId="77777777" w:rsidR="00D445F9" w:rsidRPr="00360A40" w:rsidRDefault="00D445F9" w:rsidP="00360A40">
            <w:pPr>
              <w:widowControl/>
              <w:rPr>
                <w:sz w:val="22"/>
                <w:szCs w:val="22"/>
                <w:lang w:val="pl-PL" w:eastAsia="en-GB"/>
              </w:rPr>
            </w:pPr>
          </w:p>
        </w:tc>
      </w:tr>
      <w:tr w:rsidR="0085790D" w:rsidRPr="00360A40" w14:paraId="335A845D" w14:textId="77777777" w:rsidTr="0085790D">
        <w:tc>
          <w:tcPr>
            <w:tcW w:w="4673" w:type="dxa"/>
          </w:tcPr>
          <w:p w14:paraId="6B8AB9B8" w14:textId="5F0FDA7E" w:rsidR="00D445F9" w:rsidRPr="00360A40" w:rsidRDefault="0085790D" w:rsidP="00360A40">
            <w:pPr>
              <w:widowControl/>
              <w:ind w:left="595" w:hanging="709"/>
              <w:rPr>
                <w:sz w:val="22"/>
                <w:szCs w:val="22"/>
                <w:lang w:val="en-GB" w:eastAsia="en-GB"/>
              </w:rPr>
            </w:pPr>
            <w:r w:rsidRPr="00360A40">
              <w:rPr>
                <w:sz w:val="22"/>
                <w:szCs w:val="22"/>
                <w:lang w:val="hu-HU" w:eastAsia="en-GB"/>
              </w:rPr>
              <w:t>3. lépés: Azon betegek, akiknél sikerült a fokozatos d</w:t>
            </w:r>
            <w:r w:rsidRPr="00360A40">
              <w:rPr>
                <w:rFonts w:hint="eastAsia"/>
                <w:sz w:val="22"/>
                <w:szCs w:val="22"/>
                <w:lang w:val="hu-HU" w:eastAsia="en-GB"/>
              </w:rPr>
              <w:t>ó</w:t>
            </w:r>
            <w:r w:rsidRPr="00360A40">
              <w:rPr>
                <w:sz w:val="22"/>
                <w:szCs w:val="22"/>
                <w:lang w:val="hu-HU" w:eastAsia="en-GB"/>
              </w:rPr>
              <w:t>ziscs</w:t>
            </w:r>
            <w:r w:rsidRPr="00360A40">
              <w:rPr>
                <w:rFonts w:hint="eastAsia"/>
                <w:sz w:val="22"/>
                <w:szCs w:val="22"/>
                <w:lang w:val="hu-HU" w:eastAsia="en-GB"/>
              </w:rPr>
              <w:t>ö</w:t>
            </w:r>
            <w:r w:rsidRPr="00360A40">
              <w:rPr>
                <w:sz w:val="22"/>
                <w:szCs w:val="22"/>
                <w:lang w:val="hu-HU" w:eastAsia="en-GB"/>
              </w:rPr>
              <w:t>kkent</w:t>
            </w:r>
            <w:r w:rsidRPr="00360A40">
              <w:rPr>
                <w:rFonts w:hint="eastAsia"/>
                <w:sz w:val="22"/>
                <w:szCs w:val="22"/>
                <w:lang w:val="hu-HU" w:eastAsia="en-GB"/>
              </w:rPr>
              <w:t>é</w:t>
            </w:r>
            <w:r w:rsidRPr="00360A40">
              <w:rPr>
                <w:sz w:val="22"/>
                <w:szCs w:val="22"/>
                <w:lang w:val="hu-HU" w:eastAsia="en-GB"/>
              </w:rPr>
              <w:t>st k</w:t>
            </w:r>
            <w:r w:rsidRPr="00360A40">
              <w:rPr>
                <w:rFonts w:hint="eastAsia"/>
                <w:sz w:val="22"/>
                <w:szCs w:val="22"/>
                <w:lang w:val="hu-HU" w:eastAsia="en-GB"/>
              </w:rPr>
              <w:t>ö</w:t>
            </w:r>
            <w:r w:rsidRPr="00360A40">
              <w:rPr>
                <w:sz w:val="22"/>
                <w:szCs w:val="22"/>
                <w:lang w:val="hu-HU" w:eastAsia="en-GB"/>
              </w:rPr>
              <w:t xml:space="preserve">vetően abbahagyni az eltrombopag alkalmazását úgy, hogy eközben a vérlemezkeszám </w:t>
            </w:r>
            <w:r w:rsidRPr="00360A40">
              <w:rPr>
                <w:rFonts w:hint="eastAsia"/>
                <w:sz w:val="22"/>
                <w:szCs w:val="22"/>
                <w:lang w:val="hu-HU" w:eastAsia="en-GB"/>
              </w:rPr>
              <w:t>≥</w:t>
            </w:r>
            <w:r w:rsidRPr="00360A40">
              <w:rPr>
                <w:sz w:val="22"/>
                <w:szCs w:val="22"/>
                <w:lang w:val="hu-HU" w:eastAsia="en-GB"/>
              </w:rPr>
              <w:t> 30 000/</w:t>
            </w:r>
            <w:r w:rsidRPr="00360A40">
              <w:rPr>
                <w:sz w:val="22"/>
                <w:szCs w:val="22"/>
                <w:lang w:val="en-GB" w:eastAsia="en-GB"/>
              </w:rPr>
              <w:t>µl</w:t>
            </w:r>
            <w:r w:rsidRPr="00360A40">
              <w:rPr>
                <w:sz w:val="22"/>
                <w:szCs w:val="22"/>
                <w:lang w:val="hu-HU" w:eastAsia="en-GB"/>
              </w:rPr>
              <w:t xml:space="preserve"> maradt, nem voltak vérzéses esem</w:t>
            </w:r>
            <w:r w:rsidRPr="00360A40">
              <w:rPr>
                <w:rFonts w:hint="eastAsia"/>
                <w:sz w:val="22"/>
                <w:szCs w:val="22"/>
                <w:lang w:val="hu-HU" w:eastAsia="en-GB"/>
              </w:rPr>
              <w:t>é</w:t>
            </w:r>
            <w:r w:rsidRPr="00360A40">
              <w:rPr>
                <w:sz w:val="22"/>
                <w:szCs w:val="22"/>
                <w:lang w:val="hu-HU" w:eastAsia="en-GB"/>
              </w:rPr>
              <w:t>nyek, illetve nem kellett semmilyen mentő kezelést sem igénybe venni</w:t>
            </w:r>
          </w:p>
        </w:tc>
        <w:tc>
          <w:tcPr>
            <w:tcW w:w="1134" w:type="dxa"/>
          </w:tcPr>
          <w:p w14:paraId="4403B86C" w14:textId="3EC1CAC2" w:rsidR="00D445F9" w:rsidRPr="00360A40" w:rsidRDefault="00D445F9" w:rsidP="00360A40">
            <w:pPr>
              <w:widowControl/>
              <w:rPr>
                <w:sz w:val="22"/>
                <w:szCs w:val="22"/>
                <w:lang w:val="pl-PL" w:eastAsia="en-GB"/>
              </w:rPr>
            </w:pPr>
            <w:r w:rsidRPr="00360A40">
              <w:rPr>
                <w:sz w:val="22"/>
                <w:szCs w:val="22"/>
                <w:lang w:val="pl-PL" w:eastAsia="en-GB"/>
              </w:rPr>
              <w:t>44 (41</w:t>
            </w:r>
            <w:r w:rsidR="00984B48" w:rsidRPr="00360A40">
              <w:rPr>
                <w:sz w:val="22"/>
                <w:szCs w:val="22"/>
                <w:lang w:val="pl-PL" w:eastAsia="en-GB"/>
              </w:rPr>
              <w:t>,</w:t>
            </w:r>
            <w:r w:rsidRPr="00360A40">
              <w:rPr>
                <w:sz w:val="22"/>
                <w:szCs w:val="22"/>
                <w:lang w:val="pl-PL" w:eastAsia="en-GB"/>
              </w:rPr>
              <w:t>9)</w:t>
            </w:r>
          </w:p>
        </w:tc>
        <w:tc>
          <w:tcPr>
            <w:tcW w:w="1266" w:type="dxa"/>
          </w:tcPr>
          <w:p w14:paraId="5DC6F11B" w14:textId="15F08DE6" w:rsidR="00D445F9" w:rsidRPr="00360A40" w:rsidRDefault="00D445F9" w:rsidP="00360A40">
            <w:pPr>
              <w:widowControl/>
              <w:rPr>
                <w:sz w:val="22"/>
                <w:szCs w:val="22"/>
                <w:lang w:val="pl-PL" w:eastAsia="en-GB"/>
              </w:rPr>
            </w:pPr>
            <w:r w:rsidRPr="00360A40">
              <w:rPr>
                <w:sz w:val="22"/>
                <w:szCs w:val="22"/>
                <w:lang w:val="en-GB" w:eastAsia="en-GB"/>
              </w:rPr>
              <w:t>(32</w:t>
            </w:r>
            <w:r w:rsidR="00984B48" w:rsidRPr="00360A40">
              <w:rPr>
                <w:sz w:val="22"/>
                <w:szCs w:val="22"/>
                <w:lang w:val="en-GB" w:eastAsia="en-GB"/>
              </w:rPr>
              <w:t>,</w:t>
            </w:r>
            <w:r w:rsidRPr="00360A40">
              <w:rPr>
                <w:sz w:val="22"/>
                <w:szCs w:val="22"/>
                <w:lang w:val="en-GB" w:eastAsia="en-GB"/>
              </w:rPr>
              <w:t>3</w:t>
            </w:r>
            <w:r w:rsidR="00984B48" w:rsidRPr="00360A40">
              <w:rPr>
                <w:sz w:val="22"/>
                <w:szCs w:val="22"/>
                <w:lang w:val="en-GB" w:eastAsia="en-GB"/>
              </w:rPr>
              <w:t>;</w:t>
            </w:r>
            <w:r w:rsidRPr="00360A40">
              <w:rPr>
                <w:sz w:val="22"/>
                <w:szCs w:val="22"/>
                <w:lang w:val="en-GB" w:eastAsia="en-GB"/>
              </w:rPr>
              <w:t xml:space="preserve"> 51</w:t>
            </w:r>
            <w:r w:rsidR="00984B48" w:rsidRPr="00360A40">
              <w:rPr>
                <w:sz w:val="22"/>
                <w:szCs w:val="22"/>
                <w:lang w:val="en-GB" w:eastAsia="en-GB"/>
              </w:rPr>
              <w:t>,</w:t>
            </w:r>
            <w:r w:rsidRPr="00360A40">
              <w:rPr>
                <w:sz w:val="22"/>
                <w:szCs w:val="22"/>
                <w:lang w:val="en-GB" w:eastAsia="en-GB"/>
              </w:rPr>
              <w:t>9)</w:t>
            </w:r>
          </w:p>
        </w:tc>
        <w:tc>
          <w:tcPr>
            <w:tcW w:w="1056" w:type="dxa"/>
          </w:tcPr>
          <w:p w14:paraId="341C8BE6" w14:textId="77777777" w:rsidR="00D445F9" w:rsidRPr="00360A40" w:rsidRDefault="00D445F9" w:rsidP="00360A40">
            <w:pPr>
              <w:widowControl/>
              <w:rPr>
                <w:sz w:val="22"/>
                <w:szCs w:val="22"/>
                <w:lang w:val="pl-PL" w:eastAsia="en-GB"/>
              </w:rPr>
            </w:pPr>
          </w:p>
        </w:tc>
        <w:tc>
          <w:tcPr>
            <w:tcW w:w="1053" w:type="dxa"/>
          </w:tcPr>
          <w:p w14:paraId="462FD065" w14:textId="77777777" w:rsidR="00D445F9" w:rsidRPr="00360A40" w:rsidRDefault="00D445F9" w:rsidP="00360A40">
            <w:pPr>
              <w:widowControl/>
              <w:rPr>
                <w:sz w:val="22"/>
                <w:szCs w:val="22"/>
                <w:lang w:val="pl-PL" w:eastAsia="en-GB"/>
              </w:rPr>
            </w:pPr>
          </w:p>
        </w:tc>
      </w:tr>
      <w:tr w:rsidR="0085790D" w:rsidRPr="00360A40" w14:paraId="3CAB70B1" w14:textId="77777777" w:rsidTr="0085790D">
        <w:tc>
          <w:tcPr>
            <w:tcW w:w="4673" w:type="dxa"/>
          </w:tcPr>
          <w:p w14:paraId="3294BD2D" w14:textId="77185601" w:rsidR="00D445F9" w:rsidRPr="00360A40" w:rsidRDefault="0085790D" w:rsidP="00360A40">
            <w:pPr>
              <w:widowControl/>
              <w:ind w:left="595" w:hanging="709"/>
              <w:rPr>
                <w:sz w:val="22"/>
                <w:szCs w:val="22"/>
                <w:lang w:val="en-GB" w:eastAsia="en-GB"/>
              </w:rPr>
            </w:pPr>
            <w:r w:rsidRPr="00360A40">
              <w:rPr>
                <w:sz w:val="22"/>
                <w:szCs w:val="22"/>
                <w:lang w:val="en-GB" w:eastAsia="en-GB"/>
              </w:rPr>
              <w:t>4. lépés: Azok a kezelés abbahagyása után a 12. hónapig tartós választ elérő betegek, akiknél a vérlemezkeszám ≥ 30 000/µl maradt, nem voltak vérzéses események, illetve nem kellett semmilyen mentő kezelést sem igénybe venni</w:t>
            </w:r>
          </w:p>
        </w:tc>
        <w:tc>
          <w:tcPr>
            <w:tcW w:w="1134" w:type="dxa"/>
          </w:tcPr>
          <w:p w14:paraId="0F2A3593" w14:textId="759DBA14" w:rsidR="00D445F9" w:rsidRPr="00360A40" w:rsidRDefault="00D445F9" w:rsidP="00360A40">
            <w:pPr>
              <w:widowControl/>
              <w:rPr>
                <w:sz w:val="22"/>
                <w:szCs w:val="22"/>
                <w:lang w:val="pl-PL" w:eastAsia="en-GB"/>
              </w:rPr>
            </w:pPr>
            <w:r w:rsidRPr="00360A40">
              <w:rPr>
                <w:sz w:val="22"/>
                <w:szCs w:val="22"/>
                <w:lang w:val="pl-PL" w:eastAsia="en-GB"/>
              </w:rPr>
              <w:t>32 (30</w:t>
            </w:r>
            <w:r w:rsidR="00984B48" w:rsidRPr="00360A40">
              <w:rPr>
                <w:sz w:val="22"/>
                <w:szCs w:val="22"/>
                <w:lang w:val="pl-PL" w:eastAsia="en-GB"/>
              </w:rPr>
              <w:t>,</w:t>
            </w:r>
            <w:r w:rsidRPr="00360A40">
              <w:rPr>
                <w:sz w:val="22"/>
                <w:szCs w:val="22"/>
                <w:lang w:val="pl-PL" w:eastAsia="en-GB"/>
              </w:rPr>
              <w:t>5)</w:t>
            </w:r>
          </w:p>
        </w:tc>
        <w:tc>
          <w:tcPr>
            <w:tcW w:w="1266" w:type="dxa"/>
          </w:tcPr>
          <w:p w14:paraId="61561427" w14:textId="46EDD4E5" w:rsidR="00D445F9" w:rsidRPr="00360A40" w:rsidRDefault="00D445F9" w:rsidP="00360A40">
            <w:pPr>
              <w:widowControl/>
              <w:rPr>
                <w:sz w:val="22"/>
                <w:szCs w:val="22"/>
                <w:lang w:val="pl-PL" w:eastAsia="en-GB"/>
              </w:rPr>
            </w:pPr>
            <w:r w:rsidRPr="00360A40">
              <w:rPr>
                <w:sz w:val="22"/>
                <w:szCs w:val="22"/>
                <w:lang w:val="en-GB" w:eastAsia="en-GB"/>
              </w:rPr>
              <w:t>(21</w:t>
            </w:r>
            <w:r w:rsidR="00984B48" w:rsidRPr="00360A40">
              <w:rPr>
                <w:sz w:val="22"/>
                <w:szCs w:val="22"/>
                <w:lang w:val="en-GB" w:eastAsia="en-GB"/>
              </w:rPr>
              <w:t>,</w:t>
            </w:r>
            <w:r w:rsidRPr="00360A40">
              <w:rPr>
                <w:sz w:val="22"/>
                <w:szCs w:val="22"/>
                <w:lang w:val="en-GB" w:eastAsia="en-GB"/>
              </w:rPr>
              <w:t>9</w:t>
            </w:r>
            <w:r w:rsidR="00984B48" w:rsidRPr="00360A40">
              <w:rPr>
                <w:sz w:val="22"/>
                <w:szCs w:val="22"/>
                <w:lang w:val="en-GB" w:eastAsia="en-GB"/>
              </w:rPr>
              <w:t>;</w:t>
            </w:r>
            <w:r w:rsidRPr="00360A40">
              <w:rPr>
                <w:sz w:val="22"/>
                <w:szCs w:val="22"/>
                <w:lang w:val="en-GB" w:eastAsia="en-GB"/>
              </w:rPr>
              <w:t xml:space="preserve"> 40</w:t>
            </w:r>
            <w:r w:rsidR="00984B48" w:rsidRPr="00360A40">
              <w:rPr>
                <w:sz w:val="22"/>
                <w:szCs w:val="22"/>
                <w:lang w:val="en-GB" w:eastAsia="en-GB"/>
              </w:rPr>
              <w:t>,</w:t>
            </w:r>
            <w:r w:rsidRPr="00360A40">
              <w:rPr>
                <w:sz w:val="22"/>
                <w:szCs w:val="22"/>
                <w:lang w:val="en-GB" w:eastAsia="en-GB"/>
              </w:rPr>
              <w:t>2)</w:t>
            </w:r>
          </w:p>
        </w:tc>
        <w:tc>
          <w:tcPr>
            <w:tcW w:w="1056" w:type="dxa"/>
          </w:tcPr>
          <w:p w14:paraId="3E500E82" w14:textId="6095FD70" w:rsidR="00D445F9" w:rsidRPr="00360A40" w:rsidRDefault="00D445F9" w:rsidP="00360A40">
            <w:pPr>
              <w:widowControl/>
              <w:rPr>
                <w:sz w:val="22"/>
                <w:szCs w:val="22"/>
                <w:lang w:val="pl-PL" w:eastAsia="en-GB"/>
              </w:rPr>
            </w:pPr>
            <w:r w:rsidRPr="00360A40">
              <w:rPr>
                <w:sz w:val="22"/>
                <w:szCs w:val="22"/>
                <w:lang w:val="pl-PL" w:eastAsia="en-GB"/>
              </w:rPr>
              <w:t>&lt;0</w:t>
            </w:r>
            <w:r w:rsidR="00984B48" w:rsidRPr="00360A40">
              <w:rPr>
                <w:sz w:val="22"/>
                <w:szCs w:val="22"/>
                <w:lang w:val="pl-PL" w:eastAsia="en-GB"/>
              </w:rPr>
              <w:t>,</w:t>
            </w:r>
            <w:r w:rsidRPr="00360A40">
              <w:rPr>
                <w:sz w:val="22"/>
                <w:szCs w:val="22"/>
                <w:lang w:val="pl-PL" w:eastAsia="en-GB"/>
              </w:rPr>
              <w:t>0001*</w:t>
            </w:r>
          </w:p>
        </w:tc>
        <w:tc>
          <w:tcPr>
            <w:tcW w:w="1053" w:type="dxa"/>
          </w:tcPr>
          <w:p w14:paraId="2049721C" w14:textId="052B96EA" w:rsidR="00D445F9" w:rsidRPr="00360A40" w:rsidRDefault="005314EB" w:rsidP="00360A40">
            <w:pPr>
              <w:widowControl/>
              <w:rPr>
                <w:sz w:val="22"/>
                <w:szCs w:val="22"/>
                <w:lang w:val="pl-PL" w:eastAsia="en-GB"/>
              </w:rPr>
            </w:pPr>
            <w:r>
              <w:rPr>
                <w:sz w:val="22"/>
                <w:szCs w:val="20"/>
                <w:lang w:val="pl-PL" w:eastAsia="en-GB"/>
              </w:rPr>
              <w:t>Igen</w:t>
            </w:r>
          </w:p>
        </w:tc>
      </w:tr>
      <w:tr w:rsidR="0085790D" w:rsidRPr="00360A40" w14:paraId="7941B392" w14:textId="77777777" w:rsidTr="0085790D">
        <w:tc>
          <w:tcPr>
            <w:tcW w:w="4673" w:type="dxa"/>
          </w:tcPr>
          <w:p w14:paraId="180F0BF2" w14:textId="5D8145BF" w:rsidR="00D445F9" w:rsidRPr="00360A40" w:rsidRDefault="0085790D" w:rsidP="00360A40">
            <w:pPr>
              <w:widowControl/>
              <w:ind w:left="595" w:hanging="709"/>
              <w:rPr>
                <w:sz w:val="22"/>
                <w:szCs w:val="22"/>
                <w:lang w:val="en-GB" w:eastAsia="en-GB"/>
              </w:rPr>
            </w:pPr>
            <w:r w:rsidRPr="00360A40">
              <w:rPr>
                <w:sz w:val="22"/>
                <w:szCs w:val="22"/>
                <w:lang w:val="hu-HU" w:eastAsia="en-GB"/>
              </w:rPr>
              <w:t>5. lépés: Azok a kezelés abbahagyása után a 12. hónaptól a 24.</w:t>
            </w:r>
            <w:r w:rsidR="006D6352" w:rsidRPr="00360A40">
              <w:rPr>
                <w:sz w:val="22"/>
                <w:szCs w:val="22"/>
                <w:lang w:val="hu-HU" w:eastAsia="en-GB"/>
              </w:rPr>
              <w:t xml:space="preserve"> </w:t>
            </w:r>
            <w:r w:rsidRPr="00360A40">
              <w:rPr>
                <w:sz w:val="22"/>
                <w:szCs w:val="22"/>
                <w:lang w:val="hu-HU" w:eastAsia="en-GB"/>
              </w:rPr>
              <w:t>h</w:t>
            </w:r>
            <w:r w:rsidRPr="00360A40">
              <w:rPr>
                <w:rFonts w:hint="eastAsia"/>
                <w:sz w:val="22"/>
                <w:szCs w:val="22"/>
                <w:lang w:val="hu-HU" w:eastAsia="en-GB"/>
              </w:rPr>
              <w:t>ó</w:t>
            </w:r>
            <w:r w:rsidRPr="00360A40">
              <w:rPr>
                <w:sz w:val="22"/>
                <w:szCs w:val="22"/>
                <w:lang w:val="hu-HU" w:eastAsia="en-GB"/>
              </w:rPr>
              <w:t>napig tart</w:t>
            </w:r>
            <w:r w:rsidRPr="00360A40">
              <w:rPr>
                <w:rFonts w:hint="eastAsia"/>
                <w:sz w:val="22"/>
                <w:szCs w:val="22"/>
                <w:lang w:val="hu-HU" w:eastAsia="en-GB"/>
              </w:rPr>
              <w:t>ó</w:t>
            </w:r>
            <w:r w:rsidRPr="00360A40">
              <w:rPr>
                <w:sz w:val="22"/>
                <w:szCs w:val="22"/>
                <w:lang w:val="hu-HU" w:eastAsia="en-GB"/>
              </w:rPr>
              <w:t>s v</w:t>
            </w:r>
            <w:r w:rsidRPr="00360A40">
              <w:rPr>
                <w:rFonts w:hint="eastAsia"/>
                <w:sz w:val="22"/>
                <w:szCs w:val="22"/>
                <w:lang w:val="hu-HU" w:eastAsia="en-GB"/>
              </w:rPr>
              <w:t>á</w:t>
            </w:r>
            <w:r w:rsidRPr="00360A40">
              <w:rPr>
                <w:sz w:val="22"/>
                <w:szCs w:val="22"/>
                <w:lang w:val="hu-HU" w:eastAsia="en-GB"/>
              </w:rPr>
              <w:t>laszt el</w:t>
            </w:r>
            <w:r w:rsidRPr="00360A40">
              <w:rPr>
                <w:rFonts w:hint="eastAsia"/>
                <w:sz w:val="22"/>
                <w:szCs w:val="22"/>
                <w:lang w:val="hu-HU" w:eastAsia="en-GB"/>
              </w:rPr>
              <w:t>é</w:t>
            </w:r>
            <w:r w:rsidRPr="00360A40">
              <w:rPr>
                <w:sz w:val="22"/>
                <w:szCs w:val="22"/>
                <w:lang w:val="hu-HU" w:eastAsia="en-GB"/>
              </w:rPr>
              <w:t>rő betegek, akikn</w:t>
            </w:r>
            <w:r w:rsidRPr="00360A40">
              <w:rPr>
                <w:rFonts w:hint="eastAsia"/>
                <w:sz w:val="22"/>
                <w:szCs w:val="22"/>
                <w:lang w:val="hu-HU" w:eastAsia="en-GB"/>
              </w:rPr>
              <w:t>é</w:t>
            </w:r>
            <w:r w:rsidRPr="00360A40">
              <w:rPr>
                <w:sz w:val="22"/>
                <w:szCs w:val="22"/>
                <w:lang w:val="hu-HU" w:eastAsia="en-GB"/>
              </w:rPr>
              <w:t>l a v</w:t>
            </w:r>
            <w:r w:rsidRPr="00360A40">
              <w:rPr>
                <w:rFonts w:hint="eastAsia"/>
                <w:sz w:val="22"/>
                <w:szCs w:val="22"/>
                <w:lang w:val="hu-HU" w:eastAsia="en-GB"/>
              </w:rPr>
              <w:t>é</w:t>
            </w:r>
            <w:r w:rsidRPr="00360A40">
              <w:rPr>
                <w:sz w:val="22"/>
                <w:szCs w:val="22"/>
                <w:lang w:val="hu-HU" w:eastAsia="en-GB"/>
              </w:rPr>
              <w:t>rlemezkesz</w:t>
            </w:r>
            <w:r w:rsidRPr="00360A40">
              <w:rPr>
                <w:rFonts w:hint="eastAsia"/>
                <w:sz w:val="22"/>
                <w:szCs w:val="22"/>
                <w:lang w:val="hu-HU" w:eastAsia="en-GB"/>
              </w:rPr>
              <w:t>á</w:t>
            </w:r>
            <w:r w:rsidRPr="00360A40">
              <w:rPr>
                <w:sz w:val="22"/>
                <w:szCs w:val="22"/>
                <w:lang w:val="hu-HU" w:eastAsia="en-GB"/>
              </w:rPr>
              <w:t xml:space="preserve">m </w:t>
            </w:r>
            <w:r w:rsidRPr="00360A40">
              <w:rPr>
                <w:rFonts w:hint="eastAsia"/>
                <w:sz w:val="22"/>
                <w:szCs w:val="22"/>
                <w:lang w:val="hu-HU" w:eastAsia="en-GB"/>
              </w:rPr>
              <w:t>≥</w:t>
            </w:r>
            <w:r w:rsidRPr="00360A40">
              <w:rPr>
                <w:sz w:val="22"/>
                <w:szCs w:val="22"/>
                <w:lang w:val="hu-HU" w:eastAsia="en-GB"/>
              </w:rPr>
              <w:t> 30 000/</w:t>
            </w:r>
            <w:r w:rsidRPr="00360A40">
              <w:rPr>
                <w:sz w:val="22"/>
                <w:szCs w:val="22"/>
                <w:lang w:val="en-GB" w:eastAsia="en-GB"/>
              </w:rPr>
              <w:t>µl</w:t>
            </w:r>
            <w:r w:rsidRPr="00360A40">
              <w:rPr>
                <w:sz w:val="22"/>
                <w:szCs w:val="22"/>
                <w:lang w:val="hu-HU" w:eastAsia="en-GB"/>
              </w:rPr>
              <w:t xml:space="preserve"> maradt, nem voltak vérzéses események, illetve nem kellett semmilyen mentő kezel</w:t>
            </w:r>
            <w:r w:rsidRPr="00360A40">
              <w:rPr>
                <w:rFonts w:hint="eastAsia"/>
                <w:sz w:val="22"/>
                <w:szCs w:val="22"/>
                <w:lang w:val="hu-HU" w:eastAsia="en-GB"/>
              </w:rPr>
              <w:t>é</w:t>
            </w:r>
            <w:r w:rsidRPr="00360A40">
              <w:rPr>
                <w:sz w:val="22"/>
                <w:szCs w:val="22"/>
                <w:lang w:val="hu-HU" w:eastAsia="en-GB"/>
              </w:rPr>
              <w:t>st sem ig</w:t>
            </w:r>
            <w:r w:rsidRPr="00360A40">
              <w:rPr>
                <w:rFonts w:hint="eastAsia"/>
                <w:sz w:val="22"/>
                <w:szCs w:val="22"/>
                <w:lang w:val="hu-HU" w:eastAsia="en-GB"/>
              </w:rPr>
              <w:t>é</w:t>
            </w:r>
            <w:r w:rsidRPr="00360A40">
              <w:rPr>
                <w:sz w:val="22"/>
                <w:szCs w:val="22"/>
                <w:lang w:val="hu-HU" w:eastAsia="en-GB"/>
              </w:rPr>
              <w:t>nybe venni</w:t>
            </w:r>
          </w:p>
        </w:tc>
        <w:tc>
          <w:tcPr>
            <w:tcW w:w="1134" w:type="dxa"/>
          </w:tcPr>
          <w:p w14:paraId="144A0DFF" w14:textId="71EB01E5" w:rsidR="00D445F9" w:rsidRPr="00360A40" w:rsidRDefault="00D445F9" w:rsidP="00360A40">
            <w:pPr>
              <w:widowControl/>
              <w:rPr>
                <w:sz w:val="22"/>
                <w:szCs w:val="22"/>
                <w:lang w:val="pl-PL" w:eastAsia="en-GB"/>
              </w:rPr>
            </w:pPr>
            <w:r w:rsidRPr="00360A40">
              <w:rPr>
                <w:sz w:val="22"/>
                <w:szCs w:val="22"/>
                <w:lang w:val="pl-PL" w:eastAsia="en-GB"/>
              </w:rPr>
              <w:t>20 (19</w:t>
            </w:r>
            <w:r w:rsidR="00984B48" w:rsidRPr="00360A40">
              <w:rPr>
                <w:sz w:val="22"/>
                <w:szCs w:val="22"/>
                <w:lang w:val="pl-PL" w:eastAsia="en-GB"/>
              </w:rPr>
              <w:t>,</w:t>
            </w:r>
            <w:r w:rsidRPr="00360A40">
              <w:rPr>
                <w:sz w:val="22"/>
                <w:szCs w:val="22"/>
                <w:lang w:val="pl-PL" w:eastAsia="en-GB"/>
              </w:rPr>
              <w:t>0)</w:t>
            </w:r>
          </w:p>
        </w:tc>
        <w:tc>
          <w:tcPr>
            <w:tcW w:w="1266" w:type="dxa"/>
          </w:tcPr>
          <w:p w14:paraId="7807A342" w14:textId="7E6DC65F" w:rsidR="00D445F9" w:rsidRPr="00360A40" w:rsidRDefault="00D445F9" w:rsidP="00360A40">
            <w:pPr>
              <w:widowControl/>
              <w:rPr>
                <w:sz w:val="22"/>
                <w:szCs w:val="22"/>
                <w:lang w:val="pl-PL" w:eastAsia="en-GB"/>
              </w:rPr>
            </w:pPr>
            <w:r w:rsidRPr="00360A40">
              <w:rPr>
                <w:sz w:val="22"/>
                <w:szCs w:val="22"/>
                <w:lang w:val="pl-PL" w:eastAsia="en-GB"/>
              </w:rPr>
              <w:t>(12</w:t>
            </w:r>
            <w:r w:rsidR="00984B48" w:rsidRPr="00360A40">
              <w:rPr>
                <w:sz w:val="22"/>
                <w:szCs w:val="22"/>
                <w:lang w:val="pl-PL" w:eastAsia="en-GB"/>
              </w:rPr>
              <w:t>,</w:t>
            </w:r>
            <w:r w:rsidRPr="00360A40">
              <w:rPr>
                <w:sz w:val="22"/>
                <w:szCs w:val="22"/>
                <w:lang w:val="pl-PL" w:eastAsia="en-GB"/>
              </w:rPr>
              <w:t>0</w:t>
            </w:r>
            <w:r w:rsidR="00984B48" w:rsidRPr="00360A40">
              <w:rPr>
                <w:sz w:val="22"/>
                <w:szCs w:val="22"/>
                <w:lang w:val="pl-PL" w:eastAsia="en-GB"/>
              </w:rPr>
              <w:t>;</w:t>
            </w:r>
            <w:r w:rsidRPr="00360A40">
              <w:rPr>
                <w:sz w:val="22"/>
                <w:szCs w:val="22"/>
                <w:lang w:val="pl-PL" w:eastAsia="en-GB"/>
              </w:rPr>
              <w:t xml:space="preserve"> 27</w:t>
            </w:r>
            <w:r w:rsidR="00984B48" w:rsidRPr="00360A40">
              <w:rPr>
                <w:sz w:val="22"/>
                <w:szCs w:val="22"/>
                <w:lang w:val="pl-PL" w:eastAsia="en-GB"/>
              </w:rPr>
              <w:t>,</w:t>
            </w:r>
            <w:r w:rsidRPr="00360A40">
              <w:rPr>
                <w:sz w:val="22"/>
                <w:szCs w:val="22"/>
                <w:lang w:val="pl-PL" w:eastAsia="en-GB"/>
              </w:rPr>
              <w:t>9)</w:t>
            </w:r>
          </w:p>
        </w:tc>
        <w:tc>
          <w:tcPr>
            <w:tcW w:w="1056" w:type="dxa"/>
          </w:tcPr>
          <w:p w14:paraId="580F20F2" w14:textId="77777777" w:rsidR="00D445F9" w:rsidRPr="00360A40" w:rsidRDefault="00D445F9" w:rsidP="00360A40">
            <w:pPr>
              <w:widowControl/>
              <w:rPr>
                <w:sz w:val="22"/>
                <w:szCs w:val="22"/>
                <w:lang w:val="pl-PL" w:eastAsia="en-GB"/>
              </w:rPr>
            </w:pPr>
          </w:p>
        </w:tc>
        <w:tc>
          <w:tcPr>
            <w:tcW w:w="1053" w:type="dxa"/>
          </w:tcPr>
          <w:p w14:paraId="576FDB6C" w14:textId="77777777" w:rsidR="00D445F9" w:rsidRPr="00360A40" w:rsidRDefault="00D445F9" w:rsidP="00360A40">
            <w:pPr>
              <w:widowControl/>
              <w:rPr>
                <w:sz w:val="22"/>
                <w:szCs w:val="22"/>
                <w:lang w:val="pl-PL" w:eastAsia="en-GB"/>
              </w:rPr>
            </w:pPr>
          </w:p>
        </w:tc>
      </w:tr>
      <w:tr w:rsidR="00D445F9" w:rsidRPr="00360A40" w14:paraId="4893ED76" w14:textId="77777777" w:rsidTr="00650C6D">
        <w:trPr>
          <w:trHeight w:val="1049"/>
        </w:trPr>
        <w:tc>
          <w:tcPr>
            <w:tcW w:w="9182" w:type="dxa"/>
            <w:gridSpan w:val="5"/>
          </w:tcPr>
          <w:p w14:paraId="6892D31C" w14:textId="238B2A52" w:rsidR="00D445F9" w:rsidRPr="00360A40" w:rsidRDefault="00D445F9" w:rsidP="00360A40">
            <w:pPr>
              <w:widowControl/>
              <w:rPr>
                <w:sz w:val="22"/>
                <w:szCs w:val="22"/>
                <w:lang w:val="en-GB" w:eastAsia="en-GB"/>
              </w:rPr>
            </w:pPr>
            <w:r w:rsidRPr="00360A40">
              <w:rPr>
                <w:sz w:val="22"/>
                <w:szCs w:val="22"/>
                <w:lang w:val="en-GB" w:eastAsia="en-GB"/>
              </w:rPr>
              <w:t xml:space="preserve">N: </w:t>
            </w:r>
            <w:r w:rsidR="00984B48" w:rsidRPr="00360A40">
              <w:rPr>
                <w:sz w:val="22"/>
                <w:szCs w:val="22"/>
                <w:lang w:val="hu-HU" w:eastAsia="en-GB"/>
              </w:rPr>
              <w:t>A kezel</w:t>
            </w:r>
            <w:r w:rsidR="00984B48" w:rsidRPr="00360A40">
              <w:rPr>
                <w:rFonts w:hint="eastAsia"/>
                <w:sz w:val="22"/>
                <w:szCs w:val="22"/>
                <w:lang w:val="hu-HU" w:eastAsia="en-GB"/>
              </w:rPr>
              <w:t>é</w:t>
            </w:r>
            <w:r w:rsidR="00984B48" w:rsidRPr="00360A40">
              <w:rPr>
                <w:sz w:val="22"/>
                <w:szCs w:val="22"/>
                <w:lang w:val="hu-HU" w:eastAsia="en-GB"/>
              </w:rPr>
              <w:t>si csoportba tartoz</w:t>
            </w:r>
            <w:r w:rsidR="00984B48" w:rsidRPr="00360A40">
              <w:rPr>
                <w:rFonts w:hint="eastAsia"/>
                <w:sz w:val="22"/>
                <w:szCs w:val="22"/>
                <w:lang w:val="hu-HU" w:eastAsia="en-GB"/>
              </w:rPr>
              <w:t>ó</w:t>
            </w:r>
            <w:r w:rsidR="00984B48" w:rsidRPr="00360A40">
              <w:rPr>
                <w:sz w:val="22"/>
                <w:szCs w:val="22"/>
                <w:lang w:val="hu-HU" w:eastAsia="en-GB"/>
              </w:rPr>
              <w:t xml:space="preserve"> betegek </w:t>
            </w:r>
            <w:r w:rsidR="00984B48" w:rsidRPr="00360A40">
              <w:rPr>
                <w:rFonts w:hint="eastAsia"/>
                <w:sz w:val="22"/>
                <w:szCs w:val="22"/>
                <w:lang w:val="hu-HU" w:eastAsia="en-GB"/>
              </w:rPr>
              <w:t>ö</w:t>
            </w:r>
            <w:r w:rsidR="00984B48" w:rsidRPr="00360A40">
              <w:rPr>
                <w:sz w:val="22"/>
                <w:szCs w:val="22"/>
                <w:lang w:val="hu-HU" w:eastAsia="en-GB"/>
              </w:rPr>
              <w:t>sszes</w:t>
            </w:r>
            <w:r w:rsidR="00984B48" w:rsidRPr="00360A40">
              <w:rPr>
                <w:rFonts w:hint="eastAsia"/>
                <w:sz w:val="22"/>
                <w:szCs w:val="22"/>
                <w:lang w:val="hu-HU" w:eastAsia="en-GB"/>
              </w:rPr>
              <w:t>í</w:t>
            </w:r>
            <w:r w:rsidR="00984B48" w:rsidRPr="00360A40">
              <w:rPr>
                <w:sz w:val="22"/>
                <w:szCs w:val="22"/>
                <w:lang w:val="hu-HU" w:eastAsia="en-GB"/>
              </w:rPr>
              <w:t>tett sz</w:t>
            </w:r>
            <w:r w:rsidR="00984B48" w:rsidRPr="00360A40">
              <w:rPr>
                <w:rFonts w:hint="eastAsia"/>
                <w:sz w:val="22"/>
                <w:szCs w:val="22"/>
                <w:lang w:val="hu-HU" w:eastAsia="en-GB"/>
              </w:rPr>
              <w:t>á</w:t>
            </w:r>
            <w:r w:rsidR="00984B48" w:rsidRPr="00360A40">
              <w:rPr>
                <w:sz w:val="22"/>
                <w:szCs w:val="22"/>
                <w:lang w:val="hu-HU" w:eastAsia="en-GB"/>
              </w:rPr>
              <w:t>ma. A sz</w:t>
            </w:r>
            <w:r w:rsidR="00984B48" w:rsidRPr="00360A40">
              <w:rPr>
                <w:rFonts w:hint="eastAsia"/>
                <w:sz w:val="22"/>
                <w:szCs w:val="22"/>
                <w:lang w:val="hu-HU" w:eastAsia="en-GB"/>
              </w:rPr>
              <w:t>á</w:t>
            </w:r>
            <w:r w:rsidR="00984B48" w:rsidRPr="00360A40">
              <w:rPr>
                <w:sz w:val="22"/>
                <w:szCs w:val="22"/>
                <w:lang w:val="hu-HU" w:eastAsia="en-GB"/>
              </w:rPr>
              <w:t>zal</w:t>
            </w:r>
            <w:r w:rsidR="00984B48" w:rsidRPr="00360A40">
              <w:rPr>
                <w:rFonts w:hint="eastAsia"/>
                <w:sz w:val="22"/>
                <w:szCs w:val="22"/>
                <w:lang w:val="hu-HU" w:eastAsia="en-GB"/>
              </w:rPr>
              <w:t>é</w:t>
            </w:r>
            <w:r w:rsidR="00984B48" w:rsidRPr="00360A40">
              <w:rPr>
                <w:sz w:val="22"/>
                <w:szCs w:val="22"/>
                <w:lang w:val="hu-HU" w:eastAsia="en-GB"/>
              </w:rPr>
              <w:t>kos ar</w:t>
            </w:r>
            <w:r w:rsidR="00984B48" w:rsidRPr="00360A40">
              <w:rPr>
                <w:rFonts w:hint="eastAsia"/>
                <w:sz w:val="22"/>
                <w:szCs w:val="22"/>
                <w:lang w:val="hu-HU" w:eastAsia="en-GB"/>
              </w:rPr>
              <w:t>á</w:t>
            </w:r>
            <w:r w:rsidR="00984B48" w:rsidRPr="00360A40">
              <w:rPr>
                <w:sz w:val="22"/>
                <w:szCs w:val="22"/>
                <w:lang w:val="hu-HU" w:eastAsia="en-GB"/>
              </w:rPr>
              <w:t>ny (%) sz</w:t>
            </w:r>
            <w:r w:rsidR="00984B48" w:rsidRPr="00360A40">
              <w:rPr>
                <w:rFonts w:hint="eastAsia"/>
                <w:sz w:val="22"/>
                <w:szCs w:val="22"/>
                <w:lang w:val="hu-HU" w:eastAsia="en-GB"/>
              </w:rPr>
              <w:t>á</w:t>
            </w:r>
            <w:r w:rsidR="00984B48" w:rsidRPr="00360A40">
              <w:rPr>
                <w:sz w:val="22"/>
                <w:szCs w:val="22"/>
                <w:lang w:val="hu-HU" w:eastAsia="en-GB"/>
              </w:rPr>
              <w:t>m</w:t>
            </w:r>
            <w:r w:rsidR="00984B48" w:rsidRPr="00360A40">
              <w:rPr>
                <w:rFonts w:hint="eastAsia"/>
                <w:sz w:val="22"/>
                <w:szCs w:val="22"/>
                <w:lang w:val="hu-HU" w:eastAsia="en-GB"/>
              </w:rPr>
              <w:t>í</w:t>
            </w:r>
            <w:r w:rsidR="00984B48" w:rsidRPr="00360A40">
              <w:rPr>
                <w:sz w:val="22"/>
                <w:szCs w:val="22"/>
                <w:lang w:val="hu-HU" w:eastAsia="en-GB"/>
              </w:rPr>
              <w:t>t</w:t>
            </w:r>
            <w:r w:rsidR="00984B48" w:rsidRPr="00360A40">
              <w:rPr>
                <w:rFonts w:hint="eastAsia"/>
                <w:sz w:val="22"/>
                <w:szCs w:val="22"/>
                <w:lang w:val="hu-HU" w:eastAsia="en-GB"/>
              </w:rPr>
              <w:t>á</w:t>
            </w:r>
            <w:r w:rsidR="00984B48" w:rsidRPr="00360A40">
              <w:rPr>
                <w:sz w:val="22"/>
                <w:szCs w:val="22"/>
                <w:lang w:val="hu-HU" w:eastAsia="en-GB"/>
              </w:rPr>
              <w:t>sakor ez szerepel a nevezőben.</w:t>
            </w:r>
          </w:p>
          <w:p w14:paraId="63B9C8BD" w14:textId="5B19D2A9" w:rsidR="00D445F9" w:rsidRPr="00360A40" w:rsidRDefault="00D445F9" w:rsidP="00360A40">
            <w:pPr>
              <w:widowControl/>
              <w:rPr>
                <w:sz w:val="22"/>
                <w:szCs w:val="22"/>
                <w:lang w:val="en-GB" w:eastAsia="en-GB"/>
              </w:rPr>
            </w:pPr>
            <w:r w:rsidRPr="00360A40">
              <w:rPr>
                <w:sz w:val="22"/>
                <w:szCs w:val="22"/>
                <w:lang w:val="en-GB" w:eastAsia="en-GB"/>
              </w:rPr>
              <w:t xml:space="preserve">n: </w:t>
            </w:r>
            <w:r w:rsidR="00984B48" w:rsidRPr="00360A40">
              <w:rPr>
                <w:sz w:val="22"/>
                <w:szCs w:val="22"/>
                <w:lang w:val="hu-HU" w:eastAsia="en-GB"/>
              </w:rPr>
              <w:t>Az adott kategóriába tartozó betegek száma</w:t>
            </w:r>
            <w:r w:rsidRPr="00360A40">
              <w:rPr>
                <w:sz w:val="22"/>
                <w:szCs w:val="22"/>
                <w:lang w:val="en-GB" w:eastAsia="en-GB"/>
              </w:rPr>
              <w:t>.</w:t>
            </w:r>
          </w:p>
          <w:p w14:paraId="6956E641" w14:textId="3CE83D77" w:rsidR="00D445F9" w:rsidRPr="00360A40" w:rsidRDefault="00984B48" w:rsidP="00360A40">
            <w:pPr>
              <w:widowControl/>
              <w:rPr>
                <w:sz w:val="22"/>
                <w:szCs w:val="22"/>
                <w:lang w:val="en-GB" w:eastAsia="en-GB"/>
              </w:rPr>
            </w:pPr>
            <w:r w:rsidRPr="00360A40">
              <w:rPr>
                <w:sz w:val="22"/>
                <w:szCs w:val="22"/>
                <w:lang w:val="hu-HU" w:eastAsia="en-GB"/>
              </w:rPr>
              <w:t>A gyakoriságeloszláshoz tartozó 95%-os CI számítása a Clopper</w:t>
            </w:r>
            <w:r w:rsidRPr="00360A40">
              <w:rPr>
                <w:rFonts w:hint="eastAsia"/>
                <w:sz w:val="22"/>
                <w:szCs w:val="22"/>
                <w:lang w:val="hu-HU" w:eastAsia="en-GB"/>
              </w:rPr>
              <w:t>–</w:t>
            </w:r>
            <w:r w:rsidRPr="00360A40">
              <w:rPr>
                <w:sz w:val="22"/>
                <w:szCs w:val="22"/>
                <w:lang w:val="hu-HU" w:eastAsia="en-GB"/>
              </w:rPr>
              <w:t>Pearson-féle egzakt módszerrel történt. Clopper</w:t>
            </w:r>
            <w:r w:rsidRPr="00360A40">
              <w:rPr>
                <w:rFonts w:hint="eastAsia"/>
                <w:sz w:val="22"/>
                <w:szCs w:val="22"/>
                <w:lang w:val="hu-HU" w:eastAsia="en-GB"/>
              </w:rPr>
              <w:t>–</w:t>
            </w:r>
            <w:r w:rsidRPr="00360A40">
              <w:rPr>
                <w:sz w:val="22"/>
                <w:szCs w:val="22"/>
                <w:lang w:val="hu-HU" w:eastAsia="en-GB"/>
              </w:rPr>
              <w:t>Pearson teszttel állapították meg, hogy a terápiás választ adók aránya meghaladja-e a 15%-ot. A CI-t és a p-értékeket jelentették.</w:t>
            </w:r>
          </w:p>
          <w:p w14:paraId="45CC4586" w14:textId="230E9E2B" w:rsidR="00D445F9" w:rsidRPr="00360A40" w:rsidRDefault="00D445F9" w:rsidP="00360A40">
            <w:pPr>
              <w:widowControl/>
              <w:rPr>
                <w:sz w:val="22"/>
                <w:szCs w:val="22"/>
                <w:lang w:val="en-GB" w:eastAsia="en-GB"/>
              </w:rPr>
            </w:pPr>
            <w:r w:rsidRPr="00360A40">
              <w:rPr>
                <w:sz w:val="22"/>
                <w:szCs w:val="22"/>
                <w:lang w:val="en-GB" w:eastAsia="en-GB"/>
              </w:rPr>
              <w:t xml:space="preserve">* </w:t>
            </w:r>
            <w:r w:rsidR="00984B48" w:rsidRPr="00360A40">
              <w:rPr>
                <w:sz w:val="22"/>
                <w:szCs w:val="22"/>
                <w:lang w:val="hu-HU" w:eastAsia="en-GB"/>
              </w:rPr>
              <w:t>(Egy oldalú) statisztikai szignifikanciát jelez 0,05-ös szignifikanciaszinten</w:t>
            </w:r>
            <w:r w:rsidRPr="00360A40">
              <w:rPr>
                <w:sz w:val="22"/>
                <w:szCs w:val="22"/>
                <w:lang w:val="en-GB" w:eastAsia="en-GB"/>
              </w:rPr>
              <w:t>.</w:t>
            </w:r>
          </w:p>
        </w:tc>
      </w:tr>
    </w:tbl>
    <w:p w14:paraId="7B3B438E" w14:textId="77777777" w:rsidR="00D445F9" w:rsidRPr="00360A40" w:rsidRDefault="00D445F9" w:rsidP="00360A40">
      <w:pPr>
        <w:pStyle w:val="Szvegtrzs"/>
        <w:kinsoku w:val="0"/>
        <w:overflowPunct w:val="0"/>
        <w:ind w:left="0"/>
        <w:rPr>
          <w:lang w:val="hu-HU"/>
        </w:rPr>
      </w:pPr>
    </w:p>
    <w:p w14:paraId="2967AC22" w14:textId="145C9175" w:rsidR="001736F7" w:rsidRPr="00360A40" w:rsidRDefault="00984B48" w:rsidP="00360A40">
      <w:pPr>
        <w:pStyle w:val="Szvegtrzs"/>
        <w:kinsoku w:val="0"/>
        <w:overflowPunct w:val="0"/>
        <w:ind w:left="0"/>
        <w:rPr>
          <w:lang w:val="hu-HU"/>
        </w:rPr>
      </w:pPr>
      <w:r w:rsidRPr="00360A40">
        <w:rPr>
          <w:lang w:val="hu-HU"/>
        </w:rPr>
        <w:t>A kezel</w:t>
      </w:r>
      <w:r w:rsidRPr="00360A40">
        <w:rPr>
          <w:rFonts w:hint="eastAsia"/>
          <w:lang w:val="hu-HU"/>
        </w:rPr>
        <w:t>é</w:t>
      </w:r>
      <w:r w:rsidRPr="00360A40">
        <w:rPr>
          <w:lang w:val="hu-HU"/>
        </w:rPr>
        <w:t>s sor</w:t>
      </w:r>
      <w:r w:rsidRPr="00360A40">
        <w:rPr>
          <w:rFonts w:hint="eastAsia"/>
          <w:lang w:val="hu-HU"/>
        </w:rPr>
        <w:t>á</w:t>
      </w:r>
      <w:r w:rsidRPr="00360A40">
        <w:rPr>
          <w:lang w:val="hu-HU"/>
        </w:rPr>
        <w:t>n adott ter</w:t>
      </w:r>
      <w:r w:rsidRPr="00360A40">
        <w:rPr>
          <w:rFonts w:hint="eastAsia"/>
          <w:lang w:val="hu-HU"/>
        </w:rPr>
        <w:t>á</w:t>
      </w:r>
      <w:r w:rsidRPr="00360A40">
        <w:rPr>
          <w:lang w:val="hu-HU"/>
        </w:rPr>
        <w:t>pi</w:t>
      </w:r>
      <w:r w:rsidRPr="00360A40">
        <w:rPr>
          <w:rFonts w:hint="eastAsia"/>
          <w:lang w:val="hu-HU"/>
        </w:rPr>
        <w:t>á</w:t>
      </w:r>
      <w:r w:rsidRPr="00360A40">
        <w:rPr>
          <w:lang w:val="hu-HU"/>
        </w:rPr>
        <w:t>s v</w:t>
      </w:r>
      <w:r w:rsidRPr="00360A40">
        <w:rPr>
          <w:rFonts w:hint="eastAsia"/>
          <w:lang w:val="hu-HU"/>
        </w:rPr>
        <w:t>á</w:t>
      </w:r>
      <w:r w:rsidRPr="00360A40">
        <w:rPr>
          <w:lang w:val="hu-HU"/>
        </w:rPr>
        <w:t>lasz elemz</w:t>
      </w:r>
      <w:r w:rsidRPr="00360A40">
        <w:rPr>
          <w:rFonts w:hint="eastAsia"/>
          <w:lang w:val="hu-HU"/>
        </w:rPr>
        <w:t>é</w:t>
      </w:r>
      <w:r w:rsidRPr="00360A40">
        <w:rPr>
          <w:lang w:val="hu-HU"/>
        </w:rPr>
        <w:t>se az ITP diagn</w:t>
      </w:r>
      <w:r w:rsidRPr="00360A40">
        <w:rPr>
          <w:rFonts w:hint="eastAsia"/>
          <w:lang w:val="hu-HU"/>
        </w:rPr>
        <w:t>ó</w:t>
      </w:r>
      <w:r w:rsidRPr="00360A40">
        <w:rPr>
          <w:lang w:val="hu-HU"/>
        </w:rPr>
        <w:t xml:space="preserve">zisa </w:t>
      </w:r>
      <w:r w:rsidRPr="00360A40">
        <w:rPr>
          <w:rFonts w:hint="eastAsia"/>
          <w:lang w:val="hu-HU"/>
        </w:rPr>
        <w:t>ó</w:t>
      </w:r>
      <w:r w:rsidRPr="00360A40">
        <w:rPr>
          <w:lang w:val="hu-HU"/>
        </w:rPr>
        <w:t>ta eltelt id</w:t>
      </w:r>
      <w:r w:rsidRPr="00360A40">
        <w:rPr>
          <w:rFonts w:hint="eastAsia"/>
          <w:lang w:val="hu-HU"/>
        </w:rPr>
        <w:t>ő</w:t>
      </w:r>
      <w:r w:rsidRPr="00360A40">
        <w:rPr>
          <w:lang w:val="hu-HU"/>
        </w:rPr>
        <w:t xml:space="preserve"> f</w:t>
      </w:r>
      <w:r w:rsidRPr="00360A40">
        <w:rPr>
          <w:rFonts w:hint="eastAsia"/>
          <w:lang w:val="hu-HU"/>
        </w:rPr>
        <w:t>ü</w:t>
      </w:r>
      <w:r w:rsidRPr="00360A40">
        <w:rPr>
          <w:lang w:val="hu-HU"/>
        </w:rPr>
        <w:t>ggv</w:t>
      </w:r>
      <w:r w:rsidRPr="00360A40">
        <w:rPr>
          <w:rFonts w:hint="eastAsia"/>
          <w:lang w:val="hu-HU"/>
        </w:rPr>
        <w:t>é</w:t>
      </w:r>
      <w:r w:rsidRPr="00360A40">
        <w:rPr>
          <w:lang w:val="hu-HU"/>
        </w:rPr>
        <w:t>ny</w:t>
      </w:r>
      <w:r w:rsidRPr="00360A40">
        <w:rPr>
          <w:rFonts w:hint="eastAsia"/>
          <w:lang w:val="hu-HU"/>
        </w:rPr>
        <w:t>é</w:t>
      </w:r>
      <w:r w:rsidRPr="00360A40">
        <w:rPr>
          <w:lang w:val="hu-HU"/>
        </w:rPr>
        <w:t>ben</w:t>
      </w:r>
    </w:p>
    <w:p w14:paraId="2DFDC4B7" w14:textId="02F123C8" w:rsidR="002D66F3" w:rsidRPr="00360A40" w:rsidRDefault="002D66F3" w:rsidP="00360A40">
      <w:pPr>
        <w:pStyle w:val="Szvegtrzs"/>
        <w:kinsoku w:val="0"/>
        <w:overflowPunct w:val="0"/>
        <w:ind w:left="0"/>
        <w:rPr>
          <w:lang w:val="hu-HU"/>
        </w:rPr>
      </w:pPr>
      <w:r w:rsidRPr="00360A40">
        <w:rPr>
          <w:lang w:val="hu-HU"/>
        </w:rPr>
        <w:t>Az ITP diagnózisa óta eltelt időtartam szerinti ad hoc elemzést végeztek az n</w:t>
      </w:r>
      <w:r w:rsidR="00580238" w:rsidRPr="00360A40">
        <w:rPr>
          <w:lang w:val="hu-HU"/>
        </w:rPr>
        <w:t> </w:t>
      </w:r>
      <w:r w:rsidRPr="00360A40">
        <w:rPr>
          <w:lang w:val="hu-HU"/>
        </w:rPr>
        <w:t>=</w:t>
      </w:r>
      <w:r w:rsidR="00580238" w:rsidRPr="00360A40">
        <w:rPr>
          <w:lang w:val="hu-HU"/>
        </w:rPr>
        <w:t> </w:t>
      </w:r>
      <w:r w:rsidRPr="00360A40">
        <w:rPr>
          <w:lang w:val="hu-HU"/>
        </w:rPr>
        <w:t xml:space="preserve">105 </w:t>
      </w:r>
      <w:r w:rsidR="004A32AB">
        <w:rPr>
          <w:lang w:val="hu-HU"/>
        </w:rPr>
        <w:t>betegnél</w:t>
      </w:r>
      <w:r w:rsidRPr="00360A40">
        <w:rPr>
          <w:lang w:val="hu-HU"/>
        </w:rPr>
        <w:t>, melynek célja az eltrombopagra adott korai válasz felmérése volt az ITP fennállásának négy különböző kategóriájában (újonnan diagnosztizált, &lt;3</w:t>
      </w:r>
      <w:r w:rsidR="00CF46F8" w:rsidRPr="00360A40">
        <w:rPr>
          <w:lang w:val="hu-HU"/>
        </w:rPr>
        <w:t> </w:t>
      </w:r>
      <w:r w:rsidRPr="00360A40">
        <w:rPr>
          <w:lang w:val="hu-HU"/>
        </w:rPr>
        <w:t>hónapja fennálló ITP, 3–&lt;</w:t>
      </w:r>
      <w:r w:rsidR="00580238" w:rsidRPr="00360A40">
        <w:rPr>
          <w:lang w:val="hu-HU"/>
        </w:rPr>
        <w:t> </w:t>
      </w:r>
      <w:r w:rsidRPr="00360A40">
        <w:rPr>
          <w:lang w:val="hu-HU"/>
        </w:rPr>
        <w:t>6</w:t>
      </w:r>
      <w:r w:rsidR="00580238" w:rsidRPr="00360A40">
        <w:rPr>
          <w:lang w:val="hu-HU"/>
        </w:rPr>
        <w:t> </w:t>
      </w:r>
      <w:r w:rsidRPr="00360A40">
        <w:rPr>
          <w:lang w:val="hu-HU"/>
        </w:rPr>
        <w:t>hónapja perzisztáló ITP,</w:t>
      </w:r>
      <w:r w:rsidR="00580238" w:rsidRPr="00360A40">
        <w:rPr>
          <w:lang w:val="hu-HU"/>
        </w:rPr>
        <w:t xml:space="preserve"> </w:t>
      </w:r>
      <w:r w:rsidRPr="00360A40">
        <w:rPr>
          <w:lang w:val="hu-HU"/>
        </w:rPr>
        <w:t>6</w:t>
      </w:r>
      <w:r w:rsidR="00580238" w:rsidRPr="00360A40">
        <w:rPr>
          <w:lang w:val="hu-HU"/>
        </w:rPr>
        <w:noBreakHyphen/>
      </w:r>
      <w:r w:rsidRPr="00360A40">
        <w:rPr>
          <w:lang w:val="hu-HU"/>
        </w:rPr>
        <w:t>12</w:t>
      </w:r>
      <w:r w:rsidR="00580238" w:rsidRPr="00360A40">
        <w:rPr>
          <w:lang w:val="hu-HU"/>
        </w:rPr>
        <w:t> </w:t>
      </w:r>
      <w:r w:rsidRPr="00360A40">
        <w:rPr>
          <w:lang w:val="hu-HU"/>
        </w:rPr>
        <w:t>hónapja perzisztáló ITP, valamint krónikus, ≤</w:t>
      </w:r>
      <w:r w:rsidR="00580238" w:rsidRPr="00360A40">
        <w:rPr>
          <w:lang w:val="hu-HU"/>
        </w:rPr>
        <w:t> </w:t>
      </w:r>
      <w:r w:rsidRPr="00360A40">
        <w:rPr>
          <w:lang w:val="hu-HU"/>
        </w:rPr>
        <w:t>12 hónapja fennálló ITP). A betegek 49%-ánál (n</w:t>
      </w:r>
      <w:r w:rsidR="00580238" w:rsidRPr="00360A40">
        <w:rPr>
          <w:lang w:val="hu-HU"/>
        </w:rPr>
        <w:t> </w:t>
      </w:r>
      <w:r w:rsidRPr="00360A40">
        <w:rPr>
          <w:lang w:val="hu-HU"/>
        </w:rPr>
        <w:t>=</w:t>
      </w:r>
      <w:r w:rsidR="00580238" w:rsidRPr="00360A40">
        <w:rPr>
          <w:lang w:val="hu-HU"/>
        </w:rPr>
        <w:t> </w:t>
      </w:r>
      <w:r w:rsidRPr="00360A40">
        <w:rPr>
          <w:lang w:val="hu-HU"/>
        </w:rPr>
        <w:t>51) &lt;</w:t>
      </w:r>
      <w:r w:rsidR="00580238" w:rsidRPr="00360A40">
        <w:rPr>
          <w:lang w:val="hu-HU"/>
        </w:rPr>
        <w:t> </w:t>
      </w:r>
      <w:r w:rsidRPr="00360A40">
        <w:rPr>
          <w:lang w:val="hu-HU"/>
        </w:rPr>
        <w:t>3 hónapja, 20%-uknál (n</w:t>
      </w:r>
      <w:r w:rsidR="00CF46F8" w:rsidRPr="00360A40">
        <w:rPr>
          <w:lang w:val="hu-HU"/>
        </w:rPr>
        <w:t> </w:t>
      </w:r>
      <w:r w:rsidRPr="00360A40">
        <w:rPr>
          <w:lang w:val="hu-HU"/>
        </w:rPr>
        <w:t>=</w:t>
      </w:r>
      <w:r w:rsidR="00CF46F8" w:rsidRPr="00360A40">
        <w:rPr>
          <w:lang w:val="hu-HU"/>
        </w:rPr>
        <w:t> </w:t>
      </w:r>
      <w:r w:rsidRPr="00360A40">
        <w:rPr>
          <w:lang w:val="hu-HU"/>
        </w:rPr>
        <w:t>21) 3–&lt;6</w:t>
      </w:r>
      <w:r w:rsidR="00984B48" w:rsidRPr="00360A40">
        <w:rPr>
          <w:lang w:val="hu-HU"/>
        </w:rPr>
        <w:t> </w:t>
      </w:r>
      <w:r w:rsidRPr="00360A40">
        <w:rPr>
          <w:lang w:val="hu-HU"/>
        </w:rPr>
        <w:t>hónapja, 17%-uknál (n</w:t>
      </w:r>
      <w:r w:rsidR="00CF46F8" w:rsidRPr="00360A40">
        <w:rPr>
          <w:lang w:val="hu-HU"/>
        </w:rPr>
        <w:t> </w:t>
      </w:r>
      <w:r w:rsidRPr="00360A40">
        <w:rPr>
          <w:lang w:val="hu-HU"/>
        </w:rPr>
        <w:t>=</w:t>
      </w:r>
      <w:r w:rsidR="00CF46F8" w:rsidRPr="00360A40">
        <w:rPr>
          <w:lang w:val="hu-HU"/>
        </w:rPr>
        <w:t> </w:t>
      </w:r>
      <w:r w:rsidRPr="00360A40">
        <w:rPr>
          <w:lang w:val="hu-HU"/>
        </w:rPr>
        <w:t>18) 6–≤</w:t>
      </w:r>
      <w:r w:rsidR="00CF46F8" w:rsidRPr="00360A40">
        <w:rPr>
          <w:lang w:val="hu-HU"/>
        </w:rPr>
        <w:t> </w:t>
      </w:r>
      <w:r w:rsidRPr="00360A40">
        <w:rPr>
          <w:lang w:val="hu-HU"/>
        </w:rPr>
        <w:t>12</w:t>
      </w:r>
      <w:r w:rsidR="00CF46F8" w:rsidRPr="00360A40">
        <w:rPr>
          <w:lang w:val="hu-HU"/>
        </w:rPr>
        <w:t> </w:t>
      </w:r>
      <w:r w:rsidRPr="00360A40">
        <w:rPr>
          <w:lang w:val="hu-HU"/>
        </w:rPr>
        <w:t>hónapja, 14</w:t>
      </w:r>
      <w:r w:rsidR="00CF46F8" w:rsidRPr="00360A40">
        <w:rPr>
          <w:lang w:val="hu-HU"/>
        </w:rPr>
        <w:t>%</w:t>
      </w:r>
      <w:r w:rsidR="00CF46F8" w:rsidRPr="00360A40">
        <w:rPr>
          <w:lang w:val="hu-HU"/>
        </w:rPr>
        <w:noBreakHyphen/>
      </w:r>
      <w:r w:rsidRPr="00360A40">
        <w:rPr>
          <w:lang w:val="hu-HU"/>
        </w:rPr>
        <w:t>uknál (n</w:t>
      </w:r>
      <w:r w:rsidR="00CF46F8" w:rsidRPr="00360A40">
        <w:rPr>
          <w:lang w:val="hu-HU"/>
        </w:rPr>
        <w:t> </w:t>
      </w:r>
      <w:r w:rsidRPr="00360A40">
        <w:rPr>
          <w:lang w:val="hu-HU"/>
        </w:rPr>
        <w:t>=</w:t>
      </w:r>
      <w:r w:rsidR="00CF46F8" w:rsidRPr="00360A40">
        <w:rPr>
          <w:lang w:val="hu-HU"/>
        </w:rPr>
        <w:t> </w:t>
      </w:r>
      <w:r w:rsidRPr="00360A40">
        <w:rPr>
          <w:lang w:val="hu-HU"/>
        </w:rPr>
        <w:t>15) pedig &gt;</w:t>
      </w:r>
      <w:r w:rsidR="00CF46F8" w:rsidRPr="00360A40">
        <w:rPr>
          <w:lang w:val="hu-HU"/>
        </w:rPr>
        <w:t> </w:t>
      </w:r>
      <w:r w:rsidRPr="00360A40">
        <w:rPr>
          <w:lang w:val="hu-HU"/>
        </w:rPr>
        <w:t>1</w:t>
      </w:r>
      <w:r w:rsidR="00CF7645" w:rsidRPr="00360A40">
        <w:rPr>
          <w:lang w:val="hu-HU"/>
        </w:rPr>
        <w:t>2</w:t>
      </w:r>
      <w:r w:rsidR="00CF46F8" w:rsidRPr="00360A40">
        <w:rPr>
          <w:lang w:val="hu-HU"/>
        </w:rPr>
        <w:t> </w:t>
      </w:r>
      <w:r w:rsidRPr="00360A40">
        <w:rPr>
          <w:lang w:val="hu-HU"/>
        </w:rPr>
        <w:t>hónapja állapítottak meg ITP-t.</w:t>
      </w:r>
    </w:p>
    <w:p w14:paraId="2D87C1F1" w14:textId="77777777" w:rsidR="00241A9D" w:rsidRPr="00360A40" w:rsidRDefault="00241A9D" w:rsidP="00360A40">
      <w:pPr>
        <w:pStyle w:val="Szvegtrzs"/>
        <w:kinsoku w:val="0"/>
        <w:overflowPunct w:val="0"/>
        <w:ind w:left="0"/>
        <w:rPr>
          <w:lang w:val="hu-HU"/>
        </w:rPr>
      </w:pPr>
    </w:p>
    <w:p w14:paraId="212EDA36" w14:textId="4734BA62" w:rsidR="002D66F3" w:rsidRPr="00360A40" w:rsidRDefault="002D66F3" w:rsidP="00360A40">
      <w:pPr>
        <w:pStyle w:val="Szvegtrzs"/>
        <w:kinsoku w:val="0"/>
        <w:overflowPunct w:val="0"/>
        <w:ind w:left="0"/>
        <w:rPr>
          <w:lang w:val="hu-HU"/>
        </w:rPr>
      </w:pPr>
      <w:r w:rsidRPr="00360A40">
        <w:rPr>
          <w:lang w:val="hu-HU"/>
        </w:rPr>
        <w:t>Az adatok lezárásáig (2021. okt. 22.) a betegek eltrombopag-expozíciójának medián (Q1-Q3) időtartama 6,2</w:t>
      </w:r>
      <w:r w:rsidR="00CF46F8" w:rsidRPr="00360A40">
        <w:rPr>
          <w:lang w:val="hu-HU"/>
        </w:rPr>
        <w:t> </w:t>
      </w:r>
      <w:r w:rsidRPr="00360A40">
        <w:rPr>
          <w:lang w:val="hu-HU"/>
        </w:rPr>
        <w:t>hónap (2,3–12,0</w:t>
      </w:r>
      <w:r w:rsidR="00CF46F8" w:rsidRPr="00360A40">
        <w:rPr>
          <w:lang w:val="hu-HU"/>
        </w:rPr>
        <w:t> </w:t>
      </w:r>
      <w:r w:rsidRPr="00360A40">
        <w:rPr>
          <w:lang w:val="hu-HU"/>
        </w:rPr>
        <w:t>hónap) volt. A medián (Q1-Q3) vérlemezkeszám kiindulási értéke 16</w:t>
      </w:r>
      <w:r w:rsidR="00CF46F8" w:rsidRPr="00360A40">
        <w:rPr>
          <w:lang w:val="hu-HU"/>
        </w:rPr>
        <w:t> </w:t>
      </w:r>
      <w:r w:rsidRPr="00360A40">
        <w:rPr>
          <w:lang w:val="hu-HU"/>
        </w:rPr>
        <w:t>000/µl (7800–28</w:t>
      </w:r>
      <w:r w:rsidR="00CF46F8" w:rsidRPr="00360A40">
        <w:rPr>
          <w:lang w:val="hu-HU"/>
        </w:rPr>
        <w:t> </w:t>
      </w:r>
      <w:r w:rsidRPr="00360A40">
        <w:rPr>
          <w:lang w:val="hu-HU"/>
        </w:rPr>
        <w:t>000/µl) volt.</w:t>
      </w:r>
    </w:p>
    <w:p w14:paraId="1D760317" w14:textId="77777777" w:rsidR="002D66F3" w:rsidRPr="00360A40" w:rsidRDefault="002D66F3" w:rsidP="00360A40">
      <w:pPr>
        <w:pStyle w:val="Szvegtrzs"/>
        <w:kinsoku w:val="0"/>
        <w:overflowPunct w:val="0"/>
        <w:ind w:left="0"/>
        <w:rPr>
          <w:lang w:val="hu-HU"/>
        </w:rPr>
      </w:pPr>
    </w:p>
    <w:p w14:paraId="5361490B" w14:textId="699CE50E" w:rsidR="002D66F3" w:rsidRPr="00360A40" w:rsidRDefault="002D66F3" w:rsidP="00360A40">
      <w:pPr>
        <w:pStyle w:val="Szvegtrzs"/>
        <w:kinsoku w:val="0"/>
        <w:overflowPunct w:val="0"/>
        <w:ind w:left="0"/>
        <w:rPr>
          <w:lang w:val="hu-HU"/>
        </w:rPr>
      </w:pPr>
      <w:r w:rsidRPr="00360A40">
        <w:rPr>
          <w:lang w:val="hu-HU"/>
        </w:rPr>
        <w:t>A vérlemezkeszámban megnyilvánuló választ (meghatározása: a vérlemezkeszám ≥</w:t>
      </w:r>
      <w:r w:rsidR="00CF46F8" w:rsidRPr="00360A40">
        <w:rPr>
          <w:lang w:val="hu-HU"/>
        </w:rPr>
        <w:t> </w:t>
      </w:r>
      <w:r w:rsidRPr="00360A40">
        <w:rPr>
          <w:lang w:val="hu-HU"/>
        </w:rPr>
        <w:t>50</w:t>
      </w:r>
      <w:r w:rsidR="00CF46F8" w:rsidRPr="00360A40">
        <w:rPr>
          <w:lang w:val="hu-HU"/>
        </w:rPr>
        <w:t> </w:t>
      </w:r>
      <w:r w:rsidRPr="00360A40">
        <w:rPr>
          <w:lang w:val="hu-HU"/>
        </w:rPr>
        <w:t xml:space="preserve">000/µl </w:t>
      </w:r>
      <w:r w:rsidRPr="00360A40">
        <w:rPr>
          <w:lang w:val="hu-HU"/>
        </w:rPr>
        <w:lastRenderedPageBreak/>
        <w:t>legalább egy alkalommal a 9.</w:t>
      </w:r>
      <w:r w:rsidR="00CF46F8" w:rsidRPr="00360A40">
        <w:rPr>
          <w:lang w:val="hu-HU"/>
        </w:rPr>
        <w:t> </w:t>
      </w:r>
      <w:r w:rsidRPr="00360A40">
        <w:rPr>
          <w:lang w:val="hu-HU"/>
        </w:rPr>
        <w:t>hétig anélkül, hogy mentő kezelést kellett volna alkalmazni) az újonnan diagnosztizált ITP-s betegek 84%-a (95%-os CI: 71%–93%), a 3–&lt;6 hónapja diagnosztizált perzisztáló ITP-s betegek 91%-a (95%-os CI: 70%–99%), a 6–≤</w:t>
      </w:r>
      <w:r w:rsidR="00CF46F8" w:rsidRPr="00360A40">
        <w:rPr>
          <w:lang w:val="hu-HU"/>
        </w:rPr>
        <w:t> </w:t>
      </w:r>
      <w:r w:rsidRPr="00360A40">
        <w:rPr>
          <w:lang w:val="hu-HU"/>
        </w:rPr>
        <w:t>12</w:t>
      </w:r>
      <w:r w:rsidR="00CF46F8" w:rsidRPr="00360A40">
        <w:rPr>
          <w:lang w:val="hu-HU"/>
        </w:rPr>
        <w:t> </w:t>
      </w:r>
      <w:r w:rsidRPr="00360A40">
        <w:rPr>
          <w:lang w:val="hu-HU"/>
        </w:rPr>
        <w:t>hónapja diagnosztizált perzisztáló ITP-s betegek 94%-a (95%-os CI: 73%–100%) és a krónikus ITP-s betegek 87%-a (95%-os CI: 60%–98%) érte el.</w:t>
      </w:r>
    </w:p>
    <w:p w14:paraId="563C13F8" w14:textId="77777777" w:rsidR="002D66F3" w:rsidRPr="00360A40" w:rsidRDefault="002D66F3" w:rsidP="00360A40">
      <w:pPr>
        <w:pStyle w:val="Szvegtrzs"/>
        <w:kinsoku w:val="0"/>
        <w:overflowPunct w:val="0"/>
        <w:ind w:left="0"/>
        <w:rPr>
          <w:lang w:val="hu-HU"/>
        </w:rPr>
      </w:pPr>
    </w:p>
    <w:p w14:paraId="07B9CCBE" w14:textId="4E33967A" w:rsidR="002D66F3" w:rsidRPr="00360A40" w:rsidRDefault="002D66F3" w:rsidP="00360A40">
      <w:pPr>
        <w:pStyle w:val="Szvegtrzs"/>
        <w:kinsoku w:val="0"/>
        <w:overflowPunct w:val="0"/>
        <w:ind w:left="0"/>
        <w:rPr>
          <w:lang w:val="hu-HU"/>
        </w:rPr>
      </w:pPr>
      <w:r w:rsidRPr="00360A40">
        <w:rPr>
          <w:lang w:val="hu-HU"/>
        </w:rPr>
        <w:t>A teljes válasz aránya (meghatározása: a vérlemezkeszám ≥</w:t>
      </w:r>
      <w:r w:rsidR="00CF46F8" w:rsidRPr="00360A40">
        <w:rPr>
          <w:lang w:val="hu-HU"/>
        </w:rPr>
        <w:t> </w:t>
      </w:r>
      <w:r w:rsidRPr="00360A40">
        <w:rPr>
          <w:lang w:val="hu-HU"/>
        </w:rPr>
        <w:t>100</w:t>
      </w:r>
      <w:r w:rsidR="00CF46F8" w:rsidRPr="00360A40">
        <w:rPr>
          <w:lang w:val="hu-HU"/>
        </w:rPr>
        <w:t> </w:t>
      </w:r>
      <w:r w:rsidRPr="00360A40">
        <w:rPr>
          <w:lang w:val="hu-HU"/>
        </w:rPr>
        <w:t>000/µl legalább egy alkalommal a</w:t>
      </w:r>
      <w:r w:rsidR="008A0568" w:rsidRPr="00360A40">
        <w:rPr>
          <w:lang w:val="hu-HU"/>
        </w:rPr>
        <w:t xml:space="preserve"> </w:t>
      </w:r>
      <w:r w:rsidRPr="00360A40">
        <w:rPr>
          <w:lang w:val="hu-HU"/>
        </w:rPr>
        <w:t>9.</w:t>
      </w:r>
      <w:r w:rsidR="00CF46F8" w:rsidRPr="00360A40">
        <w:rPr>
          <w:lang w:val="hu-HU"/>
        </w:rPr>
        <w:t> </w:t>
      </w:r>
      <w:r w:rsidRPr="00360A40">
        <w:rPr>
          <w:lang w:val="hu-HU"/>
        </w:rPr>
        <w:t>hétig anélkül, hogy mentő kezelést kellett volna alkalmazni) 75% volt az újonnan diagnosztizált ITP-s betegeknél (95%-os CI: 60%–86%), 76% volt a 3–&lt;</w:t>
      </w:r>
      <w:r w:rsidR="00CF46F8" w:rsidRPr="00360A40">
        <w:rPr>
          <w:lang w:val="hu-HU"/>
        </w:rPr>
        <w:t> </w:t>
      </w:r>
      <w:r w:rsidRPr="00360A40">
        <w:rPr>
          <w:lang w:val="hu-HU"/>
        </w:rPr>
        <w:t>6</w:t>
      </w:r>
      <w:r w:rsidR="00CF46F8" w:rsidRPr="00360A40">
        <w:rPr>
          <w:lang w:val="hu-HU"/>
        </w:rPr>
        <w:t> </w:t>
      </w:r>
      <w:r w:rsidRPr="00360A40">
        <w:rPr>
          <w:lang w:val="hu-HU"/>
        </w:rPr>
        <w:t>hónapja diagnosztizált perzisztáló ITP-s betegeknél (95%-os CI: 53%–92%), 72% volt a 6–≤</w:t>
      </w:r>
      <w:r w:rsidR="00CF46F8" w:rsidRPr="00360A40">
        <w:rPr>
          <w:lang w:val="hu-HU"/>
        </w:rPr>
        <w:t> </w:t>
      </w:r>
      <w:r w:rsidRPr="00360A40">
        <w:rPr>
          <w:lang w:val="hu-HU"/>
        </w:rPr>
        <w:t>12</w:t>
      </w:r>
      <w:r w:rsidR="00CF46F8" w:rsidRPr="00360A40">
        <w:rPr>
          <w:lang w:val="hu-HU"/>
        </w:rPr>
        <w:t> </w:t>
      </w:r>
      <w:r w:rsidRPr="00360A40">
        <w:rPr>
          <w:lang w:val="hu-HU"/>
        </w:rPr>
        <w:t>hónapja diagnosztizált perzisztáló ITP-s</w:t>
      </w:r>
      <w:r w:rsidR="00CF46F8" w:rsidRPr="00360A40">
        <w:rPr>
          <w:lang w:val="hu-HU"/>
        </w:rPr>
        <w:t xml:space="preserve"> </w:t>
      </w:r>
      <w:r w:rsidRPr="00360A40">
        <w:rPr>
          <w:lang w:val="hu-HU"/>
        </w:rPr>
        <w:t>betegeknél (95%-os CI: 47%–90%) és 87% volt a krónikus ITP-s betegeknél (95%-os CI: 60%–98%).</w:t>
      </w:r>
    </w:p>
    <w:p w14:paraId="7DF04BF1" w14:textId="77777777" w:rsidR="002D66F3" w:rsidRPr="00360A40" w:rsidRDefault="002D66F3" w:rsidP="00360A40">
      <w:pPr>
        <w:pStyle w:val="Szvegtrzs"/>
        <w:kinsoku w:val="0"/>
        <w:overflowPunct w:val="0"/>
        <w:ind w:left="0"/>
        <w:rPr>
          <w:lang w:val="hu-HU"/>
        </w:rPr>
      </w:pPr>
    </w:p>
    <w:p w14:paraId="052B0059" w14:textId="7191729A" w:rsidR="002D66F3" w:rsidRPr="00360A40" w:rsidRDefault="002D66F3" w:rsidP="00360A40">
      <w:pPr>
        <w:pStyle w:val="Szvegtrzs"/>
        <w:kinsoku w:val="0"/>
        <w:overflowPunct w:val="0"/>
        <w:ind w:left="0"/>
        <w:rPr>
          <w:lang w:val="hu-HU"/>
        </w:rPr>
      </w:pPr>
      <w:r w:rsidRPr="00360A40">
        <w:rPr>
          <w:lang w:val="hu-HU"/>
        </w:rPr>
        <w:t>A vérlemezkeszámban megnyilvánuló tartós válasz aránya meghatározása: a vérlemezkeszám</w:t>
      </w:r>
      <w:r w:rsidR="002A2DEB" w:rsidRPr="00360A40">
        <w:rPr>
          <w:lang w:val="hu-HU"/>
        </w:rPr>
        <w:t xml:space="preserve"> </w:t>
      </w:r>
      <w:r w:rsidRPr="00360A40">
        <w:rPr>
          <w:lang w:val="hu-HU"/>
        </w:rPr>
        <w:t>≥</w:t>
      </w:r>
      <w:r w:rsidR="00CF46F8" w:rsidRPr="00360A40">
        <w:rPr>
          <w:lang w:val="hu-HU"/>
        </w:rPr>
        <w:t> </w:t>
      </w:r>
      <w:r w:rsidRPr="00360A40">
        <w:rPr>
          <w:lang w:val="hu-HU"/>
        </w:rPr>
        <w:t>50</w:t>
      </w:r>
      <w:r w:rsidR="00CF46F8" w:rsidRPr="00360A40">
        <w:rPr>
          <w:lang w:val="hu-HU"/>
        </w:rPr>
        <w:t> </w:t>
      </w:r>
      <w:r w:rsidRPr="00360A40">
        <w:rPr>
          <w:lang w:val="hu-HU"/>
        </w:rPr>
        <w:t>000/µl a vizsgálat első 6</w:t>
      </w:r>
      <w:r w:rsidR="00CF46F8" w:rsidRPr="00360A40">
        <w:rPr>
          <w:lang w:val="hu-HU"/>
        </w:rPr>
        <w:t> </w:t>
      </w:r>
      <w:r w:rsidRPr="00360A40">
        <w:rPr>
          <w:lang w:val="hu-HU"/>
        </w:rPr>
        <w:t>hónapja során 8 egymást követő mérésből legalább 6 alkalommal anélkül, hogy mentő kezelést kellett volna alkalmazni) 71% volt az újonnan diagnosztizált ITP-s betegeknél (95%-os CI: 56%–83%), 81% volt a 3–&lt;6 hónapja diagnosztizált perzisztáló ITP-s betegeknél (95%-os CI: 58%–95%), 72% volt a 6–≤</w:t>
      </w:r>
      <w:r w:rsidR="00CF46F8" w:rsidRPr="00360A40">
        <w:rPr>
          <w:lang w:val="hu-HU"/>
        </w:rPr>
        <w:t> </w:t>
      </w:r>
      <w:r w:rsidRPr="00360A40">
        <w:rPr>
          <w:lang w:val="hu-HU"/>
        </w:rPr>
        <w:t>12</w:t>
      </w:r>
      <w:r w:rsidR="00CF46F8" w:rsidRPr="00360A40">
        <w:rPr>
          <w:lang w:val="hu-HU"/>
        </w:rPr>
        <w:t> </w:t>
      </w:r>
      <w:r w:rsidRPr="00360A40">
        <w:rPr>
          <w:lang w:val="hu-HU"/>
        </w:rPr>
        <w:t>hónapja diagnosztizált perzisztáló ITP-s betegeknél (95%-os CI: 47%–90,3%) és 80% volt a krónikus ITP-s betegeknél (95%-os CI: 52%–96%).</w:t>
      </w:r>
    </w:p>
    <w:p w14:paraId="5DB90F6D" w14:textId="77777777" w:rsidR="002D66F3" w:rsidRPr="00360A40" w:rsidRDefault="002D66F3" w:rsidP="00360A40">
      <w:pPr>
        <w:pStyle w:val="Szvegtrzs"/>
        <w:kinsoku w:val="0"/>
        <w:overflowPunct w:val="0"/>
        <w:ind w:left="0"/>
        <w:rPr>
          <w:lang w:val="hu-HU"/>
        </w:rPr>
      </w:pPr>
    </w:p>
    <w:p w14:paraId="1F91B22D" w14:textId="77777777" w:rsidR="002D66F3" w:rsidRPr="00360A40" w:rsidRDefault="002D66F3" w:rsidP="00360A40">
      <w:pPr>
        <w:pStyle w:val="Szvegtrzs"/>
        <w:kinsoku w:val="0"/>
        <w:overflowPunct w:val="0"/>
        <w:ind w:left="0"/>
        <w:rPr>
          <w:lang w:val="hu-HU"/>
        </w:rPr>
      </w:pPr>
      <w:r w:rsidRPr="00360A40">
        <w:rPr>
          <w:lang w:val="hu-HU"/>
        </w:rPr>
        <w:t>A WHO szerinti vérzésskálával végzett értékelés során a 4. héten vérzéssel nem érintett, újonnan diagnosztizált és perzisztáló ITP-s betegek aránya 88% és 95% között alakult a kiindulási 37% és 57% közötti értékhez képest. Krónikus ITP-s betegeknél ez az arány 93% volt a kiindulási 73%-hoz képest.</w:t>
      </w:r>
    </w:p>
    <w:p w14:paraId="336D1934" w14:textId="77777777" w:rsidR="002D66F3" w:rsidRPr="00360A40" w:rsidRDefault="002D66F3" w:rsidP="00360A40">
      <w:pPr>
        <w:pStyle w:val="Szvegtrzs"/>
        <w:kinsoku w:val="0"/>
        <w:overflowPunct w:val="0"/>
        <w:ind w:left="0"/>
        <w:rPr>
          <w:lang w:val="hu-HU"/>
        </w:rPr>
      </w:pPr>
    </w:p>
    <w:p w14:paraId="7B6CA3D9" w14:textId="77777777" w:rsidR="002D66F3" w:rsidRPr="00360A40" w:rsidRDefault="002D66F3" w:rsidP="00360A40">
      <w:pPr>
        <w:pStyle w:val="Szvegtrzs"/>
        <w:kinsoku w:val="0"/>
        <w:overflowPunct w:val="0"/>
        <w:ind w:left="0"/>
        <w:rPr>
          <w:lang w:val="hu-HU"/>
        </w:rPr>
      </w:pPr>
      <w:r w:rsidRPr="00360A40">
        <w:rPr>
          <w:lang w:val="hu-HU"/>
        </w:rPr>
        <w:t>Az eltrombopag biztonságossága konzisztens volt valamennyi ITP-kategóriában és összhangban volt az ismert biztonságossági profiljával.</w:t>
      </w:r>
    </w:p>
    <w:p w14:paraId="11D6B25F" w14:textId="77777777" w:rsidR="002D66F3" w:rsidRPr="00360A40" w:rsidRDefault="002D66F3" w:rsidP="00360A40">
      <w:pPr>
        <w:pStyle w:val="Szvegtrzs"/>
        <w:kinsoku w:val="0"/>
        <w:overflowPunct w:val="0"/>
        <w:ind w:left="0"/>
        <w:rPr>
          <w:lang w:val="hu-HU"/>
        </w:rPr>
      </w:pPr>
    </w:p>
    <w:p w14:paraId="7485A7C5" w14:textId="77777777" w:rsidR="002D66F3" w:rsidRPr="00360A40" w:rsidRDefault="002D66F3" w:rsidP="00360A40">
      <w:pPr>
        <w:pStyle w:val="Szvegtrzs"/>
        <w:kinsoku w:val="0"/>
        <w:overflowPunct w:val="0"/>
        <w:ind w:left="0"/>
        <w:rPr>
          <w:lang w:val="hu-HU"/>
        </w:rPr>
      </w:pPr>
      <w:r w:rsidRPr="00360A40">
        <w:rPr>
          <w:lang w:val="hu-HU"/>
        </w:rPr>
        <w:t>Olyan klinikai vizsgálatokat, amelyekben az eltrombopagot más kezelési lehetőségekhez (pl. splenectomia) viszonyították, nem folytattak. A kezelés megkezdése előtt figyelembe kell venni az eltrombopag hosszú távú biztonságosságát.</w:t>
      </w:r>
    </w:p>
    <w:p w14:paraId="468238C9" w14:textId="77777777" w:rsidR="002D66F3" w:rsidRPr="00360A40" w:rsidRDefault="002D66F3" w:rsidP="00360A40">
      <w:pPr>
        <w:pStyle w:val="Szvegtrzs"/>
        <w:kinsoku w:val="0"/>
        <w:overflowPunct w:val="0"/>
        <w:ind w:left="0"/>
        <w:rPr>
          <w:lang w:val="hu-HU"/>
        </w:rPr>
      </w:pPr>
    </w:p>
    <w:p w14:paraId="0CC9598E" w14:textId="554CBCBF" w:rsidR="002D66F3" w:rsidRPr="00360A40" w:rsidRDefault="002D66F3" w:rsidP="00360A40">
      <w:pPr>
        <w:pStyle w:val="Szvegtrzs"/>
        <w:kinsoku w:val="0"/>
        <w:overflowPunct w:val="0"/>
        <w:ind w:left="0"/>
        <w:rPr>
          <w:lang w:val="hu-HU"/>
        </w:rPr>
      </w:pPr>
      <w:r w:rsidRPr="00360A40">
        <w:rPr>
          <w:i/>
          <w:iCs/>
          <w:lang w:val="hu-HU"/>
        </w:rPr>
        <w:t>Gyermekek és serdülők (1</w:t>
      </w:r>
      <w:r w:rsidR="000E6AA3">
        <w:rPr>
          <w:i/>
          <w:iCs/>
          <w:lang w:val="hu-HU"/>
        </w:rPr>
        <w:t> és betöltött 18. életév között</w:t>
      </w:r>
      <w:r w:rsidRPr="00360A40">
        <w:rPr>
          <w:i/>
          <w:iCs/>
          <w:lang w:val="hu-HU"/>
        </w:rPr>
        <w:t>)</w:t>
      </w:r>
    </w:p>
    <w:p w14:paraId="237D4A98" w14:textId="77777777" w:rsidR="002D66F3" w:rsidRPr="00360A40" w:rsidRDefault="002D66F3" w:rsidP="00360A40">
      <w:pPr>
        <w:pStyle w:val="Szvegtrzs"/>
        <w:kinsoku w:val="0"/>
        <w:overflowPunct w:val="0"/>
        <w:ind w:left="0"/>
        <w:rPr>
          <w:lang w:val="hu-HU"/>
        </w:rPr>
      </w:pPr>
      <w:r w:rsidRPr="00360A40">
        <w:rPr>
          <w:lang w:val="hu-HU"/>
        </w:rPr>
        <w:t>Az eltrombopag biztonságosságát és hatásosságát gyermekeknél és serdülőknél 2 vizsgálatban értékelték.</w:t>
      </w:r>
    </w:p>
    <w:p w14:paraId="18A370EE" w14:textId="77777777" w:rsidR="002D66F3" w:rsidRPr="00360A40" w:rsidRDefault="002D66F3" w:rsidP="00360A40">
      <w:pPr>
        <w:pStyle w:val="Szvegtrzs"/>
        <w:kinsoku w:val="0"/>
        <w:overflowPunct w:val="0"/>
        <w:ind w:left="0"/>
        <w:rPr>
          <w:lang w:val="hu-HU"/>
        </w:rPr>
      </w:pPr>
    </w:p>
    <w:p w14:paraId="3A996D1D" w14:textId="71824BC9" w:rsidR="002D66F3" w:rsidRPr="00360A40" w:rsidRDefault="002D66F3" w:rsidP="00360A40">
      <w:pPr>
        <w:pStyle w:val="Szvegtrzs"/>
        <w:kinsoku w:val="0"/>
        <w:overflowPunct w:val="0"/>
        <w:ind w:left="0"/>
        <w:rPr>
          <w:lang w:val="hu-HU"/>
        </w:rPr>
      </w:pPr>
      <w:r w:rsidRPr="00360A40">
        <w:rPr>
          <w:i/>
          <w:iCs/>
          <w:lang w:val="hu-HU"/>
        </w:rPr>
        <w:t>TRA115450 (PETIT2)</w:t>
      </w:r>
      <w:r w:rsidRPr="00360A40">
        <w:rPr>
          <w:lang w:val="hu-HU"/>
        </w:rPr>
        <w:t>: Az elsődleges végpont a tartós válasz volt, amit a placebóhoz viszonyítva azoknak az eltrombopagot kapó betegeknek az arányával definiáltak, akik a kettős vak, randomizált időszak alatt ≥</w:t>
      </w:r>
      <w:r w:rsidR="00CF46F8" w:rsidRPr="00360A40">
        <w:rPr>
          <w:lang w:val="hu-HU"/>
        </w:rPr>
        <w:t> </w:t>
      </w:r>
      <w:r w:rsidRPr="00360A40">
        <w:rPr>
          <w:lang w:val="hu-HU"/>
        </w:rPr>
        <w:t>50</w:t>
      </w:r>
      <w:r w:rsidR="00CF46F8" w:rsidRPr="00360A40">
        <w:rPr>
          <w:lang w:val="hu-HU"/>
        </w:rPr>
        <w:t> </w:t>
      </w:r>
      <w:r w:rsidRPr="00360A40">
        <w:rPr>
          <w:lang w:val="hu-HU"/>
        </w:rPr>
        <w:t>000/µl-es thrombocytaszámot értek el az 5. és 12.</w:t>
      </w:r>
      <w:r w:rsidR="00984B48" w:rsidRPr="00360A40">
        <w:rPr>
          <w:lang w:val="hu-HU"/>
        </w:rPr>
        <w:t> </w:t>
      </w:r>
      <w:r w:rsidRPr="00360A40">
        <w:rPr>
          <w:lang w:val="hu-HU"/>
        </w:rPr>
        <w:t>hét között, a 8</w:t>
      </w:r>
      <w:r w:rsidR="00CF46F8" w:rsidRPr="00360A40">
        <w:rPr>
          <w:lang w:val="hu-HU"/>
        </w:rPr>
        <w:t> </w:t>
      </w:r>
      <w:r w:rsidRPr="00360A40">
        <w:rPr>
          <w:lang w:val="hu-HU"/>
        </w:rPr>
        <w:t>hétből legalább 6 alatt („mentő” kezelés nélkül). A betegeket krónikus ITP-vel diagnoztizálták legalább egy éve és legalább egy korábbi ITP elleni kezelésre nem reagáltak, vagy a kezelés után állapotuk ismét súlyosbodott, vagy orvosi ok miatt nem kaphattak más ITP elleni kezelést, és a thrombocytaszámuk</w:t>
      </w:r>
      <w:r w:rsidR="002A2DEB" w:rsidRPr="00360A40">
        <w:rPr>
          <w:lang w:val="hu-HU"/>
        </w:rPr>
        <w:t xml:space="preserve"> </w:t>
      </w:r>
      <w:r w:rsidRPr="00360A40">
        <w:rPr>
          <w:lang w:val="hu-HU"/>
        </w:rPr>
        <w:t>&lt;</w:t>
      </w:r>
      <w:r w:rsidR="00CF46F8" w:rsidRPr="00360A40">
        <w:rPr>
          <w:lang w:val="hu-HU"/>
        </w:rPr>
        <w:t> </w:t>
      </w:r>
      <w:r w:rsidRPr="00360A40">
        <w:rPr>
          <w:lang w:val="hu-HU"/>
        </w:rPr>
        <w:t>30</w:t>
      </w:r>
      <w:r w:rsidR="00CF46F8" w:rsidRPr="00360A40">
        <w:rPr>
          <w:lang w:val="hu-HU"/>
        </w:rPr>
        <w:t> </w:t>
      </w:r>
      <w:r w:rsidRPr="00360A40">
        <w:rPr>
          <w:lang w:val="hu-HU"/>
        </w:rPr>
        <w:t>000/µl volt. Kilencvenkét beteget randomizáltak három életkori kohorsz réteg szerint (2:1) eltrombopagra (n</w:t>
      </w:r>
      <w:r w:rsidR="00CF46F8" w:rsidRPr="00360A40">
        <w:rPr>
          <w:lang w:val="hu-HU"/>
        </w:rPr>
        <w:t> </w:t>
      </w:r>
      <w:r w:rsidRPr="00360A40">
        <w:rPr>
          <w:lang w:val="hu-HU"/>
        </w:rPr>
        <w:t>=</w:t>
      </w:r>
      <w:r w:rsidR="00CF46F8" w:rsidRPr="00360A40">
        <w:rPr>
          <w:lang w:val="hu-HU"/>
        </w:rPr>
        <w:t> </w:t>
      </w:r>
      <w:r w:rsidRPr="00360A40">
        <w:rPr>
          <w:lang w:val="hu-HU"/>
        </w:rPr>
        <w:t>63) vagy placebóra (n</w:t>
      </w:r>
      <w:r w:rsidR="00CF46F8" w:rsidRPr="00360A40">
        <w:rPr>
          <w:lang w:val="hu-HU"/>
        </w:rPr>
        <w:t> </w:t>
      </w:r>
      <w:r w:rsidRPr="00360A40">
        <w:rPr>
          <w:lang w:val="hu-HU"/>
        </w:rPr>
        <w:t>=</w:t>
      </w:r>
      <w:r w:rsidR="00CF46F8" w:rsidRPr="00360A40">
        <w:rPr>
          <w:lang w:val="hu-HU"/>
        </w:rPr>
        <w:t> </w:t>
      </w:r>
      <w:r w:rsidRPr="00360A40">
        <w:rPr>
          <w:lang w:val="hu-HU"/>
        </w:rPr>
        <w:t>29). Az eltrombopag dózisát az individuális vérlemezkeszám alapján módosítani lehetett.</w:t>
      </w:r>
    </w:p>
    <w:p w14:paraId="2AFBB1D3" w14:textId="77777777" w:rsidR="002D66F3" w:rsidRPr="00360A40" w:rsidRDefault="002D66F3" w:rsidP="00360A40">
      <w:pPr>
        <w:pStyle w:val="Szvegtrzs"/>
        <w:kinsoku w:val="0"/>
        <w:overflowPunct w:val="0"/>
        <w:ind w:left="0"/>
        <w:rPr>
          <w:lang w:val="hu-HU"/>
        </w:rPr>
      </w:pPr>
    </w:p>
    <w:p w14:paraId="14E1BFA6" w14:textId="6A46F851" w:rsidR="002D66F3" w:rsidRPr="00360A40" w:rsidRDefault="002D66F3" w:rsidP="00360A40">
      <w:pPr>
        <w:pStyle w:val="Szvegtrzs"/>
        <w:kinsoku w:val="0"/>
        <w:overflowPunct w:val="0"/>
        <w:ind w:left="0"/>
        <w:rPr>
          <w:lang w:val="hu-HU"/>
        </w:rPr>
      </w:pPr>
      <w:r w:rsidRPr="00360A40">
        <w:rPr>
          <w:lang w:val="hu-HU"/>
        </w:rPr>
        <w:t>Összességében az eltrombopagot kapó betegek szignifikánsan nagyobb aránya (40%) érte el az elsődleges végpontot, mint placebót kapó beteg (3%) (esélyhányados: 18,0 [95%-os CI: 2,3, 140,9] p &lt;</w:t>
      </w:r>
      <w:r w:rsidR="00CF46F8" w:rsidRPr="00360A40">
        <w:rPr>
          <w:lang w:val="hu-HU"/>
        </w:rPr>
        <w:t> </w:t>
      </w:r>
      <w:r w:rsidRPr="00360A40">
        <w:rPr>
          <w:lang w:val="hu-HU"/>
        </w:rPr>
        <w:t>0,001), ami mindhárom életkor kohorszban hasonló volt (6.</w:t>
      </w:r>
      <w:r w:rsidR="00CF46F8" w:rsidRPr="00360A40">
        <w:rPr>
          <w:lang w:val="hu-HU"/>
        </w:rPr>
        <w:t> </w:t>
      </w:r>
      <w:r w:rsidRPr="00360A40">
        <w:rPr>
          <w:lang w:val="hu-HU"/>
        </w:rPr>
        <w:t>táblázat).</w:t>
      </w:r>
    </w:p>
    <w:p w14:paraId="25CD38AA" w14:textId="77777777" w:rsidR="00241A9D" w:rsidRPr="00360A40" w:rsidRDefault="00241A9D" w:rsidP="00360A40">
      <w:pPr>
        <w:pStyle w:val="Szvegtrzs"/>
        <w:kinsoku w:val="0"/>
        <w:overflowPunct w:val="0"/>
        <w:ind w:left="0"/>
        <w:rPr>
          <w:lang w:val="hu-HU"/>
        </w:rPr>
      </w:pPr>
    </w:p>
    <w:p w14:paraId="1F745F56" w14:textId="394DA377" w:rsidR="002D66F3" w:rsidRPr="00360A40" w:rsidRDefault="00FB7CC2" w:rsidP="00360A40">
      <w:pPr>
        <w:pStyle w:val="Cmsor1"/>
        <w:keepNext/>
        <w:widowControl/>
        <w:kinsoku w:val="0"/>
        <w:overflowPunct w:val="0"/>
        <w:ind w:left="0" w:firstLine="0"/>
        <w:rPr>
          <w:b w:val="0"/>
          <w:bCs w:val="0"/>
          <w:lang w:val="hu-HU"/>
        </w:rPr>
      </w:pPr>
      <w:r>
        <w:rPr>
          <w:lang w:val="hu-HU"/>
        </w:rPr>
        <w:lastRenderedPageBreak/>
        <w:t>6</w:t>
      </w:r>
      <w:r w:rsidR="00241A9D" w:rsidRPr="00360A40">
        <w:rPr>
          <w:lang w:val="hu-HU"/>
        </w:rPr>
        <w:t>.</w:t>
      </w:r>
      <w:r w:rsidR="00CF46F8" w:rsidRPr="00360A40">
        <w:rPr>
          <w:lang w:val="hu-HU"/>
        </w:rPr>
        <w:t> </w:t>
      </w:r>
      <w:r w:rsidR="002D66F3" w:rsidRPr="00360A40">
        <w:rPr>
          <w:lang w:val="hu-HU"/>
        </w:rPr>
        <w:t>táblázat</w:t>
      </w:r>
      <w:r w:rsidR="002D66F3" w:rsidRPr="00360A40">
        <w:rPr>
          <w:lang w:val="hu-HU"/>
        </w:rPr>
        <w:tab/>
        <w:t>Tartós thrombocyta-válaszarányok életkor-kohorszonként a krónikus ITP-s gyermekeknél és serdülőknél</w:t>
      </w:r>
    </w:p>
    <w:p w14:paraId="4E7A173F" w14:textId="77777777" w:rsidR="002D66F3" w:rsidRPr="00360A40" w:rsidRDefault="002D66F3" w:rsidP="00360A40">
      <w:pPr>
        <w:pStyle w:val="Szvegtrzs"/>
        <w:keepNext/>
        <w:widowControl/>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2870"/>
        <w:gridCol w:w="2385"/>
        <w:gridCol w:w="2128"/>
      </w:tblGrid>
      <w:tr w:rsidR="002D66F3" w:rsidRPr="00360A40" w14:paraId="0D2A4470" w14:textId="77777777" w:rsidTr="00D25F36">
        <w:trPr>
          <w:trHeight w:hRule="exact" w:val="769"/>
        </w:trPr>
        <w:tc>
          <w:tcPr>
            <w:tcW w:w="2870" w:type="dxa"/>
            <w:tcBorders>
              <w:top w:val="single" w:sz="4" w:space="0" w:color="000000"/>
              <w:left w:val="single" w:sz="4" w:space="0" w:color="000000"/>
              <w:bottom w:val="single" w:sz="4" w:space="0" w:color="000000"/>
              <w:right w:val="single" w:sz="4" w:space="0" w:color="000000"/>
            </w:tcBorders>
          </w:tcPr>
          <w:p w14:paraId="3CDA9DC9" w14:textId="77777777" w:rsidR="002D66F3" w:rsidRPr="00360A40" w:rsidRDefault="002D66F3" w:rsidP="00360A40">
            <w:pPr>
              <w:keepNext/>
              <w:widowControl/>
              <w:rPr>
                <w:sz w:val="22"/>
                <w:szCs w:val="22"/>
                <w:lang w:val="hu-HU"/>
              </w:rPr>
            </w:pPr>
          </w:p>
        </w:tc>
        <w:tc>
          <w:tcPr>
            <w:tcW w:w="2385" w:type="dxa"/>
            <w:tcBorders>
              <w:top w:val="single" w:sz="4" w:space="0" w:color="000000"/>
              <w:left w:val="single" w:sz="4" w:space="0" w:color="000000"/>
              <w:bottom w:val="single" w:sz="4" w:space="0" w:color="000000"/>
              <w:right w:val="single" w:sz="4" w:space="0" w:color="000000"/>
            </w:tcBorders>
          </w:tcPr>
          <w:p w14:paraId="29E3EFF4" w14:textId="77777777" w:rsidR="002D66F3" w:rsidRPr="00360A40" w:rsidRDefault="002D66F3" w:rsidP="00360A40">
            <w:pPr>
              <w:pStyle w:val="TableParagraph"/>
              <w:keepNext/>
              <w:widowControl/>
              <w:kinsoku w:val="0"/>
              <w:overflowPunct w:val="0"/>
              <w:ind w:left="612"/>
              <w:rPr>
                <w:sz w:val="22"/>
                <w:szCs w:val="22"/>
                <w:lang w:val="hu-HU"/>
              </w:rPr>
            </w:pPr>
            <w:r w:rsidRPr="00360A40">
              <w:rPr>
                <w:sz w:val="22"/>
                <w:szCs w:val="22"/>
                <w:lang w:val="hu-HU"/>
              </w:rPr>
              <w:t>Eltrombopag n/N (%) [95%-os CI]</w:t>
            </w:r>
          </w:p>
        </w:tc>
        <w:tc>
          <w:tcPr>
            <w:tcW w:w="2128" w:type="dxa"/>
            <w:tcBorders>
              <w:top w:val="single" w:sz="4" w:space="0" w:color="000000"/>
              <w:left w:val="single" w:sz="4" w:space="0" w:color="000000"/>
              <w:bottom w:val="single" w:sz="4" w:space="0" w:color="000000"/>
              <w:right w:val="single" w:sz="4" w:space="0" w:color="000000"/>
            </w:tcBorders>
          </w:tcPr>
          <w:p w14:paraId="28792581" w14:textId="77777777" w:rsidR="002D66F3" w:rsidRPr="00360A40" w:rsidRDefault="002D66F3" w:rsidP="00095772">
            <w:pPr>
              <w:pStyle w:val="TableParagraph"/>
              <w:keepNext/>
              <w:widowControl/>
              <w:kinsoku w:val="0"/>
              <w:overflowPunct w:val="0"/>
              <w:ind w:left="698"/>
              <w:rPr>
                <w:sz w:val="22"/>
                <w:szCs w:val="22"/>
                <w:lang w:val="hu-HU"/>
              </w:rPr>
            </w:pPr>
            <w:r w:rsidRPr="00360A40">
              <w:rPr>
                <w:sz w:val="22"/>
                <w:szCs w:val="22"/>
                <w:lang w:val="hu-HU"/>
              </w:rPr>
              <w:t>Placebo n/N (%)</w:t>
            </w:r>
          </w:p>
          <w:p w14:paraId="4AA092BD"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[95%-os CI]</w:t>
            </w:r>
          </w:p>
        </w:tc>
      </w:tr>
      <w:tr w:rsidR="002D66F3" w:rsidRPr="00360A40" w14:paraId="3C94C7D5" w14:textId="77777777" w:rsidTr="00D25F36">
        <w:trPr>
          <w:trHeight w:hRule="exact" w:val="269"/>
        </w:trPr>
        <w:tc>
          <w:tcPr>
            <w:tcW w:w="2870" w:type="dxa"/>
            <w:tcBorders>
              <w:top w:val="single" w:sz="4" w:space="0" w:color="000000"/>
              <w:left w:val="single" w:sz="4" w:space="0" w:color="000000"/>
              <w:bottom w:val="nil"/>
              <w:right w:val="single" w:sz="4" w:space="0" w:color="000000"/>
            </w:tcBorders>
          </w:tcPr>
          <w:p w14:paraId="2990461E" w14:textId="3F61A401"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1. kohorsz (12–17</w:t>
            </w:r>
            <w:r w:rsidR="00CF46F8" w:rsidRPr="00360A40">
              <w:rPr>
                <w:sz w:val="22"/>
                <w:szCs w:val="22"/>
                <w:lang w:val="hu-HU"/>
              </w:rPr>
              <w:t> </w:t>
            </w:r>
            <w:r w:rsidRPr="00360A40">
              <w:rPr>
                <w:sz w:val="22"/>
                <w:szCs w:val="22"/>
                <w:lang w:val="hu-HU"/>
              </w:rPr>
              <w:t>év)</w:t>
            </w:r>
          </w:p>
        </w:tc>
        <w:tc>
          <w:tcPr>
            <w:tcW w:w="2385" w:type="dxa"/>
            <w:tcBorders>
              <w:top w:val="single" w:sz="4" w:space="0" w:color="000000"/>
              <w:left w:val="single" w:sz="4" w:space="0" w:color="000000"/>
              <w:bottom w:val="nil"/>
              <w:right w:val="single" w:sz="4" w:space="0" w:color="000000"/>
            </w:tcBorders>
          </w:tcPr>
          <w:p w14:paraId="1EDEC70A" w14:textId="77777777" w:rsidR="002D66F3" w:rsidRPr="00360A40" w:rsidRDefault="002D66F3" w:rsidP="00360A40">
            <w:pPr>
              <w:pStyle w:val="TableParagraph"/>
              <w:keepNext/>
              <w:widowControl/>
              <w:kinsoku w:val="0"/>
              <w:overflowPunct w:val="0"/>
              <w:ind w:left="687"/>
              <w:rPr>
                <w:sz w:val="22"/>
                <w:szCs w:val="22"/>
                <w:lang w:val="hu-HU"/>
              </w:rPr>
            </w:pPr>
            <w:r w:rsidRPr="00360A40">
              <w:rPr>
                <w:sz w:val="22"/>
                <w:szCs w:val="22"/>
                <w:lang w:val="hu-HU"/>
              </w:rPr>
              <w:t>9/23 (39%)</w:t>
            </w:r>
          </w:p>
        </w:tc>
        <w:tc>
          <w:tcPr>
            <w:tcW w:w="2128" w:type="dxa"/>
            <w:tcBorders>
              <w:top w:val="single" w:sz="4" w:space="0" w:color="000000"/>
              <w:left w:val="single" w:sz="4" w:space="0" w:color="000000"/>
              <w:bottom w:val="nil"/>
              <w:right w:val="single" w:sz="4" w:space="0" w:color="000000"/>
            </w:tcBorders>
          </w:tcPr>
          <w:p w14:paraId="638691D0" w14:textId="77777777" w:rsidR="002D66F3" w:rsidRPr="00360A40" w:rsidRDefault="002D66F3" w:rsidP="00360A40">
            <w:pPr>
              <w:pStyle w:val="TableParagraph"/>
              <w:keepNext/>
              <w:widowControl/>
              <w:kinsoku w:val="0"/>
              <w:overflowPunct w:val="0"/>
              <w:ind w:left="558"/>
              <w:rPr>
                <w:sz w:val="22"/>
                <w:szCs w:val="22"/>
                <w:lang w:val="hu-HU"/>
              </w:rPr>
            </w:pPr>
            <w:r w:rsidRPr="00360A40">
              <w:rPr>
                <w:sz w:val="22"/>
                <w:szCs w:val="22"/>
                <w:lang w:val="hu-HU"/>
              </w:rPr>
              <w:t>1/10 (10%)</w:t>
            </w:r>
          </w:p>
        </w:tc>
      </w:tr>
      <w:tr w:rsidR="002D66F3" w:rsidRPr="00360A40" w14:paraId="79920178" w14:textId="77777777" w:rsidTr="00D25F36">
        <w:trPr>
          <w:trHeight w:hRule="exact" w:val="253"/>
        </w:trPr>
        <w:tc>
          <w:tcPr>
            <w:tcW w:w="2870" w:type="dxa"/>
            <w:tcBorders>
              <w:top w:val="nil"/>
              <w:left w:val="single" w:sz="4" w:space="0" w:color="000000"/>
              <w:bottom w:val="nil"/>
              <w:right w:val="single" w:sz="4" w:space="0" w:color="000000"/>
            </w:tcBorders>
          </w:tcPr>
          <w:p w14:paraId="32C3061B" w14:textId="77777777" w:rsidR="002D66F3" w:rsidRPr="00360A40" w:rsidRDefault="002D66F3" w:rsidP="00360A40">
            <w:pPr>
              <w:keepNext/>
              <w:widowControl/>
              <w:rPr>
                <w:sz w:val="22"/>
                <w:szCs w:val="22"/>
                <w:lang w:val="hu-HU"/>
              </w:rPr>
            </w:pPr>
          </w:p>
        </w:tc>
        <w:tc>
          <w:tcPr>
            <w:tcW w:w="2385" w:type="dxa"/>
            <w:tcBorders>
              <w:top w:val="nil"/>
              <w:left w:val="single" w:sz="4" w:space="0" w:color="000000"/>
              <w:bottom w:val="nil"/>
              <w:right w:val="single" w:sz="4" w:space="0" w:color="000000"/>
            </w:tcBorders>
          </w:tcPr>
          <w:p w14:paraId="7ECDF779" w14:textId="77777777" w:rsidR="002D66F3" w:rsidRPr="00360A40" w:rsidRDefault="002D66F3" w:rsidP="00360A40">
            <w:pPr>
              <w:pStyle w:val="TableParagraph"/>
              <w:keepNext/>
              <w:widowControl/>
              <w:kinsoku w:val="0"/>
              <w:overflowPunct w:val="0"/>
              <w:ind w:left="651"/>
              <w:rPr>
                <w:sz w:val="22"/>
                <w:szCs w:val="22"/>
                <w:lang w:val="hu-HU"/>
              </w:rPr>
            </w:pPr>
            <w:r w:rsidRPr="00360A40">
              <w:rPr>
                <w:sz w:val="22"/>
                <w:szCs w:val="22"/>
                <w:lang w:val="hu-HU"/>
              </w:rPr>
              <w:t>[20%; 61%]</w:t>
            </w:r>
          </w:p>
        </w:tc>
        <w:tc>
          <w:tcPr>
            <w:tcW w:w="2128" w:type="dxa"/>
            <w:tcBorders>
              <w:top w:val="nil"/>
              <w:left w:val="single" w:sz="4" w:space="0" w:color="000000"/>
              <w:bottom w:val="nil"/>
              <w:right w:val="single" w:sz="4" w:space="0" w:color="000000"/>
            </w:tcBorders>
          </w:tcPr>
          <w:p w14:paraId="3E9BC99A" w14:textId="77777777" w:rsidR="002D66F3" w:rsidRPr="00360A40" w:rsidRDefault="002D66F3" w:rsidP="00360A40">
            <w:pPr>
              <w:pStyle w:val="TableParagraph"/>
              <w:keepNext/>
              <w:widowControl/>
              <w:kinsoku w:val="0"/>
              <w:overflowPunct w:val="0"/>
              <w:ind w:left="577"/>
              <w:rPr>
                <w:sz w:val="22"/>
                <w:szCs w:val="22"/>
                <w:lang w:val="hu-HU"/>
              </w:rPr>
            </w:pPr>
            <w:r w:rsidRPr="00360A40">
              <w:rPr>
                <w:sz w:val="22"/>
                <w:szCs w:val="22"/>
                <w:lang w:val="hu-HU"/>
              </w:rPr>
              <w:t>[0%; 45%]</w:t>
            </w:r>
          </w:p>
        </w:tc>
      </w:tr>
      <w:tr w:rsidR="002D66F3" w:rsidRPr="00360A40" w14:paraId="1E7EFBC6" w14:textId="77777777" w:rsidTr="00D25F36">
        <w:trPr>
          <w:trHeight w:hRule="exact" w:val="253"/>
        </w:trPr>
        <w:tc>
          <w:tcPr>
            <w:tcW w:w="2870" w:type="dxa"/>
            <w:tcBorders>
              <w:top w:val="nil"/>
              <w:left w:val="single" w:sz="4" w:space="0" w:color="000000"/>
              <w:bottom w:val="nil"/>
              <w:right w:val="single" w:sz="4" w:space="0" w:color="000000"/>
            </w:tcBorders>
          </w:tcPr>
          <w:p w14:paraId="714F4157" w14:textId="1FDD93D4"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2. kohorsz (6–11</w:t>
            </w:r>
            <w:r w:rsidR="00CF46F8" w:rsidRPr="00360A40">
              <w:rPr>
                <w:sz w:val="22"/>
                <w:szCs w:val="22"/>
                <w:lang w:val="hu-HU"/>
              </w:rPr>
              <w:t> </w:t>
            </w:r>
            <w:r w:rsidRPr="00360A40">
              <w:rPr>
                <w:sz w:val="22"/>
                <w:szCs w:val="22"/>
                <w:lang w:val="hu-HU"/>
              </w:rPr>
              <w:t>év)</w:t>
            </w:r>
          </w:p>
        </w:tc>
        <w:tc>
          <w:tcPr>
            <w:tcW w:w="2385" w:type="dxa"/>
            <w:tcBorders>
              <w:top w:val="nil"/>
              <w:left w:val="single" w:sz="4" w:space="0" w:color="000000"/>
              <w:bottom w:val="nil"/>
              <w:right w:val="single" w:sz="4" w:space="0" w:color="000000"/>
            </w:tcBorders>
          </w:tcPr>
          <w:p w14:paraId="088AA46A" w14:textId="77777777" w:rsidR="002D66F3" w:rsidRPr="00360A40" w:rsidRDefault="002D66F3" w:rsidP="00360A40">
            <w:pPr>
              <w:pStyle w:val="TableParagraph"/>
              <w:keepNext/>
              <w:widowControl/>
              <w:kinsoku w:val="0"/>
              <w:overflowPunct w:val="0"/>
              <w:ind w:left="632"/>
              <w:rPr>
                <w:sz w:val="22"/>
                <w:szCs w:val="22"/>
                <w:lang w:val="hu-HU"/>
              </w:rPr>
            </w:pPr>
            <w:r w:rsidRPr="00360A40">
              <w:rPr>
                <w:sz w:val="22"/>
                <w:szCs w:val="22"/>
                <w:lang w:val="hu-HU"/>
              </w:rPr>
              <w:t>11/26 (42%)</w:t>
            </w:r>
          </w:p>
        </w:tc>
        <w:tc>
          <w:tcPr>
            <w:tcW w:w="2128" w:type="dxa"/>
            <w:tcBorders>
              <w:top w:val="nil"/>
              <w:left w:val="single" w:sz="4" w:space="0" w:color="000000"/>
              <w:bottom w:val="nil"/>
              <w:right w:val="single" w:sz="4" w:space="0" w:color="000000"/>
            </w:tcBorders>
          </w:tcPr>
          <w:p w14:paraId="49D22916" w14:textId="77777777" w:rsidR="002D66F3" w:rsidRPr="00360A40" w:rsidRDefault="002D66F3" w:rsidP="00360A40">
            <w:pPr>
              <w:pStyle w:val="TableParagraph"/>
              <w:keepNext/>
              <w:widowControl/>
              <w:kinsoku w:val="0"/>
              <w:overflowPunct w:val="0"/>
              <w:ind w:left="613"/>
              <w:rPr>
                <w:sz w:val="22"/>
                <w:szCs w:val="22"/>
                <w:lang w:val="hu-HU"/>
              </w:rPr>
            </w:pPr>
            <w:r w:rsidRPr="00360A40">
              <w:rPr>
                <w:sz w:val="22"/>
                <w:szCs w:val="22"/>
                <w:lang w:val="hu-HU"/>
              </w:rPr>
              <w:t>0/13 (0%)</w:t>
            </w:r>
          </w:p>
        </w:tc>
      </w:tr>
      <w:tr w:rsidR="002D66F3" w:rsidRPr="00360A40" w14:paraId="2C3EC06D" w14:textId="77777777" w:rsidTr="00D25F36">
        <w:trPr>
          <w:trHeight w:hRule="exact" w:val="253"/>
        </w:trPr>
        <w:tc>
          <w:tcPr>
            <w:tcW w:w="2870" w:type="dxa"/>
            <w:tcBorders>
              <w:top w:val="nil"/>
              <w:left w:val="single" w:sz="4" w:space="0" w:color="000000"/>
              <w:bottom w:val="nil"/>
              <w:right w:val="single" w:sz="4" w:space="0" w:color="000000"/>
            </w:tcBorders>
          </w:tcPr>
          <w:p w14:paraId="088D990D" w14:textId="77777777" w:rsidR="002D66F3" w:rsidRPr="00360A40" w:rsidRDefault="002D66F3" w:rsidP="00360A40">
            <w:pPr>
              <w:keepNext/>
              <w:widowControl/>
              <w:rPr>
                <w:sz w:val="22"/>
                <w:szCs w:val="22"/>
                <w:lang w:val="hu-HU"/>
              </w:rPr>
            </w:pPr>
          </w:p>
        </w:tc>
        <w:tc>
          <w:tcPr>
            <w:tcW w:w="2385" w:type="dxa"/>
            <w:tcBorders>
              <w:top w:val="nil"/>
              <w:left w:val="single" w:sz="4" w:space="0" w:color="000000"/>
              <w:bottom w:val="nil"/>
              <w:right w:val="single" w:sz="4" w:space="0" w:color="000000"/>
            </w:tcBorders>
          </w:tcPr>
          <w:p w14:paraId="3B352B17" w14:textId="77777777" w:rsidR="002D66F3" w:rsidRPr="00360A40" w:rsidRDefault="002D66F3" w:rsidP="00360A40">
            <w:pPr>
              <w:pStyle w:val="TableParagraph"/>
              <w:keepNext/>
              <w:widowControl/>
              <w:kinsoku w:val="0"/>
              <w:overflowPunct w:val="0"/>
              <w:ind w:left="651"/>
              <w:rPr>
                <w:sz w:val="22"/>
                <w:szCs w:val="22"/>
                <w:lang w:val="hu-HU"/>
              </w:rPr>
            </w:pPr>
            <w:r w:rsidRPr="00360A40">
              <w:rPr>
                <w:sz w:val="22"/>
                <w:szCs w:val="22"/>
                <w:lang w:val="hu-HU"/>
              </w:rPr>
              <w:t>[23%; 63%]</w:t>
            </w:r>
          </w:p>
        </w:tc>
        <w:tc>
          <w:tcPr>
            <w:tcW w:w="2128" w:type="dxa"/>
            <w:tcBorders>
              <w:top w:val="nil"/>
              <w:left w:val="single" w:sz="4" w:space="0" w:color="000000"/>
              <w:bottom w:val="nil"/>
              <w:right w:val="single" w:sz="4" w:space="0" w:color="000000"/>
            </w:tcBorders>
          </w:tcPr>
          <w:p w14:paraId="01C2E102"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[N/A]</w:t>
            </w:r>
          </w:p>
        </w:tc>
      </w:tr>
      <w:tr w:rsidR="002D66F3" w:rsidRPr="00360A40" w14:paraId="79A4BB52" w14:textId="77777777" w:rsidTr="00D25F36">
        <w:trPr>
          <w:trHeight w:hRule="exact" w:val="253"/>
        </w:trPr>
        <w:tc>
          <w:tcPr>
            <w:tcW w:w="2870" w:type="dxa"/>
            <w:vMerge w:val="restart"/>
            <w:tcBorders>
              <w:top w:val="nil"/>
              <w:left w:val="single" w:sz="4" w:space="0" w:color="000000"/>
              <w:bottom w:val="single" w:sz="4" w:space="0" w:color="000000"/>
              <w:right w:val="single" w:sz="4" w:space="0" w:color="000000"/>
            </w:tcBorders>
          </w:tcPr>
          <w:p w14:paraId="7E68E000" w14:textId="127D0136"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3. kohorsz (1–5</w:t>
            </w:r>
            <w:r w:rsidR="00CF46F8" w:rsidRPr="00360A40">
              <w:rPr>
                <w:sz w:val="22"/>
                <w:szCs w:val="22"/>
                <w:lang w:val="hu-HU"/>
              </w:rPr>
              <w:t> </w:t>
            </w:r>
            <w:r w:rsidRPr="00360A40">
              <w:rPr>
                <w:sz w:val="22"/>
                <w:szCs w:val="22"/>
                <w:lang w:val="hu-HU"/>
              </w:rPr>
              <w:t>év)</w:t>
            </w:r>
          </w:p>
        </w:tc>
        <w:tc>
          <w:tcPr>
            <w:tcW w:w="2385" w:type="dxa"/>
            <w:tcBorders>
              <w:top w:val="nil"/>
              <w:left w:val="single" w:sz="4" w:space="0" w:color="000000"/>
              <w:bottom w:val="nil"/>
              <w:right w:val="single" w:sz="4" w:space="0" w:color="000000"/>
            </w:tcBorders>
          </w:tcPr>
          <w:p w14:paraId="18665F02" w14:textId="77777777" w:rsidR="002D66F3" w:rsidRPr="00360A40" w:rsidRDefault="002D66F3" w:rsidP="00360A40">
            <w:pPr>
              <w:pStyle w:val="TableParagraph"/>
              <w:keepNext/>
              <w:widowControl/>
              <w:kinsoku w:val="0"/>
              <w:overflowPunct w:val="0"/>
              <w:ind w:left="687"/>
              <w:rPr>
                <w:sz w:val="22"/>
                <w:szCs w:val="22"/>
                <w:lang w:val="hu-HU"/>
              </w:rPr>
            </w:pPr>
            <w:r w:rsidRPr="00360A40">
              <w:rPr>
                <w:sz w:val="22"/>
                <w:szCs w:val="22"/>
                <w:lang w:val="hu-HU"/>
              </w:rPr>
              <w:t>5/14 (36%)</w:t>
            </w:r>
          </w:p>
        </w:tc>
        <w:tc>
          <w:tcPr>
            <w:tcW w:w="2128" w:type="dxa"/>
            <w:tcBorders>
              <w:top w:val="nil"/>
              <w:left w:val="single" w:sz="4" w:space="0" w:color="000000"/>
              <w:bottom w:val="nil"/>
              <w:right w:val="single" w:sz="4" w:space="0" w:color="000000"/>
            </w:tcBorders>
          </w:tcPr>
          <w:p w14:paraId="2A577EB5" w14:textId="77777777" w:rsidR="002D66F3" w:rsidRPr="00360A40" w:rsidRDefault="002D66F3" w:rsidP="00360A40">
            <w:pPr>
              <w:pStyle w:val="TableParagraph"/>
              <w:keepNext/>
              <w:widowControl/>
              <w:kinsoku w:val="0"/>
              <w:overflowPunct w:val="0"/>
              <w:ind w:left="668"/>
              <w:rPr>
                <w:sz w:val="22"/>
                <w:szCs w:val="22"/>
                <w:lang w:val="hu-HU"/>
              </w:rPr>
            </w:pPr>
            <w:r w:rsidRPr="00360A40">
              <w:rPr>
                <w:sz w:val="22"/>
                <w:szCs w:val="22"/>
                <w:lang w:val="hu-HU"/>
              </w:rPr>
              <w:t>0/6 (0%)</w:t>
            </w:r>
          </w:p>
        </w:tc>
      </w:tr>
      <w:tr w:rsidR="002D66F3" w:rsidRPr="00360A40" w14:paraId="2C6157A7" w14:textId="77777777" w:rsidTr="00D25F36">
        <w:trPr>
          <w:trHeight w:hRule="exact" w:val="248"/>
        </w:trPr>
        <w:tc>
          <w:tcPr>
            <w:tcW w:w="2870" w:type="dxa"/>
            <w:vMerge/>
            <w:tcBorders>
              <w:top w:val="nil"/>
              <w:left w:val="single" w:sz="4" w:space="0" w:color="000000"/>
              <w:bottom w:val="single" w:sz="4" w:space="0" w:color="000000"/>
              <w:right w:val="single" w:sz="4" w:space="0" w:color="000000"/>
            </w:tcBorders>
          </w:tcPr>
          <w:p w14:paraId="3FB32343" w14:textId="77777777" w:rsidR="002D66F3" w:rsidRPr="00360A40" w:rsidRDefault="002D66F3" w:rsidP="00360A40">
            <w:pPr>
              <w:pStyle w:val="TableParagraph"/>
              <w:keepNext/>
              <w:widowControl/>
              <w:kinsoku w:val="0"/>
              <w:overflowPunct w:val="0"/>
              <w:ind w:left="668"/>
              <w:rPr>
                <w:sz w:val="22"/>
                <w:szCs w:val="22"/>
                <w:lang w:val="hu-HU"/>
              </w:rPr>
            </w:pPr>
          </w:p>
        </w:tc>
        <w:tc>
          <w:tcPr>
            <w:tcW w:w="2385" w:type="dxa"/>
            <w:tcBorders>
              <w:top w:val="nil"/>
              <w:left w:val="single" w:sz="4" w:space="0" w:color="000000"/>
              <w:bottom w:val="single" w:sz="4" w:space="0" w:color="000000"/>
              <w:right w:val="single" w:sz="4" w:space="0" w:color="000000"/>
            </w:tcBorders>
          </w:tcPr>
          <w:p w14:paraId="565C9F86" w14:textId="77777777" w:rsidR="002D66F3" w:rsidRPr="00360A40" w:rsidRDefault="002D66F3" w:rsidP="00360A40">
            <w:pPr>
              <w:pStyle w:val="TableParagraph"/>
              <w:keepNext/>
              <w:widowControl/>
              <w:kinsoku w:val="0"/>
              <w:overflowPunct w:val="0"/>
              <w:ind w:left="651"/>
              <w:rPr>
                <w:sz w:val="22"/>
                <w:szCs w:val="22"/>
                <w:lang w:val="hu-HU"/>
              </w:rPr>
            </w:pPr>
            <w:r w:rsidRPr="00360A40">
              <w:rPr>
                <w:sz w:val="22"/>
                <w:szCs w:val="22"/>
                <w:lang w:val="hu-HU"/>
              </w:rPr>
              <w:t>[13%; 65%]</w:t>
            </w:r>
          </w:p>
        </w:tc>
        <w:tc>
          <w:tcPr>
            <w:tcW w:w="2128" w:type="dxa"/>
            <w:tcBorders>
              <w:top w:val="nil"/>
              <w:left w:val="single" w:sz="4" w:space="0" w:color="000000"/>
              <w:bottom w:val="single" w:sz="4" w:space="0" w:color="000000"/>
              <w:right w:val="single" w:sz="4" w:space="0" w:color="000000"/>
            </w:tcBorders>
          </w:tcPr>
          <w:p w14:paraId="3A60BDE2"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[N/A]</w:t>
            </w:r>
          </w:p>
        </w:tc>
      </w:tr>
    </w:tbl>
    <w:p w14:paraId="2D6C5F43" w14:textId="77777777" w:rsidR="002D66F3" w:rsidRPr="00360A40" w:rsidRDefault="002D66F3" w:rsidP="00360A40">
      <w:pPr>
        <w:pStyle w:val="Szvegtrzs"/>
        <w:kinsoku w:val="0"/>
        <w:overflowPunct w:val="0"/>
        <w:ind w:left="0"/>
        <w:rPr>
          <w:b/>
          <w:bCs/>
          <w:lang w:val="hu-HU"/>
        </w:rPr>
      </w:pPr>
    </w:p>
    <w:p w14:paraId="617C8F2A" w14:textId="2A37044F" w:rsidR="002D66F3" w:rsidRPr="00360A40" w:rsidRDefault="002D66F3" w:rsidP="00360A40">
      <w:pPr>
        <w:pStyle w:val="Szvegtrzs"/>
        <w:kinsoku w:val="0"/>
        <w:overflowPunct w:val="0"/>
        <w:ind w:left="0"/>
        <w:rPr>
          <w:lang w:val="hu-HU"/>
        </w:rPr>
      </w:pPr>
      <w:r w:rsidRPr="00360A40">
        <w:rPr>
          <w:lang w:val="hu-HU"/>
        </w:rPr>
        <w:t>A randomizált időszak alatt statisztikailag kevesebb eltrombopagot kapó betegnél volt szükség</w:t>
      </w:r>
      <w:r w:rsidR="00CF46F8" w:rsidRPr="00360A40">
        <w:rPr>
          <w:lang w:val="hu-HU"/>
        </w:rPr>
        <w:t xml:space="preserve"> </w:t>
      </w:r>
      <w:r w:rsidRPr="00360A40">
        <w:rPr>
          <w:lang w:val="hu-HU"/>
        </w:rPr>
        <w:t>„mentő” kezelésre (rescue treatment), mint placebót kapó betegnél (19% [12/63] vs. 24% [7/29], p</w:t>
      </w:r>
      <w:r w:rsidR="00CF46F8" w:rsidRPr="00360A40">
        <w:rPr>
          <w:lang w:val="hu-HU"/>
        </w:rPr>
        <w:t> </w:t>
      </w:r>
      <w:r w:rsidRPr="00360A40">
        <w:rPr>
          <w:lang w:val="hu-HU"/>
        </w:rPr>
        <w:t>=</w:t>
      </w:r>
      <w:r w:rsidR="00CF46F8" w:rsidRPr="00360A40">
        <w:rPr>
          <w:lang w:val="hu-HU"/>
        </w:rPr>
        <w:t> </w:t>
      </w:r>
      <w:r w:rsidRPr="00360A40">
        <w:rPr>
          <w:lang w:val="hu-HU"/>
        </w:rPr>
        <w:t>0,032).</w:t>
      </w:r>
    </w:p>
    <w:p w14:paraId="028D18B3" w14:textId="77777777" w:rsidR="002D66F3" w:rsidRPr="00360A40" w:rsidRDefault="002D66F3" w:rsidP="00360A40">
      <w:pPr>
        <w:pStyle w:val="Szvegtrzs"/>
        <w:kinsoku w:val="0"/>
        <w:overflowPunct w:val="0"/>
        <w:ind w:left="0"/>
        <w:rPr>
          <w:lang w:val="hu-HU"/>
        </w:rPr>
      </w:pPr>
    </w:p>
    <w:p w14:paraId="6B413CA1" w14:textId="4E8B010E" w:rsidR="002D66F3" w:rsidRPr="00360A40" w:rsidRDefault="002D66F3" w:rsidP="00360A40">
      <w:pPr>
        <w:pStyle w:val="Szvegtrzs"/>
        <w:kinsoku w:val="0"/>
        <w:overflowPunct w:val="0"/>
        <w:ind w:left="0"/>
        <w:rPr>
          <w:lang w:val="hu-HU"/>
        </w:rPr>
      </w:pPr>
      <w:r w:rsidRPr="00360A40">
        <w:rPr>
          <w:lang w:val="hu-HU"/>
        </w:rPr>
        <w:t>A vizsgálat megkezdésekor az eltrombopag-csoport betegeinek 71%-a és a placebocsoport betegeinek 69%-a számolt be valamilyen vérzésről (WHO 1–4. fokozat). A 12.</w:t>
      </w:r>
      <w:r w:rsidR="00CF46F8" w:rsidRPr="00360A40">
        <w:rPr>
          <w:lang w:val="hu-HU"/>
        </w:rPr>
        <w:t> </w:t>
      </w:r>
      <w:r w:rsidRPr="00360A40">
        <w:rPr>
          <w:lang w:val="hu-HU"/>
        </w:rPr>
        <w:t>héten a valamilyen vérzésről beszámoló, eltrombopagot kapó betegek aránya a kiindulási érték felére csökkent (36%).</w:t>
      </w:r>
      <w:r w:rsidR="00C62B2A" w:rsidRPr="00360A40">
        <w:rPr>
          <w:lang w:val="hu-HU"/>
        </w:rPr>
        <w:t xml:space="preserve"> </w:t>
      </w:r>
      <w:r w:rsidRPr="00360A40">
        <w:rPr>
          <w:lang w:val="hu-HU"/>
        </w:rPr>
        <w:t>Összehasonlításképpen a 12.</w:t>
      </w:r>
      <w:r w:rsidR="00CF46F8" w:rsidRPr="00360A40">
        <w:rPr>
          <w:lang w:val="hu-HU"/>
        </w:rPr>
        <w:t> </w:t>
      </w:r>
      <w:r w:rsidRPr="00360A40">
        <w:rPr>
          <w:lang w:val="hu-HU"/>
        </w:rPr>
        <w:t>héten a placebót kapó betegek 55%-a számolt be valamilyen vérzésről.</w:t>
      </w:r>
    </w:p>
    <w:p w14:paraId="40BFD4B7" w14:textId="77777777" w:rsidR="002D66F3" w:rsidRPr="00360A40" w:rsidRDefault="002D66F3" w:rsidP="00360A40">
      <w:pPr>
        <w:pStyle w:val="Szvegtrzs"/>
        <w:kinsoku w:val="0"/>
        <w:overflowPunct w:val="0"/>
        <w:ind w:left="0"/>
        <w:rPr>
          <w:lang w:val="hu-HU"/>
        </w:rPr>
      </w:pPr>
    </w:p>
    <w:p w14:paraId="135193B5" w14:textId="793B0B54" w:rsidR="002D66F3" w:rsidRPr="00360A40" w:rsidRDefault="002D66F3" w:rsidP="00360A40">
      <w:pPr>
        <w:pStyle w:val="Szvegtrzs"/>
        <w:kinsoku w:val="0"/>
        <w:overflowPunct w:val="0"/>
        <w:ind w:left="0"/>
        <w:rPr>
          <w:lang w:val="hu-HU"/>
        </w:rPr>
      </w:pPr>
      <w:r w:rsidRPr="00360A40">
        <w:rPr>
          <w:lang w:val="hu-HU"/>
        </w:rPr>
        <w:t>A betegeknél csak a vizsgálat nyílt elrendezésű fázisa alatt csökkenthették vagy hagyhatták abba a kiindulási ITP elleni kezelést, és a betegek 53%-ánál (8/15) lehetett csökkenteni (n</w:t>
      </w:r>
      <w:r w:rsidR="00CF46F8" w:rsidRPr="00360A40">
        <w:rPr>
          <w:lang w:val="hu-HU"/>
        </w:rPr>
        <w:t> </w:t>
      </w:r>
      <w:r w:rsidRPr="00360A40">
        <w:rPr>
          <w:lang w:val="hu-HU"/>
        </w:rPr>
        <w:t>=</w:t>
      </w:r>
      <w:r w:rsidR="00CF46F8" w:rsidRPr="00360A40">
        <w:rPr>
          <w:lang w:val="hu-HU"/>
        </w:rPr>
        <w:t> </w:t>
      </w:r>
      <w:r w:rsidRPr="00360A40">
        <w:rPr>
          <w:lang w:val="hu-HU"/>
        </w:rPr>
        <w:t>1) vagy abbahagyni (n</w:t>
      </w:r>
      <w:r w:rsidR="004A3AF7" w:rsidRPr="00360A40">
        <w:rPr>
          <w:lang w:val="hu-HU"/>
        </w:rPr>
        <w:t> </w:t>
      </w:r>
      <w:r w:rsidRPr="00360A40">
        <w:rPr>
          <w:lang w:val="hu-HU"/>
        </w:rPr>
        <w:t>=</w:t>
      </w:r>
      <w:r w:rsidR="004A3AF7" w:rsidRPr="00360A40">
        <w:rPr>
          <w:lang w:val="hu-HU"/>
        </w:rPr>
        <w:t> </w:t>
      </w:r>
      <w:r w:rsidRPr="00360A40">
        <w:rPr>
          <w:lang w:val="hu-HU"/>
        </w:rPr>
        <w:t>7) a kiindulási ITP elleni kezelést, elsősorban a kortikoszteroidokat, anélkül, hogy</w:t>
      </w:r>
      <w:r w:rsidR="002A2DEB" w:rsidRPr="00360A40">
        <w:rPr>
          <w:lang w:val="hu-HU"/>
        </w:rPr>
        <w:t xml:space="preserve"> </w:t>
      </w:r>
      <w:r w:rsidRPr="00360A40">
        <w:rPr>
          <w:lang w:val="hu-HU"/>
        </w:rPr>
        <w:t>„mentő” kezelésre lett volna szükségük.</w:t>
      </w:r>
    </w:p>
    <w:p w14:paraId="3B9C4C10" w14:textId="77777777" w:rsidR="002D66F3" w:rsidRPr="00360A40" w:rsidRDefault="002D66F3" w:rsidP="00360A40">
      <w:pPr>
        <w:pStyle w:val="Szvegtrzs"/>
        <w:kinsoku w:val="0"/>
        <w:overflowPunct w:val="0"/>
        <w:ind w:left="0"/>
        <w:rPr>
          <w:lang w:val="hu-HU"/>
        </w:rPr>
      </w:pPr>
    </w:p>
    <w:p w14:paraId="761EDC53" w14:textId="6A06DC01" w:rsidR="002D66F3" w:rsidRPr="00360A40" w:rsidRDefault="002D66F3" w:rsidP="00360A40">
      <w:pPr>
        <w:pStyle w:val="Szvegtrzs"/>
        <w:kinsoku w:val="0"/>
        <w:overflowPunct w:val="0"/>
        <w:ind w:left="0"/>
        <w:rPr>
          <w:lang w:val="hu-HU"/>
        </w:rPr>
      </w:pPr>
      <w:r w:rsidRPr="00360A40">
        <w:rPr>
          <w:i/>
          <w:iCs/>
          <w:lang w:val="hu-HU"/>
        </w:rPr>
        <w:t>TRA108062 (PETIT)</w:t>
      </w:r>
      <w:r w:rsidRPr="00360A40">
        <w:rPr>
          <w:lang w:val="hu-HU"/>
        </w:rPr>
        <w:t>: Az elsődleges végpont a randomizált időszak 1. és 6.</w:t>
      </w:r>
      <w:r w:rsidR="00515BB9" w:rsidRPr="00360A40">
        <w:rPr>
          <w:lang w:val="hu-HU"/>
        </w:rPr>
        <w:t> </w:t>
      </w:r>
      <w:r w:rsidRPr="00360A40">
        <w:rPr>
          <w:lang w:val="hu-HU"/>
        </w:rPr>
        <w:t>hete között legalább egyszer ≥</w:t>
      </w:r>
      <w:r w:rsidR="00515BB9" w:rsidRPr="00360A40">
        <w:rPr>
          <w:lang w:val="hu-HU"/>
        </w:rPr>
        <w:t> </w:t>
      </w:r>
      <w:r w:rsidRPr="00360A40">
        <w:rPr>
          <w:lang w:val="hu-HU"/>
        </w:rPr>
        <w:t>50 000/µl-es thrombocytaszámot elérő betegek aránya volt. A betegeknél ITP-t diagnosztizáltak legalább 6 hónapja, és nem reagáltak legalább egy megelőző ITP elleni kezelésre, vagy állapotuk súlyosbodott, vérlemezkeszámuk &lt;</w:t>
      </w:r>
      <w:r w:rsidR="00515BB9" w:rsidRPr="00360A40">
        <w:rPr>
          <w:lang w:val="hu-HU"/>
        </w:rPr>
        <w:t> </w:t>
      </w:r>
      <w:r w:rsidRPr="00360A40">
        <w:rPr>
          <w:lang w:val="hu-HU"/>
        </w:rPr>
        <w:t>30 000/µl volt (n</w:t>
      </w:r>
      <w:r w:rsidR="00515BB9" w:rsidRPr="00360A40">
        <w:rPr>
          <w:lang w:val="hu-HU"/>
        </w:rPr>
        <w:t> </w:t>
      </w:r>
      <w:r w:rsidRPr="00360A40">
        <w:rPr>
          <w:lang w:val="hu-HU"/>
        </w:rPr>
        <w:t>=</w:t>
      </w:r>
      <w:r w:rsidR="00515BB9" w:rsidRPr="00360A40">
        <w:rPr>
          <w:lang w:val="hu-HU"/>
        </w:rPr>
        <w:t> </w:t>
      </w:r>
      <w:r w:rsidRPr="00360A40">
        <w:rPr>
          <w:lang w:val="hu-HU"/>
        </w:rPr>
        <w:t>67). A vizsgálat randomizált időszaka alatt a betegeket három életkori kohorsz réteg szerint (2:1) randomizálták eltrombopagra (n</w:t>
      </w:r>
      <w:r w:rsidR="00515BB9" w:rsidRPr="00360A40">
        <w:rPr>
          <w:lang w:val="hu-HU"/>
        </w:rPr>
        <w:t> </w:t>
      </w:r>
      <w:r w:rsidRPr="00360A40">
        <w:rPr>
          <w:lang w:val="hu-HU"/>
        </w:rPr>
        <w:t>=</w:t>
      </w:r>
      <w:r w:rsidR="00515BB9" w:rsidRPr="00360A40">
        <w:rPr>
          <w:lang w:val="hu-HU"/>
        </w:rPr>
        <w:t> </w:t>
      </w:r>
      <w:r w:rsidRPr="00360A40">
        <w:rPr>
          <w:lang w:val="hu-HU"/>
        </w:rPr>
        <w:t>45) vagy placebóra (n</w:t>
      </w:r>
      <w:r w:rsidR="00515BB9" w:rsidRPr="00360A40">
        <w:rPr>
          <w:lang w:val="hu-HU"/>
        </w:rPr>
        <w:t> </w:t>
      </w:r>
      <w:r w:rsidRPr="00360A40">
        <w:rPr>
          <w:lang w:val="hu-HU"/>
        </w:rPr>
        <w:t>=</w:t>
      </w:r>
      <w:r w:rsidR="00515BB9" w:rsidRPr="00360A40">
        <w:rPr>
          <w:lang w:val="hu-HU"/>
        </w:rPr>
        <w:t> </w:t>
      </w:r>
      <w:r w:rsidRPr="00360A40">
        <w:rPr>
          <w:lang w:val="hu-HU"/>
        </w:rPr>
        <w:t>22). Az eltrombopag dózisát az individuális vérlemezkeszám alapján módosítani lehetett.</w:t>
      </w:r>
    </w:p>
    <w:p w14:paraId="18F7462E" w14:textId="77777777" w:rsidR="002D66F3" w:rsidRPr="00360A40" w:rsidRDefault="002D66F3" w:rsidP="00360A40">
      <w:pPr>
        <w:pStyle w:val="Szvegtrzs"/>
        <w:kinsoku w:val="0"/>
        <w:overflowPunct w:val="0"/>
        <w:ind w:left="0"/>
        <w:rPr>
          <w:lang w:val="hu-HU"/>
        </w:rPr>
      </w:pPr>
    </w:p>
    <w:p w14:paraId="614C0716" w14:textId="1855D547" w:rsidR="002D66F3" w:rsidRPr="00360A40" w:rsidRDefault="002D66F3" w:rsidP="00360A40">
      <w:pPr>
        <w:pStyle w:val="Szvegtrzs"/>
        <w:kinsoku w:val="0"/>
        <w:overflowPunct w:val="0"/>
        <w:ind w:left="0"/>
        <w:rPr>
          <w:lang w:val="hu-HU"/>
        </w:rPr>
      </w:pPr>
      <w:r w:rsidRPr="00360A40">
        <w:rPr>
          <w:lang w:val="hu-HU"/>
        </w:rPr>
        <w:t>Összességében az eltrombopagot kapó betegek szignifikánsan nagyobb hányada (62%) érte el az elsődleges végpontot, mint a placebót kapó beteg</w:t>
      </w:r>
      <w:r w:rsidR="00355E41" w:rsidRPr="00360A40">
        <w:rPr>
          <w:lang w:val="hu-HU"/>
        </w:rPr>
        <w:t>ek</w:t>
      </w:r>
      <w:r w:rsidRPr="00360A40">
        <w:rPr>
          <w:lang w:val="hu-HU"/>
        </w:rPr>
        <w:t>é (32%) (esélyhányados: 4,3 [95%-os CI: 1,4, 13,3]; p</w:t>
      </w:r>
      <w:r w:rsidR="00515BB9" w:rsidRPr="00360A40">
        <w:rPr>
          <w:lang w:val="hu-HU"/>
        </w:rPr>
        <w:t> </w:t>
      </w:r>
      <w:r w:rsidRPr="00360A40">
        <w:rPr>
          <w:lang w:val="hu-HU"/>
        </w:rPr>
        <w:t>=</w:t>
      </w:r>
      <w:r w:rsidR="00515BB9" w:rsidRPr="00360A40">
        <w:rPr>
          <w:lang w:val="hu-HU"/>
        </w:rPr>
        <w:t> </w:t>
      </w:r>
      <w:r w:rsidRPr="00360A40">
        <w:rPr>
          <w:lang w:val="hu-HU"/>
        </w:rPr>
        <w:t>0,011).</w:t>
      </w:r>
    </w:p>
    <w:p w14:paraId="3CB8AF8F" w14:textId="77777777" w:rsidR="002D66F3" w:rsidRPr="00360A40" w:rsidRDefault="002D66F3" w:rsidP="00360A40">
      <w:pPr>
        <w:pStyle w:val="Szvegtrzs"/>
        <w:kinsoku w:val="0"/>
        <w:overflowPunct w:val="0"/>
        <w:ind w:left="0"/>
        <w:rPr>
          <w:lang w:val="hu-HU"/>
        </w:rPr>
      </w:pPr>
    </w:p>
    <w:p w14:paraId="1433CF41" w14:textId="2EC3D072" w:rsidR="002D66F3" w:rsidRPr="00360A40" w:rsidRDefault="002D66F3" w:rsidP="00360A40">
      <w:pPr>
        <w:pStyle w:val="Szvegtrzs"/>
        <w:kinsoku w:val="0"/>
        <w:overflowPunct w:val="0"/>
        <w:ind w:left="0"/>
        <w:rPr>
          <w:lang w:val="hu-HU"/>
        </w:rPr>
      </w:pPr>
      <w:r w:rsidRPr="00360A40">
        <w:rPr>
          <w:lang w:val="hu-HU"/>
        </w:rPr>
        <w:t>Tartós válasz alakult ki a kezdetben reagáló betegek 50%-ánál a 24</w:t>
      </w:r>
      <w:r w:rsidR="00515BB9" w:rsidRPr="00360A40">
        <w:rPr>
          <w:lang w:val="hu-HU"/>
        </w:rPr>
        <w:t> </w:t>
      </w:r>
      <w:r w:rsidRPr="00360A40">
        <w:rPr>
          <w:lang w:val="hu-HU"/>
        </w:rPr>
        <w:t>hétből 20</w:t>
      </w:r>
      <w:r w:rsidR="00515BB9" w:rsidRPr="00360A40">
        <w:rPr>
          <w:lang w:val="hu-HU"/>
        </w:rPr>
        <w:t> </w:t>
      </w:r>
      <w:r w:rsidRPr="00360A40">
        <w:rPr>
          <w:lang w:val="hu-HU"/>
        </w:rPr>
        <w:t>hétig a PETIT 2 vizsgálatban és 24</w:t>
      </w:r>
      <w:r w:rsidR="00515BB9" w:rsidRPr="00360A40">
        <w:rPr>
          <w:lang w:val="hu-HU"/>
        </w:rPr>
        <w:t> </w:t>
      </w:r>
      <w:r w:rsidRPr="00360A40">
        <w:rPr>
          <w:lang w:val="hu-HU"/>
        </w:rPr>
        <w:t>hétből 15</w:t>
      </w:r>
      <w:r w:rsidR="00515BB9" w:rsidRPr="00360A40">
        <w:rPr>
          <w:lang w:val="hu-HU"/>
        </w:rPr>
        <w:t> </w:t>
      </w:r>
      <w:r w:rsidRPr="00360A40">
        <w:rPr>
          <w:lang w:val="hu-HU"/>
        </w:rPr>
        <w:t>hétig a PETIT vizsgálatban.</w:t>
      </w:r>
    </w:p>
    <w:p w14:paraId="22A29CF9" w14:textId="77777777" w:rsidR="002D66F3" w:rsidRPr="00360A40" w:rsidRDefault="002D66F3" w:rsidP="00360A40">
      <w:pPr>
        <w:pStyle w:val="Szvegtrzs"/>
        <w:kinsoku w:val="0"/>
        <w:overflowPunct w:val="0"/>
        <w:ind w:left="0"/>
        <w:rPr>
          <w:lang w:val="hu-HU"/>
        </w:rPr>
      </w:pPr>
    </w:p>
    <w:p w14:paraId="536CC450" w14:textId="77777777" w:rsidR="002D66F3" w:rsidRPr="00360A40" w:rsidRDefault="002D66F3" w:rsidP="00360A40">
      <w:pPr>
        <w:pStyle w:val="Szvegtrzs"/>
        <w:kinsoku w:val="0"/>
        <w:overflowPunct w:val="0"/>
        <w:ind w:left="0"/>
        <w:rPr>
          <w:lang w:val="hu-HU"/>
        </w:rPr>
      </w:pPr>
      <w:r w:rsidRPr="00360A40">
        <w:rPr>
          <w:i/>
          <w:iCs/>
          <w:u w:val="single"/>
          <w:lang w:val="hu-HU"/>
        </w:rPr>
        <w:t>Krónikus hepatitis C-hez kapcsolódó thrombocytopenia-vizsgálatok</w:t>
      </w:r>
    </w:p>
    <w:p w14:paraId="0EB41253" w14:textId="77777777" w:rsidR="002D66F3" w:rsidRPr="00360A40" w:rsidRDefault="002D66F3" w:rsidP="00360A40">
      <w:pPr>
        <w:pStyle w:val="Szvegtrzs"/>
        <w:kinsoku w:val="0"/>
        <w:overflowPunct w:val="0"/>
        <w:ind w:left="0"/>
        <w:rPr>
          <w:i/>
          <w:iCs/>
          <w:lang w:val="hu-HU"/>
        </w:rPr>
      </w:pPr>
    </w:p>
    <w:p w14:paraId="2D2FA4CA" w14:textId="77777777" w:rsidR="002D66F3" w:rsidRPr="00360A40" w:rsidRDefault="002D66F3" w:rsidP="00360A40">
      <w:pPr>
        <w:pStyle w:val="Szvegtrzs"/>
        <w:kinsoku w:val="0"/>
        <w:overflowPunct w:val="0"/>
        <w:ind w:left="0"/>
        <w:rPr>
          <w:lang w:val="hu-HU"/>
        </w:rPr>
      </w:pPr>
      <w:r w:rsidRPr="00360A40">
        <w:rPr>
          <w:lang w:val="hu-HU"/>
        </w:rPr>
        <w:t>Az eltrombopag biztonságosságát és hatásosságát thrombocytopeniás HCV-fertőzött betegeknél két, randomizált, kettős vak, placebokontrollos vizsgálatban értékelték. Az ENABLE 1 peginterferon alfa-2a-t és ribavirint, míg az ENABLE 2 peginterferon alfa-2b-t és ribavirint alkalmazott antivirális terápiaként. A betegek nem kaptak közvetlenül ható antivirális szert. Mindkét vizsgálatba a</w:t>
      </w:r>
    </w:p>
    <w:p w14:paraId="17D19A6C" w14:textId="0C20EC1B" w:rsidR="002D66F3" w:rsidRPr="00360A40" w:rsidRDefault="002D66F3" w:rsidP="00360A40">
      <w:pPr>
        <w:pStyle w:val="Szvegtrzs"/>
        <w:kinsoku w:val="0"/>
        <w:overflowPunct w:val="0"/>
        <w:ind w:left="0"/>
        <w:rPr>
          <w:lang w:val="hu-HU"/>
        </w:rPr>
      </w:pPr>
      <w:r w:rsidRPr="00360A40">
        <w:rPr>
          <w:lang w:val="hu-HU"/>
        </w:rPr>
        <w:t>&lt;</w:t>
      </w:r>
      <w:r w:rsidR="00515BB9" w:rsidRPr="00360A40">
        <w:rPr>
          <w:lang w:val="hu-HU"/>
        </w:rPr>
        <w:t> </w:t>
      </w:r>
      <w:r w:rsidRPr="00360A40">
        <w:rPr>
          <w:lang w:val="hu-HU"/>
        </w:rPr>
        <w:t>75</w:t>
      </w:r>
      <w:r w:rsidR="00F271B6" w:rsidRPr="00360A40">
        <w:rPr>
          <w:lang w:val="hu-HU"/>
        </w:rPr>
        <w:t> </w:t>
      </w:r>
      <w:r w:rsidRPr="00360A40">
        <w:rPr>
          <w:lang w:val="hu-HU"/>
        </w:rPr>
        <w:t>000/µl vérlemezkeszámú betegeket válogatták be, és csoportosították őket a vérlemezkeszámuk alapján (&lt;</w:t>
      </w:r>
      <w:r w:rsidR="00515BB9" w:rsidRPr="00360A40">
        <w:rPr>
          <w:lang w:val="hu-HU"/>
        </w:rPr>
        <w:t> </w:t>
      </w:r>
      <w:r w:rsidRPr="00360A40">
        <w:rPr>
          <w:lang w:val="hu-HU"/>
        </w:rPr>
        <w:t>50</w:t>
      </w:r>
      <w:r w:rsidR="00F271B6" w:rsidRPr="00360A40">
        <w:rPr>
          <w:lang w:val="hu-HU"/>
        </w:rPr>
        <w:t> </w:t>
      </w:r>
      <w:r w:rsidRPr="00360A40">
        <w:rPr>
          <w:lang w:val="hu-HU"/>
        </w:rPr>
        <w:t>000/µl és ≥</w:t>
      </w:r>
      <w:r w:rsidR="00515BB9" w:rsidRPr="00360A40">
        <w:rPr>
          <w:lang w:val="hu-HU"/>
        </w:rPr>
        <w:t> </w:t>
      </w:r>
      <w:r w:rsidRPr="00360A40">
        <w:rPr>
          <w:lang w:val="hu-HU"/>
        </w:rPr>
        <w:t>50</w:t>
      </w:r>
      <w:r w:rsidR="00F271B6" w:rsidRPr="00360A40">
        <w:rPr>
          <w:lang w:val="hu-HU"/>
        </w:rPr>
        <w:t> </w:t>
      </w:r>
      <w:r w:rsidRPr="00360A40">
        <w:rPr>
          <w:lang w:val="hu-HU"/>
        </w:rPr>
        <w:t>000/µl-től &lt;</w:t>
      </w:r>
      <w:r w:rsidR="00515BB9" w:rsidRPr="00360A40">
        <w:rPr>
          <w:lang w:val="hu-HU"/>
        </w:rPr>
        <w:t> </w:t>
      </w:r>
      <w:r w:rsidRPr="00360A40">
        <w:rPr>
          <w:lang w:val="hu-HU"/>
        </w:rPr>
        <w:t>75 000/µl-ig), szűrték őket HCV RNS-re (&lt;</w:t>
      </w:r>
      <w:r w:rsidR="00515BB9" w:rsidRPr="00360A40">
        <w:rPr>
          <w:lang w:val="hu-HU"/>
        </w:rPr>
        <w:t> </w:t>
      </w:r>
      <w:r w:rsidRPr="00360A40">
        <w:rPr>
          <w:lang w:val="hu-HU"/>
        </w:rPr>
        <w:t>800</w:t>
      </w:r>
      <w:r w:rsidR="00515BB9" w:rsidRPr="00360A40">
        <w:rPr>
          <w:lang w:val="hu-HU"/>
        </w:rPr>
        <w:t> </w:t>
      </w:r>
      <w:r w:rsidRPr="00360A40">
        <w:rPr>
          <w:lang w:val="hu-HU"/>
        </w:rPr>
        <w:t>000</w:t>
      </w:r>
      <w:r w:rsidR="00515BB9" w:rsidRPr="00360A40">
        <w:rPr>
          <w:lang w:val="hu-HU"/>
        </w:rPr>
        <w:t> </w:t>
      </w:r>
      <w:r w:rsidRPr="00360A40">
        <w:rPr>
          <w:lang w:val="hu-HU"/>
        </w:rPr>
        <w:t>NE/ml és ≥</w:t>
      </w:r>
      <w:r w:rsidR="00515BB9" w:rsidRPr="00360A40">
        <w:rPr>
          <w:lang w:val="hu-HU"/>
        </w:rPr>
        <w:t> </w:t>
      </w:r>
      <w:r w:rsidRPr="00360A40">
        <w:rPr>
          <w:lang w:val="hu-HU"/>
        </w:rPr>
        <w:t>800</w:t>
      </w:r>
      <w:r w:rsidR="00F271B6" w:rsidRPr="00360A40">
        <w:rPr>
          <w:lang w:val="hu-HU"/>
        </w:rPr>
        <w:t> </w:t>
      </w:r>
      <w:r w:rsidRPr="00360A40">
        <w:rPr>
          <w:lang w:val="hu-HU"/>
        </w:rPr>
        <w:t>000</w:t>
      </w:r>
      <w:r w:rsidR="00515BB9" w:rsidRPr="00360A40">
        <w:rPr>
          <w:lang w:val="hu-HU"/>
        </w:rPr>
        <w:t> </w:t>
      </w:r>
      <w:r w:rsidRPr="00360A40">
        <w:rPr>
          <w:lang w:val="hu-HU"/>
        </w:rPr>
        <w:t>NE/ml) és HCV genotípusra (2/3-as genotípus és 1/4/6-os genotípus).</w:t>
      </w:r>
    </w:p>
    <w:p w14:paraId="2BF95D30" w14:textId="77777777" w:rsidR="00241A9D" w:rsidRPr="00360A40" w:rsidRDefault="00241A9D" w:rsidP="00360A40">
      <w:pPr>
        <w:pStyle w:val="Szvegtrzs"/>
        <w:kinsoku w:val="0"/>
        <w:overflowPunct w:val="0"/>
        <w:ind w:left="0"/>
        <w:rPr>
          <w:lang w:val="hu-HU"/>
        </w:rPr>
      </w:pPr>
    </w:p>
    <w:p w14:paraId="1A476FD2" w14:textId="6FDDB6FE" w:rsidR="002D66F3" w:rsidRPr="00360A40" w:rsidRDefault="002D66F3" w:rsidP="00360A40">
      <w:pPr>
        <w:pStyle w:val="Szvegtrzs"/>
        <w:kinsoku w:val="0"/>
        <w:overflowPunct w:val="0"/>
        <w:ind w:left="0"/>
        <w:rPr>
          <w:lang w:val="hu-HU"/>
        </w:rPr>
      </w:pPr>
      <w:r w:rsidRPr="00360A40">
        <w:rPr>
          <w:lang w:val="hu-HU"/>
        </w:rPr>
        <w:t xml:space="preserve">A betegség kiindulási jellemzői hasonlóak voltak mindkét vizsgálatban, és összhangban voltak a kompenzált cirrhosisos HCV-betegpopulációéval. A betegek többsége HCV 1-es genotípusú volt (64%) és „bridging” fibrosisuk/cirrhosisuk volt. A betegek harmincegy százaléka korábban részesült HCV-ellenes kezelésben, elsődlegesen pegilált interferon és ribavirin kezelésben. A medián kiindulási vérlemezkeszám </w:t>
      </w:r>
      <w:r w:rsidR="00F271B6" w:rsidRPr="00360A40">
        <w:rPr>
          <w:lang w:val="hu-HU"/>
        </w:rPr>
        <w:t>59 </w:t>
      </w:r>
      <w:r w:rsidRPr="00360A40">
        <w:rPr>
          <w:lang w:val="hu-HU"/>
        </w:rPr>
        <w:t>500/µl volt mindkét csoportban: a beválogatott betegek 0,8%-ánál &lt;</w:t>
      </w:r>
      <w:r w:rsidR="00515BB9" w:rsidRPr="00360A40">
        <w:rPr>
          <w:lang w:val="hu-HU"/>
        </w:rPr>
        <w:t> </w:t>
      </w:r>
      <w:r w:rsidRPr="00360A40">
        <w:rPr>
          <w:lang w:val="hu-HU"/>
        </w:rPr>
        <w:t>20</w:t>
      </w:r>
      <w:r w:rsidR="00F271B6" w:rsidRPr="00360A40">
        <w:rPr>
          <w:lang w:val="hu-HU"/>
        </w:rPr>
        <w:t> </w:t>
      </w:r>
      <w:r w:rsidRPr="00360A40">
        <w:rPr>
          <w:lang w:val="hu-HU"/>
        </w:rPr>
        <w:t xml:space="preserve">000/µl, </w:t>
      </w:r>
      <w:r w:rsidRPr="00360A40">
        <w:rPr>
          <w:lang w:val="hu-HU"/>
        </w:rPr>
        <w:lastRenderedPageBreak/>
        <w:t>28%-ánál &lt;</w:t>
      </w:r>
      <w:r w:rsidR="00515BB9" w:rsidRPr="00360A40">
        <w:rPr>
          <w:lang w:val="hu-HU"/>
        </w:rPr>
        <w:t> </w:t>
      </w:r>
      <w:r w:rsidR="00355E41" w:rsidRPr="00360A40">
        <w:rPr>
          <w:lang w:val="hu-HU"/>
        </w:rPr>
        <w:t>5</w:t>
      </w:r>
      <w:r w:rsidRPr="00360A40">
        <w:rPr>
          <w:lang w:val="hu-HU"/>
        </w:rPr>
        <w:t>0</w:t>
      </w:r>
      <w:r w:rsidR="00F271B6" w:rsidRPr="00360A40">
        <w:rPr>
          <w:lang w:val="hu-HU"/>
        </w:rPr>
        <w:t> </w:t>
      </w:r>
      <w:r w:rsidRPr="00360A40">
        <w:rPr>
          <w:lang w:val="hu-HU"/>
        </w:rPr>
        <w:t>000/µl és 72%-ánál ≥</w:t>
      </w:r>
      <w:r w:rsidR="00515BB9" w:rsidRPr="00360A40">
        <w:rPr>
          <w:lang w:val="hu-HU"/>
        </w:rPr>
        <w:t> </w:t>
      </w:r>
      <w:r w:rsidRPr="00360A40">
        <w:rPr>
          <w:lang w:val="hu-HU"/>
        </w:rPr>
        <w:t>50</w:t>
      </w:r>
      <w:r w:rsidR="00F271B6" w:rsidRPr="00360A40">
        <w:rPr>
          <w:lang w:val="hu-HU"/>
        </w:rPr>
        <w:t> </w:t>
      </w:r>
      <w:r w:rsidRPr="00360A40">
        <w:rPr>
          <w:lang w:val="hu-HU"/>
        </w:rPr>
        <w:t>000/µl volt a vérlemezkeszám.</w:t>
      </w:r>
    </w:p>
    <w:p w14:paraId="41999099" w14:textId="77777777" w:rsidR="002D66F3" w:rsidRPr="00360A40" w:rsidRDefault="002D66F3" w:rsidP="00360A40">
      <w:pPr>
        <w:pStyle w:val="Szvegtrzs"/>
        <w:kinsoku w:val="0"/>
        <w:overflowPunct w:val="0"/>
        <w:ind w:left="0"/>
        <w:rPr>
          <w:lang w:val="hu-HU"/>
        </w:rPr>
      </w:pPr>
    </w:p>
    <w:p w14:paraId="3B4D1819" w14:textId="2C731E6D" w:rsidR="002D66F3" w:rsidRPr="00360A40" w:rsidRDefault="002D66F3" w:rsidP="00360A40">
      <w:pPr>
        <w:pStyle w:val="Szvegtrzs"/>
        <w:kinsoku w:val="0"/>
        <w:overflowPunct w:val="0"/>
        <w:ind w:left="0"/>
        <w:rPr>
          <w:lang w:val="hu-HU"/>
        </w:rPr>
      </w:pPr>
      <w:r w:rsidRPr="00360A40">
        <w:rPr>
          <w:lang w:val="hu-HU"/>
        </w:rPr>
        <w:t>A vizsgálatoknak két fázisa volt – egy antivirális kezelés előtti fázis és egy antivirális kezelési fázis. Az antivirális kezelés előtti fázisban a betegek nyílt elrendezésben eltrombopagot kaptak annak érdekében, hogy a vérlemezkeszám ≥</w:t>
      </w:r>
      <w:r w:rsidR="00515BB9" w:rsidRPr="00360A40">
        <w:rPr>
          <w:lang w:val="hu-HU"/>
        </w:rPr>
        <w:t> </w:t>
      </w:r>
      <w:r w:rsidRPr="00360A40">
        <w:rPr>
          <w:lang w:val="hu-HU"/>
        </w:rPr>
        <w:t>90</w:t>
      </w:r>
      <w:r w:rsidR="00F271B6" w:rsidRPr="00360A40">
        <w:rPr>
          <w:lang w:val="hu-HU"/>
        </w:rPr>
        <w:t> </w:t>
      </w:r>
      <w:r w:rsidRPr="00360A40">
        <w:rPr>
          <w:lang w:val="hu-HU"/>
        </w:rPr>
        <w:t>000/µl-ra emelkedjen az ENABLE 1, illetve ≥</w:t>
      </w:r>
      <w:r w:rsidR="00515BB9" w:rsidRPr="00360A40">
        <w:rPr>
          <w:lang w:val="hu-HU"/>
        </w:rPr>
        <w:t> </w:t>
      </w:r>
      <w:r w:rsidRPr="00360A40">
        <w:rPr>
          <w:lang w:val="hu-HU"/>
        </w:rPr>
        <w:t>100</w:t>
      </w:r>
      <w:r w:rsidR="00F271B6" w:rsidRPr="00360A40">
        <w:rPr>
          <w:lang w:val="hu-HU"/>
        </w:rPr>
        <w:t> </w:t>
      </w:r>
      <w:r w:rsidRPr="00360A40">
        <w:rPr>
          <w:lang w:val="hu-HU"/>
        </w:rPr>
        <w:t>000/µl-ra emelkedjen az ENABLE 2 vizsgálatban. A ≥</w:t>
      </w:r>
      <w:r w:rsidR="00515BB9" w:rsidRPr="00360A40">
        <w:rPr>
          <w:lang w:val="hu-HU"/>
        </w:rPr>
        <w:t> </w:t>
      </w:r>
      <w:r w:rsidRPr="00360A40">
        <w:rPr>
          <w:lang w:val="hu-HU"/>
        </w:rPr>
        <w:t>90</w:t>
      </w:r>
      <w:r w:rsidR="00F271B6" w:rsidRPr="00360A40">
        <w:rPr>
          <w:lang w:val="hu-HU"/>
        </w:rPr>
        <w:t> </w:t>
      </w:r>
      <w:r w:rsidRPr="00360A40">
        <w:rPr>
          <w:lang w:val="hu-HU"/>
        </w:rPr>
        <w:t>000/µl (ENABLE 1) vagy ≥</w:t>
      </w:r>
      <w:r w:rsidR="00515BB9" w:rsidRPr="00360A40">
        <w:rPr>
          <w:lang w:val="hu-HU"/>
        </w:rPr>
        <w:t> </w:t>
      </w:r>
      <w:r w:rsidRPr="00360A40">
        <w:rPr>
          <w:lang w:val="hu-HU"/>
        </w:rPr>
        <w:t>100</w:t>
      </w:r>
      <w:r w:rsidR="00F271B6" w:rsidRPr="00360A40">
        <w:rPr>
          <w:lang w:val="hu-HU"/>
        </w:rPr>
        <w:t> </w:t>
      </w:r>
      <w:r w:rsidRPr="00360A40">
        <w:rPr>
          <w:lang w:val="hu-HU"/>
        </w:rPr>
        <w:t>000/µl (ENABLE 2) vérlemezkeszám célérték elérésének medián ideje 2</w:t>
      </w:r>
      <w:r w:rsidR="00F271B6" w:rsidRPr="00360A40">
        <w:rPr>
          <w:lang w:val="hu-HU"/>
        </w:rPr>
        <w:t> </w:t>
      </w:r>
      <w:r w:rsidRPr="00360A40">
        <w:rPr>
          <w:lang w:val="hu-HU"/>
        </w:rPr>
        <w:t>hét volt.</w:t>
      </w:r>
    </w:p>
    <w:p w14:paraId="17A23ABF" w14:textId="77777777" w:rsidR="002D66F3" w:rsidRPr="00360A40" w:rsidRDefault="002D66F3" w:rsidP="00360A40">
      <w:pPr>
        <w:pStyle w:val="Szvegtrzs"/>
        <w:kinsoku w:val="0"/>
        <w:overflowPunct w:val="0"/>
        <w:ind w:left="0"/>
        <w:rPr>
          <w:lang w:val="hu-HU"/>
        </w:rPr>
      </w:pPr>
    </w:p>
    <w:p w14:paraId="45B465B0" w14:textId="5324F5A2" w:rsidR="002D66F3" w:rsidRPr="00360A40" w:rsidRDefault="002D66F3" w:rsidP="00360A40">
      <w:pPr>
        <w:pStyle w:val="Szvegtrzs"/>
        <w:kinsoku w:val="0"/>
        <w:overflowPunct w:val="0"/>
        <w:ind w:left="0"/>
        <w:rPr>
          <w:lang w:val="hu-HU"/>
        </w:rPr>
      </w:pPr>
      <w:r w:rsidRPr="00360A40">
        <w:rPr>
          <w:lang w:val="hu-HU"/>
        </w:rPr>
        <w:t>Az elsődleges hatásossági végpont mindkét vizsgálatban a tartós virológiai válasz (SVR) volt, azon betegek százalékában definiálva, akiknél a tervezett kezelési periódus vége után 24</w:t>
      </w:r>
      <w:r w:rsidR="00515BB9" w:rsidRPr="00360A40">
        <w:rPr>
          <w:lang w:val="hu-HU"/>
        </w:rPr>
        <w:t> </w:t>
      </w:r>
      <w:r w:rsidRPr="00360A40">
        <w:rPr>
          <w:lang w:val="hu-HU"/>
        </w:rPr>
        <w:t>héttel HCV-RNS nem volt kimutatható.</w:t>
      </w:r>
    </w:p>
    <w:p w14:paraId="34ADE289" w14:textId="77777777" w:rsidR="002D66F3" w:rsidRPr="00360A40" w:rsidRDefault="002D66F3" w:rsidP="00360A40">
      <w:pPr>
        <w:pStyle w:val="Szvegtrzs"/>
        <w:kinsoku w:val="0"/>
        <w:overflowPunct w:val="0"/>
        <w:ind w:left="0"/>
        <w:rPr>
          <w:lang w:val="hu-HU"/>
        </w:rPr>
      </w:pPr>
    </w:p>
    <w:p w14:paraId="0DD87432" w14:textId="7284CD0A" w:rsidR="002D66F3" w:rsidRPr="00360A40" w:rsidRDefault="002D66F3" w:rsidP="00360A40">
      <w:pPr>
        <w:pStyle w:val="Szvegtrzs"/>
        <w:kinsoku w:val="0"/>
        <w:overflowPunct w:val="0"/>
        <w:ind w:left="0"/>
        <w:rPr>
          <w:lang w:val="hu-HU"/>
        </w:rPr>
      </w:pPr>
      <w:r w:rsidRPr="00360A40">
        <w:rPr>
          <w:lang w:val="hu-HU"/>
        </w:rPr>
        <w:t>Mindkét HCV-vizsgálatban, a placebóval kezelt betegekhez viszonyítva (n</w:t>
      </w:r>
      <w:r w:rsidR="00515BB9" w:rsidRPr="00360A40">
        <w:rPr>
          <w:lang w:val="hu-HU"/>
        </w:rPr>
        <w:t> </w:t>
      </w:r>
      <w:r w:rsidRPr="00360A40">
        <w:rPr>
          <w:lang w:val="hu-HU"/>
        </w:rPr>
        <w:t>=</w:t>
      </w:r>
      <w:r w:rsidR="00515BB9" w:rsidRPr="00360A40">
        <w:rPr>
          <w:lang w:val="hu-HU"/>
        </w:rPr>
        <w:t> </w:t>
      </w:r>
      <w:r w:rsidRPr="00360A40">
        <w:rPr>
          <w:lang w:val="hu-HU"/>
        </w:rPr>
        <w:t>65, 13%), az eltrombopaggal kezelt betegek jelentősen nagyobb arányánál (n</w:t>
      </w:r>
      <w:r w:rsidR="00515BB9" w:rsidRPr="00360A40">
        <w:rPr>
          <w:lang w:val="hu-HU"/>
        </w:rPr>
        <w:t> </w:t>
      </w:r>
      <w:r w:rsidRPr="00360A40">
        <w:rPr>
          <w:lang w:val="hu-HU"/>
        </w:rPr>
        <w:t>=</w:t>
      </w:r>
      <w:r w:rsidR="00515BB9" w:rsidRPr="00360A40">
        <w:rPr>
          <w:lang w:val="hu-HU"/>
        </w:rPr>
        <w:t> </w:t>
      </w:r>
      <w:r w:rsidRPr="00360A40">
        <w:rPr>
          <w:lang w:val="hu-HU"/>
        </w:rPr>
        <w:t xml:space="preserve">201, 21%) jelentkezett tartós virológiai válasz (lásd </w:t>
      </w:r>
      <w:r w:rsidR="00FB7CC2">
        <w:rPr>
          <w:lang w:val="hu-HU"/>
        </w:rPr>
        <w:t>7</w:t>
      </w:r>
      <w:r w:rsidRPr="00360A40">
        <w:rPr>
          <w:lang w:val="hu-HU"/>
        </w:rPr>
        <w:t>.</w:t>
      </w:r>
      <w:r w:rsidR="00515BB9" w:rsidRPr="00360A40">
        <w:rPr>
          <w:lang w:val="hu-HU"/>
        </w:rPr>
        <w:t> </w:t>
      </w:r>
      <w:r w:rsidRPr="00360A40">
        <w:rPr>
          <w:lang w:val="hu-HU"/>
        </w:rPr>
        <w:t xml:space="preserve">táblázat). A tartós virológiai választ mutató betegek arányában történt javulás következetesen előfordult a randomizációs rétegek mindegyik alcsoportjában </w:t>
      </w:r>
      <w:r w:rsidR="00355E41" w:rsidRPr="00360A40">
        <w:rPr>
          <w:lang w:val="hu-HU"/>
        </w:rPr>
        <w:t>[</w:t>
      </w:r>
      <w:r w:rsidRPr="00360A40">
        <w:rPr>
          <w:lang w:val="hu-HU"/>
        </w:rPr>
        <w:t>kiindulási vérlemezkeszám (&lt;</w:t>
      </w:r>
      <w:r w:rsidR="00515BB9" w:rsidRPr="00360A40">
        <w:rPr>
          <w:lang w:val="hu-HU"/>
        </w:rPr>
        <w:t> </w:t>
      </w:r>
      <w:r w:rsidRPr="00360A40">
        <w:rPr>
          <w:lang w:val="hu-HU"/>
        </w:rPr>
        <w:t>50</w:t>
      </w:r>
      <w:r w:rsidR="00F271B6" w:rsidRPr="00360A40">
        <w:rPr>
          <w:lang w:val="hu-HU"/>
        </w:rPr>
        <w:t> </w:t>
      </w:r>
      <w:r w:rsidRPr="00360A40">
        <w:rPr>
          <w:lang w:val="hu-HU"/>
        </w:rPr>
        <w:t>000 vs. &gt;</w:t>
      </w:r>
      <w:r w:rsidR="00515BB9" w:rsidRPr="00360A40">
        <w:rPr>
          <w:lang w:val="hu-HU"/>
        </w:rPr>
        <w:t> </w:t>
      </w:r>
      <w:r w:rsidRPr="00360A40">
        <w:rPr>
          <w:lang w:val="hu-HU"/>
        </w:rPr>
        <w:t>50</w:t>
      </w:r>
      <w:r w:rsidR="00F271B6" w:rsidRPr="00360A40">
        <w:rPr>
          <w:lang w:val="hu-HU"/>
        </w:rPr>
        <w:t> </w:t>
      </w:r>
      <w:r w:rsidRPr="00360A40">
        <w:rPr>
          <w:lang w:val="hu-HU"/>
        </w:rPr>
        <w:t>000), vírusterhelés (&lt;</w:t>
      </w:r>
      <w:r w:rsidR="00515BB9" w:rsidRPr="00360A40">
        <w:rPr>
          <w:lang w:val="hu-HU"/>
        </w:rPr>
        <w:t> </w:t>
      </w:r>
      <w:r w:rsidRPr="00360A40">
        <w:rPr>
          <w:lang w:val="hu-HU"/>
        </w:rPr>
        <w:t>800</w:t>
      </w:r>
      <w:r w:rsidR="00F271B6" w:rsidRPr="00360A40">
        <w:rPr>
          <w:lang w:val="hu-HU"/>
        </w:rPr>
        <w:t> </w:t>
      </w:r>
      <w:r w:rsidRPr="00360A40">
        <w:rPr>
          <w:lang w:val="hu-HU"/>
        </w:rPr>
        <w:t>000</w:t>
      </w:r>
      <w:r w:rsidR="00515BB9" w:rsidRPr="00360A40">
        <w:rPr>
          <w:lang w:val="hu-HU"/>
        </w:rPr>
        <w:t> </w:t>
      </w:r>
      <w:r w:rsidRPr="00360A40">
        <w:rPr>
          <w:lang w:val="hu-HU"/>
        </w:rPr>
        <w:t>NE/ml vs. ≥</w:t>
      </w:r>
      <w:r w:rsidR="00515BB9" w:rsidRPr="00360A40">
        <w:rPr>
          <w:lang w:val="hu-HU"/>
        </w:rPr>
        <w:t> </w:t>
      </w:r>
      <w:r w:rsidRPr="00360A40">
        <w:rPr>
          <w:lang w:val="hu-HU"/>
        </w:rPr>
        <w:t>800</w:t>
      </w:r>
      <w:r w:rsidR="00515BB9" w:rsidRPr="00360A40">
        <w:rPr>
          <w:lang w:val="hu-HU"/>
        </w:rPr>
        <w:t> </w:t>
      </w:r>
      <w:r w:rsidRPr="00360A40">
        <w:rPr>
          <w:lang w:val="hu-HU"/>
        </w:rPr>
        <w:t>000</w:t>
      </w:r>
      <w:r w:rsidR="00515BB9" w:rsidRPr="00360A40">
        <w:rPr>
          <w:lang w:val="hu-HU"/>
        </w:rPr>
        <w:t> </w:t>
      </w:r>
      <w:r w:rsidRPr="00360A40">
        <w:rPr>
          <w:lang w:val="hu-HU"/>
        </w:rPr>
        <w:t>NE/ml) és genotípus (2/3 vs. 1/4/6)</w:t>
      </w:r>
      <w:r w:rsidR="00355E41" w:rsidRPr="00360A40">
        <w:rPr>
          <w:lang w:val="hu-HU"/>
        </w:rPr>
        <w:t>]</w:t>
      </w:r>
      <w:r w:rsidRPr="00360A40">
        <w:rPr>
          <w:lang w:val="hu-HU"/>
        </w:rPr>
        <w:t>.</w:t>
      </w:r>
    </w:p>
    <w:p w14:paraId="43EE4E26" w14:textId="77777777" w:rsidR="002D66F3" w:rsidRPr="00360A40" w:rsidRDefault="002D66F3" w:rsidP="00360A40">
      <w:pPr>
        <w:pStyle w:val="Szvegtrzs"/>
        <w:kinsoku w:val="0"/>
        <w:overflowPunct w:val="0"/>
        <w:ind w:left="0"/>
        <w:rPr>
          <w:lang w:val="hu-HU"/>
        </w:rPr>
      </w:pPr>
    </w:p>
    <w:p w14:paraId="2838D32F" w14:textId="6BBAFD67" w:rsidR="002D66F3" w:rsidRPr="00360A40" w:rsidRDefault="00FB7CC2" w:rsidP="00360A40">
      <w:pPr>
        <w:pStyle w:val="Cmsor1"/>
        <w:kinsoku w:val="0"/>
        <w:overflowPunct w:val="0"/>
        <w:ind w:left="0" w:firstLine="0"/>
        <w:rPr>
          <w:b w:val="0"/>
          <w:bCs w:val="0"/>
          <w:lang w:val="hu-HU"/>
        </w:rPr>
      </w:pPr>
      <w:r>
        <w:rPr>
          <w:lang w:val="hu-HU"/>
        </w:rPr>
        <w:t>7</w:t>
      </w:r>
      <w:r w:rsidR="00241A9D" w:rsidRPr="00360A40">
        <w:rPr>
          <w:lang w:val="hu-HU"/>
        </w:rPr>
        <w:t>.</w:t>
      </w:r>
      <w:r w:rsidR="00BC36B4" w:rsidRPr="00360A40">
        <w:rPr>
          <w:lang w:val="hu-HU"/>
        </w:rPr>
        <w:t> </w:t>
      </w:r>
      <w:r w:rsidR="002D66F3" w:rsidRPr="00360A40">
        <w:rPr>
          <w:lang w:val="hu-HU"/>
        </w:rPr>
        <w:t>táblázat</w:t>
      </w:r>
      <w:r w:rsidR="002D66F3" w:rsidRPr="00360A40">
        <w:rPr>
          <w:lang w:val="hu-HU"/>
        </w:rPr>
        <w:tab/>
        <w:t>Az ENABLE 1 és az ENABLE 2 HCV-betegeinek virológiai válasza</w:t>
      </w:r>
    </w:p>
    <w:p w14:paraId="270A8193" w14:textId="77777777" w:rsidR="002D66F3" w:rsidRPr="00360A40" w:rsidRDefault="002D66F3" w:rsidP="00360A40">
      <w:pPr>
        <w:pStyle w:val="Szvegtrzs"/>
        <w:kinsoku w:val="0"/>
        <w:overflowPunct w:val="0"/>
        <w:ind w:left="0"/>
        <w:rPr>
          <w:b/>
          <w:bCs/>
          <w:lang w:val="hu-HU"/>
        </w:rPr>
      </w:pPr>
    </w:p>
    <w:tbl>
      <w:tblPr>
        <w:tblW w:w="10065" w:type="dxa"/>
        <w:tblInd w:w="-5" w:type="dxa"/>
        <w:tblLayout w:type="fixed"/>
        <w:tblCellMar>
          <w:left w:w="0" w:type="dxa"/>
          <w:right w:w="0" w:type="dxa"/>
        </w:tblCellMar>
        <w:tblLook w:val="0000" w:firstRow="0" w:lastRow="0" w:firstColumn="0" w:lastColumn="0" w:noHBand="0" w:noVBand="0"/>
      </w:tblPr>
      <w:tblGrid>
        <w:gridCol w:w="2504"/>
        <w:gridCol w:w="1465"/>
        <w:gridCol w:w="1276"/>
        <w:gridCol w:w="1418"/>
        <w:gridCol w:w="992"/>
        <w:gridCol w:w="1417"/>
        <w:gridCol w:w="993"/>
      </w:tblGrid>
      <w:tr w:rsidR="002D66F3" w:rsidRPr="00360A40" w14:paraId="3CCB438D"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5919B387" w14:textId="77777777" w:rsidR="002D66F3" w:rsidRPr="00360A40" w:rsidRDefault="002D66F3" w:rsidP="00360A40">
            <w:pPr>
              <w:rPr>
                <w:sz w:val="22"/>
                <w:szCs w:val="22"/>
                <w:lang w:val="hu-HU"/>
              </w:rPr>
            </w:pPr>
          </w:p>
        </w:tc>
        <w:tc>
          <w:tcPr>
            <w:tcW w:w="2741" w:type="dxa"/>
            <w:gridSpan w:val="2"/>
            <w:tcBorders>
              <w:top w:val="single" w:sz="4" w:space="0" w:color="000000"/>
              <w:left w:val="single" w:sz="4" w:space="0" w:color="000000"/>
              <w:bottom w:val="single" w:sz="4" w:space="0" w:color="000000"/>
              <w:right w:val="single" w:sz="4" w:space="0" w:color="000000"/>
            </w:tcBorders>
          </w:tcPr>
          <w:p w14:paraId="4A0914B0" w14:textId="77777777" w:rsidR="002D66F3" w:rsidRPr="00360A40" w:rsidRDefault="002D66F3" w:rsidP="00360A40">
            <w:pPr>
              <w:pStyle w:val="TableParagraph"/>
              <w:kinsoku w:val="0"/>
              <w:overflowPunct w:val="0"/>
              <w:ind w:left="276"/>
              <w:rPr>
                <w:sz w:val="22"/>
                <w:szCs w:val="22"/>
                <w:lang w:val="hu-HU"/>
              </w:rPr>
            </w:pPr>
            <w:r w:rsidRPr="00360A40">
              <w:rPr>
                <w:b/>
                <w:bCs/>
                <w:sz w:val="22"/>
                <w:szCs w:val="22"/>
                <w:lang w:val="hu-HU"/>
              </w:rPr>
              <w:t>Összesített adatok</w:t>
            </w:r>
          </w:p>
        </w:tc>
        <w:tc>
          <w:tcPr>
            <w:tcW w:w="2410" w:type="dxa"/>
            <w:gridSpan w:val="2"/>
            <w:tcBorders>
              <w:top w:val="single" w:sz="4" w:space="0" w:color="000000"/>
              <w:left w:val="single" w:sz="4" w:space="0" w:color="000000"/>
              <w:bottom w:val="single" w:sz="4" w:space="0" w:color="000000"/>
              <w:right w:val="single" w:sz="4" w:space="0" w:color="000000"/>
            </w:tcBorders>
          </w:tcPr>
          <w:p w14:paraId="596B8B30" w14:textId="77777777" w:rsidR="002D66F3" w:rsidRPr="00360A40" w:rsidRDefault="002D66F3" w:rsidP="00360A40">
            <w:pPr>
              <w:pStyle w:val="TableParagraph"/>
              <w:kinsoku w:val="0"/>
              <w:overflowPunct w:val="0"/>
              <w:ind w:left="558"/>
              <w:rPr>
                <w:sz w:val="22"/>
                <w:szCs w:val="22"/>
                <w:lang w:val="hu-HU"/>
              </w:rPr>
            </w:pPr>
            <w:r w:rsidRPr="00360A40">
              <w:rPr>
                <w:b/>
                <w:bCs/>
                <w:sz w:val="22"/>
                <w:szCs w:val="22"/>
                <w:lang w:val="hu-HU"/>
              </w:rPr>
              <w:t>ENABLE 1</w:t>
            </w:r>
            <w:r w:rsidRPr="009F4BD6">
              <w:rPr>
                <w:b/>
                <w:bCs/>
                <w:sz w:val="22"/>
                <w:szCs w:val="22"/>
                <w:vertAlign w:val="superscript"/>
                <w:lang w:val="hu-HU"/>
              </w:rPr>
              <w:t>a</w:t>
            </w:r>
          </w:p>
        </w:tc>
        <w:tc>
          <w:tcPr>
            <w:tcW w:w="2410" w:type="dxa"/>
            <w:gridSpan w:val="2"/>
            <w:tcBorders>
              <w:top w:val="single" w:sz="4" w:space="0" w:color="000000"/>
              <w:left w:val="single" w:sz="4" w:space="0" w:color="000000"/>
              <w:bottom w:val="single" w:sz="4" w:space="0" w:color="000000"/>
              <w:right w:val="single" w:sz="4" w:space="0" w:color="000000"/>
            </w:tcBorders>
          </w:tcPr>
          <w:p w14:paraId="0DC795D2" w14:textId="77777777" w:rsidR="002D66F3" w:rsidRPr="00360A40" w:rsidRDefault="002D66F3" w:rsidP="00360A40">
            <w:pPr>
              <w:pStyle w:val="TableParagraph"/>
              <w:kinsoku w:val="0"/>
              <w:overflowPunct w:val="0"/>
              <w:ind w:left="555"/>
              <w:rPr>
                <w:sz w:val="22"/>
                <w:szCs w:val="22"/>
                <w:lang w:val="hu-HU"/>
              </w:rPr>
            </w:pPr>
            <w:r w:rsidRPr="00360A40">
              <w:rPr>
                <w:b/>
                <w:bCs/>
                <w:sz w:val="22"/>
                <w:szCs w:val="22"/>
                <w:lang w:val="hu-HU"/>
              </w:rPr>
              <w:t>ENABLE 2</w:t>
            </w:r>
            <w:r w:rsidRPr="009F4BD6">
              <w:rPr>
                <w:b/>
                <w:bCs/>
                <w:sz w:val="22"/>
                <w:szCs w:val="22"/>
                <w:vertAlign w:val="superscript"/>
                <w:lang w:val="hu-HU"/>
              </w:rPr>
              <w:t>b</w:t>
            </w:r>
          </w:p>
        </w:tc>
      </w:tr>
      <w:tr w:rsidR="002D66F3" w:rsidRPr="00360A40" w14:paraId="6A2D028E"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5CEB3CC8" w14:textId="03F1A1B7" w:rsidR="002D66F3" w:rsidRPr="00360A40" w:rsidRDefault="002D66F3" w:rsidP="00095772">
            <w:pPr>
              <w:pStyle w:val="TableParagraph"/>
              <w:kinsoku w:val="0"/>
              <w:overflowPunct w:val="0"/>
              <w:ind w:left="102"/>
              <w:rPr>
                <w:sz w:val="22"/>
                <w:szCs w:val="22"/>
                <w:lang w:val="hu-HU"/>
              </w:rPr>
            </w:pPr>
            <w:r w:rsidRPr="00360A40">
              <w:rPr>
                <w:sz w:val="22"/>
                <w:szCs w:val="22"/>
                <w:lang w:val="hu-HU"/>
              </w:rPr>
              <w:t>A vérlemezkeszám célértéket elérő és antivirális terápiát megkezdő betegek</w:t>
            </w:r>
            <w:r w:rsidRPr="009F4BD6">
              <w:rPr>
                <w:b/>
                <w:bCs/>
                <w:sz w:val="22"/>
                <w:szCs w:val="22"/>
                <w:vertAlign w:val="superscript"/>
                <w:lang w:val="hu-HU"/>
              </w:rPr>
              <w:t>c</w:t>
            </w:r>
          </w:p>
        </w:tc>
        <w:tc>
          <w:tcPr>
            <w:tcW w:w="2741" w:type="dxa"/>
            <w:gridSpan w:val="2"/>
            <w:tcBorders>
              <w:top w:val="single" w:sz="4" w:space="0" w:color="000000"/>
              <w:left w:val="single" w:sz="4" w:space="0" w:color="000000"/>
              <w:bottom w:val="single" w:sz="4" w:space="0" w:color="000000"/>
              <w:right w:val="single" w:sz="4" w:space="0" w:color="000000"/>
            </w:tcBorders>
          </w:tcPr>
          <w:p w14:paraId="4787A636" w14:textId="77777777" w:rsidR="002D66F3" w:rsidRPr="00360A40" w:rsidRDefault="002D66F3" w:rsidP="00360A40">
            <w:pPr>
              <w:pStyle w:val="TableParagraph"/>
              <w:kinsoku w:val="0"/>
              <w:overflowPunct w:val="0"/>
              <w:rPr>
                <w:b/>
                <w:bCs/>
                <w:sz w:val="22"/>
                <w:szCs w:val="22"/>
                <w:lang w:val="hu-HU"/>
              </w:rPr>
            </w:pPr>
          </w:p>
          <w:p w14:paraId="3A00527D" w14:textId="77777777" w:rsidR="002D66F3" w:rsidRPr="00360A40" w:rsidRDefault="002D66F3" w:rsidP="00360A40">
            <w:pPr>
              <w:pStyle w:val="TableParagraph"/>
              <w:kinsoku w:val="0"/>
              <w:overflowPunct w:val="0"/>
              <w:ind w:left="355"/>
              <w:rPr>
                <w:sz w:val="22"/>
                <w:szCs w:val="22"/>
                <w:lang w:val="hu-HU"/>
              </w:rPr>
            </w:pPr>
            <w:r w:rsidRPr="00360A40">
              <w:rPr>
                <w:sz w:val="22"/>
                <w:szCs w:val="22"/>
                <w:lang w:val="hu-HU"/>
              </w:rPr>
              <w:t>1439/1520 (95%)</w:t>
            </w:r>
          </w:p>
        </w:tc>
        <w:tc>
          <w:tcPr>
            <w:tcW w:w="2410" w:type="dxa"/>
            <w:gridSpan w:val="2"/>
            <w:tcBorders>
              <w:top w:val="single" w:sz="4" w:space="0" w:color="000000"/>
              <w:left w:val="single" w:sz="4" w:space="0" w:color="000000"/>
              <w:bottom w:val="single" w:sz="4" w:space="0" w:color="000000"/>
              <w:right w:val="single" w:sz="4" w:space="0" w:color="000000"/>
            </w:tcBorders>
          </w:tcPr>
          <w:p w14:paraId="39695C54" w14:textId="77777777" w:rsidR="002D66F3" w:rsidRPr="00360A40" w:rsidRDefault="002D66F3" w:rsidP="00360A40">
            <w:pPr>
              <w:pStyle w:val="TableParagraph"/>
              <w:kinsoku w:val="0"/>
              <w:overflowPunct w:val="0"/>
              <w:rPr>
                <w:b/>
                <w:bCs/>
                <w:sz w:val="22"/>
                <w:szCs w:val="22"/>
                <w:lang w:val="hu-HU"/>
              </w:rPr>
            </w:pPr>
          </w:p>
          <w:p w14:paraId="1A07D0F8" w14:textId="77777777" w:rsidR="002D66F3" w:rsidRPr="00360A40" w:rsidRDefault="002D66F3" w:rsidP="00360A40">
            <w:pPr>
              <w:pStyle w:val="TableParagraph"/>
              <w:kinsoku w:val="0"/>
              <w:overflowPunct w:val="0"/>
              <w:ind w:left="464"/>
              <w:rPr>
                <w:sz w:val="22"/>
                <w:szCs w:val="22"/>
                <w:lang w:val="hu-HU"/>
              </w:rPr>
            </w:pPr>
            <w:r w:rsidRPr="00360A40">
              <w:rPr>
                <w:sz w:val="22"/>
                <w:szCs w:val="22"/>
                <w:lang w:val="hu-HU"/>
              </w:rPr>
              <w:t>680/715 (95%)</w:t>
            </w:r>
          </w:p>
        </w:tc>
        <w:tc>
          <w:tcPr>
            <w:tcW w:w="2410" w:type="dxa"/>
            <w:gridSpan w:val="2"/>
            <w:tcBorders>
              <w:top w:val="single" w:sz="4" w:space="0" w:color="000000"/>
              <w:left w:val="single" w:sz="4" w:space="0" w:color="000000"/>
              <w:bottom w:val="single" w:sz="4" w:space="0" w:color="000000"/>
              <w:right w:val="single" w:sz="4" w:space="0" w:color="000000"/>
            </w:tcBorders>
          </w:tcPr>
          <w:p w14:paraId="38E87464" w14:textId="77777777" w:rsidR="002D66F3" w:rsidRPr="00360A40" w:rsidRDefault="002D66F3" w:rsidP="00360A40">
            <w:pPr>
              <w:pStyle w:val="TableParagraph"/>
              <w:kinsoku w:val="0"/>
              <w:overflowPunct w:val="0"/>
              <w:rPr>
                <w:b/>
                <w:bCs/>
                <w:sz w:val="22"/>
                <w:szCs w:val="22"/>
                <w:lang w:val="hu-HU"/>
              </w:rPr>
            </w:pPr>
          </w:p>
          <w:p w14:paraId="48C5DFF1" w14:textId="77777777" w:rsidR="002D66F3" w:rsidRPr="00360A40" w:rsidRDefault="002D66F3" w:rsidP="00360A40">
            <w:pPr>
              <w:pStyle w:val="TableParagraph"/>
              <w:kinsoku w:val="0"/>
              <w:overflowPunct w:val="0"/>
              <w:ind w:left="465"/>
              <w:rPr>
                <w:sz w:val="22"/>
                <w:szCs w:val="22"/>
                <w:lang w:val="hu-HU"/>
              </w:rPr>
            </w:pPr>
            <w:r w:rsidRPr="00360A40">
              <w:rPr>
                <w:sz w:val="22"/>
                <w:szCs w:val="22"/>
                <w:lang w:val="hu-HU"/>
              </w:rPr>
              <w:t>759/805 (94%)</w:t>
            </w:r>
          </w:p>
        </w:tc>
      </w:tr>
      <w:tr w:rsidR="002D66F3" w:rsidRPr="00360A40" w14:paraId="2FEA7548"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5BC7F1E7" w14:textId="77777777" w:rsidR="002D66F3" w:rsidRPr="00360A40" w:rsidRDefault="002D66F3" w:rsidP="00360A40">
            <w:pPr>
              <w:rPr>
                <w:sz w:val="22"/>
                <w:szCs w:val="22"/>
                <w:lang w:val="hu-HU"/>
              </w:rPr>
            </w:pPr>
          </w:p>
        </w:tc>
        <w:tc>
          <w:tcPr>
            <w:tcW w:w="1465" w:type="dxa"/>
            <w:tcBorders>
              <w:top w:val="single" w:sz="4" w:space="0" w:color="000000"/>
              <w:left w:val="single" w:sz="4" w:space="0" w:color="000000"/>
              <w:bottom w:val="single" w:sz="4" w:space="0" w:color="000000"/>
              <w:right w:val="single" w:sz="4" w:space="0" w:color="000000"/>
            </w:tcBorders>
          </w:tcPr>
          <w:p w14:paraId="20980F79" w14:textId="77777777" w:rsidR="002D66F3" w:rsidRPr="00360A40" w:rsidRDefault="002D66F3" w:rsidP="00360A40">
            <w:pPr>
              <w:pStyle w:val="TableParagraph"/>
              <w:kinsoku w:val="0"/>
              <w:overflowPunct w:val="0"/>
              <w:ind w:left="121"/>
              <w:rPr>
                <w:sz w:val="22"/>
                <w:szCs w:val="22"/>
                <w:lang w:val="hu-HU"/>
              </w:rPr>
            </w:pPr>
            <w:r w:rsidRPr="00360A40">
              <w:rPr>
                <w:b/>
                <w:bCs/>
                <w:sz w:val="22"/>
                <w:szCs w:val="22"/>
                <w:lang w:val="hu-HU"/>
              </w:rPr>
              <w:t>Eltrombopag</w:t>
            </w:r>
          </w:p>
        </w:tc>
        <w:tc>
          <w:tcPr>
            <w:tcW w:w="1276" w:type="dxa"/>
            <w:tcBorders>
              <w:top w:val="single" w:sz="4" w:space="0" w:color="000000"/>
              <w:left w:val="single" w:sz="4" w:space="0" w:color="000000"/>
              <w:bottom w:val="single" w:sz="4" w:space="0" w:color="000000"/>
              <w:right w:val="single" w:sz="4" w:space="0" w:color="000000"/>
            </w:tcBorders>
          </w:tcPr>
          <w:p w14:paraId="049665A9" w14:textId="77777777" w:rsidR="002D66F3" w:rsidRPr="00360A40" w:rsidRDefault="002D66F3" w:rsidP="00360A40">
            <w:pPr>
              <w:pStyle w:val="TableParagraph"/>
              <w:kinsoku w:val="0"/>
              <w:overflowPunct w:val="0"/>
              <w:ind w:left="189"/>
              <w:rPr>
                <w:sz w:val="22"/>
                <w:szCs w:val="22"/>
                <w:lang w:val="hu-HU"/>
              </w:rPr>
            </w:pPr>
            <w:r w:rsidRPr="00360A40">
              <w:rPr>
                <w:b/>
                <w:bCs/>
                <w:sz w:val="22"/>
                <w:szCs w:val="22"/>
                <w:lang w:val="hu-HU"/>
              </w:rPr>
              <w:t>Placebo</w:t>
            </w:r>
          </w:p>
        </w:tc>
        <w:tc>
          <w:tcPr>
            <w:tcW w:w="1418" w:type="dxa"/>
            <w:tcBorders>
              <w:top w:val="single" w:sz="4" w:space="0" w:color="000000"/>
              <w:left w:val="single" w:sz="4" w:space="0" w:color="000000"/>
              <w:bottom w:val="single" w:sz="4" w:space="0" w:color="000000"/>
              <w:right w:val="single" w:sz="4" w:space="0" w:color="000000"/>
            </w:tcBorders>
          </w:tcPr>
          <w:p w14:paraId="18C6A990" w14:textId="77777777" w:rsidR="002D66F3" w:rsidRPr="00360A40" w:rsidRDefault="002D66F3" w:rsidP="00360A40">
            <w:pPr>
              <w:pStyle w:val="TableParagraph"/>
              <w:kinsoku w:val="0"/>
              <w:overflowPunct w:val="0"/>
              <w:ind w:left="121"/>
              <w:rPr>
                <w:sz w:val="22"/>
                <w:szCs w:val="22"/>
                <w:lang w:val="hu-HU"/>
              </w:rPr>
            </w:pPr>
            <w:r w:rsidRPr="00360A40">
              <w:rPr>
                <w:b/>
                <w:bCs/>
                <w:sz w:val="22"/>
                <w:szCs w:val="22"/>
                <w:lang w:val="hu-HU"/>
              </w:rPr>
              <w:t>Eltrombopag</w:t>
            </w:r>
          </w:p>
        </w:tc>
        <w:tc>
          <w:tcPr>
            <w:tcW w:w="992" w:type="dxa"/>
            <w:tcBorders>
              <w:top w:val="single" w:sz="4" w:space="0" w:color="000000"/>
              <w:left w:val="single" w:sz="4" w:space="0" w:color="000000"/>
              <w:bottom w:val="single" w:sz="4" w:space="0" w:color="000000"/>
              <w:right w:val="single" w:sz="4" w:space="0" w:color="000000"/>
            </w:tcBorders>
          </w:tcPr>
          <w:p w14:paraId="1863B063" w14:textId="77777777" w:rsidR="002D66F3" w:rsidRPr="00360A40" w:rsidRDefault="002D66F3" w:rsidP="00360A40">
            <w:pPr>
              <w:pStyle w:val="TableParagraph"/>
              <w:kinsoku w:val="0"/>
              <w:overflowPunct w:val="0"/>
              <w:ind w:left="188"/>
              <w:rPr>
                <w:sz w:val="22"/>
                <w:szCs w:val="22"/>
                <w:lang w:val="hu-HU"/>
              </w:rPr>
            </w:pPr>
            <w:r w:rsidRPr="00360A40">
              <w:rPr>
                <w:b/>
                <w:bCs/>
                <w:sz w:val="22"/>
                <w:szCs w:val="22"/>
                <w:lang w:val="hu-HU"/>
              </w:rPr>
              <w:t>Placebo</w:t>
            </w:r>
          </w:p>
        </w:tc>
        <w:tc>
          <w:tcPr>
            <w:tcW w:w="1417" w:type="dxa"/>
            <w:tcBorders>
              <w:top w:val="single" w:sz="4" w:space="0" w:color="000000"/>
              <w:left w:val="single" w:sz="4" w:space="0" w:color="000000"/>
              <w:bottom w:val="single" w:sz="4" w:space="0" w:color="000000"/>
              <w:right w:val="single" w:sz="4" w:space="0" w:color="000000"/>
            </w:tcBorders>
          </w:tcPr>
          <w:p w14:paraId="43728CD9" w14:textId="77777777" w:rsidR="002D66F3" w:rsidRPr="00360A40" w:rsidRDefault="002D66F3" w:rsidP="00360A40">
            <w:pPr>
              <w:pStyle w:val="TableParagraph"/>
              <w:kinsoku w:val="0"/>
              <w:overflowPunct w:val="0"/>
              <w:ind w:left="121"/>
              <w:rPr>
                <w:sz w:val="22"/>
                <w:szCs w:val="22"/>
                <w:lang w:val="hu-HU"/>
              </w:rPr>
            </w:pPr>
            <w:r w:rsidRPr="00360A40">
              <w:rPr>
                <w:b/>
                <w:bCs/>
                <w:sz w:val="22"/>
                <w:szCs w:val="22"/>
                <w:lang w:val="hu-HU"/>
              </w:rPr>
              <w:t>Eltrombopag</w:t>
            </w:r>
          </w:p>
        </w:tc>
        <w:tc>
          <w:tcPr>
            <w:tcW w:w="993" w:type="dxa"/>
            <w:tcBorders>
              <w:top w:val="single" w:sz="4" w:space="0" w:color="000000"/>
              <w:left w:val="single" w:sz="4" w:space="0" w:color="000000"/>
              <w:bottom w:val="single" w:sz="4" w:space="0" w:color="000000"/>
              <w:right w:val="single" w:sz="4" w:space="0" w:color="000000"/>
            </w:tcBorders>
          </w:tcPr>
          <w:p w14:paraId="1C92343B" w14:textId="77777777" w:rsidR="002D66F3" w:rsidRPr="00360A40" w:rsidRDefault="002D66F3" w:rsidP="00360A40">
            <w:pPr>
              <w:pStyle w:val="TableParagraph"/>
              <w:kinsoku w:val="0"/>
              <w:overflowPunct w:val="0"/>
              <w:ind w:left="188"/>
              <w:rPr>
                <w:sz w:val="22"/>
                <w:szCs w:val="22"/>
                <w:lang w:val="hu-HU"/>
              </w:rPr>
            </w:pPr>
            <w:r w:rsidRPr="00360A40">
              <w:rPr>
                <w:b/>
                <w:bCs/>
                <w:sz w:val="22"/>
                <w:szCs w:val="22"/>
                <w:lang w:val="hu-HU"/>
              </w:rPr>
              <w:t>Placebo</w:t>
            </w:r>
          </w:p>
        </w:tc>
      </w:tr>
      <w:tr w:rsidR="002D66F3" w:rsidRPr="00360A40" w14:paraId="418C2117"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50A20753" w14:textId="77777777" w:rsidR="002D66F3" w:rsidRPr="00360A40" w:rsidRDefault="002D66F3" w:rsidP="00360A40">
            <w:pPr>
              <w:pStyle w:val="TableParagraph"/>
              <w:kinsoku w:val="0"/>
              <w:overflowPunct w:val="0"/>
              <w:ind w:left="102"/>
              <w:rPr>
                <w:sz w:val="22"/>
                <w:szCs w:val="22"/>
                <w:lang w:val="hu-HU"/>
              </w:rPr>
            </w:pPr>
            <w:r w:rsidRPr="00360A40">
              <w:rPr>
                <w:b/>
                <w:bCs/>
                <w:sz w:val="22"/>
                <w:szCs w:val="22"/>
                <w:lang w:val="hu-HU"/>
              </w:rPr>
              <w:t>Az antivirális kezelési fázisba belépő betegek teljes száma</w:t>
            </w:r>
          </w:p>
        </w:tc>
        <w:tc>
          <w:tcPr>
            <w:tcW w:w="1465" w:type="dxa"/>
            <w:tcBorders>
              <w:top w:val="single" w:sz="4" w:space="0" w:color="000000"/>
              <w:left w:val="single" w:sz="4" w:space="0" w:color="000000"/>
              <w:bottom w:val="single" w:sz="4" w:space="0" w:color="000000"/>
              <w:right w:val="single" w:sz="4" w:space="0" w:color="000000"/>
            </w:tcBorders>
          </w:tcPr>
          <w:p w14:paraId="72FFCF85" w14:textId="673B1F2F" w:rsidR="002D66F3" w:rsidRPr="00360A40" w:rsidRDefault="002D66F3" w:rsidP="00360A40">
            <w:pPr>
              <w:pStyle w:val="TableParagraph"/>
              <w:kinsoku w:val="0"/>
              <w:overflowPunct w:val="0"/>
              <w:ind w:left="288"/>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956</w:t>
            </w:r>
          </w:p>
        </w:tc>
        <w:tc>
          <w:tcPr>
            <w:tcW w:w="1276" w:type="dxa"/>
            <w:tcBorders>
              <w:top w:val="single" w:sz="4" w:space="0" w:color="000000"/>
              <w:left w:val="single" w:sz="4" w:space="0" w:color="000000"/>
              <w:bottom w:val="single" w:sz="4" w:space="0" w:color="000000"/>
              <w:right w:val="single" w:sz="4" w:space="0" w:color="000000"/>
            </w:tcBorders>
          </w:tcPr>
          <w:p w14:paraId="5AC90F62" w14:textId="3D27E44C" w:rsidR="002D66F3" w:rsidRPr="00360A40" w:rsidRDefault="002D66F3" w:rsidP="00360A40">
            <w:pPr>
              <w:pStyle w:val="TableParagraph"/>
              <w:kinsoku w:val="0"/>
              <w:overflowPunct w:val="0"/>
              <w:ind w:left="145"/>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485</w:t>
            </w:r>
          </w:p>
        </w:tc>
        <w:tc>
          <w:tcPr>
            <w:tcW w:w="1418" w:type="dxa"/>
            <w:tcBorders>
              <w:top w:val="single" w:sz="4" w:space="0" w:color="000000"/>
              <w:left w:val="single" w:sz="4" w:space="0" w:color="000000"/>
              <w:bottom w:val="single" w:sz="4" w:space="0" w:color="000000"/>
              <w:right w:val="single" w:sz="4" w:space="0" w:color="000000"/>
            </w:tcBorders>
          </w:tcPr>
          <w:p w14:paraId="6E601C5C" w14:textId="1D67140F" w:rsidR="002D66F3" w:rsidRPr="00360A40" w:rsidRDefault="002D66F3" w:rsidP="00360A40">
            <w:pPr>
              <w:pStyle w:val="TableParagraph"/>
              <w:kinsoku w:val="0"/>
              <w:overflowPunct w:val="0"/>
              <w:ind w:left="288"/>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450</w:t>
            </w:r>
          </w:p>
        </w:tc>
        <w:tc>
          <w:tcPr>
            <w:tcW w:w="992" w:type="dxa"/>
            <w:tcBorders>
              <w:top w:val="single" w:sz="4" w:space="0" w:color="000000"/>
              <w:left w:val="single" w:sz="4" w:space="0" w:color="000000"/>
              <w:bottom w:val="single" w:sz="4" w:space="0" w:color="000000"/>
              <w:right w:val="single" w:sz="4" w:space="0" w:color="000000"/>
            </w:tcBorders>
          </w:tcPr>
          <w:p w14:paraId="782CD5A0" w14:textId="44B862B3" w:rsidR="002D66F3" w:rsidRPr="00360A40" w:rsidRDefault="002D66F3" w:rsidP="00360A40">
            <w:pPr>
              <w:pStyle w:val="TableParagraph"/>
              <w:kinsoku w:val="0"/>
              <w:overflowPunct w:val="0"/>
              <w:ind w:left="145"/>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232</w:t>
            </w:r>
          </w:p>
        </w:tc>
        <w:tc>
          <w:tcPr>
            <w:tcW w:w="1417" w:type="dxa"/>
            <w:tcBorders>
              <w:top w:val="single" w:sz="4" w:space="0" w:color="000000"/>
              <w:left w:val="single" w:sz="4" w:space="0" w:color="000000"/>
              <w:bottom w:val="single" w:sz="4" w:space="0" w:color="000000"/>
              <w:right w:val="single" w:sz="4" w:space="0" w:color="000000"/>
            </w:tcBorders>
          </w:tcPr>
          <w:p w14:paraId="6B0C6404" w14:textId="0E24D0FF" w:rsidR="002D66F3" w:rsidRPr="00360A40" w:rsidRDefault="002D66F3" w:rsidP="00360A40">
            <w:pPr>
              <w:pStyle w:val="TableParagraph"/>
              <w:kinsoku w:val="0"/>
              <w:overflowPunct w:val="0"/>
              <w:ind w:left="288"/>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506</w:t>
            </w:r>
          </w:p>
        </w:tc>
        <w:tc>
          <w:tcPr>
            <w:tcW w:w="993" w:type="dxa"/>
            <w:tcBorders>
              <w:top w:val="single" w:sz="4" w:space="0" w:color="000000"/>
              <w:left w:val="single" w:sz="4" w:space="0" w:color="000000"/>
              <w:bottom w:val="single" w:sz="4" w:space="0" w:color="000000"/>
              <w:right w:val="single" w:sz="4" w:space="0" w:color="000000"/>
            </w:tcBorders>
          </w:tcPr>
          <w:p w14:paraId="5565E842" w14:textId="06BA5A12" w:rsidR="002D66F3" w:rsidRPr="00360A40" w:rsidRDefault="002D66F3" w:rsidP="00360A40">
            <w:pPr>
              <w:pStyle w:val="TableParagraph"/>
              <w:kinsoku w:val="0"/>
              <w:overflowPunct w:val="0"/>
              <w:ind w:left="145"/>
              <w:rPr>
                <w:sz w:val="22"/>
                <w:szCs w:val="22"/>
                <w:lang w:val="hu-HU"/>
              </w:rPr>
            </w:pPr>
            <w:r w:rsidRPr="00360A40">
              <w:rPr>
                <w:b/>
                <w:bCs/>
                <w:sz w:val="22"/>
                <w:szCs w:val="22"/>
                <w:lang w:val="hu-HU"/>
              </w:rPr>
              <w:t>n</w:t>
            </w:r>
            <w:r w:rsidR="00515BB9" w:rsidRPr="00360A40">
              <w:rPr>
                <w:b/>
                <w:bCs/>
                <w:sz w:val="22"/>
                <w:szCs w:val="22"/>
                <w:lang w:val="hu-HU"/>
              </w:rPr>
              <w:t> </w:t>
            </w:r>
            <w:r w:rsidRPr="00360A40">
              <w:rPr>
                <w:b/>
                <w:bCs/>
                <w:sz w:val="22"/>
                <w:szCs w:val="22"/>
                <w:lang w:val="hu-HU"/>
              </w:rPr>
              <w:t>=</w:t>
            </w:r>
            <w:r w:rsidR="00515BB9" w:rsidRPr="00360A40">
              <w:rPr>
                <w:b/>
                <w:bCs/>
                <w:sz w:val="22"/>
                <w:szCs w:val="22"/>
                <w:lang w:val="hu-HU"/>
              </w:rPr>
              <w:t> </w:t>
            </w:r>
            <w:r w:rsidRPr="00360A40">
              <w:rPr>
                <w:b/>
                <w:bCs/>
                <w:sz w:val="22"/>
                <w:szCs w:val="22"/>
                <w:lang w:val="hu-HU"/>
              </w:rPr>
              <w:t>253</w:t>
            </w:r>
          </w:p>
        </w:tc>
      </w:tr>
      <w:tr w:rsidR="002D66F3" w:rsidRPr="00360A40" w14:paraId="4A39AA7D"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37DE4586" w14:textId="77777777" w:rsidR="002D66F3" w:rsidRPr="00360A40" w:rsidRDefault="002D66F3" w:rsidP="00360A40">
            <w:pPr>
              <w:rPr>
                <w:sz w:val="22"/>
                <w:szCs w:val="22"/>
                <w:lang w:val="hu-HU"/>
              </w:rPr>
            </w:pPr>
          </w:p>
        </w:tc>
        <w:tc>
          <w:tcPr>
            <w:tcW w:w="7561" w:type="dxa"/>
            <w:gridSpan w:val="6"/>
            <w:tcBorders>
              <w:top w:val="single" w:sz="4" w:space="0" w:color="000000"/>
              <w:left w:val="single" w:sz="4" w:space="0" w:color="000000"/>
              <w:bottom w:val="single" w:sz="4" w:space="0" w:color="000000"/>
              <w:right w:val="single" w:sz="4" w:space="0" w:color="000000"/>
            </w:tcBorders>
          </w:tcPr>
          <w:p w14:paraId="651DFB2C" w14:textId="77777777" w:rsidR="002D66F3" w:rsidRPr="00360A40" w:rsidRDefault="002D66F3" w:rsidP="00360A40">
            <w:pPr>
              <w:pStyle w:val="TableParagraph"/>
              <w:kinsoku w:val="0"/>
              <w:overflowPunct w:val="0"/>
              <w:ind w:left="1594"/>
              <w:rPr>
                <w:sz w:val="22"/>
                <w:szCs w:val="22"/>
                <w:lang w:val="hu-HU"/>
              </w:rPr>
            </w:pPr>
            <w:r w:rsidRPr="00360A40">
              <w:rPr>
                <w:b/>
                <w:bCs/>
                <w:sz w:val="22"/>
                <w:szCs w:val="22"/>
                <w:lang w:val="hu-HU"/>
              </w:rPr>
              <w:t>Virológiai választ mutató betegek %-a</w:t>
            </w:r>
          </w:p>
        </w:tc>
      </w:tr>
      <w:tr w:rsidR="002D66F3" w:rsidRPr="00360A40" w14:paraId="7925BD1D"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214E5FA5" w14:textId="77777777" w:rsidR="002D66F3" w:rsidRPr="00360A40" w:rsidRDefault="002D66F3" w:rsidP="00360A40">
            <w:pPr>
              <w:pStyle w:val="TableParagraph"/>
              <w:kinsoku w:val="0"/>
              <w:overflowPunct w:val="0"/>
              <w:ind w:left="102"/>
              <w:rPr>
                <w:sz w:val="22"/>
                <w:szCs w:val="22"/>
                <w:lang w:val="hu-HU"/>
              </w:rPr>
            </w:pPr>
            <w:r w:rsidRPr="00360A40">
              <w:rPr>
                <w:b/>
                <w:bCs/>
                <w:sz w:val="22"/>
                <w:szCs w:val="22"/>
                <w:lang w:val="hu-HU"/>
              </w:rPr>
              <w:t xml:space="preserve">Teljes SVR </w:t>
            </w:r>
            <w:r w:rsidRPr="009F4BD6">
              <w:rPr>
                <w:sz w:val="22"/>
                <w:szCs w:val="22"/>
                <w:vertAlign w:val="superscript"/>
                <w:lang w:val="hu-HU"/>
              </w:rPr>
              <w:t>d</w:t>
            </w:r>
          </w:p>
        </w:tc>
        <w:tc>
          <w:tcPr>
            <w:tcW w:w="1465" w:type="dxa"/>
            <w:tcBorders>
              <w:top w:val="single" w:sz="4" w:space="0" w:color="000000"/>
              <w:left w:val="single" w:sz="4" w:space="0" w:color="000000"/>
              <w:bottom w:val="single" w:sz="4" w:space="0" w:color="000000"/>
              <w:right w:val="single" w:sz="4" w:space="0" w:color="000000"/>
            </w:tcBorders>
          </w:tcPr>
          <w:p w14:paraId="56B7F570"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21</w:t>
            </w:r>
          </w:p>
        </w:tc>
        <w:tc>
          <w:tcPr>
            <w:tcW w:w="1276" w:type="dxa"/>
            <w:tcBorders>
              <w:top w:val="single" w:sz="4" w:space="0" w:color="000000"/>
              <w:left w:val="single" w:sz="4" w:space="0" w:color="000000"/>
              <w:bottom w:val="single" w:sz="4" w:space="0" w:color="000000"/>
              <w:right w:val="single" w:sz="4" w:space="0" w:color="000000"/>
            </w:tcBorders>
          </w:tcPr>
          <w:p w14:paraId="6A4FA1E0"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13</w:t>
            </w:r>
          </w:p>
        </w:tc>
        <w:tc>
          <w:tcPr>
            <w:tcW w:w="1418" w:type="dxa"/>
            <w:tcBorders>
              <w:top w:val="single" w:sz="4" w:space="0" w:color="000000"/>
              <w:left w:val="single" w:sz="4" w:space="0" w:color="000000"/>
              <w:bottom w:val="single" w:sz="4" w:space="0" w:color="000000"/>
              <w:right w:val="single" w:sz="4" w:space="0" w:color="000000"/>
            </w:tcBorders>
          </w:tcPr>
          <w:p w14:paraId="0C020690"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23</w:t>
            </w:r>
          </w:p>
        </w:tc>
        <w:tc>
          <w:tcPr>
            <w:tcW w:w="992" w:type="dxa"/>
            <w:tcBorders>
              <w:top w:val="single" w:sz="4" w:space="0" w:color="000000"/>
              <w:left w:val="single" w:sz="4" w:space="0" w:color="000000"/>
              <w:bottom w:val="single" w:sz="4" w:space="0" w:color="000000"/>
              <w:right w:val="single" w:sz="4" w:space="0" w:color="000000"/>
            </w:tcBorders>
          </w:tcPr>
          <w:p w14:paraId="44C28346"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14</w:t>
            </w:r>
          </w:p>
        </w:tc>
        <w:tc>
          <w:tcPr>
            <w:tcW w:w="1417" w:type="dxa"/>
            <w:tcBorders>
              <w:top w:val="single" w:sz="4" w:space="0" w:color="000000"/>
              <w:left w:val="single" w:sz="4" w:space="0" w:color="000000"/>
              <w:bottom w:val="single" w:sz="4" w:space="0" w:color="000000"/>
              <w:right w:val="single" w:sz="4" w:space="0" w:color="000000"/>
            </w:tcBorders>
          </w:tcPr>
          <w:p w14:paraId="753300C6"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19</w:t>
            </w:r>
          </w:p>
        </w:tc>
        <w:tc>
          <w:tcPr>
            <w:tcW w:w="993" w:type="dxa"/>
            <w:tcBorders>
              <w:top w:val="single" w:sz="4" w:space="0" w:color="000000"/>
              <w:left w:val="single" w:sz="4" w:space="0" w:color="000000"/>
              <w:bottom w:val="single" w:sz="4" w:space="0" w:color="000000"/>
              <w:right w:val="single" w:sz="4" w:space="0" w:color="000000"/>
            </w:tcBorders>
          </w:tcPr>
          <w:p w14:paraId="40B19EC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13</w:t>
            </w:r>
          </w:p>
        </w:tc>
      </w:tr>
      <w:tr w:rsidR="002D66F3" w:rsidRPr="00360A40" w14:paraId="7D924A73"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37D50CE7" w14:textId="77777777" w:rsidR="002D66F3" w:rsidRPr="00360A40" w:rsidRDefault="002D66F3" w:rsidP="00360A40">
            <w:pPr>
              <w:pStyle w:val="TableParagraph"/>
              <w:kinsoku w:val="0"/>
              <w:overflowPunct w:val="0"/>
              <w:ind w:left="102"/>
              <w:rPr>
                <w:sz w:val="22"/>
                <w:szCs w:val="22"/>
                <w:lang w:val="hu-HU"/>
              </w:rPr>
            </w:pPr>
            <w:r w:rsidRPr="00360A40">
              <w:rPr>
                <w:i/>
                <w:iCs/>
                <w:sz w:val="22"/>
                <w:szCs w:val="22"/>
                <w:lang w:val="hu-HU"/>
              </w:rPr>
              <w:t>HCV RNS genotípus</w:t>
            </w:r>
          </w:p>
        </w:tc>
        <w:tc>
          <w:tcPr>
            <w:tcW w:w="1465" w:type="dxa"/>
            <w:tcBorders>
              <w:top w:val="single" w:sz="4" w:space="0" w:color="000000"/>
              <w:left w:val="single" w:sz="4" w:space="0" w:color="000000"/>
              <w:bottom w:val="single" w:sz="4" w:space="0" w:color="000000"/>
              <w:right w:val="single" w:sz="4" w:space="0" w:color="000000"/>
            </w:tcBorders>
          </w:tcPr>
          <w:p w14:paraId="035CCE11" w14:textId="77777777" w:rsidR="002D66F3" w:rsidRPr="00360A40" w:rsidRDefault="002D66F3" w:rsidP="009F4BD6">
            <w:pPr>
              <w:jc w:val="center"/>
              <w:rPr>
                <w:sz w:val="22"/>
                <w:szCs w:val="22"/>
                <w:lang w:val="hu-HU"/>
              </w:rPr>
            </w:pPr>
          </w:p>
        </w:tc>
        <w:tc>
          <w:tcPr>
            <w:tcW w:w="1276" w:type="dxa"/>
            <w:tcBorders>
              <w:top w:val="single" w:sz="4" w:space="0" w:color="000000"/>
              <w:left w:val="single" w:sz="4" w:space="0" w:color="000000"/>
              <w:bottom w:val="single" w:sz="4" w:space="0" w:color="000000"/>
              <w:right w:val="single" w:sz="4" w:space="0" w:color="000000"/>
            </w:tcBorders>
          </w:tcPr>
          <w:p w14:paraId="1A5A14FB" w14:textId="77777777" w:rsidR="002D66F3" w:rsidRPr="00360A40" w:rsidRDefault="002D66F3" w:rsidP="009F4BD6">
            <w:pPr>
              <w:jc w:val="center"/>
              <w:rPr>
                <w:sz w:val="22"/>
                <w:szCs w:val="22"/>
                <w:lang w:val="hu-HU"/>
              </w:rPr>
            </w:pPr>
          </w:p>
        </w:tc>
        <w:tc>
          <w:tcPr>
            <w:tcW w:w="1418" w:type="dxa"/>
            <w:tcBorders>
              <w:top w:val="single" w:sz="4" w:space="0" w:color="000000"/>
              <w:left w:val="single" w:sz="4" w:space="0" w:color="000000"/>
              <w:bottom w:val="single" w:sz="4" w:space="0" w:color="000000"/>
              <w:right w:val="single" w:sz="4" w:space="0" w:color="000000"/>
            </w:tcBorders>
          </w:tcPr>
          <w:p w14:paraId="0CE39A82" w14:textId="77777777" w:rsidR="002D66F3" w:rsidRPr="00360A40" w:rsidRDefault="002D66F3" w:rsidP="009F4BD6">
            <w:pPr>
              <w:jc w:val="center"/>
              <w:rPr>
                <w:sz w:val="22"/>
                <w:szCs w:val="22"/>
                <w:lang w:val="hu-HU"/>
              </w:rPr>
            </w:pPr>
          </w:p>
        </w:tc>
        <w:tc>
          <w:tcPr>
            <w:tcW w:w="992" w:type="dxa"/>
            <w:tcBorders>
              <w:top w:val="single" w:sz="4" w:space="0" w:color="000000"/>
              <w:left w:val="single" w:sz="4" w:space="0" w:color="000000"/>
              <w:bottom w:val="single" w:sz="4" w:space="0" w:color="000000"/>
              <w:right w:val="single" w:sz="4" w:space="0" w:color="000000"/>
            </w:tcBorders>
          </w:tcPr>
          <w:p w14:paraId="12AB1EFB" w14:textId="77777777" w:rsidR="002D66F3" w:rsidRPr="00360A40" w:rsidRDefault="002D66F3" w:rsidP="009F4BD6">
            <w:pPr>
              <w:jc w:val="center"/>
              <w:rPr>
                <w:sz w:val="22"/>
                <w:szCs w:val="22"/>
                <w:lang w:val="hu-HU"/>
              </w:rPr>
            </w:pPr>
          </w:p>
        </w:tc>
        <w:tc>
          <w:tcPr>
            <w:tcW w:w="1417" w:type="dxa"/>
            <w:tcBorders>
              <w:top w:val="single" w:sz="4" w:space="0" w:color="000000"/>
              <w:left w:val="single" w:sz="4" w:space="0" w:color="000000"/>
              <w:bottom w:val="single" w:sz="4" w:space="0" w:color="000000"/>
              <w:right w:val="single" w:sz="4" w:space="0" w:color="000000"/>
            </w:tcBorders>
          </w:tcPr>
          <w:p w14:paraId="49D04E09" w14:textId="77777777" w:rsidR="002D66F3" w:rsidRPr="00360A40" w:rsidRDefault="002D66F3" w:rsidP="009F4BD6">
            <w:pPr>
              <w:jc w:val="center"/>
              <w:rPr>
                <w:sz w:val="22"/>
                <w:szCs w:val="22"/>
                <w:lang w:val="hu-HU"/>
              </w:rPr>
            </w:pPr>
          </w:p>
        </w:tc>
        <w:tc>
          <w:tcPr>
            <w:tcW w:w="993" w:type="dxa"/>
            <w:tcBorders>
              <w:top w:val="single" w:sz="4" w:space="0" w:color="000000"/>
              <w:left w:val="single" w:sz="4" w:space="0" w:color="000000"/>
              <w:bottom w:val="single" w:sz="4" w:space="0" w:color="000000"/>
              <w:right w:val="single" w:sz="4" w:space="0" w:color="000000"/>
            </w:tcBorders>
          </w:tcPr>
          <w:p w14:paraId="574E9AB7" w14:textId="77777777" w:rsidR="002D66F3" w:rsidRPr="00360A40" w:rsidRDefault="002D66F3" w:rsidP="009F4BD6">
            <w:pPr>
              <w:jc w:val="center"/>
              <w:rPr>
                <w:sz w:val="22"/>
                <w:szCs w:val="22"/>
                <w:lang w:val="hu-HU"/>
              </w:rPr>
            </w:pPr>
          </w:p>
        </w:tc>
      </w:tr>
      <w:tr w:rsidR="002D66F3" w:rsidRPr="00360A40" w14:paraId="193EDDFA"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703F1429"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2/3-as genotípus</w:t>
            </w:r>
          </w:p>
        </w:tc>
        <w:tc>
          <w:tcPr>
            <w:tcW w:w="1465" w:type="dxa"/>
            <w:tcBorders>
              <w:top w:val="single" w:sz="4" w:space="0" w:color="000000"/>
              <w:left w:val="single" w:sz="4" w:space="0" w:color="000000"/>
              <w:bottom w:val="single" w:sz="4" w:space="0" w:color="000000"/>
              <w:right w:val="single" w:sz="4" w:space="0" w:color="000000"/>
            </w:tcBorders>
          </w:tcPr>
          <w:p w14:paraId="3EF568C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35</w:t>
            </w:r>
          </w:p>
        </w:tc>
        <w:tc>
          <w:tcPr>
            <w:tcW w:w="1276" w:type="dxa"/>
            <w:tcBorders>
              <w:top w:val="single" w:sz="4" w:space="0" w:color="000000"/>
              <w:left w:val="single" w:sz="4" w:space="0" w:color="000000"/>
              <w:bottom w:val="single" w:sz="4" w:space="0" w:color="000000"/>
              <w:right w:val="single" w:sz="4" w:space="0" w:color="000000"/>
            </w:tcBorders>
          </w:tcPr>
          <w:p w14:paraId="67C23658"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25</w:t>
            </w:r>
          </w:p>
        </w:tc>
        <w:tc>
          <w:tcPr>
            <w:tcW w:w="1418" w:type="dxa"/>
            <w:tcBorders>
              <w:top w:val="single" w:sz="4" w:space="0" w:color="000000"/>
              <w:left w:val="single" w:sz="4" w:space="0" w:color="000000"/>
              <w:bottom w:val="single" w:sz="4" w:space="0" w:color="000000"/>
              <w:right w:val="single" w:sz="4" w:space="0" w:color="000000"/>
            </w:tcBorders>
          </w:tcPr>
          <w:p w14:paraId="20ABBED0"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35</w:t>
            </w:r>
          </w:p>
        </w:tc>
        <w:tc>
          <w:tcPr>
            <w:tcW w:w="992" w:type="dxa"/>
            <w:tcBorders>
              <w:top w:val="single" w:sz="4" w:space="0" w:color="000000"/>
              <w:left w:val="single" w:sz="4" w:space="0" w:color="000000"/>
              <w:bottom w:val="single" w:sz="4" w:space="0" w:color="000000"/>
              <w:right w:val="single" w:sz="4" w:space="0" w:color="000000"/>
            </w:tcBorders>
          </w:tcPr>
          <w:p w14:paraId="77C3FA2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24</w:t>
            </w:r>
          </w:p>
        </w:tc>
        <w:tc>
          <w:tcPr>
            <w:tcW w:w="1417" w:type="dxa"/>
            <w:tcBorders>
              <w:top w:val="single" w:sz="4" w:space="0" w:color="000000"/>
              <w:left w:val="single" w:sz="4" w:space="0" w:color="000000"/>
              <w:bottom w:val="single" w:sz="4" w:space="0" w:color="000000"/>
              <w:right w:val="single" w:sz="4" w:space="0" w:color="000000"/>
            </w:tcBorders>
          </w:tcPr>
          <w:p w14:paraId="34611DD6"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34</w:t>
            </w:r>
          </w:p>
        </w:tc>
        <w:tc>
          <w:tcPr>
            <w:tcW w:w="993" w:type="dxa"/>
            <w:tcBorders>
              <w:top w:val="single" w:sz="4" w:space="0" w:color="000000"/>
              <w:left w:val="single" w:sz="4" w:space="0" w:color="000000"/>
              <w:bottom w:val="single" w:sz="4" w:space="0" w:color="000000"/>
              <w:right w:val="single" w:sz="4" w:space="0" w:color="000000"/>
            </w:tcBorders>
          </w:tcPr>
          <w:p w14:paraId="0CC268E5"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25</w:t>
            </w:r>
          </w:p>
        </w:tc>
      </w:tr>
      <w:tr w:rsidR="002D66F3" w:rsidRPr="00360A40" w14:paraId="11C68929"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1BD68FEC" w14:textId="77777777" w:rsidR="002D66F3" w:rsidRPr="00360A40" w:rsidRDefault="002D66F3" w:rsidP="00360A40">
            <w:pPr>
              <w:pStyle w:val="TableParagraph"/>
              <w:kinsoku w:val="0"/>
              <w:overflowPunct w:val="0"/>
              <w:ind w:left="102"/>
              <w:rPr>
                <w:sz w:val="22"/>
                <w:szCs w:val="22"/>
                <w:lang w:val="hu-HU"/>
              </w:rPr>
            </w:pPr>
            <w:r w:rsidRPr="00360A40">
              <w:rPr>
                <w:sz w:val="22"/>
                <w:szCs w:val="22"/>
                <w:lang w:val="hu-HU"/>
              </w:rPr>
              <w:t xml:space="preserve">1/4/6-os genotípus </w:t>
            </w:r>
            <w:r w:rsidRPr="009F4BD6">
              <w:rPr>
                <w:sz w:val="22"/>
                <w:szCs w:val="22"/>
                <w:vertAlign w:val="superscript"/>
                <w:lang w:val="hu-HU"/>
              </w:rPr>
              <w:t>e</w:t>
            </w:r>
          </w:p>
        </w:tc>
        <w:tc>
          <w:tcPr>
            <w:tcW w:w="1465" w:type="dxa"/>
            <w:tcBorders>
              <w:top w:val="single" w:sz="4" w:space="0" w:color="000000"/>
              <w:left w:val="single" w:sz="4" w:space="0" w:color="000000"/>
              <w:bottom w:val="single" w:sz="4" w:space="0" w:color="000000"/>
              <w:right w:val="single" w:sz="4" w:space="0" w:color="000000"/>
            </w:tcBorders>
          </w:tcPr>
          <w:p w14:paraId="115C0AE2"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15</w:t>
            </w:r>
          </w:p>
        </w:tc>
        <w:tc>
          <w:tcPr>
            <w:tcW w:w="1276" w:type="dxa"/>
            <w:tcBorders>
              <w:top w:val="single" w:sz="4" w:space="0" w:color="000000"/>
              <w:left w:val="single" w:sz="4" w:space="0" w:color="000000"/>
              <w:bottom w:val="single" w:sz="4" w:space="0" w:color="000000"/>
              <w:right w:val="single" w:sz="4" w:space="0" w:color="000000"/>
            </w:tcBorders>
          </w:tcPr>
          <w:p w14:paraId="131A31C8"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8</w:t>
            </w:r>
          </w:p>
        </w:tc>
        <w:tc>
          <w:tcPr>
            <w:tcW w:w="1418" w:type="dxa"/>
            <w:tcBorders>
              <w:top w:val="single" w:sz="4" w:space="0" w:color="000000"/>
              <w:left w:val="single" w:sz="4" w:space="0" w:color="000000"/>
              <w:bottom w:val="single" w:sz="4" w:space="0" w:color="000000"/>
              <w:right w:val="single" w:sz="4" w:space="0" w:color="000000"/>
            </w:tcBorders>
          </w:tcPr>
          <w:p w14:paraId="6EF4898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18</w:t>
            </w:r>
          </w:p>
        </w:tc>
        <w:tc>
          <w:tcPr>
            <w:tcW w:w="992" w:type="dxa"/>
            <w:tcBorders>
              <w:top w:val="single" w:sz="4" w:space="0" w:color="000000"/>
              <w:left w:val="single" w:sz="4" w:space="0" w:color="000000"/>
              <w:bottom w:val="single" w:sz="4" w:space="0" w:color="000000"/>
              <w:right w:val="single" w:sz="4" w:space="0" w:color="000000"/>
            </w:tcBorders>
          </w:tcPr>
          <w:p w14:paraId="364D62B4"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10</w:t>
            </w:r>
          </w:p>
        </w:tc>
        <w:tc>
          <w:tcPr>
            <w:tcW w:w="1417" w:type="dxa"/>
            <w:tcBorders>
              <w:top w:val="single" w:sz="4" w:space="0" w:color="000000"/>
              <w:left w:val="single" w:sz="4" w:space="0" w:color="000000"/>
              <w:bottom w:val="single" w:sz="4" w:space="0" w:color="000000"/>
              <w:right w:val="single" w:sz="4" w:space="0" w:color="000000"/>
            </w:tcBorders>
          </w:tcPr>
          <w:p w14:paraId="51D058B3"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13</w:t>
            </w:r>
          </w:p>
        </w:tc>
        <w:tc>
          <w:tcPr>
            <w:tcW w:w="993" w:type="dxa"/>
            <w:tcBorders>
              <w:top w:val="single" w:sz="4" w:space="0" w:color="000000"/>
              <w:left w:val="single" w:sz="4" w:space="0" w:color="000000"/>
              <w:bottom w:val="single" w:sz="4" w:space="0" w:color="000000"/>
              <w:right w:val="single" w:sz="4" w:space="0" w:color="000000"/>
            </w:tcBorders>
          </w:tcPr>
          <w:p w14:paraId="40E7A58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7</w:t>
            </w:r>
          </w:p>
        </w:tc>
      </w:tr>
      <w:tr w:rsidR="002D66F3" w:rsidRPr="00360A40" w14:paraId="1B774351"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08889E33" w14:textId="77777777" w:rsidR="002D66F3" w:rsidRPr="00360A40" w:rsidRDefault="002D66F3" w:rsidP="00360A40">
            <w:pPr>
              <w:pStyle w:val="TableParagraph"/>
              <w:kinsoku w:val="0"/>
              <w:overflowPunct w:val="0"/>
              <w:ind w:left="102"/>
              <w:rPr>
                <w:sz w:val="22"/>
                <w:szCs w:val="22"/>
                <w:lang w:val="hu-HU"/>
              </w:rPr>
            </w:pPr>
            <w:r w:rsidRPr="00360A40">
              <w:rPr>
                <w:i/>
                <w:iCs/>
                <w:sz w:val="22"/>
                <w:szCs w:val="22"/>
                <w:lang w:val="hu-HU"/>
              </w:rPr>
              <w:t xml:space="preserve">Albuminszintek </w:t>
            </w:r>
            <w:r w:rsidRPr="009F4BD6">
              <w:rPr>
                <w:i/>
                <w:iCs/>
                <w:sz w:val="22"/>
                <w:szCs w:val="22"/>
                <w:vertAlign w:val="superscript"/>
                <w:lang w:val="hu-HU"/>
              </w:rPr>
              <w:t>f</w:t>
            </w:r>
          </w:p>
        </w:tc>
        <w:tc>
          <w:tcPr>
            <w:tcW w:w="1465" w:type="dxa"/>
            <w:tcBorders>
              <w:top w:val="single" w:sz="4" w:space="0" w:color="000000"/>
              <w:left w:val="single" w:sz="4" w:space="0" w:color="000000"/>
              <w:bottom w:val="single" w:sz="4" w:space="0" w:color="000000"/>
              <w:right w:val="single" w:sz="4" w:space="0" w:color="000000"/>
            </w:tcBorders>
          </w:tcPr>
          <w:p w14:paraId="7C29B5C2" w14:textId="77777777" w:rsidR="002D66F3" w:rsidRPr="00360A40" w:rsidRDefault="002D66F3" w:rsidP="009F4BD6">
            <w:pPr>
              <w:jc w:val="center"/>
              <w:rPr>
                <w:sz w:val="22"/>
                <w:szCs w:val="22"/>
                <w:lang w:val="hu-HU"/>
              </w:rPr>
            </w:pPr>
          </w:p>
        </w:tc>
        <w:tc>
          <w:tcPr>
            <w:tcW w:w="1276" w:type="dxa"/>
            <w:tcBorders>
              <w:top w:val="single" w:sz="4" w:space="0" w:color="000000"/>
              <w:left w:val="single" w:sz="4" w:space="0" w:color="000000"/>
              <w:bottom w:val="single" w:sz="4" w:space="0" w:color="000000"/>
              <w:right w:val="single" w:sz="4" w:space="0" w:color="000000"/>
            </w:tcBorders>
          </w:tcPr>
          <w:p w14:paraId="672ECC42" w14:textId="77777777" w:rsidR="002D66F3" w:rsidRPr="00360A40" w:rsidRDefault="002D66F3" w:rsidP="009F4BD6">
            <w:pPr>
              <w:jc w:val="center"/>
              <w:rPr>
                <w:sz w:val="22"/>
                <w:szCs w:val="22"/>
                <w:lang w:val="hu-HU"/>
              </w:rPr>
            </w:pPr>
          </w:p>
        </w:tc>
        <w:tc>
          <w:tcPr>
            <w:tcW w:w="4820" w:type="dxa"/>
            <w:gridSpan w:val="4"/>
            <w:vMerge w:val="restart"/>
            <w:tcBorders>
              <w:top w:val="single" w:sz="4" w:space="0" w:color="000000"/>
              <w:left w:val="single" w:sz="4" w:space="0" w:color="000000"/>
              <w:bottom w:val="single" w:sz="4" w:space="0" w:color="000000"/>
              <w:right w:val="single" w:sz="4" w:space="0" w:color="000000"/>
            </w:tcBorders>
          </w:tcPr>
          <w:p w14:paraId="095EF8B1" w14:textId="77777777" w:rsidR="002D66F3" w:rsidRPr="00360A40" w:rsidRDefault="002D66F3" w:rsidP="00360A40">
            <w:pPr>
              <w:rPr>
                <w:sz w:val="22"/>
                <w:szCs w:val="22"/>
                <w:lang w:val="hu-HU"/>
              </w:rPr>
            </w:pPr>
          </w:p>
        </w:tc>
      </w:tr>
      <w:tr w:rsidR="002D66F3" w:rsidRPr="00360A40" w14:paraId="720A5D4A"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495E49ED" w14:textId="361E09C8" w:rsidR="002D66F3" w:rsidRPr="00360A40" w:rsidRDefault="002D66F3" w:rsidP="00360A40">
            <w:pPr>
              <w:pStyle w:val="TableParagraph"/>
              <w:kinsoku w:val="0"/>
              <w:overflowPunct w:val="0"/>
              <w:ind w:left="102"/>
              <w:rPr>
                <w:sz w:val="22"/>
                <w:szCs w:val="22"/>
                <w:lang w:val="hu-HU"/>
              </w:rPr>
            </w:pPr>
            <w:r w:rsidRPr="00360A40">
              <w:rPr>
                <w:sz w:val="22"/>
                <w:szCs w:val="22"/>
                <w:lang w:val="hu-HU"/>
              </w:rPr>
              <w:t>≤</w:t>
            </w:r>
            <w:r w:rsidR="00515BB9" w:rsidRPr="00360A40">
              <w:rPr>
                <w:sz w:val="22"/>
                <w:szCs w:val="22"/>
                <w:lang w:val="hu-HU"/>
              </w:rPr>
              <w:t> </w:t>
            </w:r>
            <w:r w:rsidRPr="00360A40">
              <w:rPr>
                <w:sz w:val="22"/>
                <w:szCs w:val="22"/>
                <w:lang w:val="hu-HU"/>
              </w:rPr>
              <w:t>35g/l</w:t>
            </w:r>
          </w:p>
        </w:tc>
        <w:tc>
          <w:tcPr>
            <w:tcW w:w="1465" w:type="dxa"/>
            <w:tcBorders>
              <w:top w:val="single" w:sz="4" w:space="0" w:color="000000"/>
              <w:left w:val="single" w:sz="4" w:space="0" w:color="000000"/>
              <w:bottom w:val="single" w:sz="4" w:space="0" w:color="000000"/>
              <w:right w:val="single" w:sz="4" w:space="0" w:color="000000"/>
            </w:tcBorders>
          </w:tcPr>
          <w:p w14:paraId="4146D839"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11</w:t>
            </w:r>
          </w:p>
        </w:tc>
        <w:tc>
          <w:tcPr>
            <w:tcW w:w="1276" w:type="dxa"/>
            <w:tcBorders>
              <w:top w:val="single" w:sz="4" w:space="0" w:color="000000"/>
              <w:left w:val="single" w:sz="4" w:space="0" w:color="000000"/>
              <w:bottom w:val="single" w:sz="4" w:space="0" w:color="000000"/>
              <w:right w:val="single" w:sz="4" w:space="0" w:color="000000"/>
            </w:tcBorders>
          </w:tcPr>
          <w:p w14:paraId="55E1D55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8</w:t>
            </w:r>
          </w:p>
        </w:tc>
        <w:tc>
          <w:tcPr>
            <w:tcW w:w="4820" w:type="dxa"/>
            <w:gridSpan w:val="4"/>
            <w:vMerge/>
            <w:tcBorders>
              <w:top w:val="single" w:sz="4" w:space="0" w:color="000000"/>
              <w:left w:val="single" w:sz="4" w:space="0" w:color="000000"/>
              <w:bottom w:val="single" w:sz="4" w:space="0" w:color="000000"/>
              <w:right w:val="single" w:sz="4" w:space="0" w:color="000000"/>
            </w:tcBorders>
          </w:tcPr>
          <w:p w14:paraId="53C2C4F2" w14:textId="77777777" w:rsidR="002D66F3" w:rsidRPr="00360A40" w:rsidRDefault="002D66F3" w:rsidP="00360A40">
            <w:pPr>
              <w:pStyle w:val="TableParagraph"/>
              <w:kinsoku w:val="0"/>
              <w:overflowPunct w:val="0"/>
              <w:rPr>
                <w:sz w:val="22"/>
                <w:szCs w:val="22"/>
                <w:lang w:val="hu-HU"/>
              </w:rPr>
            </w:pPr>
          </w:p>
        </w:tc>
      </w:tr>
      <w:tr w:rsidR="002D66F3" w:rsidRPr="00360A40" w14:paraId="24A5A046"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12A9D6DF" w14:textId="3969FBB3" w:rsidR="002D66F3" w:rsidRPr="00360A40" w:rsidRDefault="002D66F3" w:rsidP="00360A40">
            <w:pPr>
              <w:pStyle w:val="TableParagraph"/>
              <w:kinsoku w:val="0"/>
              <w:overflowPunct w:val="0"/>
              <w:ind w:left="102"/>
              <w:rPr>
                <w:sz w:val="22"/>
                <w:szCs w:val="22"/>
                <w:lang w:val="hu-HU"/>
              </w:rPr>
            </w:pPr>
            <w:r w:rsidRPr="00360A40">
              <w:rPr>
                <w:sz w:val="22"/>
                <w:szCs w:val="22"/>
                <w:lang w:val="hu-HU"/>
              </w:rPr>
              <w:t>&gt;</w:t>
            </w:r>
            <w:r w:rsidR="00515BB9" w:rsidRPr="00360A40">
              <w:rPr>
                <w:sz w:val="22"/>
                <w:szCs w:val="22"/>
                <w:lang w:val="hu-HU"/>
              </w:rPr>
              <w:t> </w:t>
            </w:r>
            <w:r w:rsidRPr="00360A40">
              <w:rPr>
                <w:sz w:val="22"/>
                <w:szCs w:val="22"/>
                <w:lang w:val="hu-HU"/>
              </w:rPr>
              <w:t>35g/l</w:t>
            </w:r>
          </w:p>
        </w:tc>
        <w:tc>
          <w:tcPr>
            <w:tcW w:w="1465" w:type="dxa"/>
            <w:tcBorders>
              <w:top w:val="single" w:sz="4" w:space="0" w:color="000000"/>
              <w:left w:val="single" w:sz="4" w:space="0" w:color="000000"/>
              <w:bottom w:val="single" w:sz="4" w:space="0" w:color="000000"/>
              <w:right w:val="single" w:sz="4" w:space="0" w:color="000000"/>
            </w:tcBorders>
          </w:tcPr>
          <w:p w14:paraId="18A4ED93"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25</w:t>
            </w:r>
          </w:p>
        </w:tc>
        <w:tc>
          <w:tcPr>
            <w:tcW w:w="1276" w:type="dxa"/>
            <w:tcBorders>
              <w:top w:val="single" w:sz="4" w:space="0" w:color="000000"/>
              <w:left w:val="single" w:sz="4" w:space="0" w:color="000000"/>
              <w:bottom w:val="single" w:sz="4" w:space="0" w:color="000000"/>
              <w:right w:val="single" w:sz="4" w:space="0" w:color="000000"/>
            </w:tcBorders>
          </w:tcPr>
          <w:p w14:paraId="0A3ADB99"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16</w:t>
            </w:r>
          </w:p>
        </w:tc>
        <w:tc>
          <w:tcPr>
            <w:tcW w:w="4820" w:type="dxa"/>
            <w:gridSpan w:val="4"/>
            <w:vMerge/>
            <w:tcBorders>
              <w:top w:val="single" w:sz="4" w:space="0" w:color="000000"/>
              <w:left w:val="single" w:sz="4" w:space="0" w:color="000000"/>
              <w:bottom w:val="single" w:sz="4" w:space="0" w:color="000000"/>
              <w:right w:val="single" w:sz="4" w:space="0" w:color="000000"/>
            </w:tcBorders>
          </w:tcPr>
          <w:p w14:paraId="0F074318" w14:textId="77777777" w:rsidR="002D66F3" w:rsidRPr="00360A40" w:rsidRDefault="002D66F3" w:rsidP="00360A40">
            <w:pPr>
              <w:pStyle w:val="TableParagraph"/>
              <w:kinsoku w:val="0"/>
              <w:overflowPunct w:val="0"/>
              <w:rPr>
                <w:sz w:val="22"/>
                <w:szCs w:val="22"/>
                <w:lang w:val="hu-HU"/>
              </w:rPr>
            </w:pPr>
          </w:p>
        </w:tc>
      </w:tr>
      <w:tr w:rsidR="002D66F3" w:rsidRPr="00360A40" w14:paraId="06AC5D29"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01026BE2" w14:textId="77777777" w:rsidR="002D66F3" w:rsidRPr="00360A40" w:rsidRDefault="002D66F3" w:rsidP="00360A40">
            <w:pPr>
              <w:pStyle w:val="TableParagraph"/>
              <w:kinsoku w:val="0"/>
              <w:overflowPunct w:val="0"/>
              <w:ind w:left="102"/>
              <w:rPr>
                <w:sz w:val="22"/>
                <w:szCs w:val="22"/>
                <w:lang w:val="hu-HU"/>
              </w:rPr>
            </w:pPr>
            <w:r w:rsidRPr="00360A40">
              <w:rPr>
                <w:i/>
                <w:iCs/>
                <w:sz w:val="22"/>
                <w:szCs w:val="22"/>
                <w:lang w:val="hu-HU"/>
              </w:rPr>
              <w:t xml:space="preserve">MELD-pontszám </w:t>
            </w:r>
            <w:r w:rsidRPr="009F4BD6">
              <w:rPr>
                <w:i/>
                <w:iCs/>
                <w:sz w:val="22"/>
                <w:szCs w:val="22"/>
                <w:vertAlign w:val="superscript"/>
                <w:lang w:val="hu-HU"/>
              </w:rPr>
              <w:t>f</w:t>
            </w:r>
          </w:p>
        </w:tc>
        <w:tc>
          <w:tcPr>
            <w:tcW w:w="1465" w:type="dxa"/>
            <w:tcBorders>
              <w:top w:val="single" w:sz="4" w:space="0" w:color="000000"/>
              <w:left w:val="single" w:sz="4" w:space="0" w:color="000000"/>
              <w:bottom w:val="single" w:sz="4" w:space="0" w:color="000000"/>
              <w:right w:val="single" w:sz="4" w:space="0" w:color="000000"/>
            </w:tcBorders>
          </w:tcPr>
          <w:p w14:paraId="54F17765" w14:textId="77777777" w:rsidR="002D66F3" w:rsidRPr="00360A40" w:rsidRDefault="002D66F3" w:rsidP="009F4BD6">
            <w:pPr>
              <w:jc w:val="center"/>
              <w:rPr>
                <w:sz w:val="22"/>
                <w:szCs w:val="22"/>
                <w:lang w:val="hu-HU"/>
              </w:rPr>
            </w:pPr>
          </w:p>
        </w:tc>
        <w:tc>
          <w:tcPr>
            <w:tcW w:w="1276" w:type="dxa"/>
            <w:tcBorders>
              <w:top w:val="single" w:sz="4" w:space="0" w:color="000000"/>
              <w:left w:val="single" w:sz="4" w:space="0" w:color="000000"/>
              <w:bottom w:val="single" w:sz="4" w:space="0" w:color="000000"/>
              <w:right w:val="single" w:sz="4" w:space="0" w:color="000000"/>
            </w:tcBorders>
          </w:tcPr>
          <w:p w14:paraId="4E7E43AB" w14:textId="77777777" w:rsidR="002D66F3" w:rsidRPr="00360A40" w:rsidRDefault="002D66F3" w:rsidP="009F4BD6">
            <w:pPr>
              <w:jc w:val="center"/>
              <w:rPr>
                <w:sz w:val="22"/>
                <w:szCs w:val="22"/>
                <w:lang w:val="hu-HU"/>
              </w:rPr>
            </w:pPr>
          </w:p>
        </w:tc>
        <w:tc>
          <w:tcPr>
            <w:tcW w:w="4820" w:type="dxa"/>
            <w:gridSpan w:val="4"/>
            <w:vMerge/>
            <w:tcBorders>
              <w:top w:val="single" w:sz="4" w:space="0" w:color="000000"/>
              <w:left w:val="single" w:sz="4" w:space="0" w:color="000000"/>
              <w:bottom w:val="single" w:sz="4" w:space="0" w:color="000000"/>
              <w:right w:val="single" w:sz="4" w:space="0" w:color="000000"/>
            </w:tcBorders>
          </w:tcPr>
          <w:p w14:paraId="5CF6E497" w14:textId="77777777" w:rsidR="002D66F3" w:rsidRPr="00360A40" w:rsidRDefault="002D66F3" w:rsidP="00360A40">
            <w:pPr>
              <w:rPr>
                <w:sz w:val="22"/>
                <w:szCs w:val="22"/>
                <w:lang w:val="hu-HU"/>
              </w:rPr>
            </w:pPr>
          </w:p>
        </w:tc>
      </w:tr>
      <w:tr w:rsidR="002D66F3" w:rsidRPr="00360A40" w14:paraId="58BFF8BC"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1D7E9B61" w14:textId="31E9C4CA" w:rsidR="002D66F3" w:rsidRPr="00360A40" w:rsidRDefault="002D66F3" w:rsidP="00360A40">
            <w:pPr>
              <w:pStyle w:val="TableParagraph"/>
              <w:kinsoku w:val="0"/>
              <w:overflowPunct w:val="0"/>
              <w:ind w:left="102"/>
              <w:rPr>
                <w:sz w:val="22"/>
                <w:szCs w:val="22"/>
                <w:lang w:val="hu-HU"/>
              </w:rPr>
            </w:pPr>
            <w:r w:rsidRPr="00360A40">
              <w:rPr>
                <w:sz w:val="22"/>
                <w:szCs w:val="22"/>
                <w:lang w:val="hu-HU"/>
              </w:rPr>
              <w:t>≥</w:t>
            </w:r>
            <w:r w:rsidR="00515BB9" w:rsidRPr="00360A40">
              <w:rPr>
                <w:sz w:val="22"/>
                <w:szCs w:val="22"/>
                <w:lang w:val="hu-HU"/>
              </w:rPr>
              <w:t> </w:t>
            </w:r>
            <w:r w:rsidRPr="00360A40">
              <w:rPr>
                <w:sz w:val="22"/>
                <w:szCs w:val="22"/>
                <w:lang w:val="hu-HU"/>
              </w:rPr>
              <w:t>10</w:t>
            </w:r>
          </w:p>
        </w:tc>
        <w:tc>
          <w:tcPr>
            <w:tcW w:w="1465" w:type="dxa"/>
            <w:tcBorders>
              <w:top w:val="single" w:sz="4" w:space="0" w:color="000000"/>
              <w:left w:val="single" w:sz="4" w:space="0" w:color="000000"/>
              <w:bottom w:val="single" w:sz="4" w:space="0" w:color="000000"/>
              <w:right w:val="single" w:sz="4" w:space="0" w:color="000000"/>
            </w:tcBorders>
          </w:tcPr>
          <w:p w14:paraId="1D1B9588"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18</w:t>
            </w:r>
          </w:p>
        </w:tc>
        <w:tc>
          <w:tcPr>
            <w:tcW w:w="1276" w:type="dxa"/>
            <w:tcBorders>
              <w:top w:val="single" w:sz="4" w:space="0" w:color="000000"/>
              <w:left w:val="single" w:sz="4" w:space="0" w:color="000000"/>
              <w:bottom w:val="single" w:sz="4" w:space="0" w:color="000000"/>
              <w:right w:val="single" w:sz="4" w:space="0" w:color="000000"/>
            </w:tcBorders>
          </w:tcPr>
          <w:p w14:paraId="46444C36"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10</w:t>
            </w:r>
          </w:p>
        </w:tc>
        <w:tc>
          <w:tcPr>
            <w:tcW w:w="4820" w:type="dxa"/>
            <w:gridSpan w:val="4"/>
            <w:vMerge/>
            <w:tcBorders>
              <w:top w:val="single" w:sz="4" w:space="0" w:color="000000"/>
              <w:left w:val="single" w:sz="4" w:space="0" w:color="000000"/>
              <w:bottom w:val="single" w:sz="4" w:space="0" w:color="000000"/>
              <w:right w:val="single" w:sz="4" w:space="0" w:color="000000"/>
            </w:tcBorders>
          </w:tcPr>
          <w:p w14:paraId="452C8A3C" w14:textId="77777777" w:rsidR="002D66F3" w:rsidRPr="00360A40" w:rsidRDefault="002D66F3" w:rsidP="00360A40">
            <w:pPr>
              <w:pStyle w:val="TableParagraph"/>
              <w:kinsoku w:val="0"/>
              <w:overflowPunct w:val="0"/>
              <w:rPr>
                <w:sz w:val="22"/>
                <w:szCs w:val="22"/>
                <w:lang w:val="hu-HU"/>
              </w:rPr>
            </w:pPr>
          </w:p>
        </w:tc>
      </w:tr>
      <w:tr w:rsidR="002D66F3" w:rsidRPr="00360A40" w14:paraId="2D68A208" w14:textId="77777777" w:rsidTr="0065036F">
        <w:trPr>
          <w:cantSplit/>
        </w:trPr>
        <w:tc>
          <w:tcPr>
            <w:tcW w:w="2504" w:type="dxa"/>
            <w:tcBorders>
              <w:top w:val="single" w:sz="4" w:space="0" w:color="000000"/>
              <w:left w:val="single" w:sz="4" w:space="0" w:color="000000"/>
              <w:bottom w:val="single" w:sz="4" w:space="0" w:color="000000"/>
              <w:right w:val="single" w:sz="4" w:space="0" w:color="000000"/>
            </w:tcBorders>
          </w:tcPr>
          <w:p w14:paraId="57B63570" w14:textId="702F4D26" w:rsidR="002D66F3" w:rsidRPr="00360A40" w:rsidRDefault="002D66F3" w:rsidP="00360A40">
            <w:pPr>
              <w:pStyle w:val="TableParagraph"/>
              <w:kinsoku w:val="0"/>
              <w:overflowPunct w:val="0"/>
              <w:ind w:left="102"/>
              <w:rPr>
                <w:sz w:val="22"/>
                <w:szCs w:val="22"/>
                <w:lang w:val="hu-HU"/>
              </w:rPr>
            </w:pPr>
            <w:r w:rsidRPr="00360A40">
              <w:rPr>
                <w:sz w:val="22"/>
                <w:szCs w:val="22"/>
                <w:lang w:val="hu-HU"/>
              </w:rPr>
              <w:t>&lt;</w:t>
            </w:r>
            <w:r w:rsidR="00515BB9" w:rsidRPr="00360A40">
              <w:rPr>
                <w:sz w:val="22"/>
                <w:szCs w:val="22"/>
                <w:lang w:val="hu-HU"/>
              </w:rPr>
              <w:t> </w:t>
            </w:r>
            <w:r w:rsidRPr="00360A40">
              <w:rPr>
                <w:sz w:val="22"/>
                <w:szCs w:val="22"/>
                <w:lang w:val="hu-HU"/>
              </w:rPr>
              <w:t>10</w:t>
            </w:r>
          </w:p>
        </w:tc>
        <w:tc>
          <w:tcPr>
            <w:tcW w:w="1465" w:type="dxa"/>
            <w:tcBorders>
              <w:top w:val="single" w:sz="4" w:space="0" w:color="000000"/>
              <w:left w:val="single" w:sz="4" w:space="0" w:color="000000"/>
              <w:bottom w:val="single" w:sz="4" w:space="0" w:color="000000"/>
              <w:right w:val="single" w:sz="4" w:space="0" w:color="000000"/>
            </w:tcBorders>
          </w:tcPr>
          <w:p w14:paraId="042CEE2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23</w:t>
            </w:r>
          </w:p>
        </w:tc>
        <w:tc>
          <w:tcPr>
            <w:tcW w:w="1276" w:type="dxa"/>
            <w:tcBorders>
              <w:top w:val="single" w:sz="4" w:space="0" w:color="000000"/>
              <w:left w:val="single" w:sz="4" w:space="0" w:color="000000"/>
              <w:bottom w:val="single" w:sz="4" w:space="0" w:color="000000"/>
              <w:right w:val="single" w:sz="4" w:space="0" w:color="000000"/>
            </w:tcBorders>
          </w:tcPr>
          <w:p w14:paraId="4AB9B15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17</w:t>
            </w:r>
          </w:p>
        </w:tc>
        <w:tc>
          <w:tcPr>
            <w:tcW w:w="4820" w:type="dxa"/>
            <w:gridSpan w:val="4"/>
            <w:vMerge/>
            <w:tcBorders>
              <w:top w:val="single" w:sz="4" w:space="0" w:color="000000"/>
              <w:left w:val="single" w:sz="4" w:space="0" w:color="000000"/>
              <w:bottom w:val="single" w:sz="4" w:space="0" w:color="000000"/>
              <w:right w:val="single" w:sz="4" w:space="0" w:color="000000"/>
            </w:tcBorders>
          </w:tcPr>
          <w:p w14:paraId="50D59958" w14:textId="77777777" w:rsidR="002D66F3" w:rsidRPr="00360A40" w:rsidRDefault="002D66F3" w:rsidP="00360A40">
            <w:pPr>
              <w:pStyle w:val="TableParagraph"/>
              <w:kinsoku w:val="0"/>
              <w:overflowPunct w:val="0"/>
              <w:rPr>
                <w:sz w:val="22"/>
                <w:szCs w:val="22"/>
                <w:lang w:val="hu-HU"/>
              </w:rPr>
            </w:pPr>
          </w:p>
        </w:tc>
      </w:tr>
    </w:tbl>
    <w:p w14:paraId="221CD750" w14:textId="1EF9018F" w:rsidR="002D66F3" w:rsidRPr="00360A40" w:rsidRDefault="00792DCA" w:rsidP="00360A40">
      <w:pPr>
        <w:pStyle w:val="Szvegtrzs"/>
        <w:kinsoku w:val="0"/>
        <w:overflowPunct w:val="0"/>
        <w:ind w:left="567" w:hanging="567"/>
        <w:rPr>
          <w:lang w:val="hu-HU"/>
        </w:rPr>
      </w:pPr>
      <w:r w:rsidRPr="00360A40">
        <w:rPr>
          <w:lang w:val="hu-HU"/>
        </w:rPr>
        <w:t>a</w:t>
      </w:r>
      <w:r w:rsidRPr="00360A40">
        <w:rPr>
          <w:lang w:val="hu-HU"/>
        </w:rPr>
        <w:tab/>
      </w:r>
      <w:r w:rsidR="002D66F3" w:rsidRPr="00360A40">
        <w:rPr>
          <w:lang w:val="hu-HU"/>
        </w:rPr>
        <w:t>Eltrombopag kombinációban adva peginterferon alfa-2a-val (hetente egyszer 180</w:t>
      </w:r>
      <w:r w:rsidR="00515BB9" w:rsidRPr="00360A40">
        <w:rPr>
          <w:lang w:val="hu-HU"/>
        </w:rPr>
        <w:t> </w:t>
      </w:r>
      <w:r w:rsidR="002D66F3" w:rsidRPr="00360A40">
        <w:rPr>
          <w:lang w:val="hu-HU"/>
        </w:rPr>
        <w:t>μg 48</w:t>
      </w:r>
      <w:r w:rsidR="00515BB9" w:rsidRPr="00360A40">
        <w:rPr>
          <w:lang w:val="hu-HU"/>
        </w:rPr>
        <w:t> </w:t>
      </w:r>
      <w:r w:rsidR="002D66F3" w:rsidRPr="00360A40">
        <w:rPr>
          <w:lang w:val="hu-HU"/>
        </w:rPr>
        <w:t>héten át 1/4/6-os genotípus esetén; 24</w:t>
      </w:r>
      <w:r w:rsidR="00515BB9" w:rsidRPr="00360A40">
        <w:rPr>
          <w:lang w:val="hu-HU"/>
        </w:rPr>
        <w:t> </w:t>
      </w:r>
      <w:r w:rsidR="002D66F3" w:rsidRPr="00360A40">
        <w:rPr>
          <w:lang w:val="hu-HU"/>
        </w:rPr>
        <w:t>héten át 2/3-as genotípus esetén) és ribavirinnel (napi 800-tól 1200</w:t>
      </w:r>
      <w:r w:rsidR="00515BB9" w:rsidRPr="00360A40">
        <w:rPr>
          <w:lang w:val="hu-HU"/>
        </w:rPr>
        <w:t> </w:t>
      </w:r>
      <w:r w:rsidR="002D66F3" w:rsidRPr="00360A40">
        <w:rPr>
          <w:lang w:val="hu-HU"/>
        </w:rPr>
        <w:t>mg-ig, 2</w:t>
      </w:r>
      <w:r w:rsidR="00515BB9" w:rsidRPr="00360A40">
        <w:rPr>
          <w:lang w:val="hu-HU"/>
        </w:rPr>
        <w:t> </w:t>
      </w:r>
      <w:r w:rsidR="002D66F3" w:rsidRPr="00360A40">
        <w:rPr>
          <w:lang w:val="hu-HU"/>
        </w:rPr>
        <w:t>adagra elosztva, per os)</w:t>
      </w:r>
    </w:p>
    <w:p w14:paraId="1BB8865D" w14:textId="18C14712" w:rsidR="002D66F3" w:rsidRPr="00360A40" w:rsidRDefault="00792DCA" w:rsidP="00360A40">
      <w:pPr>
        <w:pStyle w:val="Szvegtrzs"/>
        <w:kinsoku w:val="0"/>
        <w:overflowPunct w:val="0"/>
        <w:ind w:left="567" w:hanging="567"/>
        <w:rPr>
          <w:lang w:val="hu-HU"/>
        </w:rPr>
      </w:pPr>
      <w:r w:rsidRPr="00360A40">
        <w:rPr>
          <w:lang w:val="hu-HU"/>
        </w:rPr>
        <w:t>b</w:t>
      </w:r>
      <w:r w:rsidRPr="00360A40">
        <w:rPr>
          <w:lang w:val="hu-HU"/>
        </w:rPr>
        <w:tab/>
      </w:r>
      <w:r w:rsidR="002D66F3" w:rsidRPr="00360A40">
        <w:rPr>
          <w:lang w:val="hu-HU"/>
        </w:rPr>
        <w:t>Eltrombopag kombinációban adva peginterferon alfa-2b-vel (hetente egyszer 1,5</w:t>
      </w:r>
      <w:r w:rsidR="00515BB9" w:rsidRPr="00360A40">
        <w:rPr>
          <w:lang w:val="hu-HU"/>
        </w:rPr>
        <w:t> </w:t>
      </w:r>
      <w:r w:rsidR="002D66F3" w:rsidRPr="00360A40">
        <w:rPr>
          <w:lang w:val="hu-HU"/>
        </w:rPr>
        <w:t>μg/ttkg</w:t>
      </w:r>
      <w:r w:rsidRPr="00360A40">
        <w:rPr>
          <w:lang w:val="hu-HU"/>
        </w:rPr>
        <w:t xml:space="preserve"> </w:t>
      </w:r>
      <w:r w:rsidR="002D66F3" w:rsidRPr="00360A40">
        <w:rPr>
          <w:lang w:val="hu-HU"/>
        </w:rPr>
        <w:t>48</w:t>
      </w:r>
      <w:r w:rsidR="00515BB9" w:rsidRPr="00360A40">
        <w:rPr>
          <w:lang w:val="hu-HU"/>
        </w:rPr>
        <w:t> </w:t>
      </w:r>
      <w:r w:rsidR="002D66F3" w:rsidRPr="00360A40">
        <w:rPr>
          <w:lang w:val="hu-HU"/>
        </w:rPr>
        <w:t>héten át 1/4/6-os genotípus esetén; 24</w:t>
      </w:r>
      <w:r w:rsidR="00515BB9" w:rsidRPr="00360A40">
        <w:rPr>
          <w:lang w:val="hu-HU"/>
        </w:rPr>
        <w:t> </w:t>
      </w:r>
      <w:r w:rsidR="002D66F3" w:rsidRPr="00360A40">
        <w:rPr>
          <w:lang w:val="hu-HU"/>
        </w:rPr>
        <w:t>héten át 2/3-as genotípus esetén) és ribavirinnel (napi 800-tól 1400</w:t>
      </w:r>
      <w:r w:rsidR="00515BB9" w:rsidRPr="00360A40">
        <w:rPr>
          <w:lang w:val="hu-HU"/>
        </w:rPr>
        <w:t> </w:t>
      </w:r>
      <w:r w:rsidR="002D66F3" w:rsidRPr="00360A40">
        <w:rPr>
          <w:lang w:val="hu-HU"/>
        </w:rPr>
        <w:t>mg-ig, 2</w:t>
      </w:r>
      <w:r w:rsidR="00515BB9" w:rsidRPr="00360A40">
        <w:rPr>
          <w:lang w:val="hu-HU"/>
        </w:rPr>
        <w:t> </w:t>
      </w:r>
      <w:r w:rsidR="002D66F3" w:rsidRPr="00360A40">
        <w:rPr>
          <w:lang w:val="hu-HU"/>
        </w:rPr>
        <w:t>adagra elosztva, per os)</w:t>
      </w:r>
    </w:p>
    <w:p w14:paraId="64B63B9E" w14:textId="1949CE56" w:rsidR="002D66F3" w:rsidRPr="00360A40" w:rsidRDefault="00792DCA" w:rsidP="00360A40">
      <w:pPr>
        <w:pStyle w:val="Szvegtrzs"/>
        <w:kinsoku w:val="0"/>
        <w:overflowPunct w:val="0"/>
        <w:ind w:left="567" w:hanging="567"/>
        <w:rPr>
          <w:lang w:val="hu-HU"/>
        </w:rPr>
      </w:pPr>
      <w:r w:rsidRPr="00360A40">
        <w:rPr>
          <w:lang w:val="hu-HU"/>
        </w:rPr>
        <w:t>c</w:t>
      </w:r>
      <w:r w:rsidRPr="00360A40">
        <w:rPr>
          <w:lang w:val="hu-HU"/>
        </w:rPr>
        <w:tab/>
      </w:r>
      <w:r w:rsidR="002D66F3" w:rsidRPr="00360A40">
        <w:rPr>
          <w:lang w:val="hu-HU"/>
        </w:rPr>
        <w:t>A vérlemezkeszám célértéke ³</w:t>
      </w:r>
      <w:r w:rsidR="00515BB9" w:rsidRPr="00360A40">
        <w:rPr>
          <w:lang w:val="hu-HU"/>
        </w:rPr>
        <w:t> </w:t>
      </w:r>
      <w:r w:rsidR="002D66F3" w:rsidRPr="00360A40">
        <w:rPr>
          <w:lang w:val="hu-HU"/>
        </w:rPr>
        <w:t>90</w:t>
      </w:r>
      <w:r w:rsidR="00F271B6" w:rsidRPr="00360A40">
        <w:rPr>
          <w:lang w:val="hu-HU"/>
        </w:rPr>
        <w:t> </w:t>
      </w:r>
      <w:r w:rsidR="002D66F3" w:rsidRPr="00360A40">
        <w:rPr>
          <w:lang w:val="hu-HU"/>
        </w:rPr>
        <w:t>000/µl volt az ENABLE 1 esetén, és ³</w:t>
      </w:r>
      <w:r w:rsidR="00515BB9" w:rsidRPr="00360A40">
        <w:rPr>
          <w:lang w:val="hu-HU"/>
        </w:rPr>
        <w:t> </w:t>
      </w:r>
      <w:r w:rsidR="002D66F3" w:rsidRPr="00360A40">
        <w:rPr>
          <w:lang w:val="hu-HU"/>
        </w:rPr>
        <w:t>100</w:t>
      </w:r>
      <w:r w:rsidR="00F271B6" w:rsidRPr="00360A40">
        <w:rPr>
          <w:lang w:val="hu-HU"/>
        </w:rPr>
        <w:t> </w:t>
      </w:r>
      <w:r w:rsidR="002D66F3" w:rsidRPr="00360A40">
        <w:rPr>
          <w:lang w:val="hu-HU"/>
        </w:rPr>
        <w:t>000/µl az ENABLE 2 esetén. Az ENABLE 1 esetén 682</w:t>
      </w:r>
      <w:r w:rsidR="00515BB9" w:rsidRPr="00360A40">
        <w:rPr>
          <w:lang w:val="hu-HU"/>
        </w:rPr>
        <w:t> </w:t>
      </w:r>
      <w:r w:rsidR="002D66F3" w:rsidRPr="00360A40">
        <w:rPr>
          <w:lang w:val="hu-HU"/>
        </w:rPr>
        <w:t>beteget randomizáltak az antivirális kezelési szakaszba, azonban 2</w:t>
      </w:r>
      <w:r w:rsidR="00515BB9" w:rsidRPr="00360A40">
        <w:rPr>
          <w:lang w:val="hu-HU"/>
        </w:rPr>
        <w:t> </w:t>
      </w:r>
      <w:r w:rsidR="002D66F3" w:rsidRPr="00360A40">
        <w:rPr>
          <w:lang w:val="hu-HU"/>
        </w:rPr>
        <w:t>beteg visszavonta a beleegyezését, mielőtt antivirális terápiában részesültek volna</w:t>
      </w:r>
    </w:p>
    <w:p w14:paraId="3E1A011A" w14:textId="14D13BC0" w:rsidR="002D66F3" w:rsidRPr="00360A40" w:rsidRDefault="00792DCA" w:rsidP="00360A40">
      <w:pPr>
        <w:pStyle w:val="Szvegtrzs"/>
        <w:kinsoku w:val="0"/>
        <w:overflowPunct w:val="0"/>
        <w:ind w:left="567" w:hanging="567"/>
        <w:rPr>
          <w:lang w:val="hu-HU"/>
        </w:rPr>
      </w:pPr>
      <w:r w:rsidRPr="00360A40">
        <w:rPr>
          <w:lang w:val="hu-HU"/>
        </w:rPr>
        <w:t>d</w:t>
      </w:r>
      <w:r w:rsidRPr="00360A40">
        <w:rPr>
          <w:lang w:val="hu-HU"/>
        </w:rPr>
        <w:tab/>
      </w:r>
      <w:r w:rsidR="002D66F3" w:rsidRPr="00360A40">
        <w:rPr>
          <w:lang w:val="hu-HU"/>
        </w:rPr>
        <w:t xml:space="preserve">Eltrombopag esetén </w:t>
      </w:r>
      <w:r w:rsidR="002D66F3" w:rsidRPr="00360A40">
        <w:rPr>
          <w:i/>
          <w:iCs/>
          <w:lang w:val="hu-HU"/>
        </w:rPr>
        <w:t>P</w:t>
      </w:r>
      <w:r w:rsidR="002D66F3" w:rsidRPr="00360A40">
        <w:rPr>
          <w:lang w:val="hu-HU"/>
        </w:rPr>
        <w:t>-érték &lt;</w:t>
      </w:r>
      <w:r w:rsidR="00515BB9" w:rsidRPr="00360A40">
        <w:rPr>
          <w:lang w:val="hu-HU"/>
        </w:rPr>
        <w:t> </w:t>
      </w:r>
      <w:r w:rsidR="002D66F3" w:rsidRPr="00360A40">
        <w:rPr>
          <w:lang w:val="hu-HU"/>
        </w:rPr>
        <w:t>0,05 versus placebo</w:t>
      </w:r>
    </w:p>
    <w:p w14:paraId="7227F804" w14:textId="2080892A" w:rsidR="00792DCA" w:rsidRPr="00360A40" w:rsidRDefault="00792DCA" w:rsidP="00360A40">
      <w:pPr>
        <w:pStyle w:val="Szvegtrzs"/>
        <w:kinsoku w:val="0"/>
        <w:overflowPunct w:val="0"/>
        <w:ind w:left="567" w:hanging="567"/>
        <w:rPr>
          <w:lang w:val="hu-HU"/>
        </w:rPr>
      </w:pPr>
      <w:r w:rsidRPr="00360A40">
        <w:rPr>
          <w:lang w:val="hu-HU"/>
        </w:rPr>
        <w:t>e</w:t>
      </w:r>
      <w:r w:rsidRPr="00360A40">
        <w:rPr>
          <w:lang w:val="hu-HU"/>
        </w:rPr>
        <w:tab/>
      </w:r>
      <w:r w:rsidR="002D66F3" w:rsidRPr="00360A40">
        <w:rPr>
          <w:lang w:val="hu-HU"/>
        </w:rPr>
        <w:t>Az ENABLE 1 és ENABLE 2-ben résztvevő betegek 64%-a 1-es genotípusú volt</w:t>
      </w:r>
    </w:p>
    <w:p w14:paraId="06A92115" w14:textId="7ACF9E40" w:rsidR="002D66F3" w:rsidRPr="00360A40" w:rsidRDefault="00792DCA" w:rsidP="00360A40">
      <w:pPr>
        <w:pStyle w:val="Szvegtrzs"/>
        <w:kinsoku w:val="0"/>
        <w:overflowPunct w:val="0"/>
        <w:ind w:left="567" w:hanging="567"/>
        <w:rPr>
          <w:lang w:val="hu-HU"/>
        </w:rPr>
      </w:pPr>
      <w:r w:rsidRPr="00360A40">
        <w:rPr>
          <w:lang w:val="hu-HU"/>
        </w:rPr>
        <w:t>f</w:t>
      </w:r>
      <w:r w:rsidRPr="00360A40">
        <w:rPr>
          <w:lang w:val="hu-HU"/>
        </w:rPr>
        <w:tab/>
      </w:r>
      <w:r w:rsidR="002D66F3" w:rsidRPr="00360A40">
        <w:rPr>
          <w:i/>
          <w:iCs/>
          <w:lang w:val="hu-HU"/>
        </w:rPr>
        <w:t xml:space="preserve">Post hoc </w:t>
      </w:r>
      <w:r w:rsidR="002D66F3" w:rsidRPr="00360A40">
        <w:rPr>
          <w:lang w:val="hu-HU"/>
        </w:rPr>
        <w:t>analízisek</w:t>
      </w:r>
    </w:p>
    <w:p w14:paraId="2166E5EB" w14:textId="77777777" w:rsidR="002D66F3" w:rsidRPr="00360A40" w:rsidRDefault="002D66F3" w:rsidP="00360A40">
      <w:pPr>
        <w:pStyle w:val="Szvegtrzs"/>
        <w:kinsoku w:val="0"/>
        <w:overflowPunct w:val="0"/>
        <w:ind w:left="0"/>
        <w:rPr>
          <w:lang w:val="hu-HU"/>
        </w:rPr>
      </w:pPr>
    </w:p>
    <w:p w14:paraId="038F2032" w14:textId="09F6FECE" w:rsidR="002D66F3" w:rsidRPr="00360A40" w:rsidRDefault="002D66F3" w:rsidP="00360A40">
      <w:pPr>
        <w:pStyle w:val="Szvegtrzs"/>
        <w:kinsoku w:val="0"/>
        <w:overflowPunct w:val="0"/>
        <w:ind w:left="0"/>
        <w:rPr>
          <w:lang w:val="hu-HU"/>
        </w:rPr>
      </w:pPr>
      <w:r w:rsidRPr="00360A40">
        <w:rPr>
          <w:lang w:val="hu-HU"/>
        </w:rPr>
        <w:t xml:space="preserve">A vizsgálat egyéb másodlagos megfigyelései közé tartoztak a következők: a placebóhoz viszonyítva szignifikánsan kevesebb eltrombopaggal kezelt beteg hagyta abba az antivirális terápiát idő előtt (45% </w:t>
      </w:r>
      <w:r w:rsidRPr="00360A40">
        <w:rPr>
          <w:lang w:val="hu-HU"/>
        </w:rPr>
        <w:lastRenderedPageBreak/>
        <w:t>vs 60%, p = &lt;</w:t>
      </w:r>
      <w:r w:rsidR="00515BB9" w:rsidRPr="00360A40">
        <w:rPr>
          <w:lang w:val="hu-HU"/>
        </w:rPr>
        <w:t> </w:t>
      </w:r>
      <w:r w:rsidRPr="00360A40">
        <w:rPr>
          <w:lang w:val="hu-HU"/>
        </w:rPr>
        <w:t>0,0001). A</w:t>
      </w:r>
      <w:r w:rsidR="00515BB9" w:rsidRPr="00360A40">
        <w:rPr>
          <w:lang w:val="hu-HU"/>
        </w:rPr>
        <w:t>z</w:t>
      </w:r>
      <w:r w:rsidRPr="00360A40">
        <w:rPr>
          <w:lang w:val="hu-HU"/>
        </w:rPr>
        <w:t xml:space="preserve"> eltrombopaggal kezelt betegek nagyobb hányadánál volt szükségtelen az antivirális szerek dóziscsökkentése a placebóhoz viszonyítva (45% vs. 27%). Az eltrombopag-kezelés késleltette és csökkentette a peginterferon dóziscsökkentésének számát.</w:t>
      </w:r>
    </w:p>
    <w:p w14:paraId="4165B90D" w14:textId="77777777" w:rsidR="00F271B6" w:rsidRPr="00360A40" w:rsidRDefault="00F271B6" w:rsidP="00360A40">
      <w:pPr>
        <w:pStyle w:val="Szvegtrzs"/>
        <w:kinsoku w:val="0"/>
        <w:overflowPunct w:val="0"/>
        <w:ind w:left="0"/>
        <w:rPr>
          <w:lang w:val="hu-HU"/>
        </w:rPr>
      </w:pPr>
    </w:p>
    <w:p w14:paraId="24D2DE01" w14:textId="77777777" w:rsidR="002D66F3" w:rsidRPr="00360A40" w:rsidRDefault="002D66F3" w:rsidP="00360A40">
      <w:pPr>
        <w:pStyle w:val="Szvegtrzs"/>
        <w:kinsoku w:val="0"/>
        <w:overflowPunct w:val="0"/>
        <w:ind w:left="0"/>
        <w:rPr>
          <w:lang w:val="hu-HU"/>
        </w:rPr>
      </w:pPr>
    </w:p>
    <w:p w14:paraId="7DC9E93D" w14:textId="4AF5482F" w:rsidR="002D66F3" w:rsidRPr="00360A40" w:rsidRDefault="00A802A2" w:rsidP="00360A40">
      <w:pPr>
        <w:pStyle w:val="Cmsor1"/>
        <w:kinsoku w:val="0"/>
        <w:overflowPunct w:val="0"/>
        <w:ind w:left="0" w:firstLine="0"/>
        <w:rPr>
          <w:b w:val="0"/>
          <w:bCs w:val="0"/>
          <w:lang w:val="hu-HU"/>
        </w:rPr>
      </w:pPr>
      <w:r w:rsidRPr="00360A40">
        <w:rPr>
          <w:lang w:val="hu-HU"/>
        </w:rPr>
        <w:t>5.2</w:t>
      </w:r>
      <w:r w:rsidRPr="00360A40">
        <w:rPr>
          <w:lang w:val="hu-HU"/>
        </w:rPr>
        <w:tab/>
      </w:r>
      <w:r w:rsidR="002D66F3" w:rsidRPr="00360A40">
        <w:rPr>
          <w:lang w:val="hu-HU"/>
        </w:rPr>
        <w:t>Farmakokinetikai tulajdonságok</w:t>
      </w:r>
    </w:p>
    <w:p w14:paraId="4605C8B0" w14:textId="77777777" w:rsidR="002D66F3" w:rsidRPr="00360A40" w:rsidRDefault="002D66F3" w:rsidP="00095772">
      <w:pPr>
        <w:pStyle w:val="Szvegtrzs"/>
        <w:kinsoku w:val="0"/>
        <w:overflowPunct w:val="0"/>
        <w:ind w:left="0"/>
        <w:rPr>
          <w:b/>
          <w:bCs/>
          <w:lang w:val="hu-HU"/>
        </w:rPr>
      </w:pPr>
    </w:p>
    <w:p w14:paraId="66F0E7C5" w14:textId="77777777" w:rsidR="002D66F3" w:rsidRPr="00360A40" w:rsidRDefault="002D66F3" w:rsidP="00095772">
      <w:pPr>
        <w:pStyle w:val="Szvegtrzs"/>
        <w:kinsoku w:val="0"/>
        <w:overflowPunct w:val="0"/>
        <w:ind w:left="0"/>
        <w:rPr>
          <w:lang w:val="hu-HU"/>
        </w:rPr>
      </w:pPr>
      <w:r w:rsidRPr="00360A40">
        <w:rPr>
          <w:u w:val="single"/>
          <w:lang w:val="hu-HU"/>
        </w:rPr>
        <w:t>Farmakokinetika</w:t>
      </w:r>
    </w:p>
    <w:p w14:paraId="42F8569E" w14:textId="77777777" w:rsidR="002D66F3" w:rsidRPr="00360A40" w:rsidRDefault="002D66F3" w:rsidP="00095772">
      <w:pPr>
        <w:pStyle w:val="Szvegtrzs"/>
        <w:kinsoku w:val="0"/>
        <w:overflowPunct w:val="0"/>
        <w:ind w:left="0"/>
        <w:rPr>
          <w:lang w:val="hu-HU"/>
        </w:rPr>
      </w:pPr>
    </w:p>
    <w:p w14:paraId="4C1FD45F" w14:textId="6BD58C80" w:rsidR="002D66F3" w:rsidRPr="00360A40" w:rsidRDefault="002D66F3" w:rsidP="00095772">
      <w:pPr>
        <w:pStyle w:val="Szvegtrzs"/>
        <w:kinsoku w:val="0"/>
        <w:overflowPunct w:val="0"/>
        <w:ind w:left="0"/>
        <w:rPr>
          <w:lang w:val="hu-HU"/>
        </w:rPr>
      </w:pPr>
      <w:r w:rsidRPr="00360A40">
        <w:rPr>
          <w:lang w:val="hu-HU"/>
        </w:rPr>
        <w:t>A TRA100773A és TRA100773B vizsgálatokból 88 ITP-s beteg plazma-eltrombopag koncentráció– idő adatait vetették össze 111 egészséges felnőtt adataival egy populációs PK-elemzésben. Megadták az ITP-s betegek becsült plazma-eltrombopag-AUC</w:t>
      </w:r>
      <w:r w:rsidR="00577A0B" w:rsidRPr="00577A0B">
        <w:rPr>
          <w:vertAlign w:val="subscript"/>
          <w:lang w:val="hu-HU"/>
        </w:rPr>
        <w:t>(0-τ)</w:t>
      </w:r>
      <w:r w:rsidRPr="00360A40">
        <w:rPr>
          <w:lang w:val="hu-HU"/>
        </w:rPr>
        <w:t>- és C</w:t>
      </w:r>
      <w:r w:rsidR="00577A0B" w:rsidRPr="00577A0B">
        <w:rPr>
          <w:vertAlign w:val="subscript"/>
          <w:lang w:val="hu-HU"/>
        </w:rPr>
        <w:t>max</w:t>
      </w:r>
      <w:r w:rsidRPr="00360A40">
        <w:rPr>
          <w:lang w:val="hu-HU"/>
        </w:rPr>
        <w:t>-értékeit (8.</w:t>
      </w:r>
      <w:r w:rsidR="00BC36B4" w:rsidRPr="00360A40">
        <w:rPr>
          <w:lang w:val="hu-HU"/>
        </w:rPr>
        <w:t> </w:t>
      </w:r>
      <w:r w:rsidRPr="00360A40">
        <w:rPr>
          <w:lang w:val="hu-HU"/>
        </w:rPr>
        <w:t>táblázat).</w:t>
      </w:r>
    </w:p>
    <w:p w14:paraId="7C232CB4" w14:textId="77777777" w:rsidR="002D66F3" w:rsidRPr="00360A40" w:rsidRDefault="002D66F3" w:rsidP="00095772">
      <w:pPr>
        <w:pStyle w:val="Szvegtrzs"/>
        <w:kinsoku w:val="0"/>
        <w:overflowPunct w:val="0"/>
        <w:ind w:left="0"/>
        <w:rPr>
          <w:lang w:val="hu-HU"/>
        </w:rPr>
      </w:pPr>
    </w:p>
    <w:p w14:paraId="6C7700AE" w14:textId="4EB4C2D3" w:rsidR="002D66F3" w:rsidRPr="00360A40" w:rsidRDefault="00FB7CC2" w:rsidP="00360A40">
      <w:pPr>
        <w:pStyle w:val="Cmsor1"/>
        <w:kinsoku w:val="0"/>
        <w:overflowPunct w:val="0"/>
        <w:ind w:left="1276" w:hanging="1276"/>
        <w:rPr>
          <w:b w:val="0"/>
          <w:bCs w:val="0"/>
          <w:lang w:val="hu-HU"/>
        </w:rPr>
      </w:pPr>
      <w:r>
        <w:rPr>
          <w:lang w:val="hu-HU"/>
        </w:rPr>
        <w:t>8</w:t>
      </w:r>
      <w:r w:rsidR="00EA221C" w:rsidRPr="00360A40">
        <w:rPr>
          <w:lang w:val="hu-HU"/>
        </w:rPr>
        <w:t>.</w:t>
      </w:r>
      <w:r w:rsidR="00BC36B4" w:rsidRPr="00360A40">
        <w:rPr>
          <w:lang w:val="hu-HU"/>
        </w:rPr>
        <w:t> </w:t>
      </w:r>
      <w:r w:rsidR="002D66F3" w:rsidRPr="00360A40">
        <w:rPr>
          <w:lang w:val="hu-HU"/>
        </w:rPr>
        <w:t>táblázat</w:t>
      </w:r>
      <w:r w:rsidR="002D66F3" w:rsidRPr="00360A40">
        <w:rPr>
          <w:lang w:val="hu-HU"/>
        </w:rPr>
        <w:tab/>
        <w:t xml:space="preserve">ITP-s felnőttek steady-state plazma-eltrombopag farmakokinetikai paramétereinek </w:t>
      </w:r>
      <w:r w:rsidR="004A32AB">
        <w:rPr>
          <w:lang w:val="hu-HU"/>
        </w:rPr>
        <w:t>mértani</w:t>
      </w:r>
      <w:r w:rsidR="002D66F3" w:rsidRPr="00360A40">
        <w:rPr>
          <w:lang w:val="hu-HU"/>
        </w:rPr>
        <w:t xml:space="preserve"> átlagértéke (95%-os konfidencia intervallum)</w:t>
      </w:r>
    </w:p>
    <w:p w14:paraId="2C6206D4" w14:textId="77777777" w:rsidR="002D66F3" w:rsidRPr="00360A40" w:rsidRDefault="002D66F3" w:rsidP="00360A40">
      <w:pPr>
        <w:pStyle w:val="Szvegtrzs"/>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2666"/>
        <w:gridCol w:w="810"/>
        <w:gridCol w:w="2567"/>
        <w:gridCol w:w="2834"/>
      </w:tblGrid>
      <w:tr w:rsidR="002D66F3" w:rsidRPr="00360A40" w14:paraId="19FAB53A" w14:textId="77777777" w:rsidTr="00D25F36">
        <w:trPr>
          <w:trHeight w:hRule="exact" w:val="516"/>
        </w:trPr>
        <w:tc>
          <w:tcPr>
            <w:tcW w:w="2666" w:type="dxa"/>
            <w:tcBorders>
              <w:top w:val="single" w:sz="4" w:space="0" w:color="000000"/>
              <w:left w:val="single" w:sz="4" w:space="0" w:color="000000"/>
              <w:bottom w:val="single" w:sz="4" w:space="0" w:color="000000"/>
              <w:right w:val="single" w:sz="4" w:space="0" w:color="000000"/>
            </w:tcBorders>
          </w:tcPr>
          <w:p w14:paraId="47ACB0FB" w14:textId="77777777" w:rsidR="002D66F3" w:rsidRPr="00360A40" w:rsidRDefault="002D66F3" w:rsidP="00360A40">
            <w:pPr>
              <w:pStyle w:val="TableParagraph"/>
              <w:kinsoku w:val="0"/>
              <w:overflowPunct w:val="0"/>
              <w:ind w:left="449" w:hanging="166"/>
              <w:rPr>
                <w:sz w:val="22"/>
                <w:szCs w:val="22"/>
                <w:lang w:val="hu-HU"/>
              </w:rPr>
            </w:pPr>
            <w:r w:rsidRPr="00360A40">
              <w:rPr>
                <w:b/>
                <w:bCs/>
                <w:sz w:val="22"/>
                <w:szCs w:val="22"/>
                <w:lang w:val="hu-HU"/>
              </w:rPr>
              <w:t>Eltrombopag-dózis, naponta egyszer</w:t>
            </w:r>
          </w:p>
        </w:tc>
        <w:tc>
          <w:tcPr>
            <w:tcW w:w="810" w:type="dxa"/>
            <w:tcBorders>
              <w:top w:val="single" w:sz="4" w:space="0" w:color="000000"/>
              <w:left w:val="single" w:sz="4" w:space="0" w:color="000000"/>
              <w:bottom w:val="single" w:sz="4" w:space="0" w:color="000000"/>
              <w:right w:val="single" w:sz="4" w:space="0" w:color="000000"/>
            </w:tcBorders>
          </w:tcPr>
          <w:p w14:paraId="470E6F57" w14:textId="77777777" w:rsidR="002D66F3" w:rsidRPr="00360A40" w:rsidRDefault="002D66F3" w:rsidP="00360A40">
            <w:pPr>
              <w:pStyle w:val="TableParagraph"/>
              <w:kinsoku w:val="0"/>
              <w:overflowPunct w:val="0"/>
              <w:rPr>
                <w:sz w:val="22"/>
                <w:szCs w:val="22"/>
                <w:lang w:val="hu-HU"/>
              </w:rPr>
            </w:pPr>
            <w:r w:rsidRPr="00360A40">
              <w:rPr>
                <w:b/>
                <w:bCs/>
                <w:sz w:val="22"/>
                <w:szCs w:val="22"/>
                <w:lang w:val="hu-HU"/>
              </w:rPr>
              <w:t>N</w:t>
            </w:r>
          </w:p>
        </w:tc>
        <w:tc>
          <w:tcPr>
            <w:tcW w:w="2567" w:type="dxa"/>
            <w:tcBorders>
              <w:top w:val="single" w:sz="4" w:space="0" w:color="000000"/>
              <w:left w:val="single" w:sz="4" w:space="0" w:color="000000"/>
              <w:bottom w:val="single" w:sz="4" w:space="0" w:color="000000"/>
              <w:right w:val="single" w:sz="4" w:space="0" w:color="000000"/>
            </w:tcBorders>
          </w:tcPr>
          <w:p w14:paraId="0FD23480" w14:textId="3C102A37" w:rsidR="002D66F3" w:rsidRPr="00360A40" w:rsidRDefault="002D66F3" w:rsidP="00360A40">
            <w:pPr>
              <w:pStyle w:val="TableParagraph"/>
              <w:kinsoku w:val="0"/>
              <w:overflowPunct w:val="0"/>
              <w:ind w:left="355"/>
              <w:rPr>
                <w:sz w:val="22"/>
                <w:szCs w:val="22"/>
                <w:lang w:val="hu-HU"/>
              </w:rPr>
            </w:pPr>
            <w:r w:rsidRPr="00360A40">
              <w:rPr>
                <w:b/>
                <w:bCs/>
                <w:sz w:val="22"/>
                <w:szCs w:val="22"/>
                <w:lang w:val="hu-HU"/>
              </w:rPr>
              <w:t>AUC</w:t>
            </w:r>
            <w:r w:rsidR="00577A0B" w:rsidRPr="00577A0B">
              <w:rPr>
                <w:b/>
                <w:bCs/>
                <w:sz w:val="22"/>
                <w:szCs w:val="22"/>
                <w:vertAlign w:val="subscript"/>
                <w:lang w:val="hu-HU"/>
              </w:rPr>
              <w:t>(0-τ)</w:t>
            </w:r>
            <w:r w:rsidRPr="009F4BD6">
              <w:rPr>
                <w:b/>
                <w:bCs/>
                <w:sz w:val="22"/>
                <w:szCs w:val="22"/>
                <w:vertAlign w:val="superscript"/>
                <w:lang w:val="hu-HU"/>
              </w:rPr>
              <w:t>a</w:t>
            </w:r>
            <w:r w:rsidRPr="00360A40">
              <w:rPr>
                <w:b/>
                <w:bCs/>
                <w:sz w:val="22"/>
                <w:szCs w:val="22"/>
                <w:lang w:val="hu-HU"/>
              </w:rPr>
              <w:t xml:space="preserve">, </w:t>
            </w:r>
            <w:r w:rsidR="009F216E" w:rsidRPr="009F216E">
              <w:rPr>
                <w:b/>
                <w:bCs/>
                <w:sz w:val="22"/>
                <w:szCs w:val="22"/>
                <w:lang w:val="hu-HU"/>
              </w:rPr>
              <w:t>μ</w:t>
            </w:r>
            <w:r w:rsidRPr="00360A40">
              <w:rPr>
                <w:b/>
                <w:bCs/>
                <w:sz w:val="22"/>
                <w:szCs w:val="22"/>
                <w:lang w:val="hu-HU"/>
              </w:rPr>
              <w:t>g</w:t>
            </w:r>
            <w:r w:rsidR="00577A0B">
              <w:rPr>
                <w:b/>
                <w:bCs/>
                <w:sz w:val="22"/>
                <w:szCs w:val="22"/>
                <w:lang w:val="hu-HU"/>
              </w:rPr>
              <w:t>×</w:t>
            </w:r>
            <w:r w:rsidRPr="00360A40">
              <w:rPr>
                <w:b/>
                <w:bCs/>
                <w:sz w:val="22"/>
                <w:szCs w:val="22"/>
                <w:lang w:val="hu-HU"/>
              </w:rPr>
              <w:t>óra/ml</w:t>
            </w:r>
          </w:p>
        </w:tc>
        <w:tc>
          <w:tcPr>
            <w:tcW w:w="2834" w:type="dxa"/>
            <w:tcBorders>
              <w:top w:val="single" w:sz="4" w:space="0" w:color="000000"/>
              <w:left w:val="single" w:sz="4" w:space="0" w:color="000000"/>
              <w:bottom w:val="single" w:sz="4" w:space="0" w:color="000000"/>
              <w:right w:val="single" w:sz="4" w:space="0" w:color="000000"/>
            </w:tcBorders>
          </w:tcPr>
          <w:p w14:paraId="0E34C874" w14:textId="74F3372E" w:rsidR="002D66F3" w:rsidRPr="00360A40" w:rsidRDefault="002D66F3" w:rsidP="00360A40">
            <w:pPr>
              <w:pStyle w:val="TableParagraph"/>
              <w:kinsoku w:val="0"/>
              <w:overflowPunct w:val="0"/>
              <w:ind w:left="823"/>
              <w:rPr>
                <w:sz w:val="22"/>
                <w:szCs w:val="22"/>
                <w:lang w:val="hu-HU"/>
              </w:rPr>
            </w:pPr>
            <w:r w:rsidRPr="00360A40">
              <w:rPr>
                <w:b/>
                <w:bCs/>
                <w:sz w:val="22"/>
                <w:szCs w:val="22"/>
                <w:lang w:val="hu-HU"/>
              </w:rPr>
              <w:t>C</w:t>
            </w:r>
            <w:r w:rsidR="00577A0B" w:rsidRPr="00577A0B">
              <w:rPr>
                <w:b/>
                <w:bCs/>
                <w:sz w:val="22"/>
                <w:szCs w:val="22"/>
                <w:vertAlign w:val="subscript"/>
                <w:lang w:val="hu-HU"/>
              </w:rPr>
              <w:t>max</w:t>
            </w:r>
            <w:r w:rsidRPr="009F4BD6">
              <w:rPr>
                <w:b/>
                <w:bCs/>
                <w:sz w:val="22"/>
                <w:szCs w:val="22"/>
                <w:vertAlign w:val="superscript"/>
                <w:lang w:val="hu-HU"/>
              </w:rPr>
              <w:t>a</w:t>
            </w:r>
            <w:r w:rsidRPr="00360A40">
              <w:rPr>
                <w:b/>
                <w:bCs/>
                <w:sz w:val="22"/>
                <w:szCs w:val="22"/>
                <w:lang w:val="hu-HU"/>
              </w:rPr>
              <w:t xml:space="preserve">, </w:t>
            </w:r>
            <w:r w:rsidR="009F216E" w:rsidRPr="009F216E">
              <w:rPr>
                <w:b/>
                <w:bCs/>
                <w:sz w:val="22"/>
                <w:szCs w:val="22"/>
                <w:lang w:val="hu-HU"/>
              </w:rPr>
              <w:t>μ</w:t>
            </w:r>
            <w:r w:rsidRPr="00360A40">
              <w:rPr>
                <w:b/>
                <w:bCs/>
                <w:sz w:val="22"/>
                <w:szCs w:val="22"/>
                <w:lang w:val="hu-HU"/>
              </w:rPr>
              <w:t>g/ml</w:t>
            </w:r>
          </w:p>
        </w:tc>
      </w:tr>
      <w:tr w:rsidR="002D66F3" w:rsidRPr="00360A40" w14:paraId="606442D4" w14:textId="77777777" w:rsidTr="00D25F36">
        <w:trPr>
          <w:trHeight w:hRule="exact" w:val="263"/>
        </w:trPr>
        <w:tc>
          <w:tcPr>
            <w:tcW w:w="2666" w:type="dxa"/>
            <w:tcBorders>
              <w:top w:val="single" w:sz="4" w:space="0" w:color="000000"/>
              <w:left w:val="single" w:sz="4" w:space="0" w:color="000000"/>
              <w:bottom w:val="single" w:sz="4" w:space="0" w:color="000000"/>
              <w:right w:val="single" w:sz="4" w:space="0" w:color="000000"/>
            </w:tcBorders>
          </w:tcPr>
          <w:p w14:paraId="4207368E" w14:textId="6303B2D4" w:rsidR="002D66F3" w:rsidRPr="00360A40" w:rsidRDefault="002D66F3" w:rsidP="009F4BD6">
            <w:pPr>
              <w:pStyle w:val="TableParagraph"/>
              <w:kinsoku w:val="0"/>
              <w:overflowPunct w:val="0"/>
              <w:jc w:val="center"/>
              <w:rPr>
                <w:sz w:val="22"/>
                <w:szCs w:val="22"/>
                <w:lang w:val="hu-HU"/>
              </w:rPr>
            </w:pPr>
            <w:r w:rsidRPr="00360A40">
              <w:rPr>
                <w:sz w:val="22"/>
                <w:szCs w:val="22"/>
                <w:lang w:val="hu-HU"/>
              </w:rPr>
              <w:t>30</w:t>
            </w:r>
            <w:r w:rsidR="00BC36B4" w:rsidRPr="00360A40">
              <w:rPr>
                <w:sz w:val="22"/>
                <w:szCs w:val="22"/>
                <w:lang w:val="hu-HU"/>
              </w:rPr>
              <w:t> </w:t>
            </w:r>
            <w:r w:rsidRPr="00360A40">
              <w:rPr>
                <w:sz w:val="22"/>
                <w:szCs w:val="22"/>
                <w:lang w:val="hu-HU"/>
              </w:rPr>
              <w:t>mg</w:t>
            </w:r>
          </w:p>
        </w:tc>
        <w:tc>
          <w:tcPr>
            <w:tcW w:w="810" w:type="dxa"/>
            <w:tcBorders>
              <w:top w:val="single" w:sz="4" w:space="0" w:color="000000"/>
              <w:left w:val="single" w:sz="4" w:space="0" w:color="000000"/>
              <w:bottom w:val="single" w:sz="4" w:space="0" w:color="000000"/>
              <w:right w:val="single" w:sz="4" w:space="0" w:color="000000"/>
            </w:tcBorders>
          </w:tcPr>
          <w:p w14:paraId="29C4C02D" w14:textId="77777777" w:rsidR="002D66F3" w:rsidRPr="00360A40" w:rsidRDefault="002D66F3" w:rsidP="009F4BD6">
            <w:pPr>
              <w:pStyle w:val="TableParagraph"/>
              <w:kinsoku w:val="0"/>
              <w:overflowPunct w:val="0"/>
              <w:ind w:left="1"/>
              <w:jc w:val="center"/>
              <w:rPr>
                <w:sz w:val="22"/>
                <w:szCs w:val="22"/>
                <w:lang w:val="hu-HU"/>
              </w:rPr>
            </w:pPr>
            <w:r w:rsidRPr="00360A40">
              <w:rPr>
                <w:sz w:val="22"/>
                <w:szCs w:val="22"/>
                <w:lang w:val="hu-HU"/>
              </w:rPr>
              <w:t>28</w:t>
            </w:r>
          </w:p>
        </w:tc>
        <w:tc>
          <w:tcPr>
            <w:tcW w:w="2567" w:type="dxa"/>
            <w:tcBorders>
              <w:top w:val="single" w:sz="4" w:space="0" w:color="000000"/>
              <w:left w:val="single" w:sz="4" w:space="0" w:color="000000"/>
              <w:bottom w:val="single" w:sz="4" w:space="0" w:color="000000"/>
              <w:right w:val="single" w:sz="4" w:space="0" w:color="000000"/>
            </w:tcBorders>
          </w:tcPr>
          <w:p w14:paraId="7C0D48F9" w14:textId="77777777" w:rsidR="002D66F3" w:rsidRPr="00360A40" w:rsidRDefault="002D66F3" w:rsidP="00360A40">
            <w:pPr>
              <w:pStyle w:val="TableParagraph"/>
              <w:kinsoku w:val="0"/>
              <w:overflowPunct w:val="0"/>
              <w:ind w:left="791"/>
              <w:rPr>
                <w:sz w:val="22"/>
                <w:szCs w:val="22"/>
                <w:lang w:val="hu-HU"/>
              </w:rPr>
            </w:pPr>
            <w:r w:rsidRPr="00360A40">
              <w:rPr>
                <w:sz w:val="22"/>
                <w:szCs w:val="22"/>
                <w:lang w:val="hu-HU"/>
              </w:rPr>
              <w:t>47 (39, 58)</w:t>
            </w:r>
          </w:p>
        </w:tc>
        <w:tc>
          <w:tcPr>
            <w:tcW w:w="2834" w:type="dxa"/>
            <w:tcBorders>
              <w:top w:val="single" w:sz="4" w:space="0" w:color="000000"/>
              <w:left w:val="single" w:sz="4" w:space="0" w:color="000000"/>
              <w:bottom w:val="single" w:sz="4" w:space="0" w:color="000000"/>
              <w:right w:val="single" w:sz="4" w:space="0" w:color="000000"/>
            </w:tcBorders>
          </w:tcPr>
          <w:p w14:paraId="24B5755D" w14:textId="77777777" w:rsidR="002D66F3" w:rsidRPr="00360A40" w:rsidRDefault="002D66F3" w:rsidP="00360A40">
            <w:pPr>
              <w:pStyle w:val="TableParagraph"/>
              <w:kinsoku w:val="0"/>
              <w:overflowPunct w:val="0"/>
              <w:ind w:left="676"/>
              <w:rPr>
                <w:sz w:val="22"/>
                <w:szCs w:val="22"/>
                <w:lang w:val="hu-HU"/>
              </w:rPr>
            </w:pPr>
            <w:r w:rsidRPr="00360A40">
              <w:rPr>
                <w:sz w:val="22"/>
                <w:szCs w:val="22"/>
                <w:lang w:val="hu-HU"/>
              </w:rPr>
              <w:t>3,78 (3,18, 4,49)</w:t>
            </w:r>
          </w:p>
        </w:tc>
      </w:tr>
      <w:tr w:rsidR="002D66F3" w:rsidRPr="00360A40" w14:paraId="31F0990C" w14:textId="77777777" w:rsidTr="00D25F36">
        <w:trPr>
          <w:trHeight w:hRule="exact" w:val="263"/>
        </w:trPr>
        <w:tc>
          <w:tcPr>
            <w:tcW w:w="2666" w:type="dxa"/>
            <w:tcBorders>
              <w:top w:val="single" w:sz="4" w:space="0" w:color="000000"/>
              <w:left w:val="single" w:sz="4" w:space="0" w:color="000000"/>
              <w:bottom w:val="single" w:sz="4" w:space="0" w:color="000000"/>
              <w:right w:val="single" w:sz="4" w:space="0" w:color="000000"/>
            </w:tcBorders>
          </w:tcPr>
          <w:p w14:paraId="0164BB40" w14:textId="1FF06B2D" w:rsidR="002D66F3" w:rsidRPr="00360A40" w:rsidRDefault="002D66F3" w:rsidP="009F4BD6">
            <w:pPr>
              <w:pStyle w:val="TableParagraph"/>
              <w:kinsoku w:val="0"/>
              <w:overflowPunct w:val="0"/>
              <w:jc w:val="center"/>
              <w:rPr>
                <w:sz w:val="22"/>
                <w:szCs w:val="22"/>
                <w:lang w:val="hu-HU"/>
              </w:rPr>
            </w:pPr>
            <w:r w:rsidRPr="00360A40">
              <w:rPr>
                <w:sz w:val="22"/>
                <w:szCs w:val="22"/>
                <w:lang w:val="hu-HU"/>
              </w:rPr>
              <w:t>50</w:t>
            </w:r>
            <w:r w:rsidR="00BC36B4" w:rsidRPr="00360A40">
              <w:rPr>
                <w:sz w:val="22"/>
                <w:szCs w:val="22"/>
                <w:lang w:val="hu-HU"/>
              </w:rPr>
              <w:t> </w:t>
            </w:r>
            <w:r w:rsidRPr="00360A40">
              <w:rPr>
                <w:sz w:val="22"/>
                <w:szCs w:val="22"/>
                <w:lang w:val="hu-HU"/>
              </w:rPr>
              <w:t>mg</w:t>
            </w:r>
          </w:p>
        </w:tc>
        <w:tc>
          <w:tcPr>
            <w:tcW w:w="810" w:type="dxa"/>
            <w:tcBorders>
              <w:top w:val="single" w:sz="4" w:space="0" w:color="000000"/>
              <w:left w:val="single" w:sz="4" w:space="0" w:color="000000"/>
              <w:bottom w:val="single" w:sz="4" w:space="0" w:color="000000"/>
              <w:right w:val="single" w:sz="4" w:space="0" w:color="000000"/>
            </w:tcBorders>
          </w:tcPr>
          <w:p w14:paraId="10703FE0" w14:textId="77777777" w:rsidR="002D66F3" w:rsidRPr="00360A40" w:rsidRDefault="002D66F3" w:rsidP="009F4BD6">
            <w:pPr>
              <w:pStyle w:val="TableParagraph"/>
              <w:kinsoku w:val="0"/>
              <w:overflowPunct w:val="0"/>
              <w:ind w:left="1"/>
              <w:jc w:val="center"/>
              <w:rPr>
                <w:sz w:val="22"/>
                <w:szCs w:val="22"/>
                <w:lang w:val="hu-HU"/>
              </w:rPr>
            </w:pPr>
            <w:r w:rsidRPr="00360A40">
              <w:rPr>
                <w:sz w:val="22"/>
                <w:szCs w:val="22"/>
                <w:lang w:val="hu-HU"/>
              </w:rPr>
              <w:t>34</w:t>
            </w:r>
          </w:p>
        </w:tc>
        <w:tc>
          <w:tcPr>
            <w:tcW w:w="2567" w:type="dxa"/>
            <w:tcBorders>
              <w:top w:val="single" w:sz="4" w:space="0" w:color="000000"/>
              <w:left w:val="single" w:sz="4" w:space="0" w:color="000000"/>
              <w:bottom w:val="single" w:sz="4" w:space="0" w:color="000000"/>
              <w:right w:val="single" w:sz="4" w:space="0" w:color="000000"/>
            </w:tcBorders>
          </w:tcPr>
          <w:p w14:paraId="3D4F1BA4" w14:textId="77777777" w:rsidR="002D66F3" w:rsidRPr="00360A40" w:rsidRDefault="002D66F3" w:rsidP="00360A40">
            <w:pPr>
              <w:pStyle w:val="TableParagraph"/>
              <w:kinsoku w:val="0"/>
              <w:overflowPunct w:val="0"/>
              <w:ind w:left="681"/>
              <w:rPr>
                <w:sz w:val="22"/>
                <w:szCs w:val="22"/>
                <w:lang w:val="hu-HU"/>
              </w:rPr>
            </w:pPr>
            <w:r w:rsidRPr="00360A40">
              <w:rPr>
                <w:sz w:val="22"/>
                <w:szCs w:val="22"/>
                <w:lang w:val="hu-HU"/>
              </w:rPr>
              <w:t>108 (88, 134)</w:t>
            </w:r>
          </w:p>
        </w:tc>
        <w:tc>
          <w:tcPr>
            <w:tcW w:w="2834" w:type="dxa"/>
            <w:tcBorders>
              <w:top w:val="single" w:sz="4" w:space="0" w:color="000000"/>
              <w:left w:val="single" w:sz="4" w:space="0" w:color="000000"/>
              <w:bottom w:val="single" w:sz="4" w:space="0" w:color="000000"/>
              <w:right w:val="single" w:sz="4" w:space="0" w:color="000000"/>
            </w:tcBorders>
          </w:tcPr>
          <w:p w14:paraId="1EE42873" w14:textId="77777777" w:rsidR="002D66F3" w:rsidRPr="00360A40" w:rsidRDefault="002D66F3" w:rsidP="00360A40">
            <w:pPr>
              <w:pStyle w:val="TableParagraph"/>
              <w:kinsoku w:val="0"/>
              <w:overflowPunct w:val="0"/>
              <w:ind w:left="676"/>
              <w:rPr>
                <w:sz w:val="22"/>
                <w:szCs w:val="22"/>
                <w:lang w:val="hu-HU"/>
              </w:rPr>
            </w:pPr>
            <w:r w:rsidRPr="00360A40">
              <w:rPr>
                <w:sz w:val="22"/>
                <w:szCs w:val="22"/>
                <w:lang w:val="hu-HU"/>
              </w:rPr>
              <w:t>8,01 (6,73, 9,53)</w:t>
            </w:r>
          </w:p>
        </w:tc>
      </w:tr>
      <w:tr w:rsidR="002D66F3" w:rsidRPr="00360A40" w14:paraId="4BE3F6FC" w14:textId="77777777" w:rsidTr="00D25F36">
        <w:trPr>
          <w:trHeight w:hRule="exact" w:val="264"/>
        </w:trPr>
        <w:tc>
          <w:tcPr>
            <w:tcW w:w="2666" w:type="dxa"/>
            <w:tcBorders>
              <w:top w:val="single" w:sz="4" w:space="0" w:color="000000"/>
              <w:left w:val="single" w:sz="4" w:space="0" w:color="000000"/>
              <w:bottom w:val="single" w:sz="4" w:space="0" w:color="000000"/>
              <w:right w:val="single" w:sz="4" w:space="0" w:color="000000"/>
            </w:tcBorders>
          </w:tcPr>
          <w:p w14:paraId="762C2FF5" w14:textId="654C4FFF" w:rsidR="002D66F3" w:rsidRPr="00360A40" w:rsidRDefault="002D66F3" w:rsidP="009F4BD6">
            <w:pPr>
              <w:pStyle w:val="TableParagraph"/>
              <w:kinsoku w:val="0"/>
              <w:overflowPunct w:val="0"/>
              <w:jc w:val="center"/>
              <w:rPr>
                <w:sz w:val="22"/>
                <w:szCs w:val="22"/>
                <w:lang w:val="hu-HU"/>
              </w:rPr>
            </w:pPr>
            <w:r w:rsidRPr="00360A40">
              <w:rPr>
                <w:sz w:val="22"/>
                <w:szCs w:val="22"/>
                <w:lang w:val="hu-HU"/>
              </w:rPr>
              <w:t>75</w:t>
            </w:r>
            <w:r w:rsidR="00BC36B4" w:rsidRPr="00360A40">
              <w:rPr>
                <w:sz w:val="22"/>
                <w:szCs w:val="22"/>
                <w:lang w:val="hu-HU"/>
              </w:rPr>
              <w:t> </w:t>
            </w:r>
            <w:r w:rsidRPr="00360A40">
              <w:rPr>
                <w:sz w:val="22"/>
                <w:szCs w:val="22"/>
                <w:lang w:val="hu-HU"/>
              </w:rPr>
              <w:t>mg</w:t>
            </w:r>
          </w:p>
        </w:tc>
        <w:tc>
          <w:tcPr>
            <w:tcW w:w="810" w:type="dxa"/>
            <w:tcBorders>
              <w:top w:val="single" w:sz="4" w:space="0" w:color="000000"/>
              <w:left w:val="single" w:sz="4" w:space="0" w:color="000000"/>
              <w:bottom w:val="single" w:sz="4" w:space="0" w:color="000000"/>
              <w:right w:val="single" w:sz="4" w:space="0" w:color="000000"/>
            </w:tcBorders>
          </w:tcPr>
          <w:p w14:paraId="1838B89A" w14:textId="77777777" w:rsidR="002D66F3" w:rsidRPr="00360A40" w:rsidRDefault="002D66F3" w:rsidP="009F4BD6">
            <w:pPr>
              <w:pStyle w:val="TableParagraph"/>
              <w:kinsoku w:val="0"/>
              <w:overflowPunct w:val="0"/>
              <w:ind w:left="1"/>
              <w:jc w:val="center"/>
              <w:rPr>
                <w:sz w:val="22"/>
                <w:szCs w:val="22"/>
                <w:lang w:val="hu-HU"/>
              </w:rPr>
            </w:pPr>
            <w:r w:rsidRPr="00360A40">
              <w:rPr>
                <w:sz w:val="22"/>
                <w:szCs w:val="22"/>
                <w:lang w:val="hu-HU"/>
              </w:rPr>
              <w:t>26</w:t>
            </w:r>
          </w:p>
        </w:tc>
        <w:tc>
          <w:tcPr>
            <w:tcW w:w="2567" w:type="dxa"/>
            <w:tcBorders>
              <w:top w:val="single" w:sz="4" w:space="0" w:color="000000"/>
              <w:left w:val="single" w:sz="4" w:space="0" w:color="000000"/>
              <w:bottom w:val="single" w:sz="4" w:space="0" w:color="000000"/>
              <w:right w:val="single" w:sz="4" w:space="0" w:color="000000"/>
            </w:tcBorders>
          </w:tcPr>
          <w:p w14:paraId="530EA351" w14:textId="77777777" w:rsidR="002D66F3" w:rsidRPr="00360A40" w:rsidRDefault="002D66F3" w:rsidP="00360A40">
            <w:pPr>
              <w:pStyle w:val="TableParagraph"/>
              <w:kinsoku w:val="0"/>
              <w:overflowPunct w:val="0"/>
              <w:ind w:left="625"/>
              <w:rPr>
                <w:sz w:val="22"/>
                <w:szCs w:val="22"/>
                <w:lang w:val="hu-HU"/>
              </w:rPr>
            </w:pPr>
            <w:r w:rsidRPr="00360A40">
              <w:rPr>
                <w:sz w:val="22"/>
                <w:szCs w:val="22"/>
                <w:lang w:val="hu-HU"/>
              </w:rPr>
              <w:t>168 (143, 198)</w:t>
            </w:r>
          </w:p>
        </w:tc>
        <w:tc>
          <w:tcPr>
            <w:tcW w:w="2834" w:type="dxa"/>
            <w:tcBorders>
              <w:top w:val="single" w:sz="4" w:space="0" w:color="000000"/>
              <w:left w:val="single" w:sz="4" w:space="0" w:color="000000"/>
              <w:bottom w:val="single" w:sz="4" w:space="0" w:color="000000"/>
              <w:right w:val="single" w:sz="4" w:space="0" w:color="000000"/>
            </w:tcBorders>
          </w:tcPr>
          <w:p w14:paraId="739C3D2E" w14:textId="77777777" w:rsidR="002D66F3" w:rsidRPr="00360A40" w:rsidRDefault="002D66F3" w:rsidP="00360A40">
            <w:pPr>
              <w:pStyle w:val="TableParagraph"/>
              <w:kinsoku w:val="0"/>
              <w:overflowPunct w:val="0"/>
              <w:ind w:left="676"/>
              <w:rPr>
                <w:sz w:val="22"/>
                <w:szCs w:val="22"/>
                <w:lang w:val="hu-HU"/>
              </w:rPr>
            </w:pPr>
            <w:r w:rsidRPr="00360A40">
              <w:rPr>
                <w:sz w:val="22"/>
                <w:szCs w:val="22"/>
                <w:lang w:val="hu-HU"/>
              </w:rPr>
              <w:t>12,7 (11,0, 14,5)</w:t>
            </w:r>
          </w:p>
        </w:tc>
      </w:tr>
    </w:tbl>
    <w:p w14:paraId="03870355" w14:textId="4DCDB6DB" w:rsidR="002D66F3" w:rsidRPr="00360A40" w:rsidRDefault="002D66F3" w:rsidP="00360A40">
      <w:pPr>
        <w:pStyle w:val="Szvegtrzs"/>
        <w:kinsoku w:val="0"/>
        <w:overflowPunct w:val="0"/>
        <w:ind w:left="0"/>
        <w:rPr>
          <w:lang w:val="hu-HU"/>
        </w:rPr>
      </w:pPr>
      <w:r w:rsidRPr="00360A40">
        <w:rPr>
          <w:lang w:val="hu-HU"/>
        </w:rPr>
        <w:t>a</w:t>
      </w:r>
      <w:r w:rsidRPr="00360A40">
        <w:rPr>
          <w:lang w:val="hu-HU"/>
        </w:rPr>
        <w:tab/>
        <w:t>AUC</w:t>
      </w:r>
      <w:r w:rsidR="00577A0B" w:rsidRPr="00577A0B">
        <w:rPr>
          <w:vertAlign w:val="subscript"/>
          <w:lang w:val="hu-HU"/>
        </w:rPr>
        <w:t>(0-τ)</w:t>
      </w:r>
      <w:r w:rsidRPr="00360A40">
        <w:rPr>
          <w:lang w:val="hu-HU"/>
        </w:rPr>
        <w:t xml:space="preserve"> és C</w:t>
      </w:r>
      <w:r w:rsidR="00577A0B" w:rsidRPr="00577A0B">
        <w:rPr>
          <w:vertAlign w:val="subscript"/>
          <w:lang w:val="hu-HU"/>
        </w:rPr>
        <w:t>max</w:t>
      </w:r>
      <w:r w:rsidRPr="00360A40">
        <w:rPr>
          <w:lang w:val="hu-HU"/>
        </w:rPr>
        <w:t xml:space="preserve">, populációs PK </w:t>
      </w:r>
      <w:r w:rsidRPr="00360A40">
        <w:rPr>
          <w:i/>
          <w:iCs/>
          <w:lang w:val="hu-HU"/>
        </w:rPr>
        <w:t xml:space="preserve">post hoc </w:t>
      </w:r>
      <w:r w:rsidRPr="00360A40">
        <w:rPr>
          <w:lang w:val="hu-HU"/>
        </w:rPr>
        <w:t>becslés alapján.</w:t>
      </w:r>
    </w:p>
    <w:p w14:paraId="6D9788ED" w14:textId="77777777" w:rsidR="002D66F3" w:rsidRPr="00360A40" w:rsidRDefault="002D66F3" w:rsidP="00360A40">
      <w:pPr>
        <w:pStyle w:val="Szvegtrzs"/>
        <w:kinsoku w:val="0"/>
        <w:overflowPunct w:val="0"/>
        <w:ind w:left="0"/>
        <w:rPr>
          <w:lang w:val="hu-HU"/>
        </w:rPr>
      </w:pPr>
    </w:p>
    <w:p w14:paraId="1067B21B" w14:textId="07A2FE55" w:rsidR="002D66F3" w:rsidRPr="00360A40" w:rsidRDefault="002D66F3" w:rsidP="00360A40">
      <w:pPr>
        <w:pStyle w:val="Szvegtrzs"/>
        <w:kinsoku w:val="0"/>
        <w:overflowPunct w:val="0"/>
        <w:ind w:left="0"/>
        <w:rPr>
          <w:lang w:val="hu-HU"/>
        </w:rPr>
      </w:pPr>
      <w:r w:rsidRPr="00360A40">
        <w:rPr>
          <w:lang w:val="hu-HU"/>
        </w:rPr>
        <w:t>A TPL103922/</w:t>
      </w:r>
      <w:r w:rsidR="00FD0A9B" w:rsidRPr="00360A40">
        <w:rPr>
          <w:lang w:val="hu-HU"/>
        </w:rPr>
        <w:t>ENABLE </w:t>
      </w:r>
      <w:r w:rsidRPr="00360A40">
        <w:rPr>
          <w:lang w:val="hu-HU"/>
        </w:rPr>
        <w:t>1 és TPL108390/ENABLE</w:t>
      </w:r>
      <w:r w:rsidR="00FD0A9B" w:rsidRPr="00360A40">
        <w:rPr>
          <w:lang w:val="hu-HU"/>
        </w:rPr>
        <w:t> </w:t>
      </w:r>
      <w:r w:rsidRPr="00360A40">
        <w:rPr>
          <w:lang w:val="hu-HU"/>
        </w:rPr>
        <w:t>2 III</w:t>
      </w:r>
      <w:r w:rsidR="00FD0A9B" w:rsidRPr="00360A40">
        <w:rPr>
          <w:lang w:val="hu-HU"/>
        </w:rPr>
        <w:t>. </w:t>
      </w:r>
      <w:r w:rsidRPr="00360A40">
        <w:rPr>
          <w:lang w:val="hu-HU"/>
        </w:rPr>
        <w:t>fázisú vizsgálatokba beválogatott 590 HCV-s betegnél gyűjtött plazma-eltrombopag koncentráció–idő adatokat kiegészítették a</w:t>
      </w:r>
      <w:r w:rsidR="00BC36B4" w:rsidRPr="00360A40">
        <w:rPr>
          <w:lang w:val="hu-HU"/>
        </w:rPr>
        <w:t xml:space="preserve"> </w:t>
      </w:r>
      <w:r w:rsidRPr="00360A40">
        <w:rPr>
          <w:lang w:val="hu-HU"/>
        </w:rPr>
        <w:t>TPL102357 II. fázisú vizsgálat HCV-betegeinek adataival, valamint egy populációs farmakokinetikai (PK)-analízis egészséges felnőtt alanyainak adataival. A III.</w:t>
      </w:r>
      <w:r w:rsidR="00FD0A9B" w:rsidRPr="00360A40">
        <w:rPr>
          <w:lang w:val="hu-HU"/>
        </w:rPr>
        <w:t> </w:t>
      </w:r>
      <w:r w:rsidRPr="00360A40">
        <w:rPr>
          <w:lang w:val="hu-HU"/>
        </w:rPr>
        <w:t>fázisú vizsgálatokba bevont HCV-s betegekre vonatkozó plazma-eltrombopag C</w:t>
      </w:r>
      <w:r w:rsidR="00577A0B" w:rsidRPr="00577A0B">
        <w:rPr>
          <w:vertAlign w:val="subscript"/>
          <w:lang w:val="hu-HU"/>
        </w:rPr>
        <w:t>max</w:t>
      </w:r>
      <w:r w:rsidRPr="00360A40">
        <w:rPr>
          <w:lang w:val="hu-HU"/>
        </w:rPr>
        <w:t xml:space="preserve"> és AUC</w:t>
      </w:r>
      <w:r w:rsidR="00577A0B" w:rsidRPr="00577A0B">
        <w:rPr>
          <w:vertAlign w:val="subscript"/>
          <w:lang w:val="hu-HU"/>
        </w:rPr>
        <w:t>(0-τ)</w:t>
      </w:r>
      <w:r w:rsidRPr="00360A40">
        <w:rPr>
          <w:lang w:val="hu-HU"/>
        </w:rPr>
        <w:t xml:space="preserve"> becsült értékeket az összes dózisra vonatkozóan a </w:t>
      </w:r>
      <w:r w:rsidR="00FB7CC2">
        <w:rPr>
          <w:lang w:val="hu-HU"/>
        </w:rPr>
        <w:t>9</w:t>
      </w:r>
      <w:r w:rsidRPr="00360A40">
        <w:rPr>
          <w:lang w:val="hu-HU"/>
        </w:rPr>
        <w:t>.</w:t>
      </w:r>
      <w:r w:rsidR="00BC36B4" w:rsidRPr="00360A40">
        <w:rPr>
          <w:lang w:val="hu-HU"/>
        </w:rPr>
        <w:t> </w:t>
      </w:r>
      <w:r w:rsidRPr="00360A40">
        <w:rPr>
          <w:lang w:val="hu-HU"/>
        </w:rPr>
        <w:t>táblázat tartalmazza.</w:t>
      </w:r>
    </w:p>
    <w:p w14:paraId="50794AFE" w14:textId="77777777" w:rsidR="00EA221C" w:rsidRPr="00360A40" w:rsidRDefault="00EA221C" w:rsidP="00360A40">
      <w:pPr>
        <w:pStyle w:val="Szvegtrzs"/>
        <w:kinsoku w:val="0"/>
        <w:overflowPunct w:val="0"/>
        <w:ind w:left="0"/>
        <w:rPr>
          <w:lang w:val="hu-HU"/>
        </w:rPr>
      </w:pPr>
    </w:p>
    <w:p w14:paraId="2AD781A2" w14:textId="1303C904" w:rsidR="002D66F3" w:rsidRPr="00360A40" w:rsidRDefault="00FB7CC2" w:rsidP="00360A40">
      <w:pPr>
        <w:pStyle w:val="Cmsor1"/>
        <w:kinsoku w:val="0"/>
        <w:overflowPunct w:val="0"/>
        <w:ind w:left="1276" w:hanging="1276"/>
        <w:rPr>
          <w:b w:val="0"/>
          <w:bCs w:val="0"/>
          <w:lang w:val="hu-HU"/>
        </w:rPr>
      </w:pPr>
      <w:r>
        <w:rPr>
          <w:lang w:val="hu-HU"/>
        </w:rPr>
        <w:t>9</w:t>
      </w:r>
      <w:r w:rsidR="00EA221C" w:rsidRPr="00360A40">
        <w:rPr>
          <w:lang w:val="hu-HU"/>
        </w:rPr>
        <w:t>.</w:t>
      </w:r>
      <w:r w:rsidR="00BC36B4" w:rsidRPr="00360A40">
        <w:rPr>
          <w:lang w:val="hu-HU"/>
        </w:rPr>
        <w:t> </w:t>
      </w:r>
      <w:r w:rsidR="002D66F3" w:rsidRPr="00360A40">
        <w:rPr>
          <w:lang w:val="hu-HU"/>
        </w:rPr>
        <w:t>táblázat</w:t>
      </w:r>
      <w:r w:rsidR="002D66F3" w:rsidRPr="00360A40">
        <w:rPr>
          <w:lang w:val="hu-HU"/>
        </w:rPr>
        <w:tab/>
        <w:t>A plazma-eltrombopag-szint egyensúlyi farmakokinetikai paramétereinek mértani középértéke (95%-os CI) krónikus HCV-s betegeknél</w:t>
      </w:r>
    </w:p>
    <w:p w14:paraId="2894E591" w14:textId="77777777" w:rsidR="002D66F3" w:rsidRPr="00360A40" w:rsidRDefault="002D66F3" w:rsidP="00360A40">
      <w:pPr>
        <w:pStyle w:val="Szvegtrzs"/>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2522"/>
        <w:gridCol w:w="1224"/>
        <w:gridCol w:w="2340"/>
        <w:gridCol w:w="2341"/>
      </w:tblGrid>
      <w:tr w:rsidR="002D66F3" w:rsidRPr="00360A40" w14:paraId="3CA73D00" w14:textId="77777777" w:rsidTr="00D25F36">
        <w:trPr>
          <w:trHeight w:hRule="exact" w:val="550"/>
        </w:trPr>
        <w:tc>
          <w:tcPr>
            <w:tcW w:w="2522" w:type="dxa"/>
            <w:tcBorders>
              <w:top w:val="single" w:sz="4" w:space="0" w:color="000000"/>
              <w:left w:val="single" w:sz="4" w:space="0" w:color="000000"/>
              <w:bottom w:val="single" w:sz="4" w:space="0" w:color="000000"/>
              <w:right w:val="single" w:sz="4" w:space="0" w:color="000000"/>
            </w:tcBorders>
          </w:tcPr>
          <w:p w14:paraId="7337AA9D" w14:textId="77777777" w:rsidR="002D66F3" w:rsidRPr="00360A40" w:rsidRDefault="002D66F3" w:rsidP="00360A40">
            <w:pPr>
              <w:pStyle w:val="TableParagraph"/>
              <w:kinsoku w:val="0"/>
              <w:overflowPunct w:val="0"/>
              <w:ind w:left="213" w:hanging="65"/>
              <w:rPr>
                <w:sz w:val="22"/>
                <w:szCs w:val="22"/>
                <w:lang w:val="hu-HU"/>
              </w:rPr>
            </w:pPr>
            <w:r w:rsidRPr="00360A40">
              <w:rPr>
                <w:b/>
                <w:bCs/>
                <w:sz w:val="22"/>
                <w:szCs w:val="22"/>
                <w:lang w:val="hu-HU"/>
              </w:rPr>
              <w:t>Eltrombopag-dózis (naponta egyszer)</w:t>
            </w:r>
          </w:p>
        </w:tc>
        <w:tc>
          <w:tcPr>
            <w:tcW w:w="1224" w:type="dxa"/>
            <w:tcBorders>
              <w:top w:val="single" w:sz="4" w:space="0" w:color="000000"/>
              <w:left w:val="single" w:sz="4" w:space="0" w:color="000000"/>
              <w:bottom w:val="single" w:sz="4" w:space="0" w:color="000000"/>
              <w:right w:val="single" w:sz="4" w:space="0" w:color="000000"/>
            </w:tcBorders>
          </w:tcPr>
          <w:p w14:paraId="3999390E" w14:textId="77777777" w:rsidR="002D66F3" w:rsidRPr="00360A40" w:rsidRDefault="002D66F3" w:rsidP="00360A40">
            <w:pPr>
              <w:pStyle w:val="TableParagraph"/>
              <w:kinsoku w:val="0"/>
              <w:overflowPunct w:val="0"/>
              <w:rPr>
                <w:sz w:val="22"/>
                <w:szCs w:val="22"/>
                <w:lang w:val="hu-HU"/>
              </w:rPr>
            </w:pPr>
            <w:r w:rsidRPr="00360A40">
              <w:rPr>
                <w:b/>
                <w:bCs/>
                <w:sz w:val="22"/>
                <w:szCs w:val="22"/>
                <w:lang w:val="hu-HU"/>
              </w:rPr>
              <w:t>N</w:t>
            </w:r>
          </w:p>
        </w:tc>
        <w:tc>
          <w:tcPr>
            <w:tcW w:w="2340" w:type="dxa"/>
            <w:tcBorders>
              <w:top w:val="single" w:sz="4" w:space="0" w:color="000000"/>
              <w:left w:val="single" w:sz="4" w:space="0" w:color="000000"/>
              <w:bottom w:val="single" w:sz="4" w:space="0" w:color="000000"/>
              <w:right w:val="single" w:sz="4" w:space="0" w:color="000000"/>
            </w:tcBorders>
          </w:tcPr>
          <w:p w14:paraId="462E96D7" w14:textId="0C8C51A8" w:rsidR="002D66F3" w:rsidRPr="00360A40" w:rsidRDefault="002D66F3" w:rsidP="00360A40">
            <w:pPr>
              <w:pStyle w:val="TableParagraph"/>
              <w:kinsoku w:val="0"/>
              <w:overflowPunct w:val="0"/>
              <w:rPr>
                <w:sz w:val="22"/>
                <w:szCs w:val="22"/>
                <w:lang w:val="hu-HU"/>
              </w:rPr>
            </w:pPr>
            <w:r w:rsidRPr="00360A40">
              <w:rPr>
                <w:b/>
                <w:bCs/>
                <w:sz w:val="22"/>
                <w:szCs w:val="22"/>
                <w:lang w:val="hu-HU"/>
              </w:rPr>
              <w:t>AUC</w:t>
            </w:r>
            <w:r w:rsidR="00577A0B" w:rsidRPr="00577A0B">
              <w:rPr>
                <w:b/>
                <w:bCs/>
                <w:sz w:val="22"/>
                <w:szCs w:val="22"/>
                <w:vertAlign w:val="subscript"/>
                <w:lang w:val="hu-HU"/>
              </w:rPr>
              <w:t>(0-τ)</w:t>
            </w:r>
          </w:p>
          <w:p w14:paraId="045D9E42" w14:textId="7964391A" w:rsidR="002D66F3" w:rsidRPr="00360A40" w:rsidRDefault="002D66F3" w:rsidP="009F216E">
            <w:pPr>
              <w:pStyle w:val="TableParagraph"/>
              <w:kinsoku w:val="0"/>
              <w:overflowPunct w:val="0"/>
              <w:rPr>
                <w:sz w:val="22"/>
                <w:szCs w:val="22"/>
                <w:lang w:val="hu-HU"/>
              </w:rPr>
            </w:pPr>
            <w:r w:rsidRPr="00360A40">
              <w:rPr>
                <w:b/>
                <w:bCs/>
                <w:sz w:val="22"/>
                <w:szCs w:val="22"/>
                <w:lang w:val="hu-HU"/>
              </w:rPr>
              <w:t>(</w:t>
            </w:r>
            <w:r w:rsidR="009F216E" w:rsidRPr="009F216E">
              <w:rPr>
                <w:b/>
                <w:bCs/>
                <w:sz w:val="22"/>
                <w:szCs w:val="22"/>
                <w:lang w:val="hu-HU"/>
              </w:rPr>
              <w:t>μ</w:t>
            </w:r>
            <w:r w:rsidRPr="00360A40">
              <w:rPr>
                <w:b/>
                <w:bCs/>
                <w:sz w:val="22"/>
                <w:szCs w:val="22"/>
                <w:lang w:val="hu-HU"/>
              </w:rPr>
              <w:t>g</w:t>
            </w:r>
            <w:r w:rsidR="009F216E">
              <w:rPr>
                <w:b/>
                <w:bCs/>
                <w:sz w:val="22"/>
                <w:szCs w:val="22"/>
                <w:lang w:val="hu-HU"/>
              </w:rPr>
              <w:t>×</w:t>
            </w:r>
            <w:r w:rsidRPr="00360A40">
              <w:rPr>
                <w:b/>
                <w:bCs/>
                <w:sz w:val="22"/>
                <w:szCs w:val="22"/>
                <w:lang w:val="hu-HU"/>
              </w:rPr>
              <w:t>h/ml)</w:t>
            </w:r>
          </w:p>
        </w:tc>
        <w:tc>
          <w:tcPr>
            <w:tcW w:w="2341" w:type="dxa"/>
            <w:tcBorders>
              <w:top w:val="single" w:sz="4" w:space="0" w:color="000000"/>
              <w:left w:val="single" w:sz="4" w:space="0" w:color="000000"/>
              <w:bottom w:val="single" w:sz="4" w:space="0" w:color="000000"/>
              <w:right w:val="single" w:sz="4" w:space="0" w:color="000000"/>
            </w:tcBorders>
          </w:tcPr>
          <w:p w14:paraId="168D0FE3" w14:textId="43ED8801" w:rsidR="002D66F3" w:rsidRPr="00360A40" w:rsidRDefault="002D66F3" w:rsidP="00360A40">
            <w:pPr>
              <w:pStyle w:val="TableParagraph"/>
              <w:kinsoku w:val="0"/>
              <w:overflowPunct w:val="0"/>
              <w:ind w:left="819" w:firstLine="1"/>
              <w:rPr>
                <w:sz w:val="22"/>
                <w:szCs w:val="22"/>
                <w:lang w:val="hu-HU"/>
              </w:rPr>
            </w:pPr>
            <w:r w:rsidRPr="00360A40">
              <w:rPr>
                <w:b/>
                <w:bCs/>
                <w:sz w:val="22"/>
                <w:szCs w:val="22"/>
                <w:lang w:val="hu-HU"/>
              </w:rPr>
              <w:t>C</w:t>
            </w:r>
            <w:r w:rsidR="00577A0B" w:rsidRPr="00577A0B">
              <w:rPr>
                <w:b/>
                <w:bCs/>
                <w:sz w:val="22"/>
                <w:szCs w:val="22"/>
                <w:vertAlign w:val="subscript"/>
                <w:lang w:val="hu-HU"/>
              </w:rPr>
              <w:t>max</w:t>
            </w:r>
            <w:r w:rsidRPr="00360A40">
              <w:rPr>
                <w:b/>
                <w:bCs/>
                <w:sz w:val="22"/>
                <w:szCs w:val="22"/>
                <w:lang w:val="hu-HU"/>
              </w:rPr>
              <w:t xml:space="preserve"> (</w:t>
            </w:r>
            <w:r w:rsidR="009F216E" w:rsidRPr="009F216E">
              <w:rPr>
                <w:b/>
                <w:bCs/>
                <w:sz w:val="22"/>
                <w:szCs w:val="22"/>
                <w:lang w:val="hu-HU"/>
              </w:rPr>
              <w:t>μ</w:t>
            </w:r>
            <w:r w:rsidRPr="00360A40">
              <w:rPr>
                <w:b/>
                <w:bCs/>
                <w:sz w:val="22"/>
                <w:szCs w:val="22"/>
                <w:lang w:val="hu-HU"/>
              </w:rPr>
              <w:t>g/ml)</w:t>
            </w:r>
          </w:p>
        </w:tc>
      </w:tr>
      <w:tr w:rsidR="002D66F3" w:rsidRPr="00360A40" w14:paraId="2D4A6239" w14:textId="77777777" w:rsidTr="00D25F36">
        <w:trPr>
          <w:trHeight w:hRule="exact" w:val="268"/>
        </w:trPr>
        <w:tc>
          <w:tcPr>
            <w:tcW w:w="2522" w:type="dxa"/>
            <w:vMerge w:val="restart"/>
            <w:tcBorders>
              <w:top w:val="single" w:sz="4" w:space="0" w:color="000000"/>
              <w:left w:val="single" w:sz="4" w:space="0" w:color="000000"/>
              <w:bottom w:val="single" w:sz="4" w:space="0" w:color="000000"/>
              <w:right w:val="single" w:sz="4" w:space="0" w:color="000000"/>
            </w:tcBorders>
          </w:tcPr>
          <w:p w14:paraId="76DBF20D" w14:textId="0B1DEEE7" w:rsidR="002D66F3" w:rsidRPr="00360A40" w:rsidRDefault="002D66F3" w:rsidP="009F4BD6">
            <w:pPr>
              <w:pStyle w:val="TableParagraph"/>
              <w:kinsoku w:val="0"/>
              <w:overflowPunct w:val="0"/>
              <w:jc w:val="center"/>
              <w:rPr>
                <w:sz w:val="22"/>
                <w:szCs w:val="22"/>
                <w:lang w:val="hu-HU"/>
              </w:rPr>
            </w:pPr>
            <w:r w:rsidRPr="00360A40">
              <w:rPr>
                <w:sz w:val="22"/>
                <w:szCs w:val="22"/>
                <w:lang w:val="hu-HU"/>
              </w:rPr>
              <w:t>25</w:t>
            </w:r>
            <w:r w:rsidR="00BC36B4" w:rsidRPr="00360A40">
              <w:rPr>
                <w:sz w:val="22"/>
                <w:szCs w:val="22"/>
                <w:lang w:val="hu-HU"/>
              </w:rPr>
              <w:t> </w:t>
            </w:r>
            <w:r w:rsidRPr="00360A40">
              <w:rPr>
                <w:sz w:val="22"/>
                <w:szCs w:val="22"/>
                <w:lang w:val="hu-HU"/>
              </w:rPr>
              <w:t>mg</w:t>
            </w:r>
          </w:p>
        </w:tc>
        <w:tc>
          <w:tcPr>
            <w:tcW w:w="1224" w:type="dxa"/>
            <w:vMerge w:val="restart"/>
            <w:tcBorders>
              <w:top w:val="single" w:sz="4" w:space="0" w:color="000000"/>
              <w:left w:val="single" w:sz="4" w:space="0" w:color="000000"/>
              <w:bottom w:val="single" w:sz="4" w:space="0" w:color="000000"/>
              <w:right w:val="single" w:sz="4" w:space="0" w:color="000000"/>
            </w:tcBorders>
          </w:tcPr>
          <w:p w14:paraId="6EE1E0BE"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330</w:t>
            </w:r>
          </w:p>
        </w:tc>
        <w:tc>
          <w:tcPr>
            <w:tcW w:w="2340" w:type="dxa"/>
            <w:tcBorders>
              <w:top w:val="single" w:sz="4" w:space="0" w:color="000000"/>
              <w:left w:val="single" w:sz="4" w:space="0" w:color="000000"/>
              <w:bottom w:val="nil"/>
              <w:right w:val="single" w:sz="4" w:space="0" w:color="000000"/>
            </w:tcBorders>
          </w:tcPr>
          <w:p w14:paraId="6A77DB52"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118</w:t>
            </w:r>
          </w:p>
        </w:tc>
        <w:tc>
          <w:tcPr>
            <w:tcW w:w="2341" w:type="dxa"/>
            <w:tcBorders>
              <w:top w:val="single" w:sz="4" w:space="0" w:color="000000"/>
              <w:left w:val="single" w:sz="4" w:space="0" w:color="000000"/>
              <w:bottom w:val="nil"/>
              <w:right w:val="single" w:sz="4" w:space="0" w:color="000000"/>
            </w:tcBorders>
          </w:tcPr>
          <w:p w14:paraId="1325D433"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6,40</w:t>
            </w:r>
          </w:p>
        </w:tc>
      </w:tr>
      <w:tr w:rsidR="002D66F3" w:rsidRPr="00360A40" w14:paraId="29998F2B" w14:textId="77777777" w:rsidTr="00D25F36">
        <w:trPr>
          <w:trHeight w:hRule="exact" w:val="248"/>
        </w:trPr>
        <w:tc>
          <w:tcPr>
            <w:tcW w:w="2522" w:type="dxa"/>
            <w:vMerge/>
            <w:tcBorders>
              <w:top w:val="single" w:sz="4" w:space="0" w:color="000000"/>
              <w:left w:val="single" w:sz="4" w:space="0" w:color="000000"/>
              <w:bottom w:val="single" w:sz="4" w:space="0" w:color="000000"/>
              <w:right w:val="single" w:sz="4" w:space="0" w:color="000000"/>
            </w:tcBorders>
          </w:tcPr>
          <w:p w14:paraId="19A6F94E" w14:textId="77777777" w:rsidR="002D66F3" w:rsidRPr="00360A40" w:rsidRDefault="002D66F3" w:rsidP="00360A40">
            <w:pPr>
              <w:pStyle w:val="TableParagraph"/>
              <w:kinsoku w:val="0"/>
              <w:overflowPunct w:val="0"/>
              <w:rPr>
                <w:sz w:val="22"/>
                <w:szCs w:val="22"/>
                <w:lang w:val="hu-HU"/>
              </w:rPr>
            </w:pPr>
          </w:p>
        </w:tc>
        <w:tc>
          <w:tcPr>
            <w:tcW w:w="1224" w:type="dxa"/>
            <w:vMerge/>
            <w:tcBorders>
              <w:top w:val="single" w:sz="4" w:space="0" w:color="000000"/>
              <w:left w:val="single" w:sz="4" w:space="0" w:color="000000"/>
              <w:bottom w:val="single" w:sz="4" w:space="0" w:color="000000"/>
              <w:right w:val="single" w:sz="4" w:space="0" w:color="000000"/>
            </w:tcBorders>
          </w:tcPr>
          <w:p w14:paraId="35B6DB96" w14:textId="77777777" w:rsidR="002D66F3" w:rsidRPr="00360A40" w:rsidRDefault="002D66F3" w:rsidP="00360A40">
            <w:pPr>
              <w:pStyle w:val="TableParagraph"/>
              <w:kinsoku w:val="0"/>
              <w:overflowPunct w:val="0"/>
              <w:rPr>
                <w:sz w:val="22"/>
                <w:szCs w:val="22"/>
                <w:lang w:val="hu-HU"/>
              </w:rPr>
            </w:pPr>
          </w:p>
        </w:tc>
        <w:tc>
          <w:tcPr>
            <w:tcW w:w="2340" w:type="dxa"/>
            <w:tcBorders>
              <w:top w:val="nil"/>
              <w:left w:val="single" w:sz="4" w:space="0" w:color="000000"/>
              <w:bottom w:val="single" w:sz="4" w:space="0" w:color="000000"/>
              <w:right w:val="single" w:sz="4" w:space="0" w:color="000000"/>
            </w:tcBorders>
          </w:tcPr>
          <w:p w14:paraId="4312D073" w14:textId="77777777" w:rsidR="002D66F3" w:rsidRPr="00360A40" w:rsidRDefault="002D66F3" w:rsidP="00360A40">
            <w:pPr>
              <w:pStyle w:val="TableParagraph"/>
              <w:kinsoku w:val="0"/>
              <w:overflowPunct w:val="0"/>
              <w:ind w:left="706"/>
              <w:rPr>
                <w:sz w:val="22"/>
                <w:szCs w:val="22"/>
                <w:lang w:val="hu-HU"/>
              </w:rPr>
            </w:pPr>
            <w:r w:rsidRPr="00360A40">
              <w:rPr>
                <w:sz w:val="22"/>
                <w:szCs w:val="22"/>
                <w:lang w:val="hu-HU"/>
              </w:rPr>
              <w:t>(109, 128)</w:t>
            </w:r>
          </w:p>
        </w:tc>
        <w:tc>
          <w:tcPr>
            <w:tcW w:w="2341" w:type="dxa"/>
            <w:tcBorders>
              <w:top w:val="nil"/>
              <w:left w:val="single" w:sz="4" w:space="0" w:color="000000"/>
              <w:bottom w:val="single" w:sz="4" w:space="0" w:color="000000"/>
              <w:right w:val="single" w:sz="4" w:space="0" w:color="000000"/>
            </w:tcBorders>
          </w:tcPr>
          <w:p w14:paraId="43D3A624" w14:textId="77777777" w:rsidR="002D66F3" w:rsidRPr="00360A40" w:rsidRDefault="002D66F3" w:rsidP="00360A40">
            <w:pPr>
              <w:pStyle w:val="TableParagraph"/>
              <w:kinsoku w:val="0"/>
              <w:overflowPunct w:val="0"/>
              <w:ind w:left="646"/>
              <w:rPr>
                <w:sz w:val="22"/>
                <w:szCs w:val="22"/>
                <w:lang w:val="hu-HU"/>
              </w:rPr>
            </w:pPr>
            <w:r w:rsidRPr="00360A40">
              <w:rPr>
                <w:sz w:val="22"/>
                <w:szCs w:val="22"/>
                <w:lang w:val="hu-HU"/>
              </w:rPr>
              <w:t>(5,97; 6,86)</w:t>
            </w:r>
          </w:p>
        </w:tc>
      </w:tr>
      <w:tr w:rsidR="002D66F3" w:rsidRPr="00360A40" w14:paraId="1628200D" w14:textId="77777777" w:rsidTr="00D25F36">
        <w:trPr>
          <w:trHeight w:hRule="exact" w:val="269"/>
        </w:trPr>
        <w:tc>
          <w:tcPr>
            <w:tcW w:w="2522" w:type="dxa"/>
            <w:vMerge w:val="restart"/>
            <w:tcBorders>
              <w:top w:val="single" w:sz="4" w:space="0" w:color="000000"/>
              <w:left w:val="single" w:sz="4" w:space="0" w:color="000000"/>
              <w:bottom w:val="single" w:sz="4" w:space="0" w:color="000000"/>
              <w:right w:val="single" w:sz="4" w:space="0" w:color="000000"/>
            </w:tcBorders>
          </w:tcPr>
          <w:p w14:paraId="0316212B" w14:textId="1662DC60" w:rsidR="002D66F3" w:rsidRPr="00360A40" w:rsidRDefault="002D66F3" w:rsidP="009F4BD6">
            <w:pPr>
              <w:pStyle w:val="TableParagraph"/>
              <w:kinsoku w:val="0"/>
              <w:overflowPunct w:val="0"/>
              <w:jc w:val="center"/>
              <w:rPr>
                <w:sz w:val="22"/>
                <w:szCs w:val="22"/>
                <w:lang w:val="hu-HU"/>
              </w:rPr>
            </w:pPr>
            <w:r w:rsidRPr="00360A40">
              <w:rPr>
                <w:sz w:val="22"/>
                <w:szCs w:val="22"/>
                <w:lang w:val="hu-HU"/>
              </w:rPr>
              <w:t>50</w:t>
            </w:r>
            <w:r w:rsidR="00BC36B4" w:rsidRPr="00360A40">
              <w:rPr>
                <w:sz w:val="22"/>
                <w:szCs w:val="22"/>
                <w:lang w:val="hu-HU"/>
              </w:rPr>
              <w:t> </w:t>
            </w:r>
            <w:r w:rsidRPr="00360A40">
              <w:rPr>
                <w:sz w:val="22"/>
                <w:szCs w:val="22"/>
                <w:lang w:val="hu-HU"/>
              </w:rPr>
              <w:t>mg</w:t>
            </w:r>
          </w:p>
        </w:tc>
        <w:tc>
          <w:tcPr>
            <w:tcW w:w="1224" w:type="dxa"/>
            <w:vMerge w:val="restart"/>
            <w:tcBorders>
              <w:top w:val="single" w:sz="4" w:space="0" w:color="000000"/>
              <w:left w:val="single" w:sz="4" w:space="0" w:color="000000"/>
              <w:bottom w:val="single" w:sz="4" w:space="0" w:color="000000"/>
              <w:right w:val="single" w:sz="4" w:space="0" w:color="000000"/>
            </w:tcBorders>
          </w:tcPr>
          <w:p w14:paraId="0303191C"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119</w:t>
            </w:r>
          </w:p>
        </w:tc>
        <w:tc>
          <w:tcPr>
            <w:tcW w:w="2340" w:type="dxa"/>
            <w:tcBorders>
              <w:top w:val="single" w:sz="4" w:space="0" w:color="000000"/>
              <w:left w:val="single" w:sz="4" w:space="0" w:color="000000"/>
              <w:bottom w:val="nil"/>
              <w:right w:val="single" w:sz="4" w:space="0" w:color="000000"/>
            </w:tcBorders>
          </w:tcPr>
          <w:p w14:paraId="28E6FA47"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166</w:t>
            </w:r>
          </w:p>
        </w:tc>
        <w:tc>
          <w:tcPr>
            <w:tcW w:w="2341" w:type="dxa"/>
            <w:tcBorders>
              <w:top w:val="single" w:sz="4" w:space="0" w:color="000000"/>
              <w:left w:val="single" w:sz="4" w:space="0" w:color="000000"/>
              <w:bottom w:val="nil"/>
              <w:right w:val="single" w:sz="4" w:space="0" w:color="000000"/>
            </w:tcBorders>
          </w:tcPr>
          <w:p w14:paraId="401C3B9F"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9,08</w:t>
            </w:r>
          </w:p>
        </w:tc>
      </w:tr>
      <w:tr w:rsidR="002D66F3" w:rsidRPr="00360A40" w14:paraId="628BA446" w14:textId="77777777" w:rsidTr="00D25F36">
        <w:trPr>
          <w:trHeight w:hRule="exact" w:val="248"/>
        </w:trPr>
        <w:tc>
          <w:tcPr>
            <w:tcW w:w="2522" w:type="dxa"/>
            <w:vMerge/>
            <w:tcBorders>
              <w:top w:val="single" w:sz="4" w:space="0" w:color="000000"/>
              <w:left w:val="single" w:sz="4" w:space="0" w:color="000000"/>
              <w:bottom w:val="single" w:sz="4" w:space="0" w:color="000000"/>
              <w:right w:val="single" w:sz="4" w:space="0" w:color="000000"/>
            </w:tcBorders>
          </w:tcPr>
          <w:p w14:paraId="1C624BAC" w14:textId="77777777" w:rsidR="002D66F3" w:rsidRPr="00360A40" w:rsidRDefault="002D66F3" w:rsidP="00360A40">
            <w:pPr>
              <w:pStyle w:val="TableParagraph"/>
              <w:kinsoku w:val="0"/>
              <w:overflowPunct w:val="0"/>
              <w:rPr>
                <w:sz w:val="22"/>
                <w:szCs w:val="22"/>
                <w:lang w:val="hu-HU"/>
              </w:rPr>
            </w:pPr>
          </w:p>
        </w:tc>
        <w:tc>
          <w:tcPr>
            <w:tcW w:w="1224" w:type="dxa"/>
            <w:vMerge/>
            <w:tcBorders>
              <w:top w:val="single" w:sz="4" w:space="0" w:color="000000"/>
              <w:left w:val="single" w:sz="4" w:space="0" w:color="000000"/>
              <w:bottom w:val="single" w:sz="4" w:space="0" w:color="000000"/>
              <w:right w:val="single" w:sz="4" w:space="0" w:color="000000"/>
            </w:tcBorders>
          </w:tcPr>
          <w:p w14:paraId="01FDBAC3" w14:textId="77777777" w:rsidR="002D66F3" w:rsidRPr="00360A40" w:rsidRDefault="002D66F3" w:rsidP="00360A40">
            <w:pPr>
              <w:pStyle w:val="TableParagraph"/>
              <w:kinsoku w:val="0"/>
              <w:overflowPunct w:val="0"/>
              <w:rPr>
                <w:sz w:val="22"/>
                <w:szCs w:val="22"/>
                <w:lang w:val="hu-HU"/>
              </w:rPr>
            </w:pPr>
          </w:p>
        </w:tc>
        <w:tc>
          <w:tcPr>
            <w:tcW w:w="2340" w:type="dxa"/>
            <w:tcBorders>
              <w:top w:val="nil"/>
              <w:left w:val="single" w:sz="4" w:space="0" w:color="000000"/>
              <w:bottom w:val="single" w:sz="4" w:space="0" w:color="000000"/>
              <w:right w:val="single" w:sz="4" w:space="0" w:color="000000"/>
            </w:tcBorders>
          </w:tcPr>
          <w:p w14:paraId="7DF283EF" w14:textId="77777777" w:rsidR="002D66F3" w:rsidRPr="00360A40" w:rsidRDefault="002D66F3" w:rsidP="00360A40">
            <w:pPr>
              <w:pStyle w:val="TableParagraph"/>
              <w:kinsoku w:val="0"/>
              <w:overflowPunct w:val="0"/>
              <w:ind w:left="706"/>
              <w:rPr>
                <w:sz w:val="22"/>
                <w:szCs w:val="22"/>
                <w:lang w:val="hu-HU"/>
              </w:rPr>
            </w:pPr>
            <w:r w:rsidRPr="00360A40">
              <w:rPr>
                <w:sz w:val="22"/>
                <w:szCs w:val="22"/>
                <w:lang w:val="hu-HU"/>
              </w:rPr>
              <w:t>(143, 192)</w:t>
            </w:r>
          </w:p>
        </w:tc>
        <w:tc>
          <w:tcPr>
            <w:tcW w:w="2341" w:type="dxa"/>
            <w:tcBorders>
              <w:top w:val="nil"/>
              <w:left w:val="single" w:sz="4" w:space="0" w:color="000000"/>
              <w:bottom w:val="single" w:sz="4" w:space="0" w:color="000000"/>
              <w:right w:val="single" w:sz="4" w:space="0" w:color="000000"/>
            </w:tcBorders>
          </w:tcPr>
          <w:p w14:paraId="5BBC5166" w14:textId="77777777" w:rsidR="002D66F3" w:rsidRPr="00360A40" w:rsidRDefault="002D66F3" w:rsidP="00360A40">
            <w:pPr>
              <w:pStyle w:val="TableParagraph"/>
              <w:kinsoku w:val="0"/>
              <w:overflowPunct w:val="0"/>
              <w:ind w:left="592"/>
              <w:rPr>
                <w:sz w:val="22"/>
                <w:szCs w:val="22"/>
                <w:lang w:val="hu-HU"/>
              </w:rPr>
            </w:pPr>
            <w:r w:rsidRPr="00360A40">
              <w:rPr>
                <w:sz w:val="22"/>
                <w:szCs w:val="22"/>
                <w:lang w:val="hu-HU"/>
              </w:rPr>
              <w:t>(7,96; 10,35)</w:t>
            </w:r>
          </w:p>
        </w:tc>
      </w:tr>
      <w:tr w:rsidR="002D66F3" w:rsidRPr="00360A40" w14:paraId="75896E8F" w14:textId="77777777" w:rsidTr="00D25F36">
        <w:trPr>
          <w:trHeight w:hRule="exact" w:val="268"/>
        </w:trPr>
        <w:tc>
          <w:tcPr>
            <w:tcW w:w="2522" w:type="dxa"/>
            <w:vMerge w:val="restart"/>
            <w:tcBorders>
              <w:top w:val="single" w:sz="4" w:space="0" w:color="000000"/>
              <w:left w:val="single" w:sz="4" w:space="0" w:color="000000"/>
              <w:bottom w:val="single" w:sz="4" w:space="0" w:color="000000"/>
              <w:right w:val="single" w:sz="4" w:space="0" w:color="000000"/>
            </w:tcBorders>
          </w:tcPr>
          <w:p w14:paraId="2229F2B0" w14:textId="69AD1B26" w:rsidR="002D66F3" w:rsidRPr="00360A40" w:rsidRDefault="002D66F3" w:rsidP="009F4BD6">
            <w:pPr>
              <w:pStyle w:val="TableParagraph"/>
              <w:kinsoku w:val="0"/>
              <w:overflowPunct w:val="0"/>
              <w:jc w:val="center"/>
              <w:rPr>
                <w:sz w:val="22"/>
                <w:szCs w:val="22"/>
                <w:lang w:val="hu-HU"/>
              </w:rPr>
            </w:pPr>
            <w:r w:rsidRPr="00360A40">
              <w:rPr>
                <w:sz w:val="22"/>
                <w:szCs w:val="22"/>
                <w:lang w:val="hu-HU"/>
              </w:rPr>
              <w:t>75</w:t>
            </w:r>
            <w:r w:rsidR="00BC36B4" w:rsidRPr="00360A40">
              <w:rPr>
                <w:sz w:val="22"/>
                <w:szCs w:val="22"/>
                <w:lang w:val="hu-HU"/>
              </w:rPr>
              <w:t> </w:t>
            </w:r>
            <w:r w:rsidRPr="00360A40">
              <w:rPr>
                <w:sz w:val="22"/>
                <w:szCs w:val="22"/>
                <w:lang w:val="hu-HU"/>
              </w:rPr>
              <w:t>mg</w:t>
            </w:r>
          </w:p>
        </w:tc>
        <w:tc>
          <w:tcPr>
            <w:tcW w:w="1224" w:type="dxa"/>
            <w:vMerge w:val="restart"/>
            <w:tcBorders>
              <w:top w:val="single" w:sz="4" w:space="0" w:color="000000"/>
              <w:left w:val="single" w:sz="4" w:space="0" w:color="000000"/>
              <w:bottom w:val="single" w:sz="4" w:space="0" w:color="000000"/>
              <w:right w:val="single" w:sz="4" w:space="0" w:color="000000"/>
            </w:tcBorders>
          </w:tcPr>
          <w:p w14:paraId="3E501AEF"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45</w:t>
            </w:r>
          </w:p>
        </w:tc>
        <w:tc>
          <w:tcPr>
            <w:tcW w:w="2340" w:type="dxa"/>
            <w:tcBorders>
              <w:top w:val="single" w:sz="4" w:space="0" w:color="000000"/>
              <w:left w:val="single" w:sz="4" w:space="0" w:color="000000"/>
              <w:bottom w:val="nil"/>
              <w:right w:val="single" w:sz="4" w:space="0" w:color="000000"/>
            </w:tcBorders>
          </w:tcPr>
          <w:p w14:paraId="22262A3A"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301</w:t>
            </w:r>
          </w:p>
        </w:tc>
        <w:tc>
          <w:tcPr>
            <w:tcW w:w="2341" w:type="dxa"/>
            <w:tcBorders>
              <w:top w:val="single" w:sz="4" w:space="0" w:color="000000"/>
              <w:left w:val="single" w:sz="4" w:space="0" w:color="000000"/>
              <w:bottom w:val="nil"/>
              <w:right w:val="single" w:sz="4" w:space="0" w:color="000000"/>
            </w:tcBorders>
          </w:tcPr>
          <w:p w14:paraId="2D2EC006"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16,71</w:t>
            </w:r>
          </w:p>
        </w:tc>
      </w:tr>
      <w:tr w:rsidR="002D66F3" w:rsidRPr="00360A40" w14:paraId="0E4A90A4" w14:textId="77777777" w:rsidTr="00D25F36">
        <w:trPr>
          <w:trHeight w:hRule="exact" w:val="248"/>
        </w:trPr>
        <w:tc>
          <w:tcPr>
            <w:tcW w:w="2522" w:type="dxa"/>
            <w:vMerge/>
            <w:tcBorders>
              <w:top w:val="single" w:sz="4" w:space="0" w:color="000000"/>
              <w:left w:val="single" w:sz="4" w:space="0" w:color="000000"/>
              <w:bottom w:val="single" w:sz="4" w:space="0" w:color="000000"/>
              <w:right w:val="single" w:sz="4" w:space="0" w:color="000000"/>
            </w:tcBorders>
          </w:tcPr>
          <w:p w14:paraId="34634F9F" w14:textId="77777777" w:rsidR="002D66F3" w:rsidRPr="00360A40" w:rsidRDefault="002D66F3" w:rsidP="00360A40">
            <w:pPr>
              <w:pStyle w:val="TableParagraph"/>
              <w:kinsoku w:val="0"/>
              <w:overflowPunct w:val="0"/>
              <w:rPr>
                <w:sz w:val="22"/>
                <w:szCs w:val="22"/>
                <w:lang w:val="hu-HU"/>
              </w:rPr>
            </w:pPr>
          </w:p>
        </w:tc>
        <w:tc>
          <w:tcPr>
            <w:tcW w:w="1224" w:type="dxa"/>
            <w:vMerge/>
            <w:tcBorders>
              <w:top w:val="single" w:sz="4" w:space="0" w:color="000000"/>
              <w:left w:val="single" w:sz="4" w:space="0" w:color="000000"/>
              <w:bottom w:val="single" w:sz="4" w:space="0" w:color="000000"/>
              <w:right w:val="single" w:sz="4" w:space="0" w:color="000000"/>
            </w:tcBorders>
          </w:tcPr>
          <w:p w14:paraId="60F26159" w14:textId="77777777" w:rsidR="002D66F3" w:rsidRPr="00360A40" w:rsidRDefault="002D66F3" w:rsidP="00360A40">
            <w:pPr>
              <w:pStyle w:val="TableParagraph"/>
              <w:kinsoku w:val="0"/>
              <w:overflowPunct w:val="0"/>
              <w:rPr>
                <w:sz w:val="22"/>
                <w:szCs w:val="22"/>
                <w:lang w:val="hu-HU"/>
              </w:rPr>
            </w:pPr>
          </w:p>
        </w:tc>
        <w:tc>
          <w:tcPr>
            <w:tcW w:w="2340" w:type="dxa"/>
            <w:tcBorders>
              <w:top w:val="nil"/>
              <w:left w:val="single" w:sz="4" w:space="0" w:color="000000"/>
              <w:bottom w:val="single" w:sz="4" w:space="0" w:color="000000"/>
              <w:right w:val="single" w:sz="4" w:space="0" w:color="000000"/>
            </w:tcBorders>
          </w:tcPr>
          <w:p w14:paraId="4D8D8453" w14:textId="77777777" w:rsidR="002D66F3" w:rsidRPr="00360A40" w:rsidRDefault="002D66F3" w:rsidP="00360A40">
            <w:pPr>
              <w:pStyle w:val="TableParagraph"/>
              <w:kinsoku w:val="0"/>
              <w:overflowPunct w:val="0"/>
              <w:ind w:left="706"/>
              <w:rPr>
                <w:sz w:val="22"/>
                <w:szCs w:val="22"/>
                <w:lang w:val="hu-HU"/>
              </w:rPr>
            </w:pPr>
            <w:r w:rsidRPr="00360A40">
              <w:rPr>
                <w:sz w:val="22"/>
                <w:szCs w:val="22"/>
                <w:lang w:val="hu-HU"/>
              </w:rPr>
              <w:t>(250, 363)</w:t>
            </w:r>
          </w:p>
        </w:tc>
        <w:tc>
          <w:tcPr>
            <w:tcW w:w="2341" w:type="dxa"/>
            <w:tcBorders>
              <w:top w:val="nil"/>
              <w:left w:val="single" w:sz="4" w:space="0" w:color="000000"/>
              <w:bottom w:val="single" w:sz="4" w:space="0" w:color="000000"/>
              <w:right w:val="single" w:sz="4" w:space="0" w:color="000000"/>
            </w:tcBorders>
          </w:tcPr>
          <w:p w14:paraId="491A3AB2" w14:textId="77777777" w:rsidR="002D66F3" w:rsidRPr="00360A40" w:rsidRDefault="002D66F3" w:rsidP="00360A40">
            <w:pPr>
              <w:pStyle w:val="TableParagraph"/>
              <w:kinsoku w:val="0"/>
              <w:overflowPunct w:val="0"/>
              <w:ind w:left="537"/>
              <w:rPr>
                <w:sz w:val="22"/>
                <w:szCs w:val="22"/>
                <w:lang w:val="hu-HU"/>
              </w:rPr>
            </w:pPr>
            <w:r w:rsidRPr="00360A40">
              <w:rPr>
                <w:sz w:val="22"/>
                <w:szCs w:val="22"/>
                <w:lang w:val="hu-HU"/>
              </w:rPr>
              <w:t>(14,26; 19,58)</w:t>
            </w:r>
          </w:p>
        </w:tc>
      </w:tr>
      <w:tr w:rsidR="002D66F3" w:rsidRPr="00360A40" w14:paraId="17266F42" w14:textId="77777777" w:rsidTr="00D25F36">
        <w:trPr>
          <w:trHeight w:hRule="exact" w:val="268"/>
        </w:trPr>
        <w:tc>
          <w:tcPr>
            <w:tcW w:w="2522" w:type="dxa"/>
            <w:vMerge w:val="restart"/>
            <w:tcBorders>
              <w:top w:val="single" w:sz="4" w:space="0" w:color="000000"/>
              <w:left w:val="single" w:sz="4" w:space="0" w:color="000000"/>
              <w:bottom w:val="single" w:sz="4" w:space="0" w:color="000000"/>
              <w:right w:val="single" w:sz="4" w:space="0" w:color="000000"/>
            </w:tcBorders>
          </w:tcPr>
          <w:p w14:paraId="5D9B8C1D" w14:textId="30F77D90" w:rsidR="002D66F3" w:rsidRPr="00360A40" w:rsidRDefault="002D66F3" w:rsidP="009F4BD6">
            <w:pPr>
              <w:pStyle w:val="TableParagraph"/>
              <w:kinsoku w:val="0"/>
              <w:overflowPunct w:val="0"/>
              <w:jc w:val="center"/>
              <w:rPr>
                <w:sz w:val="22"/>
                <w:szCs w:val="22"/>
                <w:lang w:val="hu-HU"/>
              </w:rPr>
            </w:pPr>
            <w:r w:rsidRPr="00360A40">
              <w:rPr>
                <w:sz w:val="22"/>
                <w:szCs w:val="22"/>
                <w:lang w:val="hu-HU"/>
              </w:rPr>
              <w:t>100</w:t>
            </w:r>
            <w:r w:rsidR="00BC36B4" w:rsidRPr="00360A40">
              <w:rPr>
                <w:sz w:val="22"/>
                <w:szCs w:val="22"/>
                <w:lang w:val="hu-HU"/>
              </w:rPr>
              <w:t> </w:t>
            </w:r>
            <w:r w:rsidRPr="00360A40">
              <w:rPr>
                <w:sz w:val="22"/>
                <w:szCs w:val="22"/>
                <w:lang w:val="hu-HU"/>
              </w:rPr>
              <w:t>mg</w:t>
            </w:r>
          </w:p>
        </w:tc>
        <w:tc>
          <w:tcPr>
            <w:tcW w:w="1224" w:type="dxa"/>
            <w:vMerge w:val="restart"/>
            <w:tcBorders>
              <w:top w:val="single" w:sz="4" w:space="0" w:color="000000"/>
              <w:left w:val="single" w:sz="4" w:space="0" w:color="000000"/>
              <w:bottom w:val="single" w:sz="4" w:space="0" w:color="000000"/>
              <w:right w:val="single" w:sz="4" w:space="0" w:color="000000"/>
            </w:tcBorders>
          </w:tcPr>
          <w:p w14:paraId="335B18A4"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96</w:t>
            </w:r>
          </w:p>
        </w:tc>
        <w:tc>
          <w:tcPr>
            <w:tcW w:w="2340" w:type="dxa"/>
            <w:tcBorders>
              <w:top w:val="single" w:sz="4" w:space="0" w:color="000000"/>
              <w:left w:val="single" w:sz="4" w:space="0" w:color="000000"/>
              <w:bottom w:val="nil"/>
              <w:right w:val="single" w:sz="4" w:space="0" w:color="000000"/>
            </w:tcBorders>
          </w:tcPr>
          <w:p w14:paraId="48CD18D4"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354</w:t>
            </w:r>
          </w:p>
        </w:tc>
        <w:tc>
          <w:tcPr>
            <w:tcW w:w="2341" w:type="dxa"/>
            <w:tcBorders>
              <w:top w:val="single" w:sz="4" w:space="0" w:color="000000"/>
              <w:left w:val="single" w:sz="4" w:space="0" w:color="000000"/>
              <w:bottom w:val="nil"/>
              <w:right w:val="single" w:sz="4" w:space="0" w:color="000000"/>
            </w:tcBorders>
          </w:tcPr>
          <w:p w14:paraId="7F3E6144" w14:textId="77777777" w:rsidR="002D66F3" w:rsidRPr="00360A40" w:rsidRDefault="002D66F3" w:rsidP="009F4BD6">
            <w:pPr>
              <w:pStyle w:val="TableParagraph"/>
              <w:kinsoku w:val="0"/>
              <w:overflowPunct w:val="0"/>
              <w:jc w:val="center"/>
              <w:rPr>
                <w:sz w:val="22"/>
                <w:szCs w:val="22"/>
                <w:lang w:val="hu-HU"/>
              </w:rPr>
            </w:pPr>
            <w:r w:rsidRPr="00360A40">
              <w:rPr>
                <w:sz w:val="22"/>
                <w:szCs w:val="22"/>
                <w:lang w:val="hu-HU"/>
              </w:rPr>
              <w:t>19,19</w:t>
            </w:r>
          </w:p>
        </w:tc>
      </w:tr>
      <w:tr w:rsidR="002D66F3" w:rsidRPr="00360A40" w14:paraId="3E27A09F" w14:textId="77777777" w:rsidTr="00D25F36">
        <w:trPr>
          <w:trHeight w:hRule="exact" w:val="248"/>
        </w:trPr>
        <w:tc>
          <w:tcPr>
            <w:tcW w:w="2522" w:type="dxa"/>
            <w:vMerge/>
            <w:tcBorders>
              <w:top w:val="single" w:sz="4" w:space="0" w:color="000000"/>
              <w:left w:val="single" w:sz="4" w:space="0" w:color="000000"/>
              <w:bottom w:val="single" w:sz="4" w:space="0" w:color="000000"/>
              <w:right w:val="single" w:sz="4" w:space="0" w:color="000000"/>
            </w:tcBorders>
          </w:tcPr>
          <w:p w14:paraId="3886ECB3" w14:textId="77777777" w:rsidR="002D66F3" w:rsidRPr="00360A40" w:rsidRDefault="002D66F3" w:rsidP="00360A40">
            <w:pPr>
              <w:pStyle w:val="TableParagraph"/>
              <w:kinsoku w:val="0"/>
              <w:overflowPunct w:val="0"/>
              <w:rPr>
                <w:sz w:val="22"/>
                <w:szCs w:val="22"/>
                <w:lang w:val="hu-HU"/>
              </w:rPr>
            </w:pPr>
          </w:p>
        </w:tc>
        <w:tc>
          <w:tcPr>
            <w:tcW w:w="1224" w:type="dxa"/>
            <w:vMerge/>
            <w:tcBorders>
              <w:top w:val="single" w:sz="4" w:space="0" w:color="000000"/>
              <w:left w:val="single" w:sz="4" w:space="0" w:color="000000"/>
              <w:bottom w:val="single" w:sz="4" w:space="0" w:color="000000"/>
              <w:right w:val="single" w:sz="4" w:space="0" w:color="000000"/>
            </w:tcBorders>
          </w:tcPr>
          <w:p w14:paraId="2B3371EF" w14:textId="77777777" w:rsidR="002D66F3" w:rsidRPr="00360A40" w:rsidRDefault="002D66F3" w:rsidP="00360A40">
            <w:pPr>
              <w:pStyle w:val="TableParagraph"/>
              <w:kinsoku w:val="0"/>
              <w:overflowPunct w:val="0"/>
              <w:rPr>
                <w:sz w:val="22"/>
                <w:szCs w:val="22"/>
                <w:lang w:val="hu-HU"/>
              </w:rPr>
            </w:pPr>
          </w:p>
        </w:tc>
        <w:tc>
          <w:tcPr>
            <w:tcW w:w="2340" w:type="dxa"/>
            <w:tcBorders>
              <w:top w:val="nil"/>
              <w:left w:val="single" w:sz="4" w:space="0" w:color="000000"/>
              <w:bottom w:val="single" w:sz="4" w:space="0" w:color="000000"/>
              <w:right w:val="single" w:sz="4" w:space="0" w:color="000000"/>
            </w:tcBorders>
          </w:tcPr>
          <w:p w14:paraId="6FA6AEAB" w14:textId="77777777" w:rsidR="002D66F3" w:rsidRPr="00360A40" w:rsidRDefault="002D66F3" w:rsidP="00360A40">
            <w:pPr>
              <w:pStyle w:val="TableParagraph"/>
              <w:kinsoku w:val="0"/>
              <w:overflowPunct w:val="0"/>
              <w:ind w:left="706"/>
              <w:rPr>
                <w:sz w:val="22"/>
                <w:szCs w:val="22"/>
                <w:lang w:val="hu-HU"/>
              </w:rPr>
            </w:pPr>
            <w:r w:rsidRPr="00360A40">
              <w:rPr>
                <w:sz w:val="22"/>
                <w:szCs w:val="22"/>
                <w:lang w:val="hu-HU"/>
              </w:rPr>
              <w:t>(304, 411)</w:t>
            </w:r>
          </w:p>
        </w:tc>
        <w:tc>
          <w:tcPr>
            <w:tcW w:w="2341" w:type="dxa"/>
            <w:tcBorders>
              <w:top w:val="nil"/>
              <w:left w:val="single" w:sz="4" w:space="0" w:color="000000"/>
              <w:bottom w:val="single" w:sz="4" w:space="0" w:color="000000"/>
              <w:right w:val="single" w:sz="4" w:space="0" w:color="000000"/>
            </w:tcBorders>
          </w:tcPr>
          <w:p w14:paraId="6887D5F2" w14:textId="77777777" w:rsidR="002D66F3" w:rsidRPr="00360A40" w:rsidRDefault="002D66F3" w:rsidP="00360A40">
            <w:pPr>
              <w:pStyle w:val="TableParagraph"/>
              <w:kinsoku w:val="0"/>
              <w:overflowPunct w:val="0"/>
              <w:ind w:left="537"/>
              <w:rPr>
                <w:sz w:val="22"/>
                <w:szCs w:val="22"/>
                <w:lang w:val="hu-HU"/>
              </w:rPr>
            </w:pPr>
            <w:r w:rsidRPr="00360A40">
              <w:rPr>
                <w:sz w:val="22"/>
                <w:szCs w:val="22"/>
                <w:lang w:val="hu-HU"/>
              </w:rPr>
              <w:t>(16,81; 21,91)</w:t>
            </w:r>
          </w:p>
        </w:tc>
      </w:tr>
    </w:tbl>
    <w:p w14:paraId="1149C955" w14:textId="77777777" w:rsidR="002D66F3" w:rsidRPr="00360A40" w:rsidRDefault="002D66F3" w:rsidP="00360A40">
      <w:pPr>
        <w:pStyle w:val="Szvegtrzs"/>
        <w:kinsoku w:val="0"/>
        <w:overflowPunct w:val="0"/>
        <w:ind w:left="0"/>
        <w:rPr>
          <w:lang w:val="hu-HU"/>
        </w:rPr>
      </w:pPr>
      <w:r w:rsidRPr="00360A40">
        <w:rPr>
          <w:lang w:val="hu-HU"/>
        </w:rPr>
        <w:t>Mértani átlagként szerepeltetett adatok (95%-os CI).</w:t>
      </w:r>
    </w:p>
    <w:p w14:paraId="56BD85FD" w14:textId="07E6425E" w:rsidR="002D66F3" w:rsidRPr="00360A40" w:rsidRDefault="002D66F3" w:rsidP="00360A40">
      <w:pPr>
        <w:pStyle w:val="Szvegtrzs"/>
        <w:kinsoku w:val="0"/>
        <w:overflowPunct w:val="0"/>
        <w:ind w:left="0"/>
        <w:rPr>
          <w:lang w:val="hu-HU"/>
        </w:rPr>
      </w:pPr>
      <w:r w:rsidRPr="00360A40">
        <w:rPr>
          <w:lang w:val="hu-HU"/>
        </w:rPr>
        <w:t xml:space="preserve">AUC </w:t>
      </w:r>
      <w:r w:rsidR="00577A0B" w:rsidRPr="00577A0B">
        <w:rPr>
          <w:vertAlign w:val="subscript"/>
          <w:lang w:val="hu-HU"/>
        </w:rPr>
        <w:t>(0-τ)</w:t>
      </w:r>
      <w:r w:rsidRPr="00360A40">
        <w:rPr>
          <w:lang w:val="hu-HU"/>
        </w:rPr>
        <w:t>- és C</w:t>
      </w:r>
      <w:r w:rsidR="00577A0B" w:rsidRPr="00577A0B">
        <w:rPr>
          <w:vertAlign w:val="subscript"/>
          <w:lang w:val="hu-HU"/>
        </w:rPr>
        <w:t>max</w:t>
      </w:r>
      <w:r w:rsidRPr="00360A40">
        <w:rPr>
          <w:lang w:val="hu-HU"/>
        </w:rPr>
        <w:t xml:space="preserve">-értékek a populációs farmakokinetika alapján, </w:t>
      </w:r>
      <w:r w:rsidRPr="00360A40">
        <w:rPr>
          <w:i/>
          <w:iCs/>
          <w:lang w:val="hu-HU"/>
        </w:rPr>
        <w:t xml:space="preserve">post hoc </w:t>
      </w:r>
      <w:r w:rsidRPr="00360A40">
        <w:rPr>
          <w:lang w:val="hu-HU"/>
        </w:rPr>
        <w:t>becsléssel minden egyes beteg legmagasabb dózisához tartozó adatának figyelembe vételével.</w:t>
      </w:r>
    </w:p>
    <w:p w14:paraId="3FCA1905" w14:textId="77777777" w:rsidR="002D66F3" w:rsidRPr="00360A40" w:rsidRDefault="002D66F3" w:rsidP="00360A40">
      <w:pPr>
        <w:pStyle w:val="Szvegtrzs"/>
        <w:kinsoku w:val="0"/>
        <w:overflowPunct w:val="0"/>
        <w:ind w:left="0"/>
        <w:rPr>
          <w:lang w:val="hu-HU"/>
        </w:rPr>
      </w:pPr>
    </w:p>
    <w:p w14:paraId="472EB40D" w14:textId="77777777" w:rsidR="002D66F3" w:rsidRPr="00360A40" w:rsidRDefault="002D66F3" w:rsidP="00360A40">
      <w:pPr>
        <w:pStyle w:val="Szvegtrzs"/>
        <w:kinsoku w:val="0"/>
        <w:overflowPunct w:val="0"/>
        <w:ind w:left="0"/>
        <w:rPr>
          <w:lang w:val="hu-HU"/>
        </w:rPr>
      </w:pPr>
      <w:r w:rsidRPr="00360A40">
        <w:rPr>
          <w:u w:val="single"/>
          <w:lang w:val="hu-HU"/>
        </w:rPr>
        <w:t>Felszívódás és biohasznosulás</w:t>
      </w:r>
    </w:p>
    <w:p w14:paraId="65BE2B64" w14:textId="77777777" w:rsidR="002D66F3" w:rsidRPr="00360A40" w:rsidRDefault="002D66F3" w:rsidP="00360A40">
      <w:pPr>
        <w:pStyle w:val="Szvegtrzs"/>
        <w:kinsoku w:val="0"/>
        <w:overflowPunct w:val="0"/>
        <w:ind w:left="0"/>
        <w:rPr>
          <w:lang w:val="hu-HU"/>
        </w:rPr>
      </w:pPr>
    </w:p>
    <w:p w14:paraId="4B937EE8" w14:textId="5F283810" w:rsidR="002D66F3" w:rsidRPr="00360A40" w:rsidRDefault="002D66F3" w:rsidP="00360A40">
      <w:pPr>
        <w:pStyle w:val="Szvegtrzs"/>
        <w:kinsoku w:val="0"/>
        <w:overflowPunct w:val="0"/>
        <w:ind w:left="0"/>
        <w:rPr>
          <w:lang w:val="hu-HU"/>
        </w:rPr>
      </w:pPr>
      <w:r w:rsidRPr="00360A40">
        <w:rPr>
          <w:lang w:val="hu-HU"/>
        </w:rPr>
        <w:t xml:space="preserve">Az eltrombopag </w:t>
      </w:r>
      <w:r w:rsidR="00AE28AE" w:rsidRPr="00360A40">
        <w:rPr>
          <w:i/>
          <w:iCs/>
          <w:lang w:val="hu-HU"/>
        </w:rPr>
        <w:t>per os</w:t>
      </w:r>
      <w:r w:rsidRPr="00360A40">
        <w:rPr>
          <w:lang w:val="hu-HU"/>
        </w:rPr>
        <w:t xml:space="preserve"> alkalmazás után 2–6</w:t>
      </w:r>
      <w:r w:rsidR="00BC36B4" w:rsidRPr="00360A40">
        <w:rPr>
          <w:lang w:val="hu-HU"/>
        </w:rPr>
        <w:t> </w:t>
      </w:r>
      <w:r w:rsidRPr="00360A40">
        <w:rPr>
          <w:lang w:val="hu-HU"/>
        </w:rPr>
        <w:t>órával kialakuló csúcskoncentrációval szívódik fel. Az eltrombopag egyidejű alkalmazása antacidokkal és egyéb polivalens kationokat tartalmazó készítményekkel, így tejtermékekkel és ásványianyag-pótló készítményekkel, jelentősen csökkenti az eltrombopag expozícióját (lásd 4.2</w:t>
      </w:r>
      <w:r w:rsidR="00BC36B4" w:rsidRPr="00360A40">
        <w:rPr>
          <w:lang w:val="hu-HU"/>
        </w:rPr>
        <w:t> </w:t>
      </w:r>
      <w:r w:rsidRPr="00360A40">
        <w:rPr>
          <w:lang w:val="hu-HU"/>
        </w:rPr>
        <w:t>pont)</w:t>
      </w:r>
      <w:r w:rsidRPr="00360A40">
        <w:rPr>
          <w:i/>
          <w:iCs/>
          <w:lang w:val="hu-HU"/>
        </w:rPr>
        <w:t xml:space="preserve">. </w:t>
      </w:r>
      <w:r w:rsidRPr="00360A40">
        <w:rPr>
          <w:lang w:val="hu-HU"/>
        </w:rPr>
        <w:t>Egy felnőttekkel végzett relatív biohasznosulási vizsgálatban az eltrombopag por belsőleges szuszpenzióhoz 22%-kal magasabb plazma AUC</w:t>
      </w:r>
      <w:r w:rsidR="009F216E" w:rsidRPr="009F216E">
        <w:rPr>
          <w:vertAlign w:val="subscript"/>
          <w:lang w:val="hu-HU"/>
        </w:rPr>
        <w:t>0-∞</w:t>
      </w:r>
      <w:r w:rsidRPr="00360A40">
        <w:rPr>
          <w:lang w:val="hu-HU"/>
        </w:rPr>
        <w:t xml:space="preserve">-t eredményezett, mint a filmtabletta gyógyszerforma. Az abszolút orális biohasznosulást </w:t>
      </w:r>
      <w:r w:rsidR="005D6C3D">
        <w:rPr>
          <w:lang w:val="hu-HU"/>
        </w:rPr>
        <w:t>embereknél</w:t>
      </w:r>
      <w:r w:rsidRPr="00360A40">
        <w:rPr>
          <w:lang w:val="hu-HU"/>
        </w:rPr>
        <w:t xml:space="preserve"> nem határozták meg. A vizelettel történő kiválasztódás és a széklettel ürülő metabolitok alapján a gyógyszerrel </w:t>
      </w:r>
      <w:r w:rsidRPr="00360A40">
        <w:rPr>
          <w:lang w:val="hu-HU"/>
        </w:rPr>
        <w:lastRenderedPageBreak/>
        <w:t xml:space="preserve">kapcsolatos anyagok becsült </w:t>
      </w:r>
      <w:r w:rsidR="00AE28AE" w:rsidRPr="00360A40">
        <w:rPr>
          <w:i/>
          <w:iCs/>
          <w:lang w:val="hu-HU"/>
        </w:rPr>
        <w:t>per os</w:t>
      </w:r>
      <w:r w:rsidR="00AE28AE" w:rsidRPr="00360A40">
        <w:rPr>
          <w:lang w:val="hu-HU"/>
        </w:rPr>
        <w:t xml:space="preserve"> </w:t>
      </w:r>
      <w:r w:rsidRPr="00360A40">
        <w:rPr>
          <w:lang w:val="hu-HU"/>
        </w:rPr>
        <w:t>abszorpciója 75</w:t>
      </w:r>
      <w:r w:rsidR="00BC36B4" w:rsidRPr="00360A40">
        <w:rPr>
          <w:lang w:val="hu-HU"/>
        </w:rPr>
        <w:t> </w:t>
      </w:r>
      <w:r w:rsidRPr="00360A40">
        <w:rPr>
          <w:lang w:val="hu-HU"/>
        </w:rPr>
        <w:t>mg eltrombopag oldat egyszeri alkalmazása után legalább 52% volt.</w:t>
      </w:r>
    </w:p>
    <w:p w14:paraId="7478737A" w14:textId="77777777" w:rsidR="002D66F3" w:rsidRPr="00360A40" w:rsidRDefault="002D66F3" w:rsidP="00360A40">
      <w:pPr>
        <w:pStyle w:val="Szvegtrzs"/>
        <w:kinsoku w:val="0"/>
        <w:overflowPunct w:val="0"/>
        <w:ind w:left="0"/>
        <w:rPr>
          <w:lang w:val="hu-HU"/>
        </w:rPr>
      </w:pPr>
    </w:p>
    <w:p w14:paraId="4BF3106C" w14:textId="77777777" w:rsidR="002D66F3" w:rsidRPr="00360A40" w:rsidRDefault="002D66F3" w:rsidP="00360A40">
      <w:pPr>
        <w:pStyle w:val="Szvegtrzs"/>
        <w:kinsoku w:val="0"/>
        <w:overflowPunct w:val="0"/>
        <w:ind w:left="0"/>
        <w:rPr>
          <w:lang w:val="hu-HU"/>
        </w:rPr>
      </w:pPr>
      <w:r w:rsidRPr="00360A40">
        <w:rPr>
          <w:u w:val="single"/>
          <w:lang w:val="hu-HU"/>
        </w:rPr>
        <w:t>Eloszlás</w:t>
      </w:r>
    </w:p>
    <w:p w14:paraId="46C9D7E0" w14:textId="77777777" w:rsidR="002D66F3" w:rsidRPr="00360A40" w:rsidRDefault="002D66F3" w:rsidP="00360A40">
      <w:pPr>
        <w:pStyle w:val="Szvegtrzs"/>
        <w:kinsoku w:val="0"/>
        <w:overflowPunct w:val="0"/>
        <w:ind w:left="0"/>
        <w:rPr>
          <w:lang w:val="hu-HU"/>
        </w:rPr>
      </w:pPr>
    </w:p>
    <w:p w14:paraId="486B81A5" w14:textId="243D95FA" w:rsidR="002D66F3" w:rsidRPr="00360A40" w:rsidRDefault="002D66F3" w:rsidP="00360A40">
      <w:pPr>
        <w:pStyle w:val="Szvegtrzs"/>
        <w:kinsoku w:val="0"/>
        <w:overflowPunct w:val="0"/>
        <w:ind w:left="0"/>
        <w:rPr>
          <w:lang w:val="hu-HU"/>
        </w:rPr>
      </w:pPr>
      <w:r w:rsidRPr="00360A40">
        <w:rPr>
          <w:lang w:val="hu-HU"/>
        </w:rPr>
        <w:t>Az eltrombopag nagymértékben kötődik a humán plazmafehérjékhez (&gt;</w:t>
      </w:r>
      <w:r w:rsidR="00BC36B4" w:rsidRPr="00360A40">
        <w:rPr>
          <w:lang w:val="hu-HU"/>
        </w:rPr>
        <w:t> </w:t>
      </w:r>
      <w:r w:rsidRPr="00360A40">
        <w:rPr>
          <w:lang w:val="hu-HU"/>
        </w:rPr>
        <w:t>99,9%), elsősorban az albuminhoz. Az eltrombopag a BCRP-nek szubsztrátja, de nem szubsztrátja a P-glikoproteinnek vagy az OATP1B1-nek.</w:t>
      </w:r>
    </w:p>
    <w:p w14:paraId="5F59658A" w14:textId="77777777" w:rsidR="002D66F3" w:rsidRPr="00360A40" w:rsidRDefault="002D66F3" w:rsidP="00360A40">
      <w:pPr>
        <w:pStyle w:val="Szvegtrzs"/>
        <w:kinsoku w:val="0"/>
        <w:overflowPunct w:val="0"/>
        <w:ind w:left="0"/>
        <w:rPr>
          <w:lang w:val="hu-HU"/>
        </w:rPr>
      </w:pPr>
    </w:p>
    <w:p w14:paraId="03994DBB" w14:textId="77777777" w:rsidR="002D66F3" w:rsidRPr="00360A40" w:rsidRDefault="002D66F3" w:rsidP="00360A40">
      <w:pPr>
        <w:pStyle w:val="Szvegtrzs"/>
        <w:kinsoku w:val="0"/>
        <w:overflowPunct w:val="0"/>
        <w:ind w:left="0"/>
        <w:rPr>
          <w:lang w:val="hu-HU"/>
        </w:rPr>
      </w:pPr>
      <w:r w:rsidRPr="00360A40">
        <w:rPr>
          <w:u w:val="single"/>
          <w:lang w:val="hu-HU"/>
        </w:rPr>
        <w:t>Biotranszformáció</w:t>
      </w:r>
    </w:p>
    <w:p w14:paraId="2B47B64F" w14:textId="77777777" w:rsidR="002D66F3" w:rsidRPr="00360A40" w:rsidRDefault="002D66F3" w:rsidP="00360A40">
      <w:pPr>
        <w:pStyle w:val="Szvegtrzs"/>
        <w:kinsoku w:val="0"/>
        <w:overflowPunct w:val="0"/>
        <w:ind w:left="0"/>
        <w:rPr>
          <w:lang w:val="hu-HU"/>
        </w:rPr>
      </w:pPr>
    </w:p>
    <w:p w14:paraId="7929B117" w14:textId="6A3E415D" w:rsidR="002D66F3" w:rsidRPr="00360A40" w:rsidRDefault="002D66F3" w:rsidP="00360A40">
      <w:pPr>
        <w:pStyle w:val="Szvegtrzs"/>
        <w:kinsoku w:val="0"/>
        <w:overflowPunct w:val="0"/>
        <w:ind w:left="0"/>
        <w:rPr>
          <w:lang w:val="hu-HU"/>
        </w:rPr>
      </w:pPr>
      <w:r w:rsidRPr="00360A40">
        <w:rPr>
          <w:lang w:val="hu-HU"/>
        </w:rPr>
        <w:t xml:space="preserve">Az eltrombopag elsősorban hasadással, oxidációval, illetve </w:t>
      </w:r>
      <w:r w:rsidR="004A32AB">
        <w:rPr>
          <w:lang w:val="hu-HU"/>
        </w:rPr>
        <w:t>glükur</w:t>
      </w:r>
      <w:r w:rsidRPr="00360A40">
        <w:rPr>
          <w:lang w:val="hu-HU"/>
        </w:rPr>
        <w:t>onsavval, glutationnal, vagy ciszteinnel történő konjugációval metabolizálódik. Egy humán radioizotópos vizsgálatban a plazma radiokarbon AUC</w:t>
      </w:r>
      <w:r w:rsidR="009F216E" w:rsidRPr="009F216E">
        <w:rPr>
          <w:vertAlign w:val="subscript"/>
          <w:lang w:val="hu-HU"/>
        </w:rPr>
        <w:t>0-∞</w:t>
      </w:r>
      <w:r w:rsidRPr="00360A40">
        <w:rPr>
          <w:lang w:val="hu-HU"/>
        </w:rPr>
        <w:t xml:space="preserve">-érték közel 64%-át az eltrombopag adta. </w:t>
      </w:r>
      <w:r w:rsidR="004A32AB">
        <w:rPr>
          <w:lang w:val="hu-HU"/>
        </w:rPr>
        <w:t>Glükur</w:t>
      </w:r>
      <w:r w:rsidRPr="00360A40">
        <w:rPr>
          <w:lang w:val="hu-HU"/>
        </w:rPr>
        <w:t xml:space="preserve">onidációból és oxidációból származó kisebb metabolitokat is kimutattak. </w:t>
      </w:r>
      <w:r w:rsidRPr="00360A40">
        <w:rPr>
          <w:i/>
          <w:iCs/>
          <w:lang w:val="hu-HU"/>
        </w:rPr>
        <w:t xml:space="preserve">In vitro </w:t>
      </w:r>
      <w:r w:rsidRPr="00360A40">
        <w:rPr>
          <w:lang w:val="hu-HU"/>
        </w:rPr>
        <w:t>vizsgálatok arra utalnak, hogy a CYP1A2 és a CYP2C8 felelős az eltrombopag oxidatív metabolizmusáért. Az UDP-glukoronozil</w:t>
      </w:r>
      <w:r w:rsidR="000063E5" w:rsidRPr="00360A40">
        <w:rPr>
          <w:lang w:val="hu-HU"/>
        </w:rPr>
        <w:t>-</w:t>
      </w:r>
      <w:r w:rsidRPr="00360A40">
        <w:rPr>
          <w:lang w:val="hu-HU"/>
        </w:rPr>
        <w:t xml:space="preserve">transzferázok, az UGT1A1 és UGT1A3 felelősek a </w:t>
      </w:r>
      <w:r w:rsidR="004A32AB">
        <w:rPr>
          <w:lang w:val="hu-HU"/>
        </w:rPr>
        <w:t>glükur</w:t>
      </w:r>
      <w:r w:rsidRPr="00360A40">
        <w:rPr>
          <w:lang w:val="hu-HU"/>
        </w:rPr>
        <w:t>onidációért, és a gyomor-bélrendszer alsó traktusában található baktériumok felelősek a hasadási útvonalért.</w:t>
      </w:r>
    </w:p>
    <w:p w14:paraId="4F7BA8A1" w14:textId="77777777" w:rsidR="002D66F3" w:rsidRPr="00360A40" w:rsidRDefault="002D66F3" w:rsidP="00360A40">
      <w:pPr>
        <w:pStyle w:val="Szvegtrzs"/>
        <w:kinsoku w:val="0"/>
        <w:overflowPunct w:val="0"/>
        <w:ind w:left="0"/>
        <w:rPr>
          <w:lang w:val="hu-HU"/>
        </w:rPr>
      </w:pPr>
    </w:p>
    <w:p w14:paraId="56010A45" w14:textId="77777777" w:rsidR="002D66F3" w:rsidRPr="00360A40" w:rsidRDefault="002D66F3" w:rsidP="00360A40">
      <w:pPr>
        <w:pStyle w:val="Szvegtrzs"/>
        <w:kinsoku w:val="0"/>
        <w:overflowPunct w:val="0"/>
        <w:ind w:left="0"/>
        <w:rPr>
          <w:lang w:val="hu-HU"/>
        </w:rPr>
      </w:pPr>
      <w:r w:rsidRPr="00360A40">
        <w:rPr>
          <w:u w:val="single"/>
          <w:lang w:val="hu-HU"/>
        </w:rPr>
        <w:t>Elimináció</w:t>
      </w:r>
    </w:p>
    <w:p w14:paraId="00F3D47C" w14:textId="77777777" w:rsidR="002D66F3" w:rsidRPr="00360A40" w:rsidRDefault="002D66F3" w:rsidP="00360A40">
      <w:pPr>
        <w:pStyle w:val="Szvegtrzs"/>
        <w:kinsoku w:val="0"/>
        <w:overflowPunct w:val="0"/>
        <w:ind w:left="0"/>
        <w:rPr>
          <w:lang w:val="hu-HU"/>
        </w:rPr>
      </w:pPr>
    </w:p>
    <w:p w14:paraId="252B3D3D" w14:textId="69AF6DFC" w:rsidR="002D66F3" w:rsidRPr="00360A40" w:rsidRDefault="002D66F3" w:rsidP="00360A40">
      <w:pPr>
        <w:pStyle w:val="Szvegtrzs"/>
        <w:kinsoku w:val="0"/>
        <w:overflowPunct w:val="0"/>
        <w:ind w:left="0"/>
        <w:rPr>
          <w:lang w:val="hu-HU"/>
        </w:rPr>
      </w:pPr>
      <w:r w:rsidRPr="00360A40">
        <w:rPr>
          <w:lang w:val="hu-HU"/>
        </w:rPr>
        <w:t>A felszívódott eltrombopag nagymértékben metabolizálódik. Elsősorban a széklettel ürül (59%), az adag 31%-a jelenik meg a vizeletben metabolitok formájában. A változatlan anyavegyület (eltrombopag) nem mutatható ki a vizeletben. Az adag közel 20%-a ürül a széklettel változatlan formában. Az eltrombopag plazma eliminációs felezési ideje megközelítőleg 21-32</w:t>
      </w:r>
      <w:r w:rsidR="00BC36B4" w:rsidRPr="00360A40">
        <w:rPr>
          <w:lang w:val="hu-HU"/>
        </w:rPr>
        <w:t> </w:t>
      </w:r>
      <w:r w:rsidRPr="00360A40">
        <w:rPr>
          <w:lang w:val="hu-HU"/>
        </w:rPr>
        <w:t>óra.</w:t>
      </w:r>
    </w:p>
    <w:p w14:paraId="12BFBC9E" w14:textId="77777777" w:rsidR="00EA221C" w:rsidRPr="00360A40" w:rsidRDefault="00EA221C" w:rsidP="00360A40">
      <w:pPr>
        <w:pStyle w:val="Szvegtrzs"/>
        <w:kinsoku w:val="0"/>
        <w:overflowPunct w:val="0"/>
        <w:ind w:left="0"/>
        <w:rPr>
          <w:lang w:val="hu-HU"/>
        </w:rPr>
      </w:pPr>
    </w:p>
    <w:p w14:paraId="523039E4" w14:textId="77777777" w:rsidR="002D66F3" w:rsidRPr="00360A40" w:rsidRDefault="002D66F3" w:rsidP="00360A40">
      <w:pPr>
        <w:pStyle w:val="Szvegtrzs"/>
        <w:kinsoku w:val="0"/>
        <w:overflowPunct w:val="0"/>
        <w:ind w:left="0"/>
        <w:rPr>
          <w:lang w:val="hu-HU"/>
        </w:rPr>
      </w:pPr>
      <w:r w:rsidRPr="00360A40">
        <w:rPr>
          <w:u w:val="single"/>
          <w:lang w:val="hu-HU"/>
        </w:rPr>
        <w:t>Farmakokinetikai kölcsönhatások</w:t>
      </w:r>
    </w:p>
    <w:p w14:paraId="1F29BD01" w14:textId="77777777" w:rsidR="002D66F3" w:rsidRPr="00360A40" w:rsidRDefault="002D66F3" w:rsidP="00360A40">
      <w:pPr>
        <w:pStyle w:val="Szvegtrzs"/>
        <w:kinsoku w:val="0"/>
        <w:overflowPunct w:val="0"/>
        <w:ind w:left="0"/>
        <w:rPr>
          <w:lang w:val="hu-HU"/>
        </w:rPr>
      </w:pPr>
    </w:p>
    <w:p w14:paraId="1F449101" w14:textId="76571A56" w:rsidR="002D66F3" w:rsidRPr="00360A40" w:rsidRDefault="002D66F3" w:rsidP="00360A40">
      <w:pPr>
        <w:pStyle w:val="Szvegtrzs"/>
        <w:kinsoku w:val="0"/>
        <w:overflowPunct w:val="0"/>
        <w:ind w:left="0"/>
        <w:rPr>
          <w:lang w:val="hu-HU"/>
        </w:rPr>
      </w:pPr>
      <w:r w:rsidRPr="00360A40">
        <w:rPr>
          <w:lang w:val="hu-HU"/>
        </w:rPr>
        <w:t xml:space="preserve">Egy humán vizsgálat szerint, melyet radioizotóppal jelzett eltrombopaggal végeztek, a </w:t>
      </w:r>
      <w:r w:rsidR="004A32AB">
        <w:rPr>
          <w:lang w:val="hu-HU"/>
        </w:rPr>
        <w:t>glükur</w:t>
      </w:r>
      <w:r w:rsidRPr="00360A40">
        <w:rPr>
          <w:lang w:val="hu-HU"/>
        </w:rPr>
        <w:t xml:space="preserve">onidáció csekély szerepet játszik az eltrombopag metabolizmusában. Emberi májmikroszómákkal végzett vizsgálatok az UGT1A1 és UGT1A3 izoenzimeket találták felelősnek az eltrombopag </w:t>
      </w:r>
      <w:r w:rsidR="004A32AB">
        <w:rPr>
          <w:lang w:val="hu-HU"/>
        </w:rPr>
        <w:t>glükur</w:t>
      </w:r>
      <w:r w:rsidRPr="00360A40">
        <w:rPr>
          <w:lang w:val="hu-HU"/>
        </w:rPr>
        <w:t xml:space="preserve">onidációjáért. Az eltrombopag számos UGT enzim gátlószere volt </w:t>
      </w:r>
      <w:r w:rsidRPr="00360A40">
        <w:rPr>
          <w:i/>
          <w:iCs/>
          <w:lang w:val="hu-HU"/>
        </w:rPr>
        <w:t>in vitro</w:t>
      </w:r>
      <w:r w:rsidRPr="00360A40">
        <w:rPr>
          <w:lang w:val="hu-HU"/>
        </w:rPr>
        <w:t xml:space="preserve">. </w:t>
      </w:r>
      <w:r w:rsidR="004A32AB">
        <w:rPr>
          <w:lang w:val="hu-HU"/>
        </w:rPr>
        <w:t>Glükur</w:t>
      </w:r>
      <w:r w:rsidRPr="00360A40">
        <w:rPr>
          <w:lang w:val="hu-HU"/>
        </w:rPr>
        <w:t xml:space="preserve">onidációval járó, klinikailag jelentős interakciók kialakulása nem várható, mivel az egyes UGT enzimek csekély szerepet játszanak az eltrombopag </w:t>
      </w:r>
      <w:r w:rsidR="004A32AB">
        <w:rPr>
          <w:lang w:val="hu-HU"/>
        </w:rPr>
        <w:t>glükur</w:t>
      </w:r>
      <w:r w:rsidRPr="00360A40">
        <w:rPr>
          <w:lang w:val="hu-HU"/>
        </w:rPr>
        <w:t>onidációjában.</w:t>
      </w:r>
    </w:p>
    <w:p w14:paraId="247B8B56" w14:textId="77777777" w:rsidR="002D66F3" w:rsidRPr="00360A40" w:rsidRDefault="002D66F3" w:rsidP="00360A40">
      <w:pPr>
        <w:pStyle w:val="Szvegtrzs"/>
        <w:kinsoku w:val="0"/>
        <w:overflowPunct w:val="0"/>
        <w:ind w:left="0"/>
        <w:rPr>
          <w:lang w:val="hu-HU"/>
        </w:rPr>
      </w:pPr>
    </w:p>
    <w:p w14:paraId="329D3005" w14:textId="77777777" w:rsidR="002D66F3" w:rsidRPr="00360A40" w:rsidRDefault="002D66F3" w:rsidP="00360A40">
      <w:pPr>
        <w:pStyle w:val="Szvegtrzs"/>
        <w:kinsoku w:val="0"/>
        <w:overflowPunct w:val="0"/>
        <w:ind w:left="0"/>
        <w:rPr>
          <w:lang w:val="hu-HU"/>
        </w:rPr>
      </w:pPr>
      <w:r w:rsidRPr="00360A40">
        <w:rPr>
          <w:lang w:val="hu-HU"/>
        </w:rPr>
        <w:t xml:space="preserve">Az eltrombopag-dózis közel 21%-a mehet át oxidatív metabolizmuson. Emberi májmikroszómákkal végzett vizsgálatok a CYP1A2 és CYP2C8 izoenzimeket találták felelősnek az eltrombopag oxidációjáért. </w:t>
      </w:r>
      <w:r w:rsidRPr="00360A40">
        <w:rPr>
          <w:i/>
          <w:iCs/>
          <w:lang w:val="hu-HU"/>
        </w:rPr>
        <w:t xml:space="preserve">In vitro </w:t>
      </w:r>
      <w:r w:rsidRPr="00360A40">
        <w:rPr>
          <w:lang w:val="hu-HU"/>
        </w:rPr>
        <w:t xml:space="preserve">és </w:t>
      </w:r>
      <w:r w:rsidRPr="00360A40">
        <w:rPr>
          <w:i/>
          <w:iCs/>
          <w:lang w:val="hu-HU"/>
        </w:rPr>
        <w:t xml:space="preserve">in vivo </w:t>
      </w:r>
      <w:r w:rsidRPr="00360A40">
        <w:rPr>
          <w:lang w:val="hu-HU"/>
        </w:rPr>
        <w:t>adatok szerint az eltrombopag nem gátolja és nem is indukálja a CYP enzimeket (lásd 4.5 pont).</w:t>
      </w:r>
    </w:p>
    <w:p w14:paraId="5347F81F" w14:textId="77777777" w:rsidR="002D66F3" w:rsidRPr="00360A40" w:rsidRDefault="002D66F3" w:rsidP="00360A40">
      <w:pPr>
        <w:pStyle w:val="Szvegtrzs"/>
        <w:kinsoku w:val="0"/>
        <w:overflowPunct w:val="0"/>
        <w:ind w:left="0"/>
        <w:rPr>
          <w:lang w:val="hu-HU"/>
        </w:rPr>
      </w:pPr>
    </w:p>
    <w:p w14:paraId="0B06A1F8" w14:textId="0A1B5868" w:rsidR="002D66F3" w:rsidRPr="00360A40" w:rsidRDefault="002D66F3" w:rsidP="00360A40">
      <w:pPr>
        <w:pStyle w:val="Szvegtrzs"/>
        <w:kinsoku w:val="0"/>
        <w:overflowPunct w:val="0"/>
        <w:ind w:left="0"/>
        <w:rPr>
          <w:lang w:val="hu-HU"/>
        </w:rPr>
      </w:pPr>
      <w:r w:rsidRPr="00360A40">
        <w:rPr>
          <w:i/>
          <w:iCs/>
          <w:lang w:val="hu-HU"/>
        </w:rPr>
        <w:t xml:space="preserve">In vitro </w:t>
      </w:r>
      <w:r w:rsidRPr="00360A40">
        <w:rPr>
          <w:lang w:val="hu-HU"/>
        </w:rPr>
        <w:t>vizsgálatokban kimutatták, hogy az eltrombopag az OATP1B1 transzporter és a BCRP transzporter gátlószere, továbbá egy klinikai gyógyszerkölcsönhatás vizsgálatban az eltrombopag növelte az OATP1B1 és BRCP-szubsztrát rozuvasztatin expozíciót (lásd 4.5</w:t>
      </w:r>
      <w:r w:rsidR="00BC36B4" w:rsidRPr="00360A40">
        <w:rPr>
          <w:lang w:val="hu-HU"/>
        </w:rPr>
        <w:t> </w:t>
      </w:r>
      <w:r w:rsidRPr="00360A40">
        <w:rPr>
          <w:lang w:val="hu-HU"/>
        </w:rPr>
        <w:t>pont). Eltrombopaggal végzett klinikai vizsgálatokban a sztatinok dózisának 50%-os csökkentését javasolták.</w:t>
      </w:r>
    </w:p>
    <w:p w14:paraId="18805F5E" w14:textId="77777777" w:rsidR="002D66F3" w:rsidRPr="00360A40" w:rsidRDefault="002D66F3" w:rsidP="00360A40">
      <w:pPr>
        <w:pStyle w:val="Szvegtrzs"/>
        <w:kinsoku w:val="0"/>
        <w:overflowPunct w:val="0"/>
        <w:ind w:left="0"/>
        <w:rPr>
          <w:lang w:val="hu-HU"/>
        </w:rPr>
      </w:pPr>
    </w:p>
    <w:p w14:paraId="0FD75C70" w14:textId="561B4AEC" w:rsidR="002D66F3" w:rsidRPr="00360A40" w:rsidRDefault="002D66F3" w:rsidP="00360A40">
      <w:pPr>
        <w:pStyle w:val="Szvegtrzs"/>
        <w:kinsoku w:val="0"/>
        <w:overflowPunct w:val="0"/>
        <w:ind w:left="0"/>
        <w:rPr>
          <w:lang w:val="hu-HU"/>
        </w:rPr>
      </w:pPr>
      <w:r w:rsidRPr="00360A40">
        <w:rPr>
          <w:lang w:val="hu-HU"/>
        </w:rPr>
        <w:t>Az eltrombopag kelátot képez a polivalens kationokkal, így a vassal, a kalciummal, a magnéziummal, az alumíniummal, a szelénnel és a cinkkel (lásd 4.2 és 4.5</w:t>
      </w:r>
      <w:r w:rsidR="00BC36B4" w:rsidRPr="00360A40">
        <w:rPr>
          <w:lang w:val="hu-HU"/>
        </w:rPr>
        <w:t> </w:t>
      </w:r>
      <w:r w:rsidRPr="00360A40">
        <w:rPr>
          <w:lang w:val="hu-HU"/>
        </w:rPr>
        <w:t>pont).</w:t>
      </w:r>
    </w:p>
    <w:p w14:paraId="5401EC82" w14:textId="77777777" w:rsidR="002D66F3" w:rsidRPr="00360A40" w:rsidRDefault="002D66F3" w:rsidP="00360A40">
      <w:pPr>
        <w:pStyle w:val="Szvegtrzs"/>
        <w:kinsoku w:val="0"/>
        <w:overflowPunct w:val="0"/>
        <w:ind w:left="0"/>
        <w:rPr>
          <w:lang w:val="hu-HU"/>
        </w:rPr>
      </w:pPr>
    </w:p>
    <w:p w14:paraId="3904D582" w14:textId="0D7461D2" w:rsidR="002D66F3" w:rsidRPr="00360A40" w:rsidRDefault="002D66F3" w:rsidP="00360A40">
      <w:pPr>
        <w:pStyle w:val="Szvegtrzs"/>
        <w:kinsoku w:val="0"/>
        <w:overflowPunct w:val="0"/>
        <w:ind w:left="0"/>
        <w:rPr>
          <w:lang w:val="hu-HU"/>
        </w:rPr>
      </w:pPr>
      <w:r w:rsidRPr="00360A40">
        <w:rPr>
          <w:i/>
          <w:iCs/>
          <w:lang w:val="hu-HU"/>
        </w:rPr>
        <w:t xml:space="preserve">In vitro </w:t>
      </w:r>
      <w:r w:rsidRPr="00360A40">
        <w:rPr>
          <w:lang w:val="hu-HU"/>
        </w:rPr>
        <w:t>vizsgálatokban kimutatták, hogy az eltrombopag nem szubsztrátja az organikus anion-transzporter polipeptidnek, az OATP1B1-nek, de inhibitora annak (IC</w:t>
      </w:r>
      <w:r w:rsidRPr="00360A40">
        <w:rPr>
          <w:vertAlign w:val="subscript"/>
          <w:lang w:val="hu-HU"/>
        </w:rPr>
        <w:t>50</w:t>
      </w:r>
      <w:r w:rsidRPr="00360A40">
        <w:rPr>
          <w:lang w:val="hu-HU"/>
        </w:rPr>
        <w:t>-érték: 2,7</w:t>
      </w:r>
      <w:r w:rsidR="00BC36B4" w:rsidRPr="00360A40">
        <w:rPr>
          <w:lang w:val="hu-HU"/>
        </w:rPr>
        <w:t> </w:t>
      </w:r>
      <w:r w:rsidRPr="00360A40">
        <w:rPr>
          <w:lang w:val="hu-HU"/>
        </w:rPr>
        <w:t>μM</w:t>
      </w:r>
      <w:r w:rsidR="00C62B2A" w:rsidRPr="00360A40">
        <w:rPr>
          <w:lang w:val="hu-HU"/>
        </w:rPr>
        <w:t xml:space="preserve"> </w:t>
      </w:r>
      <w:r w:rsidRPr="00360A40">
        <w:rPr>
          <w:lang w:val="hu-HU"/>
        </w:rPr>
        <w:t>[1,2</w:t>
      </w:r>
      <w:r w:rsidR="00BC36B4" w:rsidRPr="00360A40">
        <w:rPr>
          <w:lang w:val="hu-HU"/>
        </w:rPr>
        <w:t> </w:t>
      </w:r>
      <w:r w:rsidRPr="00360A40">
        <w:rPr>
          <w:lang w:val="hu-HU"/>
        </w:rPr>
        <w:t xml:space="preserve">μg/ml]). </w:t>
      </w:r>
      <w:r w:rsidRPr="00360A40">
        <w:rPr>
          <w:i/>
          <w:iCs/>
          <w:lang w:val="hu-HU"/>
        </w:rPr>
        <w:t xml:space="preserve">In vitro </w:t>
      </w:r>
      <w:r w:rsidRPr="00360A40">
        <w:rPr>
          <w:lang w:val="hu-HU"/>
        </w:rPr>
        <w:t>vizsgálatokban azt is kimutatták, hogy az eltrombopag az emlőrák rezisztencia fehérje (BCRP) szubsztrátja és inhibitora (IC</w:t>
      </w:r>
      <w:r w:rsidRPr="00360A40">
        <w:rPr>
          <w:vertAlign w:val="subscript"/>
          <w:lang w:val="hu-HU"/>
        </w:rPr>
        <w:t>50</w:t>
      </w:r>
      <w:r w:rsidRPr="00360A40">
        <w:rPr>
          <w:lang w:val="hu-HU"/>
        </w:rPr>
        <w:t>-érték: 2,7</w:t>
      </w:r>
      <w:r w:rsidR="00BC36B4" w:rsidRPr="00360A40">
        <w:rPr>
          <w:lang w:val="hu-HU"/>
        </w:rPr>
        <w:t> </w:t>
      </w:r>
      <w:r w:rsidRPr="00360A40">
        <w:rPr>
          <w:lang w:val="hu-HU"/>
        </w:rPr>
        <w:t>μM [1,2</w:t>
      </w:r>
      <w:r w:rsidR="00BC36B4" w:rsidRPr="00360A40">
        <w:rPr>
          <w:lang w:val="hu-HU"/>
        </w:rPr>
        <w:t> </w:t>
      </w:r>
      <w:r w:rsidRPr="00360A40">
        <w:rPr>
          <w:lang w:val="hu-HU"/>
        </w:rPr>
        <w:t>μg/ml])</w:t>
      </w:r>
      <w:r w:rsidRPr="00360A40">
        <w:rPr>
          <w:i/>
          <w:iCs/>
          <w:lang w:val="hu-HU"/>
        </w:rPr>
        <w:t>.</w:t>
      </w:r>
    </w:p>
    <w:p w14:paraId="097FC02F" w14:textId="77777777" w:rsidR="002D66F3" w:rsidRPr="00360A40" w:rsidRDefault="002D66F3" w:rsidP="00360A40">
      <w:pPr>
        <w:pStyle w:val="Szvegtrzs"/>
        <w:kinsoku w:val="0"/>
        <w:overflowPunct w:val="0"/>
        <w:ind w:left="0"/>
        <w:rPr>
          <w:i/>
          <w:iCs/>
          <w:lang w:val="hu-HU"/>
        </w:rPr>
      </w:pPr>
    </w:p>
    <w:p w14:paraId="04FC8A64" w14:textId="77777777" w:rsidR="002D66F3" w:rsidRPr="00360A40" w:rsidRDefault="002D66F3" w:rsidP="00360A40">
      <w:pPr>
        <w:pStyle w:val="Szvegtrzs"/>
        <w:kinsoku w:val="0"/>
        <w:overflowPunct w:val="0"/>
        <w:ind w:left="0"/>
        <w:rPr>
          <w:lang w:val="hu-HU"/>
        </w:rPr>
      </w:pPr>
      <w:r w:rsidRPr="00360A40">
        <w:rPr>
          <w:u w:val="single"/>
          <w:lang w:val="hu-HU"/>
        </w:rPr>
        <w:t>Különleges betegcsoportok</w:t>
      </w:r>
    </w:p>
    <w:p w14:paraId="6755E475" w14:textId="77777777" w:rsidR="002D66F3" w:rsidRPr="00360A40" w:rsidRDefault="002D66F3" w:rsidP="00360A40">
      <w:pPr>
        <w:pStyle w:val="Szvegtrzs"/>
        <w:kinsoku w:val="0"/>
        <w:overflowPunct w:val="0"/>
        <w:ind w:left="0"/>
        <w:rPr>
          <w:lang w:val="hu-HU"/>
        </w:rPr>
      </w:pPr>
    </w:p>
    <w:p w14:paraId="652A5D4E" w14:textId="77777777" w:rsidR="002D66F3" w:rsidRPr="00360A40" w:rsidRDefault="002D66F3" w:rsidP="00360A40">
      <w:pPr>
        <w:pStyle w:val="Szvegtrzs"/>
        <w:kinsoku w:val="0"/>
        <w:overflowPunct w:val="0"/>
        <w:ind w:left="0"/>
        <w:rPr>
          <w:lang w:val="hu-HU"/>
        </w:rPr>
      </w:pPr>
      <w:r w:rsidRPr="00360A40">
        <w:rPr>
          <w:i/>
          <w:iCs/>
          <w:u w:val="single"/>
          <w:lang w:val="hu-HU"/>
        </w:rPr>
        <w:t>Vesekárosodás</w:t>
      </w:r>
    </w:p>
    <w:p w14:paraId="254A5C65" w14:textId="77777777" w:rsidR="002D66F3" w:rsidRPr="00360A40" w:rsidRDefault="002D66F3" w:rsidP="00360A40">
      <w:pPr>
        <w:pStyle w:val="Szvegtrzs"/>
        <w:kinsoku w:val="0"/>
        <w:overflowPunct w:val="0"/>
        <w:ind w:left="0"/>
        <w:rPr>
          <w:i/>
          <w:iCs/>
          <w:lang w:val="hu-HU"/>
        </w:rPr>
      </w:pPr>
    </w:p>
    <w:p w14:paraId="67FFF4C1" w14:textId="6A7380A8" w:rsidR="002D66F3" w:rsidRPr="00360A40" w:rsidRDefault="002D66F3" w:rsidP="00360A40">
      <w:pPr>
        <w:pStyle w:val="Szvegtrzs"/>
        <w:kinsoku w:val="0"/>
        <w:overflowPunct w:val="0"/>
        <w:ind w:left="0"/>
        <w:rPr>
          <w:lang w:val="hu-HU"/>
        </w:rPr>
      </w:pPr>
      <w:r w:rsidRPr="00360A40">
        <w:rPr>
          <w:lang w:val="hu-HU"/>
        </w:rPr>
        <w:lastRenderedPageBreak/>
        <w:t>Az eltrombopag farmakokinetikáját károsodott vesefunkciójú felnőtt betegeknél vizsgálták. Egyszeri 50</w:t>
      </w:r>
      <w:r w:rsidR="00BC36B4" w:rsidRPr="00360A40">
        <w:rPr>
          <w:lang w:val="hu-HU"/>
        </w:rPr>
        <w:t> </w:t>
      </w:r>
      <w:r w:rsidRPr="00360A40">
        <w:rPr>
          <w:lang w:val="hu-HU"/>
        </w:rPr>
        <w:t>mg-os dózis adását követően az eltrombopag AUC</w:t>
      </w:r>
      <w:r w:rsidR="009F216E" w:rsidRPr="009F216E">
        <w:rPr>
          <w:vertAlign w:val="subscript"/>
          <w:lang w:val="hu-HU"/>
        </w:rPr>
        <w:t>0-∞</w:t>
      </w:r>
      <w:r w:rsidRPr="00360A40">
        <w:rPr>
          <w:lang w:val="hu-HU"/>
        </w:rPr>
        <w:t xml:space="preserve">-értéke közepesen súlyos vesekárosodásban szenvedő betegeknél 32%-36%-kal, súlyos vesekárosodásban szenvedő betegeknél 60%-kal volt alacsonyabb, mint az egészséges önkénteseknél. Nagyfokú változékonyság és jelentős átfedés volt az expozíciók terén a vesekárosodásban szenvedő betegek és az egészséges önkéntesek között. </w:t>
      </w:r>
      <w:r w:rsidR="004A32AB">
        <w:rPr>
          <w:lang w:val="hu-HU"/>
        </w:rPr>
        <w:t>Plazmafehérjékhez nem kötött</w:t>
      </w:r>
      <w:r w:rsidRPr="00360A40">
        <w:rPr>
          <w:lang w:val="hu-HU"/>
        </w:rPr>
        <w:t xml:space="preserve"> eltrombopag (aktív) koncentrációkat ennél a fehérjékhez nagymértékben kötődő gyógyszernél nem mértek. Károsodott vesefunkciójú betegeknél az eltrombopag körültekintően alkalmazandó, a beteg szoros megfigyelése mellett, pl. a szérum</w:t>
      </w:r>
      <w:r w:rsidR="00AB6D0D" w:rsidRPr="00360A40">
        <w:rPr>
          <w:lang w:val="hu-HU"/>
        </w:rPr>
        <w:t>-</w:t>
      </w:r>
      <w:r w:rsidRPr="00360A40">
        <w:rPr>
          <w:lang w:val="hu-HU"/>
        </w:rPr>
        <w:t>kreatininszint mérésével és/vagy vizeletvizsgálattal (lásd</w:t>
      </w:r>
      <w:r w:rsidR="002A2DEB" w:rsidRPr="00360A40">
        <w:rPr>
          <w:lang w:val="hu-HU"/>
        </w:rPr>
        <w:t xml:space="preserve"> </w:t>
      </w:r>
      <w:r w:rsidRPr="00360A40">
        <w:rPr>
          <w:lang w:val="hu-HU"/>
        </w:rPr>
        <w:t>4.2</w:t>
      </w:r>
      <w:r w:rsidR="00BC36B4" w:rsidRPr="00360A40">
        <w:rPr>
          <w:lang w:val="hu-HU"/>
        </w:rPr>
        <w:t> </w:t>
      </w:r>
      <w:r w:rsidRPr="00360A40">
        <w:rPr>
          <w:lang w:val="hu-HU"/>
        </w:rPr>
        <w:t>pont). Az eltrombopag hatásosságát és biztonságosságát nem igazolták közepesen súlyos vagy súlyos vesekárosodásban és májkárosodásban egyaránt szenvedő beteg esetében.</w:t>
      </w:r>
    </w:p>
    <w:p w14:paraId="615D8C6B" w14:textId="77777777" w:rsidR="002D66F3" w:rsidRPr="00360A40" w:rsidRDefault="002D66F3" w:rsidP="00360A40">
      <w:pPr>
        <w:pStyle w:val="Szvegtrzs"/>
        <w:kinsoku w:val="0"/>
        <w:overflowPunct w:val="0"/>
        <w:ind w:left="0"/>
        <w:rPr>
          <w:lang w:val="hu-HU"/>
        </w:rPr>
      </w:pPr>
    </w:p>
    <w:p w14:paraId="5CE0CBD2" w14:textId="77777777" w:rsidR="002D66F3" w:rsidRPr="00360A40" w:rsidRDefault="002D66F3" w:rsidP="00360A40">
      <w:pPr>
        <w:pStyle w:val="Szvegtrzs"/>
        <w:kinsoku w:val="0"/>
        <w:overflowPunct w:val="0"/>
        <w:ind w:left="0"/>
        <w:rPr>
          <w:lang w:val="hu-HU"/>
        </w:rPr>
      </w:pPr>
      <w:r w:rsidRPr="00360A40">
        <w:rPr>
          <w:i/>
          <w:iCs/>
          <w:u w:val="single"/>
          <w:lang w:val="hu-HU"/>
        </w:rPr>
        <w:t>Májkárosodás</w:t>
      </w:r>
    </w:p>
    <w:p w14:paraId="36F82728" w14:textId="77777777" w:rsidR="002D66F3" w:rsidRPr="00360A40" w:rsidRDefault="002D66F3" w:rsidP="00360A40">
      <w:pPr>
        <w:pStyle w:val="Szvegtrzs"/>
        <w:kinsoku w:val="0"/>
        <w:overflowPunct w:val="0"/>
        <w:ind w:left="0"/>
        <w:rPr>
          <w:i/>
          <w:iCs/>
          <w:lang w:val="hu-HU"/>
        </w:rPr>
      </w:pPr>
    </w:p>
    <w:p w14:paraId="34BBF8A4" w14:textId="7C788C79" w:rsidR="002D66F3" w:rsidRPr="00360A40" w:rsidRDefault="002D66F3" w:rsidP="00360A40">
      <w:pPr>
        <w:pStyle w:val="Szvegtrzs"/>
        <w:kinsoku w:val="0"/>
        <w:overflowPunct w:val="0"/>
        <w:ind w:left="0"/>
        <w:rPr>
          <w:lang w:val="hu-HU"/>
        </w:rPr>
      </w:pPr>
      <w:r w:rsidRPr="00360A40">
        <w:rPr>
          <w:lang w:val="hu-HU"/>
        </w:rPr>
        <w:t>Az eltrombopag farmakokinetikáját májkárosodásban szenvedő felnőtt betegeken vizsgálták, eltrombopag alkalmazása után. Egyszeri 50</w:t>
      </w:r>
      <w:r w:rsidR="00BC36B4" w:rsidRPr="00360A40">
        <w:rPr>
          <w:lang w:val="hu-HU"/>
        </w:rPr>
        <w:t> </w:t>
      </w:r>
      <w:r w:rsidRPr="00360A40">
        <w:rPr>
          <w:lang w:val="hu-HU"/>
        </w:rPr>
        <w:t>mg-os dózis adását követően az eltrombopag</w:t>
      </w:r>
      <w:r w:rsidR="00C62B2A" w:rsidRPr="00360A40">
        <w:rPr>
          <w:lang w:val="hu-HU"/>
        </w:rPr>
        <w:t xml:space="preserve"> </w:t>
      </w:r>
      <w:r w:rsidRPr="00360A40">
        <w:rPr>
          <w:lang w:val="hu-HU"/>
        </w:rPr>
        <w:t>AUC</w:t>
      </w:r>
      <w:r w:rsidR="009F216E" w:rsidRPr="009F216E">
        <w:rPr>
          <w:vertAlign w:val="subscript"/>
          <w:lang w:val="hu-HU"/>
        </w:rPr>
        <w:t>0-∞</w:t>
      </w:r>
      <w:r w:rsidRPr="00360A40">
        <w:rPr>
          <w:lang w:val="hu-HU"/>
        </w:rPr>
        <w:t xml:space="preserve">-értéke enyhe májkárosodásban szenvedő betegekben 41%-kal, közepesen súlyos vagy súlyos májkárosodásban szenvedő betegeknél 80%-93%-kal volt magasabb, mint az egészséges önkénteseknél. Nagyfokú változékonyság és jelentős átfedés volt az expozíciók terén a májkárosodásban szenvedő betegek és az egészséges önkéntesek között. </w:t>
      </w:r>
      <w:r w:rsidR="004A32AB">
        <w:rPr>
          <w:lang w:val="hu-HU"/>
        </w:rPr>
        <w:t>Plazmafehérjékhez nem kötött</w:t>
      </w:r>
      <w:r w:rsidRPr="00360A40">
        <w:rPr>
          <w:lang w:val="hu-HU"/>
        </w:rPr>
        <w:t xml:space="preserve"> eltrombopag (aktív) koncentrációt ennél a fehérjékhez nagymértékben kötődő gyógyszernél nem mértek.</w:t>
      </w:r>
    </w:p>
    <w:p w14:paraId="74FE8216" w14:textId="77777777" w:rsidR="00EA221C" w:rsidRPr="00360A40" w:rsidRDefault="00EA221C" w:rsidP="00360A40">
      <w:pPr>
        <w:pStyle w:val="Szvegtrzs"/>
        <w:kinsoku w:val="0"/>
        <w:overflowPunct w:val="0"/>
        <w:ind w:left="0"/>
        <w:rPr>
          <w:lang w:val="hu-HU"/>
        </w:rPr>
      </w:pPr>
    </w:p>
    <w:p w14:paraId="23F131E1" w14:textId="0BEF1602" w:rsidR="002D66F3" w:rsidRPr="00360A40" w:rsidRDefault="002D66F3" w:rsidP="00360A40">
      <w:pPr>
        <w:pStyle w:val="Szvegtrzs"/>
        <w:kinsoku w:val="0"/>
        <w:overflowPunct w:val="0"/>
        <w:ind w:left="0"/>
        <w:rPr>
          <w:lang w:val="hu-HU"/>
        </w:rPr>
      </w:pPr>
      <w:r w:rsidRPr="00360A40">
        <w:rPr>
          <w:lang w:val="hu-HU"/>
        </w:rPr>
        <w:t>A májkárosodásnak az eltrombopag farmakokinetikájára gyakorolt, ismételt adagolást követő hatását egy populációs farmakokinetikai elemzés segítségével értékelték 28, egészséges önkéntesnél és</w:t>
      </w:r>
      <w:r w:rsidR="00C62B2A" w:rsidRPr="00360A40">
        <w:rPr>
          <w:lang w:val="hu-HU"/>
        </w:rPr>
        <w:t xml:space="preserve"> </w:t>
      </w:r>
      <w:r w:rsidRPr="00360A40">
        <w:rPr>
          <w:lang w:val="hu-HU"/>
        </w:rPr>
        <w:t>714 májkárosodásban szenvedő betegnél (673 HCV-s beteg és 41 egyéb etiológiájú krónikus májbetegségben szenvedő beteg). A 714</w:t>
      </w:r>
      <w:r w:rsidR="00BC36B4" w:rsidRPr="00360A40">
        <w:rPr>
          <w:lang w:val="hu-HU"/>
        </w:rPr>
        <w:t> </w:t>
      </w:r>
      <w:r w:rsidRPr="00360A40">
        <w:rPr>
          <w:lang w:val="hu-HU"/>
        </w:rPr>
        <w:t>beteg közül 642-nél enyhe, 67-nél közepesen súlyos és 2-nél súlyos májkárosodás állt fenn. Egészséges önkéntesekkel összehasonlítva, az enyhe májkárosodásban szenvedő betegek plazma-eltrombopag-AUC</w:t>
      </w:r>
      <w:r w:rsidR="00577A0B" w:rsidRPr="00577A0B">
        <w:rPr>
          <w:vertAlign w:val="subscript"/>
          <w:lang w:val="hu-HU"/>
        </w:rPr>
        <w:t>(0-τ)</w:t>
      </w:r>
      <w:r w:rsidRPr="00360A40">
        <w:rPr>
          <w:lang w:val="hu-HU"/>
        </w:rPr>
        <w:t>-értékei hozzávetőleg 111%-kal (95%-os CI:</w:t>
      </w:r>
      <w:r w:rsidR="00C62B2A" w:rsidRPr="00360A40">
        <w:rPr>
          <w:lang w:val="hu-HU"/>
        </w:rPr>
        <w:t xml:space="preserve"> </w:t>
      </w:r>
      <w:r w:rsidRPr="00360A40">
        <w:rPr>
          <w:lang w:val="hu-HU"/>
        </w:rPr>
        <w:t>45%-283%), a középsúlyos májkárosodásban szenvedő betegek plazma-eltrombopag-AUC</w:t>
      </w:r>
      <w:r w:rsidR="00577A0B" w:rsidRPr="00577A0B">
        <w:rPr>
          <w:vertAlign w:val="subscript"/>
          <w:lang w:val="hu-HU"/>
        </w:rPr>
        <w:t>(0-τ)</w:t>
      </w:r>
      <w:r w:rsidRPr="00360A40">
        <w:rPr>
          <w:vertAlign w:val="subscript"/>
          <w:lang w:val="hu-HU"/>
        </w:rPr>
        <w:t>-</w:t>
      </w:r>
      <w:r w:rsidRPr="00360A40">
        <w:rPr>
          <w:lang w:val="hu-HU"/>
        </w:rPr>
        <w:t>értékei hozzávetőleg 183%-kal (95%-os CI: 90%-459%) magasabbak voltak.</w:t>
      </w:r>
    </w:p>
    <w:p w14:paraId="77135B81" w14:textId="77777777" w:rsidR="002D66F3" w:rsidRPr="00360A40" w:rsidRDefault="002D66F3" w:rsidP="00360A40">
      <w:pPr>
        <w:pStyle w:val="Szvegtrzs"/>
        <w:kinsoku w:val="0"/>
        <w:overflowPunct w:val="0"/>
        <w:ind w:left="0"/>
        <w:rPr>
          <w:lang w:val="hu-HU"/>
        </w:rPr>
      </w:pPr>
    </w:p>
    <w:p w14:paraId="3CAA4ABE" w14:textId="55043A8D" w:rsidR="002D66F3" w:rsidRPr="00360A40" w:rsidRDefault="002D66F3" w:rsidP="00360A40">
      <w:pPr>
        <w:pStyle w:val="Szvegtrzs"/>
        <w:kinsoku w:val="0"/>
        <w:overflowPunct w:val="0"/>
        <w:ind w:left="0"/>
        <w:rPr>
          <w:lang w:val="hu-HU"/>
        </w:rPr>
      </w:pPr>
      <w:r w:rsidRPr="00360A40">
        <w:rPr>
          <w:lang w:val="hu-HU"/>
        </w:rPr>
        <w:t>Ezért az eltrombopag nem adható májkárosodásban szenvedő ITP-s betegeknek (Child–Pugh pontszám ≥</w:t>
      </w:r>
      <w:r w:rsidR="00BC36B4" w:rsidRPr="00360A40">
        <w:rPr>
          <w:lang w:val="hu-HU"/>
        </w:rPr>
        <w:t> </w:t>
      </w:r>
      <w:r w:rsidRPr="00360A40">
        <w:rPr>
          <w:lang w:val="hu-HU"/>
        </w:rPr>
        <w:t>5), kivéve, ha a várható előny nagyobb, mint a vena portae thrombosis kimutatott kockázata (lásd 4.2</w:t>
      </w:r>
      <w:r w:rsidR="00BC36B4" w:rsidRPr="00360A40">
        <w:rPr>
          <w:lang w:val="hu-HU"/>
        </w:rPr>
        <w:t xml:space="preserve"> </w:t>
      </w:r>
      <w:r w:rsidRPr="00360A40">
        <w:rPr>
          <w:lang w:val="hu-HU"/>
        </w:rPr>
        <w:t>és 4.4</w:t>
      </w:r>
      <w:r w:rsidR="00BC36B4" w:rsidRPr="00360A40">
        <w:rPr>
          <w:lang w:val="hu-HU"/>
        </w:rPr>
        <w:t> </w:t>
      </w:r>
      <w:r w:rsidRPr="00360A40">
        <w:rPr>
          <w:lang w:val="hu-HU"/>
        </w:rPr>
        <w:t>pont). A HCV-s betegeknél az eltrombopag-kezelést naponta egyszer 25</w:t>
      </w:r>
      <w:r w:rsidR="00BC36B4" w:rsidRPr="00360A40">
        <w:rPr>
          <w:lang w:val="hu-HU"/>
        </w:rPr>
        <w:t> </w:t>
      </w:r>
      <w:r w:rsidRPr="00360A40">
        <w:rPr>
          <w:lang w:val="hu-HU"/>
        </w:rPr>
        <w:t>mg adaggal kell kezdeni (lásd 4.2</w:t>
      </w:r>
      <w:r w:rsidR="00BC36B4" w:rsidRPr="00360A40">
        <w:rPr>
          <w:lang w:val="hu-HU"/>
        </w:rPr>
        <w:t> </w:t>
      </w:r>
      <w:r w:rsidRPr="00360A40">
        <w:rPr>
          <w:lang w:val="hu-HU"/>
        </w:rPr>
        <w:t>pont).</w:t>
      </w:r>
    </w:p>
    <w:p w14:paraId="6C021DA2" w14:textId="77777777" w:rsidR="002D66F3" w:rsidRPr="00360A40" w:rsidRDefault="002D66F3" w:rsidP="00360A40">
      <w:pPr>
        <w:pStyle w:val="Szvegtrzs"/>
        <w:kinsoku w:val="0"/>
        <w:overflowPunct w:val="0"/>
        <w:ind w:left="0"/>
        <w:rPr>
          <w:lang w:val="hu-HU"/>
        </w:rPr>
      </w:pPr>
    </w:p>
    <w:p w14:paraId="2837BC0D" w14:textId="77777777" w:rsidR="002D66F3" w:rsidRPr="00360A40" w:rsidRDefault="002D66F3" w:rsidP="00360A40">
      <w:pPr>
        <w:pStyle w:val="Szvegtrzs"/>
        <w:keepNext/>
        <w:widowControl/>
        <w:kinsoku w:val="0"/>
        <w:overflowPunct w:val="0"/>
        <w:ind w:left="0"/>
        <w:rPr>
          <w:lang w:val="hu-HU"/>
        </w:rPr>
      </w:pPr>
      <w:r w:rsidRPr="00360A40">
        <w:rPr>
          <w:i/>
          <w:iCs/>
          <w:u w:val="single"/>
          <w:lang w:val="hu-HU"/>
        </w:rPr>
        <w:t>Rassz</w:t>
      </w:r>
    </w:p>
    <w:p w14:paraId="7D35FD49" w14:textId="77777777" w:rsidR="002D66F3" w:rsidRPr="00360A40" w:rsidRDefault="002D66F3" w:rsidP="00360A40">
      <w:pPr>
        <w:pStyle w:val="Szvegtrzs"/>
        <w:keepNext/>
        <w:widowControl/>
        <w:kinsoku w:val="0"/>
        <w:overflowPunct w:val="0"/>
        <w:ind w:left="0"/>
        <w:rPr>
          <w:i/>
          <w:iCs/>
          <w:lang w:val="hu-HU"/>
        </w:rPr>
      </w:pPr>
    </w:p>
    <w:p w14:paraId="1B42CD10" w14:textId="13B4867D" w:rsidR="002D66F3" w:rsidRPr="00360A40" w:rsidRDefault="002D66F3" w:rsidP="00360A40">
      <w:pPr>
        <w:pStyle w:val="Szvegtrzs"/>
        <w:keepNext/>
        <w:widowControl/>
        <w:kinsoku w:val="0"/>
        <w:overflowPunct w:val="0"/>
        <w:ind w:left="0"/>
        <w:rPr>
          <w:lang w:val="hu-HU"/>
        </w:rPr>
      </w:pPr>
      <w:r w:rsidRPr="00360A40">
        <w:rPr>
          <w:lang w:val="hu-HU"/>
        </w:rPr>
        <w:t xml:space="preserve">A kelet-ázsiai etnikumhoz tartozás hatását az eltrombopag farmakokinetikájára </w:t>
      </w:r>
      <w:r w:rsidR="00E31418" w:rsidRPr="00360A40">
        <w:rPr>
          <w:lang w:val="hu-HU"/>
        </w:rPr>
        <w:t>111 </w:t>
      </w:r>
      <w:r w:rsidRPr="00360A40">
        <w:rPr>
          <w:lang w:val="hu-HU"/>
        </w:rPr>
        <w:t xml:space="preserve">egészséges </w:t>
      </w:r>
      <w:r w:rsidR="004A32AB">
        <w:rPr>
          <w:lang w:val="hu-HU"/>
        </w:rPr>
        <w:t>önkéntesnél</w:t>
      </w:r>
      <w:r w:rsidRPr="00360A40">
        <w:rPr>
          <w:lang w:val="hu-HU"/>
        </w:rPr>
        <w:t xml:space="preserve"> (</w:t>
      </w:r>
      <w:r w:rsidR="00E31418" w:rsidRPr="00360A40">
        <w:rPr>
          <w:lang w:val="hu-HU"/>
        </w:rPr>
        <w:t>31 </w:t>
      </w:r>
      <w:r w:rsidRPr="00360A40">
        <w:rPr>
          <w:lang w:val="hu-HU"/>
        </w:rPr>
        <w:t xml:space="preserve">kelet-ázsiai) és </w:t>
      </w:r>
      <w:r w:rsidR="00E31418" w:rsidRPr="00360A40">
        <w:rPr>
          <w:lang w:val="hu-HU"/>
        </w:rPr>
        <w:t>88 </w:t>
      </w:r>
      <w:r w:rsidRPr="00360A40">
        <w:rPr>
          <w:lang w:val="hu-HU"/>
        </w:rPr>
        <w:t xml:space="preserve">ITP-s </w:t>
      </w:r>
      <w:r w:rsidR="004A32AB">
        <w:rPr>
          <w:lang w:val="hu-HU"/>
        </w:rPr>
        <w:t>betegnél</w:t>
      </w:r>
      <w:r w:rsidRPr="00360A40">
        <w:rPr>
          <w:lang w:val="hu-HU"/>
        </w:rPr>
        <w:t xml:space="preserve"> (18 kelet-ázsiai) populációs farmakokinetikai elemzés segítségével értékelték. A populációs farmakokinetikai elemzés becslései alapján a kelet- ázsiai ITP-s betegek plazma-eltrombopag-AUC</w:t>
      </w:r>
      <w:r w:rsidR="00577A0B" w:rsidRPr="00577A0B">
        <w:rPr>
          <w:vertAlign w:val="subscript"/>
          <w:lang w:val="hu-HU"/>
        </w:rPr>
        <w:t>(0-τ)</w:t>
      </w:r>
      <w:r w:rsidRPr="00360A40">
        <w:rPr>
          <w:vertAlign w:val="subscript"/>
          <w:lang w:val="hu-HU"/>
        </w:rPr>
        <w:t>-</w:t>
      </w:r>
      <w:r w:rsidRPr="00360A40">
        <w:rPr>
          <w:lang w:val="hu-HU"/>
        </w:rPr>
        <w:t>értékei közel 49%-kal magasabbak voltak, összehasonlítva a nem kelet-ázsiai betegekkel, akik főként fehér bőrűek voltak (lásd 4.2</w:t>
      </w:r>
      <w:r w:rsidR="00BC36B4" w:rsidRPr="00360A40">
        <w:rPr>
          <w:lang w:val="hu-HU"/>
        </w:rPr>
        <w:t> </w:t>
      </w:r>
      <w:r w:rsidRPr="00360A40">
        <w:rPr>
          <w:lang w:val="hu-HU"/>
        </w:rPr>
        <w:t>pont).</w:t>
      </w:r>
    </w:p>
    <w:p w14:paraId="6CC195E2" w14:textId="77777777" w:rsidR="002D66F3" w:rsidRPr="00360A40" w:rsidRDefault="002D66F3" w:rsidP="00360A40">
      <w:pPr>
        <w:pStyle w:val="Szvegtrzs"/>
        <w:kinsoku w:val="0"/>
        <w:overflowPunct w:val="0"/>
        <w:ind w:left="0"/>
        <w:rPr>
          <w:lang w:val="hu-HU"/>
        </w:rPr>
      </w:pPr>
    </w:p>
    <w:p w14:paraId="599FEC59" w14:textId="5D4217FA" w:rsidR="002D66F3" w:rsidRPr="00360A40" w:rsidRDefault="002D66F3" w:rsidP="00360A40">
      <w:pPr>
        <w:pStyle w:val="Szvegtrzs"/>
        <w:kinsoku w:val="0"/>
        <w:overflowPunct w:val="0"/>
        <w:ind w:left="0"/>
        <w:rPr>
          <w:lang w:val="hu-HU"/>
        </w:rPr>
      </w:pPr>
      <w:r w:rsidRPr="00360A40">
        <w:rPr>
          <w:lang w:val="hu-HU"/>
        </w:rPr>
        <w:t xml:space="preserve">A kelet-/délkelet-ázsiai etnikumhoz tartozás hatását az eltrombopag farmakokinetikájára 635 HCV-s </w:t>
      </w:r>
      <w:r w:rsidR="004A32AB">
        <w:rPr>
          <w:lang w:val="hu-HU"/>
        </w:rPr>
        <w:t>betegnél</w:t>
      </w:r>
      <w:r w:rsidRPr="00360A40">
        <w:rPr>
          <w:lang w:val="hu-HU"/>
        </w:rPr>
        <w:t xml:space="preserve"> (145 kelet-ázsiai és 69 délkelet-ázsiai) populációs farmakokinetikai elemzés segítségével értékelték. A populációs farmakokinetikai elemzés becslései alapján a kelet-/délkelet-ázsiai betegek plazma-eltrombopag-AUC</w:t>
      </w:r>
      <w:r w:rsidR="00577A0B" w:rsidRPr="00577A0B">
        <w:rPr>
          <w:vertAlign w:val="subscript"/>
          <w:lang w:val="hu-HU"/>
        </w:rPr>
        <w:t>(0-τ)</w:t>
      </w:r>
      <w:r w:rsidRPr="00360A40">
        <w:rPr>
          <w:vertAlign w:val="subscript"/>
          <w:lang w:val="hu-HU"/>
        </w:rPr>
        <w:t>-</w:t>
      </w:r>
      <w:r w:rsidRPr="00360A40">
        <w:rPr>
          <w:lang w:val="hu-HU"/>
        </w:rPr>
        <w:t>értékei közel 55%-kal magasabbak voltak, összehasonlítva az egyéb rasszba tartozó betegekkel, akik főként fehér bőrűek voltak (lásd 4.2</w:t>
      </w:r>
      <w:r w:rsidR="00BC36B4" w:rsidRPr="00360A40">
        <w:rPr>
          <w:lang w:val="hu-HU"/>
        </w:rPr>
        <w:t> </w:t>
      </w:r>
      <w:r w:rsidRPr="00360A40">
        <w:rPr>
          <w:lang w:val="hu-HU"/>
        </w:rPr>
        <w:t>pont).</w:t>
      </w:r>
    </w:p>
    <w:p w14:paraId="673AE5E0" w14:textId="77777777" w:rsidR="002D66F3" w:rsidRPr="00360A40" w:rsidRDefault="002D66F3" w:rsidP="00360A40">
      <w:pPr>
        <w:pStyle w:val="Szvegtrzs"/>
        <w:kinsoku w:val="0"/>
        <w:overflowPunct w:val="0"/>
        <w:ind w:left="0"/>
        <w:rPr>
          <w:lang w:val="hu-HU"/>
        </w:rPr>
      </w:pPr>
    </w:p>
    <w:p w14:paraId="5991B085" w14:textId="77777777" w:rsidR="002D66F3" w:rsidRPr="00360A40" w:rsidRDefault="002D66F3" w:rsidP="00360A40">
      <w:pPr>
        <w:pStyle w:val="Szvegtrzs"/>
        <w:kinsoku w:val="0"/>
        <w:overflowPunct w:val="0"/>
        <w:ind w:left="0"/>
        <w:rPr>
          <w:lang w:val="hu-HU"/>
        </w:rPr>
      </w:pPr>
      <w:r w:rsidRPr="00360A40">
        <w:rPr>
          <w:i/>
          <w:iCs/>
          <w:u w:val="single"/>
          <w:lang w:val="hu-HU"/>
        </w:rPr>
        <w:t>Nem</w:t>
      </w:r>
    </w:p>
    <w:p w14:paraId="452DB89B" w14:textId="77777777" w:rsidR="002D66F3" w:rsidRPr="00360A40" w:rsidRDefault="002D66F3" w:rsidP="00360A40">
      <w:pPr>
        <w:pStyle w:val="Szvegtrzs"/>
        <w:kinsoku w:val="0"/>
        <w:overflowPunct w:val="0"/>
        <w:ind w:left="0"/>
        <w:rPr>
          <w:i/>
          <w:iCs/>
          <w:lang w:val="hu-HU"/>
        </w:rPr>
      </w:pPr>
    </w:p>
    <w:p w14:paraId="060FE76E" w14:textId="79E89AA7" w:rsidR="002D66F3" w:rsidRPr="00360A40" w:rsidRDefault="002D66F3" w:rsidP="00360A40">
      <w:pPr>
        <w:pStyle w:val="Szvegtrzs"/>
        <w:kinsoku w:val="0"/>
        <w:overflowPunct w:val="0"/>
        <w:ind w:left="0"/>
        <w:rPr>
          <w:lang w:val="hu-HU"/>
        </w:rPr>
      </w:pPr>
      <w:r w:rsidRPr="00360A40">
        <w:rPr>
          <w:lang w:val="hu-HU"/>
        </w:rPr>
        <w:t xml:space="preserve">A nem hatását az eltrombopag farmakokinetikájára </w:t>
      </w:r>
      <w:r w:rsidR="00E31418" w:rsidRPr="00360A40">
        <w:rPr>
          <w:lang w:val="hu-HU"/>
        </w:rPr>
        <w:t>111 </w:t>
      </w:r>
      <w:r w:rsidRPr="00360A40">
        <w:rPr>
          <w:lang w:val="hu-HU"/>
        </w:rPr>
        <w:t xml:space="preserve">egészséges </w:t>
      </w:r>
      <w:r w:rsidR="004A32AB">
        <w:rPr>
          <w:lang w:val="hu-HU"/>
        </w:rPr>
        <w:t>önkéntesnél</w:t>
      </w:r>
      <w:r w:rsidRPr="00360A40">
        <w:rPr>
          <w:lang w:val="hu-HU"/>
        </w:rPr>
        <w:t xml:space="preserve"> (14 nő) és 88 ITP-s </w:t>
      </w:r>
      <w:r w:rsidR="004A32AB">
        <w:rPr>
          <w:lang w:val="hu-HU"/>
        </w:rPr>
        <w:t>betegnél</w:t>
      </w:r>
      <w:r w:rsidRPr="00360A40">
        <w:rPr>
          <w:lang w:val="hu-HU"/>
        </w:rPr>
        <w:t xml:space="preserve"> (</w:t>
      </w:r>
      <w:r w:rsidR="00E31418" w:rsidRPr="00360A40">
        <w:rPr>
          <w:lang w:val="hu-HU"/>
        </w:rPr>
        <w:t>57 </w:t>
      </w:r>
      <w:r w:rsidRPr="00360A40">
        <w:rPr>
          <w:lang w:val="hu-HU"/>
        </w:rPr>
        <w:t>nő) populációs farmakokinetikai elemzés segítségével értékelték. A populációs farmakokinetikai elemzés becslései alapján az ITP-s nőbetegek plazma-eltrombopag-AUC</w:t>
      </w:r>
      <w:r w:rsidR="00577A0B" w:rsidRPr="00577A0B">
        <w:rPr>
          <w:vertAlign w:val="subscript"/>
          <w:lang w:val="hu-HU"/>
        </w:rPr>
        <w:t>(0-τ)</w:t>
      </w:r>
      <w:r w:rsidRPr="00360A40">
        <w:rPr>
          <w:lang w:val="hu-HU"/>
        </w:rPr>
        <w:t>-értékei közel 23%-kal magasabbak voltak, összehasonlítva a férfi betegekkel, ha a test</w:t>
      </w:r>
      <w:r w:rsidR="004A32AB">
        <w:rPr>
          <w:lang w:val="hu-HU"/>
        </w:rPr>
        <w:t>tömeg</w:t>
      </w:r>
      <w:r w:rsidRPr="00360A40">
        <w:rPr>
          <w:lang w:val="hu-HU"/>
        </w:rPr>
        <w:t xml:space="preserve">különbségeket </w:t>
      </w:r>
      <w:r w:rsidRPr="00360A40">
        <w:rPr>
          <w:lang w:val="hu-HU"/>
        </w:rPr>
        <w:lastRenderedPageBreak/>
        <w:t>nem vesszük figyelembe.</w:t>
      </w:r>
    </w:p>
    <w:p w14:paraId="2B2E27A0" w14:textId="77777777" w:rsidR="002D66F3" w:rsidRPr="00360A40" w:rsidRDefault="002D66F3" w:rsidP="00360A40">
      <w:pPr>
        <w:pStyle w:val="Szvegtrzs"/>
        <w:kinsoku w:val="0"/>
        <w:overflowPunct w:val="0"/>
        <w:ind w:left="0"/>
        <w:rPr>
          <w:lang w:val="hu-HU"/>
        </w:rPr>
      </w:pPr>
    </w:p>
    <w:p w14:paraId="24B2F59A" w14:textId="74CACE08" w:rsidR="002D66F3" w:rsidRPr="00360A40" w:rsidRDefault="002D66F3" w:rsidP="00360A40">
      <w:pPr>
        <w:pStyle w:val="Szvegtrzs"/>
        <w:kinsoku w:val="0"/>
        <w:overflowPunct w:val="0"/>
        <w:ind w:left="0"/>
        <w:rPr>
          <w:lang w:val="hu-HU"/>
        </w:rPr>
      </w:pPr>
      <w:r w:rsidRPr="00360A40">
        <w:rPr>
          <w:lang w:val="hu-HU"/>
        </w:rPr>
        <w:t xml:space="preserve">A nem hatását az eltrombopag farmakokinetikájára 635 HCV-s </w:t>
      </w:r>
      <w:r w:rsidR="004A32AB">
        <w:rPr>
          <w:lang w:val="hu-HU"/>
        </w:rPr>
        <w:t>betegnél</w:t>
      </w:r>
      <w:r w:rsidRPr="00360A40">
        <w:rPr>
          <w:lang w:val="hu-HU"/>
        </w:rPr>
        <w:t xml:space="preserve"> (</w:t>
      </w:r>
      <w:r w:rsidR="00E31418" w:rsidRPr="00360A40">
        <w:rPr>
          <w:lang w:val="hu-HU"/>
        </w:rPr>
        <w:t>260 </w:t>
      </w:r>
      <w:r w:rsidRPr="00360A40">
        <w:rPr>
          <w:lang w:val="hu-HU"/>
        </w:rPr>
        <w:t>nő) populációs farmakokinetikai elemzés segítségével értékelték. A modell becslések alapján a HCV-s nőbetegek plazma-eltrombopag-AUC</w:t>
      </w:r>
      <w:r w:rsidR="00577A0B" w:rsidRPr="00577A0B">
        <w:rPr>
          <w:vertAlign w:val="subscript"/>
          <w:lang w:val="hu-HU"/>
        </w:rPr>
        <w:t>(0-τ)</w:t>
      </w:r>
      <w:r w:rsidRPr="00360A40">
        <w:rPr>
          <w:lang w:val="hu-HU"/>
        </w:rPr>
        <w:t>-értékei közel 41%-kal magasabbak voltak, mint a férfi betegeknél.</w:t>
      </w:r>
    </w:p>
    <w:p w14:paraId="0084CB92" w14:textId="77777777" w:rsidR="002D66F3" w:rsidRPr="00360A40" w:rsidRDefault="002D66F3" w:rsidP="00360A40">
      <w:pPr>
        <w:pStyle w:val="Szvegtrzs"/>
        <w:kinsoku w:val="0"/>
        <w:overflowPunct w:val="0"/>
        <w:ind w:left="0"/>
        <w:rPr>
          <w:lang w:val="hu-HU"/>
        </w:rPr>
      </w:pPr>
    </w:p>
    <w:p w14:paraId="0182637B" w14:textId="77777777" w:rsidR="002D66F3" w:rsidRPr="00360A40" w:rsidRDefault="002D66F3" w:rsidP="00360A40">
      <w:pPr>
        <w:pStyle w:val="Szvegtrzs"/>
        <w:kinsoku w:val="0"/>
        <w:overflowPunct w:val="0"/>
        <w:ind w:left="0"/>
        <w:rPr>
          <w:lang w:val="hu-HU"/>
        </w:rPr>
      </w:pPr>
      <w:r w:rsidRPr="00360A40">
        <w:rPr>
          <w:i/>
          <w:iCs/>
          <w:u w:val="single"/>
          <w:lang w:val="hu-HU"/>
        </w:rPr>
        <w:t>Életkor</w:t>
      </w:r>
    </w:p>
    <w:p w14:paraId="022F0515" w14:textId="77777777" w:rsidR="002D66F3" w:rsidRPr="00360A40" w:rsidRDefault="002D66F3" w:rsidP="00360A40">
      <w:pPr>
        <w:pStyle w:val="Szvegtrzs"/>
        <w:kinsoku w:val="0"/>
        <w:overflowPunct w:val="0"/>
        <w:ind w:left="0"/>
        <w:rPr>
          <w:i/>
          <w:iCs/>
          <w:lang w:val="hu-HU"/>
        </w:rPr>
      </w:pPr>
    </w:p>
    <w:p w14:paraId="60E2B9B9" w14:textId="234EF93A" w:rsidR="002D66F3" w:rsidRPr="00360A40" w:rsidRDefault="002D66F3" w:rsidP="00360A40">
      <w:pPr>
        <w:pStyle w:val="Szvegtrzs"/>
        <w:kinsoku w:val="0"/>
        <w:overflowPunct w:val="0"/>
        <w:ind w:left="0"/>
        <w:rPr>
          <w:lang w:val="hu-HU"/>
        </w:rPr>
      </w:pPr>
      <w:r w:rsidRPr="00360A40">
        <w:rPr>
          <w:lang w:val="hu-HU"/>
        </w:rPr>
        <w:t>Az életkornak az eltrombopag farmakokinetikájára gyakorolt hatását populációs farmakokinetikai elemzés segítségével értékelték 19–74</w:t>
      </w:r>
      <w:r w:rsidR="00BC36B4" w:rsidRPr="00360A40">
        <w:rPr>
          <w:lang w:val="hu-HU"/>
        </w:rPr>
        <w:t> </w:t>
      </w:r>
      <w:r w:rsidRPr="00360A40">
        <w:rPr>
          <w:lang w:val="hu-HU"/>
        </w:rPr>
        <w:t>éves korú, 28</w:t>
      </w:r>
      <w:r w:rsidR="00E31418" w:rsidRPr="00360A40">
        <w:rPr>
          <w:lang w:val="hu-HU"/>
        </w:rPr>
        <w:t> </w:t>
      </w:r>
      <w:r w:rsidRPr="00360A40">
        <w:rPr>
          <w:lang w:val="hu-HU"/>
        </w:rPr>
        <w:t>egészséges önkéntesnél, 673 HCV-s betegnél és 41 egyéb etiológiájú krónikus májbetegségben szenvedő betegnél. Nem állnak rendelkezésre az eltrombopag alkalmazására vonatkozó farmakokinetikai adatok a ≥</w:t>
      </w:r>
      <w:r w:rsidR="00BC36B4" w:rsidRPr="00360A40">
        <w:rPr>
          <w:lang w:val="hu-HU"/>
        </w:rPr>
        <w:t> </w:t>
      </w:r>
      <w:r w:rsidRPr="00360A40">
        <w:rPr>
          <w:lang w:val="hu-HU"/>
        </w:rPr>
        <w:t>75 korúak esetében. A modell becslések alapján az idősebb betegek (≥</w:t>
      </w:r>
      <w:r w:rsidR="00BC36B4" w:rsidRPr="00360A40">
        <w:rPr>
          <w:lang w:val="hu-HU"/>
        </w:rPr>
        <w:t> </w:t>
      </w:r>
      <w:r w:rsidRPr="00360A40">
        <w:rPr>
          <w:lang w:val="hu-HU"/>
        </w:rPr>
        <w:t>65 éves) plazma-eltrombopag-AUC</w:t>
      </w:r>
      <w:r w:rsidR="00577A0B" w:rsidRPr="00577A0B">
        <w:rPr>
          <w:vertAlign w:val="subscript"/>
          <w:lang w:val="hu-HU"/>
        </w:rPr>
        <w:t>(0-τ)</w:t>
      </w:r>
      <w:r w:rsidRPr="00360A40">
        <w:rPr>
          <w:lang w:val="hu-HU"/>
        </w:rPr>
        <w:t>-értékei közel 41%-kal magasabbak voltak, mint a fiatalabb betegeknél (lásd 4.2</w:t>
      </w:r>
      <w:r w:rsidR="00E31418" w:rsidRPr="00360A40">
        <w:rPr>
          <w:lang w:val="hu-HU"/>
        </w:rPr>
        <w:t> </w:t>
      </w:r>
      <w:r w:rsidRPr="00360A40">
        <w:rPr>
          <w:lang w:val="hu-HU"/>
        </w:rPr>
        <w:t>pont).</w:t>
      </w:r>
    </w:p>
    <w:p w14:paraId="3A30A960" w14:textId="77777777" w:rsidR="00EA221C" w:rsidRPr="00360A40" w:rsidRDefault="00EA221C" w:rsidP="00360A40">
      <w:pPr>
        <w:pStyle w:val="Szvegtrzs"/>
        <w:kinsoku w:val="0"/>
        <w:overflowPunct w:val="0"/>
        <w:ind w:left="0"/>
        <w:rPr>
          <w:lang w:val="hu-HU"/>
        </w:rPr>
      </w:pPr>
    </w:p>
    <w:p w14:paraId="7D6E2CF3" w14:textId="05F03610" w:rsidR="002D66F3" w:rsidRPr="00360A40" w:rsidRDefault="002D66F3" w:rsidP="00360A40">
      <w:pPr>
        <w:pStyle w:val="Szvegtrzs"/>
        <w:kinsoku w:val="0"/>
        <w:overflowPunct w:val="0"/>
        <w:ind w:left="0"/>
        <w:rPr>
          <w:lang w:val="hu-HU"/>
        </w:rPr>
      </w:pPr>
      <w:r w:rsidRPr="00360A40">
        <w:rPr>
          <w:i/>
          <w:iCs/>
          <w:u w:val="single"/>
          <w:lang w:val="hu-HU"/>
        </w:rPr>
        <w:t>Gyermekek és serdülők (1</w:t>
      </w:r>
      <w:r w:rsidR="000E6AA3">
        <w:rPr>
          <w:i/>
          <w:iCs/>
          <w:u w:val="single"/>
          <w:lang w:val="hu-HU"/>
        </w:rPr>
        <w:t> és betöltött 18. életév között</w:t>
      </w:r>
      <w:r w:rsidRPr="00360A40">
        <w:rPr>
          <w:i/>
          <w:iCs/>
          <w:u w:val="single"/>
          <w:lang w:val="hu-HU"/>
        </w:rPr>
        <w:t>)</w:t>
      </w:r>
    </w:p>
    <w:p w14:paraId="06BF6D60" w14:textId="77777777" w:rsidR="002D66F3" w:rsidRPr="00360A40" w:rsidRDefault="002D66F3" w:rsidP="00360A40">
      <w:pPr>
        <w:pStyle w:val="Szvegtrzs"/>
        <w:kinsoku w:val="0"/>
        <w:overflowPunct w:val="0"/>
        <w:ind w:left="0"/>
        <w:rPr>
          <w:i/>
          <w:iCs/>
          <w:lang w:val="hu-HU"/>
        </w:rPr>
      </w:pPr>
    </w:p>
    <w:p w14:paraId="78D3C287" w14:textId="19541ACC" w:rsidR="002D66F3" w:rsidRPr="00360A40" w:rsidRDefault="002D66F3" w:rsidP="00360A40">
      <w:pPr>
        <w:pStyle w:val="Szvegtrzs"/>
        <w:kinsoku w:val="0"/>
        <w:overflowPunct w:val="0"/>
        <w:ind w:left="0"/>
        <w:rPr>
          <w:lang w:val="hu-HU"/>
        </w:rPr>
      </w:pPr>
      <w:r w:rsidRPr="00360A40">
        <w:rPr>
          <w:lang w:val="hu-HU"/>
        </w:rPr>
        <w:t>A naponta egyszer adott eltrombopag farmakokinetikai tulajdonságait 168</w:t>
      </w:r>
      <w:r w:rsidR="00E31418" w:rsidRPr="00360A40">
        <w:rPr>
          <w:lang w:val="hu-HU"/>
        </w:rPr>
        <w:t> </w:t>
      </w:r>
      <w:r w:rsidRPr="00360A40">
        <w:rPr>
          <w:lang w:val="hu-HU"/>
        </w:rPr>
        <w:t>ITP-s gyermeknél és serdülőnél értékelték két vizsgálatban, a TRA108062/PETIT-ben és a TRA115450/PETIT-2-ben. Szájon át történő alkalmazást követően az eltrombopag látszólagos plazma-clearance-e (CL/F) a testtömeg növekedésével együtt növekedett. A rassznak és a nemnek az eltrombopag látszólagos plazma-clearance számításokra gyakorolt hatása a gyermek</w:t>
      </w:r>
      <w:r w:rsidR="002827B0">
        <w:rPr>
          <w:lang w:val="hu-HU"/>
        </w:rPr>
        <w:t>- és serdülőkorú</w:t>
      </w:r>
      <w:r w:rsidRPr="00360A40">
        <w:rPr>
          <w:lang w:val="hu-HU"/>
        </w:rPr>
        <w:t>, valamint a felnőtt betegeknél konzisztens volt. Az ITP-s kelet-/délkelet-ázsiai gyermekeknél és serdülőknél megközelítőleg 43%-kal magasabbak voltak a plazma-eltrombopag-AUC</w:t>
      </w:r>
      <w:r w:rsidR="00577A0B" w:rsidRPr="00577A0B">
        <w:rPr>
          <w:vertAlign w:val="subscript"/>
          <w:lang w:val="hu-HU"/>
        </w:rPr>
        <w:t>(0-τ)</w:t>
      </w:r>
      <w:r w:rsidRPr="00360A40">
        <w:rPr>
          <w:lang w:val="hu-HU"/>
        </w:rPr>
        <w:t>-értékek, mint a nem ázsiai betegeknél. Az ITP-s lány gyermekeknél és serdülőknél megközelítőleg 25%-kal magasabbak voltak a plazma-eltrombopag-AUC</w:t>
      </w:r>
      <w:r w:rsidR="00577A0B" w:rsidRPr="00577A0B">
        <w:rPr>
          <w:vertAlign w:val="subscript"/>
          <w:lang w:val="hu-HU"/>
        </w:rPr>
        <w:t>(0-τ)</w:t>
      </w:r>
      <w:r w:rsidRPr="00360A40">
        <w:rPr>
          <w:lang w:val="hu-HU"/>
        </w:rPr>
        <w:t>-értékek, mint a fiú betegeknél.</w:t>
      </w:r>
    </w:p>
    <w:p w14:paraId="6EDAC042" w14:textId="77777777" w:rsidR="002D66F3" w:rsidRPr="00360A40" w:rsidRDefault="002D66F3" w:rsidP="00360A40">
      <w:pPr>
        <w:pStyle w:val="Szvegtrzs"/>
        <w:kinsoku w:val="0"/>
        <w:overflowPunct w:val="0"/>
        <w:ind w:left="0"/>
        <w:rPr>
          <w:lang w:val="hu-HU"/>
        </w:rPr>
      </w:pPr>
    </w:p>
    <w:p w14:paraId="590E90B2" w14:textId="77777777" w:rsidR="002D66F3" w:rsidRPr="00360A40" w:rsidRDefault="002D66F3" w:rsidP="00360A40">
      <w:pPr>
        <w:pStyle w:val="Szvegtrzs"/>
        <w:kinsoku w:val="0"/>
        <w:overflowPunct w:val="0"/>
        <w:ind w:left="0"/>
        <w:rPr>
          <w:lang w:val="hu-HU"/>
        </w:rPr>
      </w:pPr>
      <w:r w:rsidRPr="00360A40">
        <w:rPr>
          <w:lang w:val="hu-HU"/>
        </w:rPr>
        <w:t>Az eltrombopag ITP-s gyermekeknél és serdülőknél észlelt farmakokinetikai paramétereit a</w:t>
      </w:r>
    </w:p>
    <w:p w14:paraId="1ED1EC16" w14:textId="18C1E81A" w:rsidR="002D66F3" w:rsidRPr="00360A40" w:rsidRDefault="00FB7CC2" w:rsidP="00360A40">
      <w:pPr>
        <w:pStyle w:val="Szvegtrzs"/>
        <w:kinsoku w:val="0"/>
        <w:overflowPunct w:val="0"/>
        <w:ind w:left="0"/>
        <w:rPr>
          <w:lang w:val="hu-HU"/>
        </w:rPr>
      </w:pPr>
      <w:r w:rsidRPr="00360A40">
        <w:rPr>
          <w:lang w:val="hu-HU"/>
        </w:rPr>
        <w:t>1</w:t>
      </w:r>
      <w:r>
        <w:rPr>
          <w:lang w:val="hu-HU"/>
        </w:rPr>
        <w:t>0</w:t>
      </w:r>
      <w:r w:rsidR="002D66F3" w:rsidRPr="00360A40">
        <w:rPr>
          <w:lang w:val="hu-HU"/>
        </w:rPr>
        <w:t>.</w:t>
      </w:r>
      <w:r w:rsidR="00BC36B4" w:rsidRPr="00360A40">
        <w:rPr>
          <w:lang w:val="hu-HU"/>
        </w:rPr>
        <w:t> </w:t>
      </w:r>
      <w:r w:rsidR="002D66F3" w:rsidRPr="00360A40">
        <w:rPr>
          <w:lang w:val="hu-HU"/>
        </w:rPr>
        <w:t>táblázat mutatja.</w:t>
      </w:r>
    </w:p>
    <w:p w14:paraId="765ABF49" w14:textId="77777777" w:rsidR="002D66F3" w:rsidRPr="00360A40" w:rsidRDefault="002D66F3" w:rsidP="00360A40">
      <w:pPr>
        <w:pStyle w:val="Szvegtrzs"/>
        <w:kinsoku w:val="0"/>
        <w:overflowPunct w:val="0"/>
        <w:ind w:left="0"/>
        <w:rPr>
          <w:lang w:val="hu-HU"/>
        </w:rPr>
      </w:pPr>
    </w:p>
    <w:p w14:paraId="126955AC" w14:textId="180C46E0" w:rsidR="002D66F3" w:rsidRPr="00360A40" w:rsidRDefault="00FB7CC2" w:rsidP="00360A40">
      <w:pPr>
        <w:pStyle w:val="Cmsor1"/>
        <w:keepNext/>
        <w:widowControl/>
        <w:kinsoku w:val="0"/>
        <w:overflowPunct w:val="0"/>
        <w:ind w:left="1560" w:hanging="1560"/>
        <w:rPr>
          <w:b w:val="0"/>
          <w:bCs w:val="0"/>
          <w:lang w:val="hu-HU"/>
        </w:rPr>
      </w:pPr>
      <w:r w:rsidRPr="00360A40">
        <w:rPr>
          <w:lang w:val="hu-HU"/>
        </w:rPr>
        <w:t>1</w:t>
      </w:r>
      <w:r>
        <w:rPr>
          <w:lang w:val="hu-HU"/>
        </w:rPr>
        <w:t>0</w:t>
      </w:r>
      <w:r w:rsidR="002D66F3" w:rsidRPr="00360A40">
        <w:rPr>
          <w:lang w:val="hu-HU"/>
        </w:rPr>
        <w:t>.</w:t>
      </w:r>
      <w:r w:rsidR="00BC36B4" w:rsidRPr="00360A40">
        <w:rPr>
          <w:lang w:val="hu-HU"/>
        </w:rPr>
        <w:t> </w:t>
      </w:r>
      <w:r w:rsidR="002D66F3" w:rsidRPr="00360A40">
        <w:rPr>
          <w:lang w:val="hu-HU"/>
        </w:rPr>
        <w:t>táblázat</w:t>
      </w:r>
      <w:r w:rsidR="002D66F3" w:rsidRPr="00360A40">
        <w:rPr>
          <w:lang w:val="hu-HU"/>
        </w:rPr>
        <w:tab/>
        <w:t xml:space="preserve">A dinamikus egyensúlyi állapotú plazma-eltrombopag farmakokinetikai paramétereinek </w:t>
      </w:r>
      <w:r w:rsidR="004A32AB">
        <w:rPr>
          <w:lang w:val="hu-HU"/>
        </w:rPr>
        <w:t>mértani</w:t>
      </w:r>
      <w:r w:rsidR="002D66F3" w:rsidRPr="00360A40">
        <w:rPr>
          <w:lang w:val="hu-HU"/>
        </w:rPr>
        <w:t xml:space="preserve"> átlaga (95%-os CI) ITP-s gyermekeknél és serdülőknél (napi egyszeri 50</w:t>
      </w:r>
      <w:r w:rsidR="0001241B" w:rsidRPr="00360A40">
        <w:rPr>
          <w:lang w:val="hu-HU"/>
        </w:rPr>
        <w:t> </w:t>
      </w:r>
      <w:r w:rsidR="002D66F3" w:rsidRPr="00360A40">
        <w:rPr>
          <w:lang w:val="hu-HU"/>
        </w:rPr>
        <w:t>mg-os adagolási rend)</w:t>
      </w:r>
    </w:p>
    <w:p w14:paraId="6E086E97" w14:textId="77777777" w:rsidR="002D66F3" w:rsidRPr="00360A40" w:rsidRDefault="002D66F3" w:rsidP="00360A40">
      <w:pPr>
        <w:pStyle w:val="Szvegtrzs"/>
        <w:keepNext/>
        <w:widowControl/>
        <w:kinsoku w:val="0"/>
        <w:overflowPunct w:val="0"/>
        <w:ind w:left="0"/>
        <w:rPr>
          <w:b/>
          <w:bCs/>
          <w:lang w:val="hu-HU"/>
        </w:rPr>
      </w:pPr>
    </w:p>
    <w:tbl>
      <w:tblPr>
        <w:tblW w:w="0" w:type="auto"/>
        <w:tblInd w:w="-5" w:type="dxa"/>
        <w:tblLayout w:type="fixed"/>
        <w:tblCellMar>
          <w:left w:w="0" w:type="dxa"/>
          <w:right w:w="0" w:type="dxa"/>
        </w:tblCellMar>
        <w:tblLook w:val="0000" w:firstRow="0" w:lastRow="0" w:firstColumn="0" w:lastColumn="0" w:noHBand="0" w:noVBand="0"/>
      </w:tblPr>
      <w:tblGrid>
        <w:gridCol w:w="3367"/>
        <w:gridCol w:w="2760"/>
        <w:gridCol w:w="2760"/>
      </w:tblGrid>
      <w:tr w:rsidR="002D66F3" w:rsidRPr="00360A40" w14:paraId="3FC70BFA" w14:textId="77777777" w:rsidTr="00D25F36">
        <w:trPr>
          <w:cantSplit/>
        </w:trPr>
        <w:tc>
          <w:tcPr>
            <w:tcW w:w="3367" w:type="dxa"/>
            <w:tcBorders>
              <w:top w:val="single" w:sz="4" w:space="0" w:color="000000"/>
              <w:left w:val="single" w:sz="4" w:space="0" w:color="000000"/>
              <w:bottom w:val="single" w:sz="4" w:space="0" w:color="000000"/>
              <w:right w:val="single" w:sz="4" w:space="0" w:color="000000"/>
            </w:tcBorders>
          </w:tcPr>
          <w:p w14:paraId="54877F28" w14:textId="77777777" w:rsidR="002D66F3" w:rsidRPr="00360A40" w:rsidRDefault="002D66F3" w:rsidP="00360A40">
            <w:pPr>
              <w:pStyle w:val="TableParagraph"/>
              <w:keepNext/>
              <w:widowControl/>
              <w:kinsoku w:val="0"/>
              <w:overflowPunct w:val="0"/>
              <w:ind w:left="102"/>
              <w:rPr>
                <w:sz w:val="22"/>
                <w:szCs w:val="22"/>
                <w:lang w:val="hu-HU"/>
              </w:rPr>
            </w:pPr>
            <w:r w:rsidRPr="00360A40">
              <w:rPr>
                <w:b/>
                <w:bCs/>
                <w:sz w:val="22"/>
                <w:szCs w:val="22"/>
                <w:lang w:val="hu-HU"/>
              </w:rPr>
              <w:t>Életkor</w:t>
            </w:r>
          </w:p>
        </w:tc>
        <w:tc>
          <w:tcPr>
            <w:tcW w:w="2760" w:type="dxa"/>
            <w:tcBorders>
              <w:top w:val="single" w:sz="4" w:space="0" w:color="000000"/>
              <w:left w:val="single" w:sz="4" w:space="0" w:color="000000"/>
              <w:bottom w:val="single" w:sz="4" w:space="0" w:color="000000"/>
              <w:right w:val="single" w:sz="4" w:space="0" w:color="000000"/>
            </w:tcBorders>
          </w:tcPr>
          <w:p w14:paraId="6D25F560" w14:textId="491CA717" w:rsidR="002D66F3" w:rsidRPr="00360A40" w:rsidRDefault="002D66F3" w:rsidP="00360A40">
            <w:pPr>
              <w:pStyle w:val="TableParagraph"/>
              <w:keepNext/>
              <w:widowControl/>
              <w:kinsoku w:val="0"/>
              <w:overflowPunct w:val="0"/>
              <w:ind w:left="1030" w:firstLine="1"/>
              <w:rPr>
                <w:sz w:val="22"/>
                <w:szCs w:val="22"/>
                <w:lang w:val="hu-HU"/>
              </w:rPr>
            </w:pPr>
            <w:r w:rsidRPr="00360A40">
              <w:rPr>
                <w:b/>
                <w:bCs/>
                <w:sz w:val="22"/>
                <w:szCs w:val="22"/>
                <w:lang w:val="hu-HU"/>
              </w:rPr>
              <w:t>C</w:t>
            </w:r>
            <w:r w:rsidR="00577A0B" w:rsidRPr="00577A0B">
              <w:rPr>
                <w:b/>
                <w:bCs/>
                <w:sz w:val="22"/>
                <w:szCs w:val="22"/>
                <w:vertAlign w:val="subscript"/>
                <w:lang w:val="hu-HU"/>
              </w:rPr>
              <w:t>max</w:t>
            </w:r>
            <w:r w:rsidRPr="00360A40">
              <w:rPr>
                <w:b/>
                <w:bCs/>
                <w:sz w:val="22"/>
                <w:szCs w:val="22"/>
                <w:lang w:val="hu-HU"/>
              </w:rPr>
              <w:t xml:space="preserve"> (µg/ml)</w:t>
            </w:r>
          </w:p>
        </w:tc>
        <w:tc>
          <w:tcPr>
            <w:tcW w:w="2760" w:type="dxa"/>
            <w:tcBorders>
              <w:top w:val="single" w:sz="4" w:space="0" w:color="000000"/>
              <w:left w:val="single" w:sz="4" w:space="0" w:color="000000"/>
              <w:bottom w:val="single" w:sz="4" w:space="0" w:color="000000"/>
              <w:right w:val="single" w:sz="4" w:space="0" w:color="000000"/>
            </w:tcBorders>
          </w:tcPr>
          <w:p w14:paraId="64434787" w14:textId="6B430488" w:rsidR="002D66F3" w:rsidRPr="00360A40" w:rsidRDefault="002D66F3" w:rsidP="009F4BD6">
            <w:pPr>
              <w:pStyle w:val="TableParagraph"/>
              <w:keepNext/>
              <w:widowControl/>
              <w:kinsoku w:val="0"/>
              <w:overflowPunct w:val="0"/>
              <w:jc w:val="center"/>
              <w:rPr>
                <w:sz w:val="22"/>
                <w:szCs w:val="22"/>
                <w:lang w:val="hu-HU"/>
              </w:rPr>
            </w:pPr>
            <w:r w:rsidRPr="00360A40">
              <w:rPr>
                <w:b/>
                <w:bCs/>
                <w:sz w:val="22"/>
                <w:szCs w:val="22"/>
                <w:lang w:val="hu-HU"/>
              </w:rPr>
              <w:t>AUC</w:t>
            </w:r>
            <w:r w:rsidR="00577A0B" w:rsidRPr="00577A0B">
              <w:rPr>
                <w:b/>
                <w:bCs/>
                <w:sz w:val="22"/>
                <w:szCs w:val="22"/>
                <w:vertAlign w:val="subscript"/>
                <w:lang w:val="hu-HU"/>
              </w:rPr>
              <w:t>(0-τ)</w:t>
            </w:r>
          </w:p>
          <w:p w14:paraId="041BF65D" w14:textId="0511B3D2" w:rsidR="002D66F3" w:rsidRPr="00360A40" w:rsidRDefault="002D66F3" w:rsidP="009F4BD6">
            <w:pPr>
              <w:pStyle w:val="TableParagraph"/>
              <w:keepNext/>
              <w:widowControl/>
              <w:kinsoku w:val="0"/>
              <w:overflowPunct w:val="0"/>
              <w:jc w:val="center"/>
              <w:rPr>
                <w:sz w:val="22"/>
                <w:szCs w:val="22"/>
                <w:lang w:val="hu-HU"/>
              </w:rPr>
            </w:pPr>
            <w:r w:rsidRPr="00360A40">
              <w:rPr>
                <w:b/>
                <w:bCs/>
                <w:sz w:val="22"/>
                <w:szCs w:val="22"/>
                <w:lang w:val="hu-HU"/>
              </w:rPr>
              <w:t>(µg</w:t>
            </w:r>
            <w:r w:rsidR="00577A0B">
              <w:rPr>
                <w:b/>
                <w:bCs/>
                <w:sz w:val="22"/>
                <w:szCs w:val="22"/>
                <w:lang w:val="hu-HU"/>
              </w:rPr>
              <w:t>×</w:t>
            </w:r>
            <w:r w:rsidRPr="00360A40">
              <w:rPr>
                <w:b/>
                <w:bCs/>
                <w:sz w:val="22"/>
                <w:szCs w:val="22"/>
                <w:lang w:val="hu-HU"/>
              </w:rPr>
              <w:t>óra/ml)</w:t>
            </w:r>
          </w:p>
        </w:tc>
      </w:tr>
      <w:tr w:rsidR="002D66F3" w:rsidRPr="00360A40" w14:paraId="0906992B" w14:textId="77777777" w:rsidTr="00D25F36">
        <w:trPr>
          <w:cantSplit/>
        </w:trPr>
        <w:tc>
          <w:tcPr>
            <w:tcW w:w="3367" w:type="dxa"/>
            <w:vMerge w:val="restart"/>
            <w:tcBorders>
              <w:top w:val="single" w:sz="4" w:space="0" w:color="000000"/>
              <w:left w:val="single" w:sz="4" w:space="0" w:color="000000"/>
              <w:bottom w:val="single" w:sz="4" w:space="0" w:color="000000"/>
              <w:right w:val="single" w:sz="4" w:space="0" w:color="000000"/>
            </w:tcBorders>
          </w:tcPr>
          <w:p w14:paraId="52234684" w14:textId="19E2DFF1"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12–17</w:t>
            </w:r>
            <w:r w:rsidR="00BC36B4" w:rsidRPr="00360A40">
              <w:rPr>
                <w:sz w:val="22"/>
                <w:szCs w:val="22"/>
                <w:lang w:val="hu-HU"/>
              </w:rPr>
              <w:t> </w:t>
            </w:r>
            <w:r w:rsidRPr="00360A40">
              <w:rPr>
                <w:sz w:val="22"/>
                <w:szCs w:val="22"/>
                <w:lang w:val="hu-HU"/>
              </w:rPr>
              <w:t>év (n</w:t>
            </w:r>
            <w:r w:rsidR="00BC36B4" w:rsidRPr="00360A40">
              <w:rPr>
                <w:sz w:val="22"/>
                <w:szCs w:val="22"/>
                <w:lang w:val="hu-HU"/>
              </w:rPr>
              <w:t> </w:t>
            </w:r>
            <w:r w:rsidRPr="00360A40">
              <w:rPr>
                <w:sz w:val="22"/>
                <w:szCs w:val="22"/>
                <w:lang w:val="hu-HU"/>
              </w:rPr>
              <w:t>=</w:t>
            </w:r>
            <w:r w:rsidR="00BC36B4" w:rsidRPr="00360A40">
              <w:rPr>
                <w:sz w:val="22"/>
                <w:szCs w:val="22"/>
                <w:lang w:val="hu-HU"/>
              </w:rPr>
              <w:t> </w:t>
            </w:r>
            <w:r w:rsidRPr="00360A40">
              <w:rPr>
                <w:sz w:val="22"/>
                <w:szCs w:val="22"/>
                <w:lang w:val="hu-HU"/>
              </w:rPr>
              <w:t>62)</w:t>
            </w:r>
          </w:p>
        </w:tc>
        <w:tc>
          <w:tcPr>
            <w:tcW w:w="2760" w:type="dxa"/>
            <w:tcBorders>
              <w:top w:val="single" w:sz="4" w:space="0" w:color="000000"/>
              <w:left w:val="single" w:sz="4" w:space="0" w:color="000000"/>
              <w:bottom w:val="nil"/>
              <w:right w:val="single" w:sz="4" w:space="0" w:color="000000"/>
            </w:tcBorders>
          </w:tcPr>
          <w:p w14:paraId="2E5527D8"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6,80</w:t>
            </w:r>
          </w:p>
        </w:tc>
        <w:tc>
          <w:tcPr>
            <w:tcW w:w="2760" w:type="dxa"/>
            <w:tcBorders>
              <w:top w:val="single" w:sz="4" w:space="0" w:color="000000"/>
              <w:left w:val="single" w:sz="4" w:space="0" w:color="000000"/>
              <w:bottom w:val="nil"/>
              <w:right w:val="single" w:sz="4" w:space="0" w:color="000000"/>
            </w:tcBorders>
          </w:tcPr>
          <w:p w14:paraId="13E666E8"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103</w:t>
            </w:r>
          </w:p>
        </w:tc>
      </w:tr>
      <w:tr w:rsidR="002D66F3" w:rsidRPr="00360A40" w14:paraId="1C7274A7" w14:textId="77777777" w:rsidTr="00D25F36">
        <w:trPr>
          <w:cantSplit/>
        </w:trPr>
        <w:tc>
          <w:tcPr>
            <w:tcW w:w="3367" w:type="dxa"/>
            <w:vMerge/>
            <w:tcBorders>
              <w:top w:val="single" w:sz="4" w:space="0" w:color="000000"/>
              <w:left w:val="single" w:sz="4" w:space="0" w:color="000000"/>
              <w:bottom w:val="single" w:sz="4" w:space="0" w:color="000000"/>
              <w:right w:val="single" w:sz="4" w:space="0" w:color="000000"/>
            </w:tcBorders>
          </w:tcPr>
          <w:p w14:paraId="5D2EB3A7" w14:textId="77777777" w:rsidR="002D66F3" w:rsidRPr="00360A40" w:rsidRDefault="002D66F3" w:rsidP="00360A40">
            <w:pPr>
              <w:pStyle w:val="TableParagraph"/>
              <w:keepNext/>
              <w:widowControl/>
              <w:kinsoku w:val="0"/>
              <w:overflowPunct w:val="0"/>
              <w:rPr>
                <w:sz w:val="22"/>
                <w:szCs w:val="22"/>
                <w:lang w:val="hu-HU"/>
              </w:rPr>
            </w:pPr>
          </w:p>
        </w:tc>
        <w:tc>
          <w:tcPr>
            <w:tcW w:w="2760" w:type="dxa"/>
            <w:tcBorders>
              <w:top w:val="nil"/>
              <w:left w:val="single" w:sz="4" w:space="0" w:color="000000"/>
              <w:bottom w:val="single" w:sz="4" w:space="0" w:color="000000"/>
              <w:right w:val="single" w:sz="4" w:space="0" w:color="000000"/>
            </w:tcBorders>
          </w:tcPr>
          <w:p w14:paraId="63AEEDE0" w14:textId="77777777" w:rsidR="002D66F3" w:rsidRPr="00360A40" w:rsidRDefault="002D66F3" w:rsidP="00360A40">
            <w:pPr>
              <w:pStyle w:val="TableParagraph"/>
              <w:keepNext/>
              <w:widowControl/>
              <w:kinsoku w:val="0"/>
              <w:overflowPunct w:val="0"/>
              <w:ind w:left="860"/>
              <w:rPr>
                <w:sz w:val="22"/>
                <w:szCs w:val="22"/>
                <w:lang w:val="hu-HU"/>
              </w:rPr>
            </w:pPr>
            <w:r w:rsidRPr="00360A40">
              <w:rPr>
                <w:sz w:val="22"/>
                <w:szCs w:val="22"/>
                <w:lang w:val="hu-HU"/>
              </w:rPr>
              <w:t>(6,17, 7,50)</w:t>
            </w:r>
          </w:p>
        </w:tc>
        <w:tc>
          <w:tcPr>
            <w:tcW w:w="2760" w:type="dxa"/>
            <w:tcBorders>
              <w:top w:val="nil"/>
              <w:left w:val="single" w:sz="4" w:space="0" w:color="000000"/>
              <w:bottom w:val="single" w:sz="4" w:space="0" w:color="000000"/>
              <w:right w:val="single" w:sz="4" w:space="0" w:color="000000"/>
            </w:tcBorders>
          </w:tcPr>
          <w:p w14:paraId="48E88CE8" w14:textId="77777777" w:rsidR="002D66F3" w:rsidRPr="00360A40" w:rsidRDefault="002D66F3" w:rsidP="00360A40">
            <w:pPr>
              <w:pStyle w:val="TableParagraph"/>
              <w:keepNext/>
              <w:widowControl/>
              <w:kinsoku w:val="0"/>
              <w:overflowPunct w:val="0"/>
              <w:ind w:left="886"/>
              <w:rPr>
                <w:sz w:val="22"/>
                <w:szCs w:val="22"/>
                <w:lang w:val="hu-HU"/>
              </w:rPr>
            </w:pPr>
            <w:r w:rsidRPr="00360A40">
              <w:rPr>
                <w:sz w:val="22"/>
                <w:szCs w:val="22"/>
                <w:lang w:val="hu-HU"/>
              </w:rPr>
              <w:t>(91,1, 116)</w:t>
            </w:r>
          </w:p>
        </w:tc>
      </w:tr>
      <w:tr w:rsidR="002D66F3" w:rsidRPr="00360A40" w14:paraId="406F1125" w14:textId="77777777" w:rsidTr="00D25F36">
        <w:trPr>
          <w:cantSplit/>
        </w:trPr>
        <w:tc>
          <w:tcPr>
            <w:tcW w:w="3367" w:type="dxa"/>
            <w:vMerge w:val="restart"/>
            <w:tcBorders>
              <w:top w:val="single" w:sz="4" w:space="0" w:color="000000"/>
              <w:left w:val="single" w:sz="4" w:space="0" w:color="000000"/>
              <w:bottom w:val="single" w:sz="4" w:space="0" w:color="000000"/>
              <w:right w:val="single" w:sz="4" w:space="0" w:color="000000"/>
            </w:tcBorders>
          </w:tcPr>
          <w:p w14:paraId="6DF1F25F" w14:textId="36B17787"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6–11</w:t>
            </w:r>
            <w:r w:rsidR="00BC36B4" w:rsidRPr="00360A40">
              <w:rPr>
                <w:sz w:val="22"/>
                <w:szCs w:val="22"/>
                <w:lang w:val="hu-HU"/>
              </w:rPr>
              <w:t> </w:t>
            </w:r>
            <w:r w:rsidRPr="00360A40">
              <w:rPr>
                <w:sz w:val="22"/>
                <w:szCs w:val="22"/>
                <w:lang w:val="hu-HU"/>
              </w:rPr>
              <w:t>év (n</w:t>
            </w:r>
            <w:r w:rsidR="00BC36B4" w:rsidRPr="00360A40">
              <w:rPr>
                <w:sz w:val="22"/>
                <w:szCs w:val="22"/>
                <w:lang w:val="hu-HU"/>
              </w:rPr>
              <w:t> </w:t>
            </w:r>
            <w:r w:rsidRPr="00360A40">
              <w:rPr>
                <w:sz w:val="22"/>
                <w:szCs w:val="22"/>
                <w:lang w:val="hu-HU"/>
              </w:rPr>
              <w:t>=</w:t>
            </w:r>
            <w:r w:rsidR="00BC36B4" w:rsidRPr="00360A40">
              <w:rPr>
                <w:sz w:val="22"/>
                <w:szCs w:val="22"/>
                <w:lang w:val="hu-HU"/>
              </w:rPr>
              <w:t> </w:t>
            </w:r>
            <w:r w:rsidRPr="00360A40">
              <w:rPr>
                <w:sz w:val="22"/>
                <w:szCs w:val="22"/>
                <w:lang w:val="hu-HU"/>
              </w:rPr>
              <w:t>68)</w:t>
            </w:r>
          </w:p>
        </w:tc>
        <w:tc>
          <w:tcPr>
            <w:tcW w:w="2760" w:type="dxa"/>
            <w:tcBorders>
              <w:top w:val="single" w:sz="4" w:space="0" w:color="000000"/>
              <w:left w:val="single" w:sz="4" w:space="0" w:color="000000"/>
              <w:bottom w:val="nil"/>
              <w:right w:val="single" w:sz="4" w:space="0" w:color="000000"/>
            </w:tcBorders>
          </w:tcPr>
          <w:p w14:paraId="75EC2031"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10,3</w:t>
            </w:r>
          </w:p>
        </w:tc>
        <w:tc>
          <w:tcPr>
            <w:tcW w:w="2760" w:type="dxa"/>
            <w:tcBorders>
              <w:top w:val="single" w:sz="4" w:space="0" w:color="000000"/>
              <w:left w:val="single" w:sz="4" w:space="0" w:color="000000"/>
              <w:bottom w:val="nil"/>
              <w:right w:val="single" w:sz="4" w:space="0" w:color="000000"/>
            </w:tcBorders>
          </w:tcPr>
          <w:p w14:paraId="7E9BF766"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153</w:t>
            </w:r>
          </w:p>
        </w:tc>
      </w:tr>
      <w:tr w:rsidR="002D66F3" w:rsidRPr="00360A40" w14:paraId="36501A11" w14:textId="77777777" w:rsidTr="00D25F36">
        <w:trPr>
          <w:cantSplit/>
        </w:trPr>
        <w:tc>
          <w:tcPr>
            <w:tcW w:w="3367" w:type="dxa"/>
            <w:vMerge/>
            <w:tcBorders>
              <w:top w:val="single" w:sz="4" w:space="0" w:color="000000"/>
              <w:left w:val="single" w:sz="4" w:space="0" w:color="000000"/>
              <w:bottom w:val="single" w:sz="4" w:space="0" w:color="000000"/>
              <w:right w:val="single" w:sz="4" w:space="0" w:color="000000"/>
            </w:tcBorders>
          </w:tcPr>
          <w:p w14:paraId="7FF1937A" w14:textId="77777777" w:rsidR="002D66F3" w:rsidRPr="00360A40" w:rsidRDefault="002D66F3" w:rsidP="00360A40">
            <w:pPr>
              <w:pStyle w:val="TableParagraph"/>
              <w:keepNext/>
              <w:widowControl/>
              <w:kinsoku w:val="0"/>
              <w:overflowPunct w:val="0"/>
              <w:rPr>
                <w:sz w:val="22"/>
                <w:szCs w:val="22"/>
                <w:lang w:val="hu-HU"/>
              </w:rPr>
            </w:pPr>
          </w:p>
        </w:tc>
        <w:tc>
          <w:tcPr>
            <w:tcW w:w="2760" w:type="dxa"/>
            <w:tcBorders>
              <w:top w:val="nil"/>
              <w:left w:val="single" w:sz="4" w:space="0" w:color="000000"/>
              <w:bottom w:val="single" w:sz="4" w:space="0" w:color="000000"/>
              <w:right w:val="single" w:sz="4" w:space="0" w:color="000000"/>
            </w:tcBorders>
          </w:tcPr>
          <w:p w14:paraId="71B3A3C2" w14:textId="77777777" w:rsidR="002D66F3" w:rsidRPr="00360A40" w:rsidRDefault="002D66F3" w:rsidP="00360A40">
            <w:pPr>
              <w:pStyle w:val="TableParagraph"/>
              <w:keepNext/>
              <w:widowControl/>
              <w:kinsoku w:val="0"/>
              <w:overflowPunct w:val="0"/>
              <w:ind w:left="860"/>
              <w:rPr>
                <w:sz w:val="22"/>
                <w:szCs w:val="22"/>
                <w:lang w:val="hu-HU"/>
              </w:rPr>
            </w:pPr>
            <w:r w:rsidRPr="00360A40">
              <w:rPr>
                <w:sz w:val="22"/>
                <w:szCs w:val="22"/>
                <w:lang w:val="hu-HU"/>
              </w:rPr>
              <w:t>(9,42, 11,2)</w:t>
            </w:r>
          </w:p>
        </w:tc>
        <w:tc>
          <w:tcPr>
            <w:tcW w:w="2760" w:type="dxa"/>
            <w:tcBorders>
              <w:top w:val="nil"/>
              <w:left w:val="single" w:sz="4" w:space="0" w:color="000000"/>
              <w:bottom w:val="single" w:sz="4" w:space="0" w:color="000000"/>
              <w:right w:val="single" w:sz="4" w:space="0" w:color="000000"/>
            </w:tcBorders>
          </w:tcPr>
          <w:p w14:paraId="139E2DCF" w14:textId="77777777" w:rsidR="002D66F3" w:rsidRPr="00360A40" w:rsidRDefault="002D66F3" w:rsidP="00360A40">
            <w:pPr>
              <w:pStyle w:val="TableParagraph"/>
              <w:keepNext/>
              <w:widowControl/>
              <w:kinsoku w:val="0"/>
              <w:overflowPunct w:val="0"/>
              <w:ind w:left="914"/>
              <w:rPr>
                <w:sz w:val="22"/>
                <w:szCs w:val="22"/>
                <w:lang w:val="hu-HU"/>
              </w:rPr>
            </w:pPr>
            <w:r w:rsidRPr="00360A40">
              <w:rPr>
                <w:sz w:val="22"/>
                <w:szCs w:val="22"/>
                <w:lang w:val="hu-HU"/>
              </w:rPr>
              <w:t>(137, 170)</w:t>
            </w:r>
          </w:p>
        </w:tc>
      </w:tr>
      <w:tr w:rsidR="002D66F3" w:rsidRPr="00360A40" w14:paraId="594D9143" w14:textId="77777777" w:rsidTr="00D25F36">
        <w:trPr>
          <w:cantSplit/>
        </w:trPr>
        <w:tc>
          <w:tcPr>
            <w:tcW w:w="3367" w:type="dxa"/>
            <w:vMerge w:val="restart"/>
            <w:tcBorders>
              <w:top w:val="single" w:sz="4" w:space="0" w:color="000000"/>
              <w:left w:val="single" w:sz="4" w:space="0" w:color="000000"/>
              <w:bottom w:val="single" w:sz="4" w:space="0" w:color="000000"/>
              <w:right w:val="single" w:sz="4" w:space="0" w:color="000000"/>
            </w:tcBorders>
          </w:tcPr>
          <w:p w14:paraId="3A04DD09" w14:textId="6D05B699" w:rsidR="002D66F3" w:rsidRPr="00360A40" w:rsidRDefault="002D66F3" w:rsidP="00360A40">
            <w:pPr>
              <w:pStyle w:val="TableParagraph"/>
              <w:keepNext/>
              <w:widowControl/>
              <w:kinsoku w:val="0"/>
              <w:overflowPunct w:val="0"/>
              <w:ind w:left="102"/>
              <w:rPr>
                <w:sz w:val="22"/>
                <w:szCs w:val="22"/>
                <w:lang w:val="hu-HU"/>
              </w:rPr>
            </w:pPr>
            <w:r w:rsidRPr="00360A40">
              <w:rPr>
                <w:sz w:val="22"/>
                <w:szCs w:val="22"/>
                <w:lang w:val="hu-HU"/>
              </w:rPr>
              <w:t>1–5</w:t>
            </w:r>
            <w:r w:rsidR="00BC36B4" w:rsidRPr="00360A40">
              <w:rPr>
                <w:sz w:val="22"/>
                <w:szCs w:val="22"/>
                <w:lang w:val="hu-HU"/>
              </w:rPr>
              <w:t> </w:t>
            </w:r>
            <w:r w:rsidRPr="00360A40">
              <w:rPr>
                <w:sz w:val="22"/>
                <w:szCs w:val="22"/>
                <w:lang w:val="hu-HU"/>
              </w:rPr>
              <w:t>év (n</w:t>
            </w:r>
            <w:r w:rsidR="00BC36B4" w:rsidRPr="00360A40">
              <w:rPr>
                <w:sz w:val="22"/>
                <w:szCs w:val="22"/>
                <w:lang w:val="hu-HU"/>
              </w:rPr>
              <w:t> </w:t>
            </w:r>
            <w:r w:rsidRPr="00360A40">
              <w:rPr>
                <w:sz w:val="22"/>
                <w:szCs w:val="22"/>
                <w:lang w:val="hu-HU"/>
              </w:rPr>
              <w:t>=</w:t>
            </w:r>
            <w:r w:rsidR="00BC36B4" w:rsidRPr="00360A40">
              <w:rPr>
                <w:sz w:val="22"/>
                <w:szCs w:val="22"/>
                <w:lang w:val="hu-HU"/>
              </w:rPr>
              <w:t> </w:t>
            </w:r>
            <w:r w:rsidRPr="00360A40">
              <w:rPr>
                <w:sz w:val="22"/>
                <w:szCs w:val="22"/>
                <w:lang w:val="hu-HU"/>
              </w:rPr>
              <w:t>38)</w:t>
            </w:r>
          </w:p>
        </w:tc>
        <w:tc>
          <w:tcPr>
            <w:tcW w:w="2760" w:type="dxa"/>
            <w:tcBorders>
              <w:top w:val="single" w:sz="4" w:space="0" w:color="000000"/>
              <w:left w:val="single" w:sz="4" w:space="0" w:color="000000"/>
              <w:bottom w:val="nil"/>
              <w:right w:val="single" w:sz="4" w:space="0" w:color="000000"/>
            </w:tcBorders>
          </w:tcPr>
          <w:p w14:paraId="67A07A75"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11,6</w:t>
            </w:r>
          </w:p>
        </w:tc>
        <w:tc>
          <w:tcPr>
            <w:tcW w:w="2760" w:type="dxa"/>
            <w:tcBorders>
              <w:top w:val="single" w:sz="4" w:space="0" w:color="000000"/>
              <w:left w:val="single" w:sz="4" w:space="0" w:color="000000"/>
              <w:bottom w:val="nil"/>
              <w:right w:val="single" w:sz="4" w:space="0" w:color="000000"/>
            </w:tcBorders>
          </w:tcPr>
          <w:p w14:paraId="1286D2B1" w14:textId="77777777" w:rsidR="002D66F3" w:rsidRPr="00360A40" w:rsidRDefault="002D66F3" w:rsidP="009F4BD6">
            <w:pPr>
              <w:pStyle w:val="TableParagraph"/>
              <w:keepNext/>
              <w:widowControl/>
              <w:kinsoku w:val="0"/>
              <w:overflowPunct w:val="0"/>
              <w:jc w:val="center"/>
              <w:rPr>
                <w:sz w:val="22"/>
                <w:szCs w:val="22"/>
                <w:lang w:val="hu-HU"/>
              </w:rPr>
            </w:pPr>
            <w:r w:rsidRPr="00360A40">
              <w:rPr>
                <w:sz w:val="22"/>
                <w:szCs w:val="22"/>
                <w:lang w:val="hu-HU"/>
              </w:rPr>
              <w:t>162</w:t>
            </w:r>
          </w:p>
        </w:tc>
      </w:tr>
      <w:tr w:rsidR="002D66F3" w:rsidRPr="00360A40" w14:paraId="66196394" w14:textId="77777777" w:rsidTr="00D25F36">
        <w:trPr>
          <w:cantSplit/>
        </w:trPr>
        <w:tc>
          <w:tcPr>
            <w:tcW w:w="3367" w:type="dxa"/>
            <w:vMerge/>
            <w:tcBorders>
              <w:top w:val="single" w:sz="4" w:space="0" w:color="000000"/>
              <w:left w:val="single" w:sz="4" w:space="0" w:color="000000"/>
              <w:bottom w:val="single" w:sz="4" w:space="0" w:color="000000"/>
              <w:right w:val="single" w:sz="4" w:space="0" w:color="000000"/>
            </w:tcBorders>
          </w:tcPr>
          <w:p w14:paraId="0FCAA3B0" w14:textId="77777777" w:rsidR="002D66F3" w:rsidRPr="00360A40" w:rsidRDefault="002D66F3" w:rsidP="00360A40">
            <w:pPr>
              <w:pStyle w:val="TableParagraph"/>
              <w:keepNext/>
              <w:widowControl/>
              <w:kinsoku w:val="0"/>
              <w:overflowPunct w:val="0"/>
              <w:rPr>
                <w:sz w:val="22"/>
                <w:szCs w:val="22"/>
                <w:lang w:val="hu-HU"/>
              </w:rPr>
            </w:pPr>
          </w:p>
        </w:tc>
        <w:tc>
          <w:tcPr>
            <w:tcW w:w="2760" w:type="dxa"/>
            <w:tcBorders>
              <w:top w:val="nil"/>
              <w:left w:val="single" w:sz="4" w:space="0" w:color="000000"/>
              <w:bottom w:val="single" w:sz="4" w:space="0" w:color="000000"/>
              <w:right w:val="single" w:sz="4" w:space="0" w:color="000000"/>
            </w:tcBorders>
          </w:tcPr>
          <w:p w14:paraId="6BF66370" w14:textId="77777777" w:rsidR="002D66F3" w:rsidRPr="00360A40" w:rsidRDefault="002D66F3" w:rsidP="00360A40">
            <w:pPr>
              <w:pStyle w:val="TableParagraph"/>
              <w:keepNext/>
              <w:widowControl/>
              <w:kinsoku w:val="0"/>
              <w:overflowPunct w:val="0"/>
              <w:ind w:left="860"/>
              <w:rPr>
                <w:sz w:val="22"/>
                <w:szCs w:val="22"/>
                <w:lang w:val="hu-HU"/>
              </w:rPr>
            </w:pPr>
            <w:r w:rsidRPr="00360A40">
              <w:rPr>
                <w:sz w:val="22"/>
                <w:szCs w:val="22"/>
                <w:lang w:val="hu-HU"/>
              </w:rPr>
              <w:t>(10,4, 12,9)</w:t>
            </w:r>
          </w:p>
        </w:tc>
        <w:tc>
          <w:tcPr>
            <w:tcW w:w="2760" w:type="dxa"/>
            <w:tcBorders>
              <w:top w:val="nil"/>
              <w:left w:val="single" w:sz="4" w:space="0" w:color="000000"/>
              <w:bottom w:val="single" w:sz="4" w:space="0" w:color="000000"/>
              <w:right w:val="single" w:sz="4" w:space="0" w:color="000000"/>
            </w:tcBorders>
          </w:tcPr>
          <w:p w14:paraId="6651AAFC" w14:textId="77777777" w:rsidR="002D66F3" w:rsidRPr="00360A40" w:rsidRDefault="002D66F3" w:rsidP="00360A40">
            <w:pPr>
              <w:pStyle w:val="TableParagraph"/>
              <w:keepNext/>
              <w:widowControl/>
              <w:kinsoku w:val="0"/>
              <w:overflowPunct w:val="0"/>
              <w:ind w:left="914"/>
              <w:rPr>
                <w:sz w:val="22"/>
                <w:szCs w:val="22"/>
                <w:lang w:val="hu-HU"/>
              </w:rPr>
            </w:pPr>
            <w:r w:rsidRPr="00360A40">
              <w:rPr>
                <w:sz w:val="22"/>
                <w:szCs w:val="22"/>
                <w:lang w:val="hu-HU"/>
              </w:rPr>
              <w:t>(139, 187)</w:t>
            </w:r>
          </w:p>
        </w:tc>
      </w:tr>
    </w:tbl>
    <w:p w14:paraId="770E2364" w14:textId="6E8AFC32" w:rsidR="002D66F3" w:rsidRPr="00360A40" w:rsidRDefault="002D66F3" w:rsidP="00360A40">
      <w:pPr>
        <w:pStyle w:val="Szvegtrzs"/>
        <w:kinsoku w:val="0"/>
        <w:overflowPunct w:val="0"/>
        <w:ind w:left="0"/>
        <w:rPr>
          <w:lang w:val="hu-HU"/>
        </w:rPr>
      </w:pPr>
      <w:r w:rsidRPr="00360A40">
        <w:rPr>
          <w:lang w:val="hu-HU"/>
        </w:rPr>
        <w:t xml:space="preserve">Az adatok </w:t>
      </w:r>
      <w:r w:rsidR="004A32AB">
        <w:rPr>
          <w:lang w:val="hu-HU"/>
        </w:rPr>
        <w:t>mértani</w:t>
      </w:r>
      <w:r w:rsidRPr="00360A40">
        <w:rPr>
          <w:lang w:val="hu-HU"/>
        </w:rPr>
        <w:t xml:space="preserve"> átlagban (95%-os CI) vannak megadva. Az AUC</w:t>
      </w:r>
      <w:r w:rsidR="00577A0B" w:rsidRPr="00577A0B">
        <w:rPr>
          <w:vertAlign w:val="subscript"/>
          <w:lang w:val="hu-HU"/>
        </w:rPr>
        <w:t>(0-τ)</w:t>
      </w:r>
      <w:r w:rsidRPr="00360A40">
        <w:rPr>
          <w:lang w:val="hu-HU"/>
        </w:rPr>
        <w:t xml:space="preserve"> és a C</w:t>
      </w:r>
      <w:r w:rsidR="00577A0B" w:rsidRPr="00577A0B">
        <w:rPr>
          <w:vertAlign w:val="subscript"/>
          <w:lang w:val="hu-HU"/>
        </w:rPr>
        <w:t>max</w:t>
      </w:r>
      <w:r w:rsidRPr="00360A40">
        <w:rPr>
          <w:lang w:val="hu-HU"/>
        </w:rPr>
        <w:t xml:space="preserve"> populációs farmakokinetikai </w:t>
      </w:r>
      <w:r w:rsidRPr="00360A40">
        <w:rPr>
          <w:i/>
          <w:iCs/>
          <w:lang w:val="hu-HU"/>
        </w:rPr>
        <w:t xml:space="preserve">post hoc </w:t>
      </w:r>
      <w:r w:rsidRPr="00360A40">
        <w:rPr>
          <w:lang w:val="hu-HU"/>
        </w:rPr>
        <w:t>becsléseken alapul</w:t>
      </w:r>
    </w:p>
    <w:p w14:paraId="7470B27B" w14:textId="77777777" w:rsidR="002D66F3" w:rsidRPr="00360A40" w:rsidRDefault="002D66F3" w:rsidP="00360A40">
      <w:pPr>
        <w:pStyle w:val="Szvegtrzs"/>
        <w:kinsoku w:val="0"/>
        <w:overflowPunct w:val="0"/>
        <w:ind w:left="0"/>
        <w:rPr>
          <w:lang w:val="hu-HU"/>
        </w:rPr>
      </w:pPr>
    </w:p>
    <w:p w14:paraId="227BFBF7" w14:textId="77777777" w:rsidR="002D66F3" w:rsidRPr="00360A40" w:rsidRDefault="002D66F3" w:rsidP="00360A40">
      <w:pPr>
        <w:pStyle w:val="Cmsor1"/>
        <w:kinsoku w:val="0"/>
        <w:overflowPunct w:val="0"/>
        <w:ind w:left="0" w:firstLine="0"/>
        <w:rPr>
          <w:b w:val="0"/>
          <w:bCs w:val="0"/>
          <w:lang w:val="hu-HU"/>
        </w:rPr>
      </w:pPr>
      <w:r w:rsidRPr="00360A40">
        <w:rPr>
          <w:lang w:val="hu-HU"/>
        </w:rPr>
        <w:t>5.3</w:t>
      </w:r>
      <w:r w:rsidRPr="00360A40">
        <w:rPr>
          <w:lang w:val="hu-HU"/>
        </w:rPr>
        <w:tab/>
        <w:t>A preklinikai biztonságossági vizsgálatok eredményei</w:t>
      </w:r>
    </w:p>
    <w:p w14:paraId="097E0023" w14:textId="77777777" w:rsidR="002D66F3" w:rsidRPr="00360A40" w:rsidRDefault="002D66F3" w:rsidP="00360A40">
      <w:pPr>
        <w:pStyle w:val="Szvegtrzs"/>
        <w:kinsoku w:val="0"/>
        <w:overflowPunct w:val="0"/>
        <w:ind w:left="0"/>
        <w:rPr>
          <w:b/>
          <w:bCs/>
          <w:lang w:val="hu-HU"/>
        </w:rPr>
      </w:pPr>
    </w:p>
    <w:p w14:paraId="41D7E42E" w14:textId="77777777" w:rsidR="002D66F3" w:rsidRPr="00360A40" w:rsidRDefault="002D66F3" w:rsidP="00360A40">
      <w:pPr>
        <w:pStyle w:val="Szvegtrzs"/>
        <w:kinsoku w:val="0"/>
        <w:overflowPunct w:val="0"/>
        <w:ind w:left="0"/>
        <w:rPr>
          <w:lang w:val="hu-HU"/>
        </w:rPr>
      </w:pPr>
      <w:r w:rsidRPr="00360A40">
        <w:rPr>
          <w:u w:val="single"/>
          <w:lang w:val="hu-HU"/>
        </w:rPr>
        <w:t>Farmakológiai biztonságossági és ismételt adagolású dózistoxicitási jellemzők</w:t>
      </w:r>
    </w:p>
    <w:p w14:paraId="12598BA9" w14:textId="77777777" w:rsidR="002D66F3" w:rsidRPr="00360A40" w:rsidRDefault="002D66F3" w:rsidP="00360A40">
      <w:pPr>
        <w:pStyle w:val="Szvegtrzs"/>
        <w:kinsoku w:val="0"/>
        <w:overflowPunct w:val="0"/>
        <w:ind w:left="0"/>
        <w:rPr>
          <w:lang w:val="hu-HU"/>
        </w:rPr>
      </w:pPr>
    </w:p>
    <w:p w14:paraId="104F88CC" w14:textId="6610E4B6" w:rsidR="002D66F3" w:rsidRPr="00360A40" w:rsidRDefault="002D66F3" w:rsidP="00360A40">
      <w:pPr>
        <w:pStyle w:val="Szvegtrzs"/>
        <w:kinsoku w:val="0"/>
        <w:overflowPunct w:val="0"/>
        <w:ind w:left="0"/>
        <w:rPr>
          <w:lang w:val="hu-HU"/>
        </w:rPr>
      </w:pPr>
      <w:r w:rsidRPr="00360A40">
        <w:rPr>
          <w:lang w:val="hu-HU"/>
        </w:rPr>
        <w:t xml:space="preserve">Egyedülálló TPO-receptorspecificitása miatt az eltrombopag nem fokozza a vérlemezke-termelést </w:t>
      </w:r>
      <w:r w:rsidR="004A32AB">
        <w:rPr>
          <w:lang w:val="hu-HU"/>
        </w:rPr>
        <w:t>egereknél</w:t>
      </w:r>
      <w:r w:rsidRPr="00360A40">
        <w:rPr>
          <w:lang w:val="hu-HU"/>
        </w:rPr>
        <w:t xml:space="preserve">, </w:t>
      </w:r>
      <w:r w:rsidR="004A32AB">
        <w:rPr>
          <w:lang w:val="hu-HU"/>
        </w:rPr>
        <w:t>patkányoknál</w:t>
      </w:r>
      <w:r w:rsidRPr="00360A40">
        <w:rPr>
          <w:lang w:val="hu-HU"/>
        </w:rPr>
        <w:t xml:space="preserve"> vagy </w:t>
      </w:r>
      <w:r w:rsidR="004A32AB">
        <w:rPr>
          <w:lang w:val="hu-HU"/>
        </w:rPr>
        <w:t>kutyáknál</w:t>
      </w:r>
      <w:r w:rsidRPr="00360A40">
        <w:rPr>
          <w:lang w:val="hu-HU"/>
        </w:rPr>
        <w:t>. Ezért az ilyen állatok</w:t>
      </w:r>
      <w:r w:rsidR="004A32AB">
        <w:rPr>
          <w:lang w:val="hu-HU"/>
        </w:rPr>
        <w:t>tól</w:t>
      </w:r>
      <w:r w:rsidRPr="00360A40">
        <w:rPr>
          <w:lang w:val="hu-HU"/>
        </w:rPr>
        <w:t xml:space="preserve"> származó adatok, beleértve a reprodukciós és karcinogenitási vizsgálatokat, nem teljesen modellezik az eltrombopag farmakológiájával kapcsolatos lehetséges mellékhatásokat </w:t>
      </w:r>
      <w:r w:rsidR="005D6C3D">
        <w:rPr>
          <w:lang w:val="hu-HU"/>
        </w:rPr>
        <w:t>embereknél</w:t>
      </w:r>
      <w:r w:rsidRPr="00360A40">
        <w:rPr>
          <w:lang w:val="hu-HU"/>
        </w:rPr>
        <w:t>.</w:t>
      </w:r>
    </w:p>
    <w:p w14:paraId="563FA8A4" w14:textId="77777777" w:rsidR="002D66F3" w:rsidRPr="00360A40" w:rsidRDefault="002D66F3" w:rsidP="00360A40">
      <w:pPr>
        <w:pStyle w:val="Szvegtrzs"/>
        <w:kinsoku w:val="0"/>
        <w:overflowPunct w:val="0"/>
        <w:ind w:left="0"/>
        <w:rPr>
          <w:lang w:val="hu-HU"/>
        </w:rPr>
      </w:pPr>
    </w:p>
    <w:p w14:paraId="63356DB3" w14:textId="21F7C3AE" w:rsidR="002D66F3" w:rsidRPr="00360A40" w:rsidRDefault="002D66F3" w:rsidP="00360A40">
      <w:pPr>
        <w:pStyle w:val="Szvegtrzs"/>
        <w:kinsoku w:val="0"/>
        <w:overflowPunct w:val="0"/>
        <w:ind w:left="0"/>
        <w:rPr>
          <w:lang w:val="hu-HU"/>
        </w:rPr>
      </w:pPr>
      <w:r w:rsidRPr="00360A40">
        <w:rPr>
          <w:lang w:val="hu-HU"/>
        </w:rPr>
        <w:t xml:space="preserve">A kezeléssel összefüggésben lévő szürkehályogot észleltek </w:t>
      </w:r>
      <w:r w:rsidR="004A32AB">
        <w:rPr>
          <w:lang w:val="hu-HU"/>
        </w:rPr>
        <w:t>rágcsálóknál</w:t>
      </w:r>
      <w:r w:rsidRPr="00360A40">
        <w:rPr>
          <w:lang w:val="hu-HU"/>
        </w:rPr>
        <w:t>, mely adag- és idő-függő volt. Az AUC alapján számított, 75</w:t>
      </w:r>
      <w:r w:rsidR="00BC36B4" w:rsidRPr="00360A40">
        <w:rPr>
          <w:lang w:val="hu-HU"/>
        </w:rPr>
        <w:t> </w:t>
      </w:r>
      <w:r w:rsidRPr="00360A40">
        <w:rPr>
          <w:lang w:val="hu-HU"/>
        </w:rPr>
        <w:t xml:space="preserve">mg/nap adagot kapó, felnőtt ITP-s betegeken alapuló humán klinikai </w:t>
      </w:r>
      <w:r w:rsidRPr="00360A40">
        <w:rPr>
          <w:lang w:val="hu-HU"/>
        </w:rPr>
        <w:lastRenderedPageBreak/>
        <w:t>expozíció ≥</w:t>
      </w:r>
      <w:r w:rsidR="00BC36B4" w:rsidRPr="00360A40">
        <w:rPr>
          <w:lang w:val="hu-HU"/>
        </w:rPr>
        <w:t> </w:t>
      </w:r>
      <w:r w:rsidRPr="00360A40">
        <w:rPr>
          <w:lang w:val="hu-HU"/>
        </w:rPr>
        <w:t>6-szorosánál, illetve 100</w:t>
      </w:r>
      <w:r w:rsidR="00BC36B4" w:rsidRPr="00360A40">
        <w:rPr>
          <w:lang w:val="hu-HU"/>
        </w:rPr>
        <w:t> </w:t>
      </w:r>
      <w:r w:rsidRPr="00360A40">
        <w:rPr>
          <w:lang w:val="hu-HU"/>
        </w:rPr>
        <w:t xml:space="preserve">mg/nap adagot kapó, felnőtt HCV-s betegeken alapuló humán klinikai expozíció 3-szorosánál </w:t>
      </w:r>
      <w:r w:rsidR="004A32AB">
        <w:rPr>
          <w:lang w:val="hu-HU"/>
        </w:rPr>
        <w:t>egereknél</w:t>
      </w:r>
      <w:r w:rsidRPr="00360A40">
        <w:rPr>
          <w:lang w:val="hu-HU"/>
        </w:rPr>
        <w:t xml:space="preserve"> 6</w:t>
      </w:r>
      <w:r w:rsidR="00BC36B4" w:rsidRPr="00360A40">
        <w:rPr>
          <w:lang w:val="hu-HU"/>
        </w:rPr>
        <w:t> </w:t>
      </w:r>
      <w:r w:rsidRPr="00360A40">
        <w:rPr>
          <w:lang w:val="hu-HU"/>
        </w:rPr>
        <w:t xml:space="preserve">hét után, </w:t>
      </w:r>
      <w:r w:rsidR="004A32AB">
        <w:rPr>
          <w:lang w:val="hu-HU"/>
        </w:rPr>
        <w:t>patkányoknál</w:t>
      </w:r>
      <w:r w:rsidRPr="00360A40">
        <w:rPr>
          <w:lang w:val="hu-HU"/>
        </w:rPr>
        <w:t xml:space="preserve"> 28</w:t>
      </w:r>
      <w:r w:rsidR="00BC36B4" w:rsidRPr="00360A40">
        <w:rPr>
          <w:lang w:val="hu-HU"/>
        </w:rPr>
        <w:t> </w:t>
      </w:r>
      <w:r w:rsidRPr="00360A40">
        <w:rPr>
          <w:lang w:val="hu-HU"/>
        </w:rPr>
        <w:t>hét után figyeltek meg szürkehályogot. Az AUC alapján számított, 75</w:t>
      </w:r>
      <w:r w:rsidR="00BC36B4" w:rsidRPr="00360A40">
        <w:rPr>
          <w:lang w:val="hu-HU"/>
        </w:rPr>
        <w:t> </w:t>
      </w:r>
      <w:r w:rsidRPr="00360A40">
        <w:rPr>
          <w:lang w:val="hu-HU"/>
        </w:rPr>
        <w:t xml:space="preserve">mg/nap adagot kapó ITP-s betegeken alapuló humán klinikai expozíció </w:t>
      </w:r>
      <w:r w:rsidR="009F216E" w:rsidRPr="00360A40">
        <w:rPr>
          <w:lang w:val="hu-HU"/>
        </w:rPr>
        <w:t>≥</w:t>
      </w:r>
      <w:r w:rsidR="009F216E">
        <w:rPr>
          <w:lang w:val="hu-HU"/>
        </w:rPr>
        <w:t> </w:t>
      </w:r>
      <w:r w:rsidRPr="00360A40">
        <w:rPr>
          <w:lang w:val="hu-HU"/>
        </w:rPr>
        <w:t>4-szeresénél, illetve 100</w:t>
      </w:r>
      <w:r w:rsidR="00BC36B4" w:rsidRPr="00360A40">
        <w:rPr>
          <w:lang w:val="hu-HU"/>
        </w:rPr>
        <w:t> </w:t>
      </w:r>
      <w:r w:rsidRPr="00360A40">
        <w:rPr>
          <w:lang w:val="hu-HU"/>
        </w:rPr>
        <w:t xml:space="preserve">mg/nap adagot kapó HCV-s betegeken alapuló humán klinikai expozíció 2-szeresénél </w:t>
      </w:r>
      <w:r w:rsidR="004A32AB">
        <w:rPr>
          <w:lang w:val="hu-HU"/>
        </w:rPr>
        <w:t>egereknél</w:t>
      </w:r>
      <w:r w:rsidRPr="00360A40">
        <w:rPr>
          <w:lang w:val="hu-HU"/>
        </w:rPr>
        <w:t xml:space="preserve"> 13</w:t>
      </w:r>
      <w:r w:rsidR="00BC36B4" w:rsidRPr="00360A40">
        <w:rPr>
          <w:lang w:val="hu-HU"/>
        </w:rPr>
        <w:t> </w:t>
      </w:r>
      <w:r w:rsidRPr="00360A40">
        <w:rPr>
          <w:lang w:val="hu-HU"/>
        </w:rPr>
        <w:t xml:space="preserve">hét után, </w:t>
      </w:r>
      <w:r w:rsidR="004A32AB">
        <w:rPr>
          <w:lang w:val="hu-HU"/>
        </w:rPr>
        <w:t>patkányoknál</w:t>
      </w:r>
      <w:r w:rsidRPr="00360A40">
        <w:rPr>
          <w:lang w:val="hu-HU"/>
        </w:rPr>
        <w:t xml:space="preserve"> 39</w:t>
      </w:r>
      <w:r w:rsidR="00BC36B4" w:rsidRPr="00360A40">
        <w:rPr>
          <w:lang w:val="hu-HU"/>
        </w:rPr>
        <w:t> </w:t>
      </w:r>
      <w:r w:rsidRPr="00360A40">
        <w:rPr>
          <w:lang w:val="hu-HU"/>
        </w:rPr>
        <w:t>hét után figyeltek meg szürkehályogot. Az AUC alapján az ITP-s gyermekeknél és serdülőknél a napi 75</w:t>
      </w:r>
      <w:r w:rsidR="00BC36B4" w:rsidRPr="00360A40">
        <w:rPr>
          <w:lang w:val="hu-HU"/>
        </w:rPr>
        <w:t> </w:t>
      </w:r>
      <w:r w:rsidRPr="00360A40">
        <w:rPr>
          <w:lang w:val="hu-HU"/>
        </w:rPr>
        <w:t>mg-os, maximális humán klinikai expozíció 9-szeresének megfelelő, nem tolerálható dózisokban a 4. és 32.</w:t>
      </w:r>
      <w:r w:rsidR="00BC36B4" w:rsidRPr="00360A40">
        <w:rPr>
          <w:lang w:val="hu-HU"/>
        </w:rPr>
        <w:t> </w:t>
      </w:r>
      <w:r w:rsidRPr="00360A40">
        <w:rPr>
          <w:lang w:val="hu-HU"/>
        </w:rPr>
        <w:t>nap között (az adagolási időszak végén megközelítőleg egy kétéves gyermeknek felel meg) adagolva, az elválasztás előtt álló fiatal patkányoknál ocularis opacitást észleltek (szövettani vizsgálatot nem végeztek). Ugyanakkor az AUC alapján az ITP-s gyermekeknél és serdülőknél a humán klinikai expozíció 5-szörösének megfelelő, tolerálható dózisokban fiatal patkányoknak adva cataractát nem figyeltek meg. Felnőtt kutyáknál 52</w:t>
      </w:r>
      <w:r w:rsidR="00BC36B4" w:rsidRPr="00360A40">
        <w:rPr>
          <w:lang w:val="hu-HU"/>
        </w:rPr>
        <w:t> </w:t>
      </w:r>
      <w:r w:rsidRPr="00360A40">
        <w:rPr>
          <w:lang w:val="hu-HU"/>
        </w:rPr>
        <w:t>hét után nem észleltek szürkehályogot (az AUC alapján számított, 75</w:t>
      </w:r>
      <w:r w:rsidR="00BC36B4"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2-szeresénél, amely egyenértékű a 100</w:t>
      </w:r>
      <w:r w:rsidR="00BC36B4" w:rsidRPr="00360A40">
        <w:rPr>
          <w:lang w:val="hu-HU"/>
        </w:rPr>
        <w:t> </w:t>
      </w:r>
      <w:r w:rsidRPr="00360A40">
        <w:rPr>
          <w:lang w:val="hu-HU"/>
        </w:rPr>
        <w:t>mg/nap adagot kapó HCV-s betegeken alapuló humán klinikai expozícióval).</w:t>
      </w:r>
    </w:p>
    <w:p w14:paraId="71D2F2A5" w14:textId="77777777" w:rsidR="00EA221C" w:rsidRPr="00360A40" w:rsidRDefault="00EA221C" w:rsidP="00360A40">
      <w:pPr>
        <w:pStyle w:val="Szvegtrzs"/>
        <w:kinsoku w:val="0"/>
        <w:overflowPunct w:val="0"/>
        <w:ind w:left="0"/>
        <w:rPr>
          <w:lang w:val="hu-HU"/>
        </w:rPr>
      </w:pPr>
    </w:p>
    <w:p w14:paraId="0170D9CF" w14:textId="03539B12" w:rsidR="002D66F3" w:rsidRPr="00360A40" w:rsidRDefault="002D66F3" w:rsidP="00360A40">
      <w:pPr>
        <w:pStyle w:val="Szvegtrzs"/>
        <w:kinsoku w:val="0"/>
        <w:overflowPunct w:val="0"/>
        <w:ind w:left="0"/>
        <w:rPr>
          <w:lang w:val="hu-HU"/>
        </w:rPr>
      </w:pPr>
      <w:r w:rsidRPr="00360A40">
        <w:rPr>
          <w:lang w:val="hu-HU"/>
        </w:rPr>
        <w:t>Legfeljebb 14</w:t>
      </w:r>
      <w:r w:rsidR="00BC36B4" w:rsidRPr="00360A40">
        <w:rPr>
          <w:lang w:val="hu-HU"/>
        </w:rPr>
        <w:t> </w:t>
      </w:r>
      <w:r w:rsidRPr="00360A40">
        <w:rPr>
          <w:lang w:val="hu-HU"/>
        </w:rPr>
        <w:t xml:space="preserve">napig tartó vizsgálatokban renalis tubularis toxicitást figyeltek meg </w:t>
      </w:r>
      <w:r w:rsidR="004A32AB">
        <w:rPr>
          <w:lang w:val="hu-HU"/>
        </w:rPr>
        <w:t>egereknél</w:t>
      </w:r>
      <w:r w:rsidRPr="00360A40">
        <w:rPr>
          <w:lang w:val="hu-HU"/>
        </w:rPr>
        <w:t xml:space="preserve"> és </w:t>
      </w:r>
      <w:r w:rsidR="004A32AB">
        <w:rPr>
          <w:lang w:val="hu-HU"/>
        </w:rPr>
        <w:t>patkányoknál</w:t>
      </w:r>
      <w:r w:rsidRPr="00360A40">
        <w:rPr>
          <w:lang w:val="hu-HU"/>
        </w:rPr>
        <w:t>, rendszerint megbetegedést és halált okozó expozícióknál. Tubularis toxicitást egy 2</w:t>
      </w:r>
      <w:r w:rsidR="00BC36B4" w:rsidRPr="00360A40">
        <w:rPr>
          <w:lang w:val="hu-HU"/>
        </w:rPr>
        <w:t> </w:t>
      </w:r>
      <w:r w:rsidRPr="00360A40">
        <w:rPr>
          <w:lang w:val="hu-HU"/>
        </w:rPr>
        <w:t xml:space="preserve">éves orális karcinogenitási vizsgálatban is megfigyeltek </w:t>
      </w:r>
      <w:r w:rsidR="004A32AB">
        <w:rPr>
          <w:lang w:val="hu-HU"/>
        </w:rPr>
        <w:t>egereknél</w:t>
      </w:r>
      <w:r w:rsidRPr="00360A40">
        <w:rPr>
          <w:lang w:val="hu-HU"/>
        </w:rPr>
        <w:t>, napi 25, 75 és 150</w:t>
      </w:r>
      <w:r w:rsidR="00BC36B4" w:rsidRPr="00360A40">
        <w:rPr>
          <w:lang w:val="hu-HU"/>
        </w:rPr>
        <w:t> </w:t>
      </w:r>
      <w:r w:rsidRPr="00360A40">
        <w:rPr>
          <w:lang w:val="hu-HU"/>
        </w:rPr>
        <w:t>mg/ttkg adagoknál.</w:t>
      </w:r>
      <w:r w:rsidR="00C62B2A" w:rsidRPr="00360A40">
        <w:rPr>
          <w:lang w:val="hu-HU"/>
        </w:rPr>
        <w:t xml:space="preserve"> </w:t>
      </w:r>
      <w:r w:rsidRPr="00360A40">
        <w:rPr>
          <w:lang w:val="hu-HU"/>
        </w:rPr>
        <w:t>Alacsonyabb dózisoknál a hatások kevésbé voltak súlyosak, és azokat regerenatív elváltozások sora jellemezte. A legalacsonyabb dózisnál az expozíció az AUC alapján számított, 75</w:t>
      </w:r>
      <w:r w:rsidR="00BC36B4"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1,2-szerese vagy 0,8-szerese, illetve 100</w:t>
      </w:r>
      <w:r w:rsidR="00BC36B4" w:rsidRPr="00360A40">
        <w:rPr>
          <w:lang w:val="hu-HU"/>
        </w:rPr>
        <w:t> </w:t>
      </w:r>
      <w:r w:rsidRPr="00360A40">
        <w:rPr>
          <w:lang w:val="hu-HU"/>
        </w:rPr>
        <w:t xml:space="preserve">mg/nap adagot kapó HCV-s betegeken alapuló humán klinikai expozíció 0,6-szorosa volt. Nem tapasztaltak renális hatásokat </w:t>
      </w:r>
      <w:r w:rsidR="004A32AB">
        <w:rPr>
          <w:lang w:val="hu-HU"/>
        </w:rPr>
        <w:t>patkányoknál</w:t>
      </w:r>
      <w:r w:rsidRPr="00360A40">
        <w:rPr>
          <w:lang w:val="hu-HU"/>
        </w:rPr>
        <w:t xml:space="preserve"> 28</w:t>
      </w:r>
      <w:r w:rsidR="00BC36B4" w:rsidRPr="00360A40">
        <w:rPr>
          <w:lang w:val="hu-HU"/>
        </w:rPr>
        <w:t> </w:t>
      </w:r>
      <w:r w:rsidRPr="00360A40">
        <w:rPr>
          <w:lang w:val="hu-HU"/>
        </w:rPr>
        <w:t xml:space="preserve">hét után, </w:t>
      </w:r>
      <w:r w:rsidR="004A32AB">
        <w:rPr>
          <w:lang w:val="hu-HU"/>
        </w:rPr>
        <w:t>kutyáknál</w:t>
      </w:r>
      <w:r w:rsidRPr="00360A40">
        <w:rPr>
          <w:lang w:val="hu-HU"/>
        </w:rPr>
        <w:t xml:space="preserve"> 52 hét után, az AUC alapján számított 75</w:t>
      </w:r>
      <w:r w:rsidR="00BC36B4" w:rsidRPr="00360A40">
        <w:rPr>
          <w:lang w:val="hu-HU"/>
        </w:rPr>
        <w:t> </w:t>
      </w:r>
      <w:r w:rsidRPr="00360A40">
        <w:rPr>
          <w:lang w:val="hu-HU"/>
        </w:rPr>
        <w:t>mg/nap adagot kapó felnőtt ITP-s betegeken alapuló humán klinikai expozíció 4- illetve 2-szeresénél, valamint gyermek</w:t>
      </w:r>
      <w:r w:rsidR="002827B0">
        <w:rPr>
          <w:lang w:val="hu-HU"/>
        </w:rPr>
        <w:t>- és serdülőkorú</w:t>
      </w:r>
      <w:r w:rsidRPr="00360A40">
        <w:rPr>
          <w:lang w:val="hu-HU"/>
        </w:rPr>
        <w:t xml:space="preserve"> ITP-s betegeken alapuló humán klinikai expozíció 3- illetve 2-szeresénél, amely egyenértékű a 100</w:t>
      </w:r>
      <w:r w:rsidR="00BC36B4" w:rsidRPr="00360A40">
        <w:rPr>
          <w:lang w:val="hu-HU"/>
        </w:rPr>
        <w:t> </w:t>
      </w:r>
      <w:r w:rsidRPr="00360A40">
        <w:rPr>
          <w:lang w:val="hu-HU"/>
        </w:rPr>
        <w:t>mg/nap adagot kapó HCV-s betegeken alapuló humán klinikai expozícióval.</w:t>
      </w:r>
    </w:p>
    <w:p w14:paraId="6160910C" w14:textId="77777777" w:rsidR="002D66F3" w:rsidRPr="00360A40" w:rsidRDefault="002D66F3" w:rsidP="00360A40">
      <w:pPr>
        <w:pStyle w:val="Szvegtrzs"/>
        <w:kinsoku w:val="0"/>
        <w:overflowPunct w:val="0"/>
        <w:ind w:left="0"/>
        <w:rPr>
          <w:lang w:val="hu-HU"/>
        </w:rPr>
      </w:pPr>
    </w:p>
    <w:p w14:paraId="50A951B3" w14:textId="307B5EEC" w:rsidR="002D66F3" w:rsidRPr="00360A40" w:rsidRDefault="002D66F3" w:rsidP="00360A40">
      <w:pPr>
        <w:pStyle w:val="Szvegtrzs"/>
        <w:keepNext/>
        <w:widowControl/>
        <w:kinsoku w:val="0"/>
        <w:overflowPunct w:val="0"/>
        <w:ind w:left="0"/>
        <w:rPr>
          <w:lang w:val="hu-HU"/>
        </w:rPr>
      </w:pPr>
      <w:r w:rsidRPr="00360A40">
        <w:rPr>
          <w:lang w:val="hu-HU"/>
        </w:rPr>
        <w:t>Hepatocyta</w:t>
      </w:r>
      <w:r w:rsidR="00AB6D0D" w:rsidRPr="00360A40">
        <w:rPr>
          <w:lang w:val="hu-HU"/>
        </w:rPr>
        <w:t>-</w:t>
      </w:r>
      <w:r w:rsidRPr="00360A40">
        <w:rPr>
          <w:lang w:val="hu-HU"/>
        </w:rPr>
        <w:t xml:space="preserve">degenerációt és/vagy nekrózist figyeltek meg </w:t>
      </w:r>
      <w:r w:rsidR="004A32AB">
        <w:rPr>
          <w:lang w:val="hu-HU"/>
        </w:rPr>
        <w:t>egereknél</w:t>
      </w:r>
      <w:r w:rsidRPr="00360A40">
        <w:rPr>
          <w:lang w:val="hu-HU"/>
        </w:rPr>
        <w:t xml:space="preserve">, </w:t>
      </w:r>
      <w:r w:rsidR="004A32AB">
        <w:rPr>
          <w:lang w:val="hu-HU"/>
        </w:rPr>
        <w:t>patkányoknál</w:t>
      </w:r>
      <w:r w:rsidRPr="00360A40">
        <w:rPr>
          <w:lang w:val="hu-HU"/>
        </w:rPr>
        <w:t xml:space="preserve"> és </w:t>
      </w:r>
      <w:r w:rsidR="004A32AB">
        <w:rPr>
          <w:lang w:val="hu-HU"/>
        </w:rPr>
        <w:t>kutyáknál</w:t>
      </w:r>
      <w:r w:rsidRPr="00360A40">
        <w:rPr>
          <w:lang w:val="hu-HU"/>
        </w:rPr>
        <w:t>, gyakran a szérum</w:t>
      </w:r>
      <w:r w:rsidR="00AB6D0D" w:rsidRPr="00360A40">
        <w:rPr>
          <w:lang w:val="hu-HU"/>
        </w:rPr>
        <w:t>-</w:t>
      </w:r>
      <w:r w:rsidRPr="00360A40">
        <w:rPr>
          <w:lang w:val="hu-HU"/>
        </w:rPr>
        <w:t xml:space="preserve">májenzimszintek emelkedésével együtt, megbetegedést vagy halált okozó, illetve rosszul tolerált dózisoknál. Tartós kezelés során </w:t>
      </w:r>
      <w:r w:rsidR="004A32AB">
        <w:rPr>
          <w:lang w:val="hu-HU"/>
        </w:rPr>
        <w:t>patkányoknál</w:t>
      </w:r>
      <w:r w:rsidRPr="00360A40">
        <w:rPr>
          <w:lang w:val="hu-HU"/>
        </w:rPr>
        <w:t xml:space="preserve"> (28</w:t>
      </w:r>
      <w:r w:rsidR="00BC36B4" w:rsidRPr="00360A40">
        <w:rPr>
          <w:lang w:val="hu-HU"/>
        </w:rPr>
        <w:t> </w:t>
      </w:r>
      <w:r w:rsidRPr="00360A40">
        <w:rPr>
          <w:lang w:val="hu-HU"/>
        </w:rPr>
        <w:t xml:space="preserve">hét) illetve </w:t>
      </w:r>
      <w:r w:rsidR="004A32AB">
        <w:rPr>
          <w:lang w:val="hu-HU"/>
        </w:rPr>
        <w:t>kutyáknál</w:t>
      </w:r>
      <w:r w:rsidRPr="00360A40">
        <w:rPr>
          <w:lang w:val="hu-HU"/>
        </w:rPr>
        <w:t xml:space="preserve"> (52</w:t>
      </w:r>
      <w:r w:rsidR="00BC36B4" w:rsidRPr="00360A40">
        <w:rPr>
          <w:lang w:val="hu-HU"/>
        </w:rPr>
        <w:t> </w:t>
      </w:r>
      <w:r w:rsidRPr="00360A40">
        <w:rPr>
          <w:lang w:val="hu-HU"/>
        </w:rPr>
        <w:t>hét) nem észleltek hepatikus hatásokat az AUC alapján számított, 75</w:t>
      </w:r>
      <w:r w:rsidR="00BC36B4" w:rsidRPr="00360A40">
        <w:rPr>
          <w:lang w:val="hu-HU"/>
        </w:rPr>
        <w:t> </w:t>
      </w:r>
      <w:r w:rsidRPr="00360A40">
        <w:rPr>
          <w:lang w:val="hu-HU"/>
        </w:rPr>
        <w:t>mg/nap adagot kapó felnőtt ITP-s betegeken alapuló humán klinikai expozíció 4- illetve 2-szeresénél, valamint gyermek</w:t>
      </w:r>
      <w:r w:rsidR="002827B0">
        <w:rPr>
          <w:lang w:val="hu-HU"/>
        </w:rPr>
        <w:t>- és serdülőkorú</w:t>
      </w:r>
      <w:r w:rsidRPr="00360A40">
        <w:rPr>
          <w:lang w:val="hu-HU"/>
        </w:rPr>
        <w:t xml:space="preserve"> ITP-s betegeken alapuló humán klinikai expozíció 3- vagy 2-szeresénél, amely egyenértékű a 100</w:t>
      </w:r>
      <w:r w:rsidR="00BC36B4" w:rsidRPr="00360A40">
        <w:rPr>
          <w:lang w:val="hu-HU"/>
        </w:rPr>
        <w:t> </w:t>
      </w:r>
      <w:r w:rsidRPr="00360A40">
        <w:rPr>
          <w:lang w:val="hu-HU"/>
        </w:rPr>
        <w:t>mg/nap adagot kapó HCV-s betegeken alapuló humán klinikai expozícióval.</w:t>
      </w:r>
    </w:p>
    <w:p w14:paraId="0AB02B41" w14:textId="77777777" w:rsidR="002D66F3" w:rsidRPr="00360A40" w:rsidRDefault="002D66F3" w:rsidP="00360A40">
      <w:pPr>
        <w:pStyle w:val="Szvegtrzs"/>
        <w:kinsoku w:val="0"/>
        <w:overflowPunct w:val="0"/>
        <w:ind w:left="0"/>
        <w:rPr>
          <w:lang w:val="hu-HU"/>
        </w:rPr>
      </w:pPr>
    </w:p>
    <w:p w14:paraId="4FA3B8D0" w14:textId="3E8098B1" w:rsidR="002D66F3" w:rsidRPr="00360A40" w:rsidRDefault="002D66F3" w:rsidP="00360A40">
      <w:pPr>
        <w:pStyle w:val="Szvegtrzs"/>
        <w:kinsoku w:val="0"/>
        <w:overflowPunct w:val="0"/>
        <w:ind w:left="0"/>
        <w:rPr>
          <w:lang w:val="hu-HU"/>
        </w:rPr>
      </w:pPr>
      <w:r w:rsidRPr="00360A40">
        <w:rPr>
          <w:lang w:val="hu-HU"/>
        </w:rPr>
        <w:t xml:space="preserve">Rövid távú vizsgálatokban, </w:t>
      </w:r>
      <w:r w:rsidR="004A32AB">
        <w:rPr>
          <w:lang w:val="hu-HU"/>
        </w:rPr>
        <w:t>patkányoknál</w:t>
      </w:r>
      <w:r w:rsidRPr="00360A40">
        <w:rPr>
          <w:lang w:val="hu-HU"/>
        </w:rPr>
        <w:t xml:space="preserve"> és kutyák</w:t>
      </w:r>
      <w:r w:rsidR="004A32AB">
        <w:rPr>
          <w:lang w:val="hu-HU"/>
        </w:rPr>
        <w:t>nál</w:t>
      </w:r>
      <w:r w:rsidRPr="00360A40">
        <w:rPr>
          <w:lang w:val="hu-HU"/>
        </w:rPr>
        <w:t>, a rosszul tolerált dózisoknál (az AUC alapján számított, 75</w:t>
      </w:r>
      <w:r w:rsidR="00BC36B4"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több mint 10-szerese vagy több mint 7-szerese, illetve 100</w:t>
      </w:r>
      <w:r w:rsidR="00BC36B4" w:rsidRPr="00360A40">
        <w:rPr>
          <w:lang w:val="hu-HU"/>
        </w:rPr>
        <w:t> </w:t>
      </w:r>
      <w:r w:rsidRPr="00360A40">
        <w:rPr>
          <w:lang w:val="hu-HU"/>
        </w:rPr>
        <w:t xml:space="preserve">mg/nap adagot kapó HCV-s betegeken alapuló humán klinikai expozíció &gt;4-szerese) a retikulocitaszám csökkenését és regeneratív csontvelő erythroid hyperplasiát (csak </w:t>
      </w:r>
      <w:r w:rsidR="004A32AB">
        <w:rPr>
          <w:lang w:val="hu-HU"/>
        </w:rPr>
        <w:t>patkányoknál</w:t>
      </w:r>
      <w:r w:rsidRPr="00360A40">
        <w:rPr>
          <w:lang w:val="hu-HU"/>
        </w:rPr>
        <w:t xml:space="preserve">) figyeltek meg. Nem voltak figyelemre méltó hatások a vörösvértest tömeget és a retikulocitaszámot illetően </w:t>
      </w:r>
      <w:r w:rsidR="004A32AB">
        <w:rPr>
          <w:lang w:val="hu-HU"/>
        </w:rPr>
        <w:t>patkányoknál</w:t>
      </w:r>
      <w:r w:rsidRPr="00360A40">
        <w:rPr>
          <w:lang w:val="hu-HU"/>
        </w:rPr>
        <w:t xml:space="preserve"> legfeljebb 28</w:t>
      </w:r>
      <w:r w:rsidR="00BC36B4" w:rsidRPr="00360A40">
        <w:rPr>
          <w:lang w:val="hu-HU"/>
        </w:rPr>
        <w:t> </w:t>
      </w:r>
      <w:r w:rsidRPr="00360A40">
        <w:rPr>
          <w:lang w:val="hu-HU"/>
        </w:rPr>
        <w:t xml:space="preserve">hétig tartó, </w:t>
      </w:r>
      <w:r w:rsidR="004A32AB">
        <w:rPr>
          <w:lang w:val="hu-HU"/>
        </w:rPr>
        <w:t>kutyáknál</w:t>
      </w:r>
      <w:r w:rsidRPr="00360A40">
        <w:rPr>
          <w:lang w:val="hu-HU"/>
        </w:rPr>
        <w:t xml:space="preserve"> legfeljebb 52</w:t>
      </w:r>
      <w:r w:rsidR="00230943" w:rsidRPr="00360A40">
        <w:rPr>
          <w:lang w:val="hu-HU"/>
        </w:rPr>
        <w:t> </w:t>
      </w:r>
      <w:r w:rsidRPr="00360A40">
        <w:rPr>
          <w:lang w:val="hu-HU"/>
        </w:rPr>
        <w:t xml:space="preserve">hétig tartó és </w:t>
      </w:r>
      <w:r w:rsidR="004A32AB">
        <w:rPr>
          <w:lang w:val="hu-HU"/>
        </w:rPr>
        <w:t>egereknél</w:t>
      </w:r>
      <w:r w:rsidRPr="00360A40">
        <w:rPr>
          <w:lang w:val="hu-HU"/>
        </w:rPr>
        <w:t xml:space="preserve"> legfeljebb 2</w:t>
      </w:r>
      <w:r w:rsidR="00230943" w:rsidRPr="00360A40">
        <w:rPr>
          <w:lang w:val="hu-HU"/>
        </w:rPr>
        <w:t> </w:t>
      </w:r>
      <w:r w:rsidRPr="00360A40">
        <w:rPr>
          <w:lang w:val="hu-HU"/>
        </w:rPr>
        <w:t>évig tartó kezelés során a legnagyobb tolerált adagoknál, melyek az AUC alapján számított, 75</w:t>
      </w:r>
      <w:r w:rsidR="00230943"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2-4-szeresét,</w:t>
      </w:r>
      <w:r w:rsidR="002A2DEB" w:rsidRPr="00360A40">
        <w:rPr>
          <w:lang w:val="hu-HU"/>
        </w:rPr>
        <w:t xml:space="preserve"> </w:t>
      </w:r>
      <w:r w:rsidRPr="00360A40">
        <w:rPr>
          <w:lang w:val="hu-HU"/>
        </w:rPr>
        <w:t>illetve 100</w:t>
      </w:r>
      <w:r w:rsidR="00230943" w:rsidRPr="00360A40">
        <w:rPr>
          <w:lang w:val="hu-HU"/>
        </w:rPr>
        <w:t> </w:t>
      </w:r>
      <w:r w:rsidRPr="00360A40">
        <w:rPr>
          <w:lang w:val="hu-HU"/>
        </w:rPr>
        <w:t>mg/nap adagot kapó HCV-s betegeken alapuló humán klinikai expozíció ≤</w:t>
      </w:r>
      <w:r w:rsidR="00230943" w:rsidRPr="00360A40">
        <w:rPr>
          <w:lang w:val="hu-HU"/>
        </w:rPr>
        <w:t> </w:t>
      </w:r>
      <w:r w:rsidRPr="00360A40">
        <w:rPr>
          <w:lang w:val="hu-HU"/>
        </w:rPr>
        <w:t>2-szeresét tették ki.</w:t>
      </w:r>
    </w:p>
    <w:p w14:paraId="56F5DBFA" w14:textId="77777777" w:rsidR="002D66F3" w:rsidRPr="00360A40" w:rsidRDefault="002D66F3" w:rsidP="00360A40">
      <w:pPr>
        <w:pStyle w:val="Szvegtrzs"/>
        <w:kinsoku w:val="0"/>
        <w:overflowPunct w:val="0"/>
        <w:ind w:left="0"/>
        <w:rPr>
          <w:lang w:val="hu-HU"/>
        </w:rPr>
      </w:pPr>
    </w:p>
    <w:p w14:paraId="24F391D3" w14:textId="3BB2B00B" w:rsidR="002D66F3" w:rsidRPr="00360A40" w:rsidRDefault="002D66F3" w:rsidP="00360A40">
      <w:pPr>
        <w:pStyle w:val="Szvegtrzs"/>
        <w:kinsoku w:val="0"/>
        <w:overflowPunct w:val="0"/>
        <w:ind w:left="0"/>
        <w:rPr>
          <w:lang w:val="hu-HU"/>
        </w:rPr>
      </w:pPr>
      <w:r w:rsidRPr="00360A40">
        <w:rPr>
          <w:lang w:val="hu-HU"/>
        </w:rPr>
        <w:t>Egy 28</w:t>
      </w:r>
      <w:r w:rsidR="00230943" w:rsidRPr="00360A40">
        <w:rPr>
          <w:lang w:val="hu-HU"/>
        </w:rPr>
        <w:t> </w:t>
      </w:r>
      <w:r w:rsidRPr="00360A40">
        <w:rPr>
          <w:lang w:val="hu-HU"/>
        </w:rPr>
        <w:t xml:space="preserve">hetes toxicitási vizsgálatban endostealis hyperostosist figyeltek meg </w:t>
      </w:r>
      <w:r w:rsidR="004A32AB">
        <w:rPr>
          <w:lang w:val="hu-HU"/>
        </w:rPr>
        <w:t>patkányoknál</w:t>
      </w:r>
      <w:r w:rsidRPr="00360A40">
        <w:rPr>
          <w:lang w:val="hu-HU"/>
        </w:rPr>
        <w:t xml:space="preserve"> napi 60</w:t>
      </w:r>
      <w:r w:rsidR="00230943" w:rsidRPr="00360A40">
        <w:rPr>
          <w:lang w:val="hu-HU"/>
        </w:rPr>
        <w:t> </w:t>
      </w:r>
      <w:r w:rsidRPr="00360A40">
        <w:rPr>
          <w:lang w:val="hu-HU"/>
        </w:rPr>
        <w:t>mg/ttkg nem tolerált dózisnál (az AUC alapján számított, 75</w:t>
      </w:r>
      <w:r w:rsidR="00230943" w:rsidRPr="00360A40">
        <w:rPr>
          <w:lang w:val="hu-HU"/>
        </w:rPr>
        <w:t> </w:t>
      </w:r>
      <w:r w:rsidRPr="00360A40">
        <w:rPr>
          <w:lang w:val="hu-HU"/>
        </w:rPr>
        <w:t>mg/nap adagot kapó felnőtt vagy</w:t>
      </w:r>
      <w:r w:rsidR="00C62B2A" w:rsidRPr="00360A40">
        <w:rPr>
          <w:lang w:val="hu-HU"/>
        </w:rPr>
        <w:t xml:space="preserve"> </w:t>
      </w:r>
      <w:r w:rsidRPr="00360A40">
        <w:rPr>
          <w:lang w:val="hu-HU"/>
        </w:rPr>
        <w:t>gyermek</w:t>
      </w:r>
      <w:r w:rsidR="002827B0">
        <w:rPr>
          <w:lang w:val="hu-HU"/>
        </w:rPr>
        <w:t>- és serdülőkorú</w:t>
      </w:r>
      <w:r w:rsidRPr="00360A40">
        <w:rPr>
          <w:lang w:val="hu-HU"/>
        </w:rPr>
        <w:t xml:space="preserve"> ITP-s betegeken alapuló humán klinikai expozíció 6-szorosa vagy 4-szerese, illetve 100</w:t>
      </w:r>
      <w:r w:rsidR="00230943" w:rsidRPr="00360A40">
        <w:rPr>
          <w:lang w:val="hu-HU"/>
        </w:rPr>
        <w:t> </w:t>
      </w:r>
      <w:r w:rsidRPr="00360A40">
        <w:rPr>
          <w:lang w:val="hu-HU"/>
        </w:rPr>
        <w:t>mg/nap adagot kapó HCV-s betegeken alapuló humán klinikai expozíció 3-szorosa).</w:t>
      </w:r>
    </w:p>
    <w:p w14:paraId="2F2E12C3" w14:textId="7421A237" w:rsidR="002D66F3" w:rsidRPr="00360A40" w:rsidRDefault="002D66F3" w:rsidP="00360A40">
      <w:pPr>
        <w:pStyle w:val="Szvegtrzs"/>
        <w:kinsoku w:val="0"/>
        <w:overflowPunct w:val="0"/>
        <w:ind w:left="0"/>
        <w:rPr>
          <w:lang w:val="hu-HU"/>
        </w:rPr>
      </w:pPr>
      <w:r w:rsidRPr="00360A40">
        <w:rPr>
          <w:lang w:val="hu-HU"/>
        </w:rPr>
        <w:t>Élethosszig tartó (2</w:t>
      </w:r>
      <w:r w:rsidR="00230943" w:rsidRPr="00360A40">
        <w:rPr>
          <w:lang w:val="hu-HU"/>
        </w:rPr>
        <w:t> </w:t>
      </w:r>
      <w:r w:rsidRPr="00360A40">
        <w:rPr>
          <w:lang w:val="hu-HU"/>
        </w:rPr>
        <w:t xml:space="preserve">éves) expozíciónál </w:t>
      </w:r>
      <w:r w:rsidR="00095772">
        <w:rPr>
          <w:lang w:val="hu-HU"/>
        </w:rPr>
        <w:t xml:space="preserve">nem figyeltek meg </w:t>
      </w:r>
      <w:r w:rsidRPr="00360A40">
        <w:rPr>
          <w:lang w:val="hu-HU"/>
        </w:rPr>
        <w:t xml:space="preserve">csontelváltozásokat </w:t>
      </w:r>
      <w:r w:rsidR="004A32AB">
        <w:rPr>
          <w:lang w:val="hu-HU"/>
        </w:rPr>
        <w:t>egereknél</w:t>
      </w:r>
      <w:r w:rsidR="00230943" w:rsidRPr="00360A40">
        <w:rPr>
          <w:lang w:val="hu-HU"/>
        </w:rPr>
        <w:t>,</w:t>
      </w:r>
      <w:r w:rsidRPr="00360A40">
        <w:rPr>
          <w:lang w:val="hu-HU"/>
        </w:rPr>
        <w:t xml:space="preserve"> illetve </w:t>
      </w:r>
      <w:r w:rsidR="004A32AB">
        <w:rPr>
          <w:lang w:val="hu-HU"/>
        </w:rPr>
        <w:t>patkányoknál</w:t>
      </w:r>
      <w:r w:rsidRPr="00360A40">
        <w:rPr>
          <w:lang w:val="hu-HU"/>
        </w:rPr>
        <w:t xml:space="preserve"> az AUC alapján számított, 75</w:t>
      </w:r>
      <w:r w:rsidR="00230943"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4-szeresénél vagy 2-szeresénél, illetve 100</w:t>
      </w:r>
      <w:r w:rsidR="00230943" w:rsidRPr="00360A40">
        <w:rPr>
          <w:lang w:val="hu-HU"/>
        </w:rPr>
        <w:t> </w:t>
      </w:r>
      <w:r w:rsidRPr="00360A40">
        <w:rPr>
          <w:lang w:val="hu-HU"/>
        </w:rPr>
        <w:t>mg/nap adagot kapó HCV-s betegeken alapuló humán klinikai expozíció 2-szeresénél.</w:t>
      </w:r>
    </w:p>
    <w:p w14:paraId="159284C8" w14:textId="77777777" w:rsidR="002D66F3" w:rsidRPr="00360A40" w:rsidRDefault="002D66F3" w:rsidP="00360A40">
      <w:pPr>
        <w:pStyle w:val="Szvegtrzs"/>
        <w:kinsoku w:val="0"/>
        <w:overflowPunct w:val="0"/>
        <w:ind w:left="0"/>
        <w:rPr>
          <w:lang w:val="hu-HU"/>
        </w:rPr>
      </w:pPr>
    </w:p>
    <w:p w14:paraId="30FC9A24" w14:textId="77777777" w:rsidR="002D66F3" w:rsidRPr="00360A40" w:rsidRDefault="002D66F3" w:rsidP="00360A40">
      <w:pPr>
        <w:pStyle w:val="Szvegtrzs"/>
        <w:kinsoku w:val="0"/>
        <w:overflowPunct w:val="0"/>
        <w:ind w:left="0"/>
        <w:rPr>
          <w:lang w:val="hu-HU"/>
        </w:rPr>
      </w:pPr>
      <w:r w:rsidRPr="00360A40">
        <w:rPr>
          <w:u w:val="single"/>
          <w:lang w:val="hu-HU"/>
        </w:rPr>
        <w:t>Karcinogenitás és mutagenitás</w:t>
      </w:r>
    </w:p>
    <w:p w14:paraId="65B2145E" w14:textId="77777777" w:rsidR="002D66F3" w:rsidRPr="00360A40" w:rsidRDefault="002D66F3" w:rsidP="00360A40">
      <w:pPr>
        <w:pStyle w:val="Szvegtrzs"/>
        <w:kinsoku w:val="0"/>
        <w:overflowPunct w:val="0"/>
        <w:ind w:left="0"/>
        <w:rPr>
          <w:lang w:val="hu-HU"/>
        </w:rPr>
      </w:pPr>
    </w:p>
    <w:p w14:paraId="3463DC0B" w14:textId="3B35CFA7" w:rsidR="002D66F3" w:rsidRPr="00360A40" w:rsidRDefault="002D66F3" w:rsidP="00360A40">
      <w:pPr>
        <w:pStyle w:val="Szvegtrzs"/>
        <w:kinsoku w:val="0"/>
        <w:overflowPunct w:val="0"/>
        <w:ind w:left="0"/>
        <w:rPr>
          <w:lang w:val="hu-HU"/>
        </w:rPr>
      </w:pPr>
      <w:r w:rsidRPr="00360A40">
        <w:rPr>
          <w:lang w:val="hu-HU"/>
        </w:rPr>
        <w:t xml:space="preserve">Az eltrombopag nem volt karcinogén </w:t>
      </w:r>
      <w:r w:rsidR="004A32AB">
        <w:rPr>
          <w:lang w:val="hu-HU"/>
        </w:rPr>
        <w:t>egereknél</w:t>
      </w:r>
      <w:r w:rsidRPr="00360A40">
        <w:rPr>
          <w:lang w:val="hu-HU"/>
        </w:rPr>
        <w:t xml:space="preserve"> legfeljebb napi 75</w:t>
      </w:r>
      <w:r w:rsidR="00230943" w:rsidRPr="00360A40">
        <w:rPr>
          <w:lang w:val="hu-HU"/>
        </w:rPr>
        <w:t> </w:t>
      </w:r>
      <w:r w:rsidRPr="00360A40">
        <w:rPr>
          <w:lang w:val="hu-HU"/>
        </w:rPr>
        <w:t xml:space="preserve">mg/ttkg-os adagoknál és </w:t>
      </w:r>
      <w:r w:rsidR="004A32AB">
        <w:rPr>
          <w:lang w:val="hu-HU"/>
        </w:rPr>
        <w:t>patkányoknál</w:t>
      </w:r>
      <w:r w:rsidRPr="00360A40">
        <w:rPr>
          <w:lang w:val="hu-HU"/>
        </w:rPr>
        <w:t xml:space="preserve"> legfeljebb napi 40</w:t>
      </w:r>
      <w:r w:rsidR="00230943" w:rsidRPr="00360A40">
        <w:rPr>
          <w:lang w:val="hu-HU"/>
        </w:rPr>
        <w:t> </w:t>
      </w:r>
      <w:r w:rsidRPr="00360A40">
        <w:rPr>
          <w:lang w:val="hu-HU"/>
        </w:rPr>
        <w:t>mg/ttkg-os adagoknál (az AUC alapján számított, 75</w:t>
      </w:r>
      <w:r w:rsidR="00230943"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expozíciók legfeljebb 4-szerese vagy 2-szerese, illetve 100</w:t>
      </w:r>
      <w:r w:rsidR="00230943" w:rsidRPr="00360A40">
        <w:rPr>
          <w:lang w:val="hu-HU"/>
        </w:rPr>
        <w:t> </w:t>
      </w:r>
      <w:r w:rsidRPr="00360A40">
        <w:rPr>
          <w:lang w:val="hu-HU"/>
        </w:rPr>
        <w:t>mg/nap adagot kapó HCV-s betegeken alapuló humán klinikai expozíció</w:t>
      </w:r>
      <w:r w:rsidR="002A2DEB" w:rsidRPr="00360A40">
        <w:rPr>
          <w:lang w:val="hu-HU"/>
        </w:rPr>
        <w:t xml:space="preserve"> </w:t>
      </w:r>
      <w:r w:rsidR="00095772">
        <w:rPr>
          <w:lang w:val="hu-HU"/>
        </w:rPr>
        <w:t>2-</w:t>
      </w:r>
      <w:r w:rsidRPr="00360A40">
        <w:rPr>
          <w:lang w:val="hu-HU"/>
        </w:rPr>
        <w:t>szerese). Az eltrombopag nem volt mutagén vagy klasztogén egy bakteriális mutációs kísérletsorozatban</w:t>
      </w:r>
      <w:r w:rsidR="00230943" w:rsidRPr="00360A40">
        <w:rPr>
          <w:lang w:val="hu-HU"/>
        </w:rPr>
        <w:t>,</w:t>
      </w:r>
      <w:r w:rsidRPr="00360A40">
        <w:rPr>
          <w:lang w:val="hu-HU"/>
        </w:rPr>
        <w:t xml:space="preserve"> illetve két </w:t>
      </w:r>
      <w:r w:rsidRPr="00360A40">
        <w:rPr>
          <w:i/>
          <w:iCs/>
          <w:lang w:val="hu-HU"/>
        </w:rPr>
        <w:t xml:space="preserve">in vivo </w:t>
      </w:r>
      <w:r w:rsidRPr="00360A40">
        <w:rPr>
          <w:lang w:val="hu-HU"/>
        </w:rPr>
        <w:t xml:space="preserve">kísérletsorozatban </w:t>
      </w:r>
      <w:r w:rsidR="004A32AB">
        <w:rPr>
          <w:lang w:val="hu-HU"/>
        </w:rPr>
        <w:t>patkányoknál</w:t>
      </w:r>
      <w:r w:rsidRPr="00360A40">
        <w:rPr>
          <w:lang w:val="hu-HU"/>
        </w:rPr>
        <w:t xml:space="preserve"> (mikronucleus és nem betervezett DNS szintézis, a C</w:t>
      </w:r>
      <w:r w:rsidR="00577A0B" w:rsidRPr="00577A0B">
        <w:rPr>
          <w:vertAlign w:val="subscript"/>
          <w:lang w:val="hu-HU"/>
        </w:rPr>
        <w:t>max</w:t>
      </w:r>
      <w:r w:rsidRPr="00360A40">
        <w:rPr>
          <w:lang w:val="hu-HU"/>
        </w:rPr>
        <w:t xml:space="preserve"> alapján számított, 75</w:t>
      </w:r>
      <w:r w:rsidR="00230943"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10-szeresénél vagy 8-szorosánál, illetve 100</w:t>
      </w:r>
      <w:r w:rsidR="00230943" w:rsidRPr="00360A40">
        <w:rPr>
          <w:lang w:val="hu-HU"/>
        </w:rPr>
        <w:t> </w:t>
      </w:r>
      <w:r w:rsidRPr="00360A40">
        <w:rPr>
          <w:lang w:val="hu-HU"/>
        </w:rPr>
        <w:t xml:space="preserve">mg/nap adagot kapó HCV-s betegeken alapuló humán klinikai expozíció 7-szeresénél). Az </w:t>
      </w:r>
      <w:r w:rsidRPr="00360A40">
        <w:rPr>
          <w:i/>
          <w:iCs/>
          <w:lang w:val="hu-HU"/>
        </w:rPr>
        <w:t xml:space="preserve">in vitro </w:t>
      </w:r>
      <w:r w:rsidRPr="00360A40">
        <w:rPr>
          <w:lang w:val="hu-HU"/>
        </w:rPr>
        <w:t xml:space="preserve">egér limfóma tesztsorozatban az eltrombopag marginálisan pozitív volt (a mutációk gyakoriságának kevesebb mint 3-szoros növekedése). Ezek az </w:t>
      </w:r>
      <w:r w:rsidRPr="00360A40">
        <w:rPr>
          <w:i/>
          <w:iCs/>
          <w:lang w:val="hu-HU"/>
        </w:rPr>
        <w:t xml:space="preserve">in vitro </w:t>
      </w:r>
      <w:r w:rsidRPr="00360A40">
        <w:rPr>
          <w:lang w:val="hu-HU"/>
        </w:rPr>
        <w:t xml:space="preserve">és </w:t>
      </w:r>
      <w:r w:rsidRPr="00360A40">
        <w:rPr>
          <w:i/>
          <w:iCs/>
          <w:lang w:val="hu-HU"/>
        </w:rPr>
        <w:t xml:space="preserve">in vivo </w:t>
      </w:r>
      <w:r w:rsidRPr="00360A40">
        <w:rPr>
          <w:lang w:val="hu-HU"/>
        </w:rPr>
        <w:t>hatások arra utalnak, hogy az eltrombopag nem jelent genotoxikus kockázatot az emberre.</w:t>
      </w:r>
    </w:p>
    <w:p w14:paraId="67A32057" w14:textId="77777777" w:rsidR="00EA221C" w:rsidRPr="00360A40" w:rsidRDefault="00EA221C" w:rsidP="00360A40">
      <w:pPr>
        <w:pStyle w:val="Szvegtrzs"/>
        <w:tabs>
          <w:tab w:val="left" w:pos="302"/>
        </w:tabs>
        <w:kinsoku w:val="0"/>
        <w:overflowPunct w:val="0"/>
        <w:ind w:left="0"/>
        <w:rPr>
          <w:lang w:val="hu-HU"/>
        </w:rPr>
      </w:pPr>
    </w:p>
    <w:p w14:paraId="15FC43F8" w14:textId="77777777" w:rsidR="002D66F3" w:rsidRPr="00360A40" w:rsidRDefault="002D66F3" w:rsidP="00360A40">
      <w:pPr>
        <w:pStyle w:val="Szvegtrzs"/>
        <w:kinsoku w:val="0"/>
        <w:overflowPunct w:val="0"/>
        <w:ind w:left="0"/>
        <w:rPr>
          <w:lang w:val="hu-HU"/>
        </w:rPr>
      </w:pPr>
      <w:r w:rsidRPr="00360A40">
        <w:rPr>
          <w:u w:val="single"/>
          <w:lang w:val="hu-HU"/>
        </w:rPr>
        <w:t>Reprodukciós toxicitás</w:t>
      </w:r>
    </w:p>
    <w:p w14:paraId="09C83F5D" w14:textId="77777777" w:rsidR="002D66F3" w:rsidRPr="00360A40" w:rsidRDefault="002D66F3" w:rsidP="00360A40">
      <w:pPr>
        <w:pStyle w:val="Szvegtrzs"/>
        <w:kinsoku w:val="0"/>
        <w:overflowPunct w:val="0"/>
        <w:ind w:left="0"/>
        <w:rPr>
          <w:lang w:val="hu-HU"/>
        </w:rPr>
      </w:pPr>
    </w:p>
    <w:p w14:paraId="62338416" w14:textId="33C208D9" w:rsidR="002D66F3" w:rsidRPr="00360A40" w:rsidRDefault="002D66F3" w:rsidP="00360A40">
      <w:pPr>
        <w:pStyle w:val="Szvegtrzs"/>
        <w:kinsoku w:val="0"/>
        <w:overflowPunct w:val="0"/>
        <w:ind w:left="0"/>
        <w:rPr>
          <w:lang w:val="hu-HU"/>
        </w:rPr>
      </w:pPr>
      <w:r w:rsidRPr="00360A40">
        <w:rPr>
          <w:lang w:val="hu-HU"/>
        </w:rPr>
        <w:t xml:space="preserve">Az eltrombopag nem befolyásolta a nőstény fertilitást, a korai embrionális fejlődést, vagy az embriofoetalis fejlődést </w:t>
      </w:r>
      <w:r w:rsidR="004A32AB">
        <w:rPr>
          <w:lang w:val="hu-HU"/>
        </w:rPr>
        <w:t>patkányoknál</w:t>
      </w:r>
      <w:r w:rsidRPr="00360A40">
        <w:rPr>
          <w:lang w:val="hu-HU"/>
        </w:rPr>
        <w:t>, legfeljebb napi 20</w:t>
      </w:r>
      <w:r w:rsidR="00230943" w:rsidRPr="00360A40">
        <w:rPr>
          <w:lang w:val="hu-HU"/>
        </w:rPr>
        <w:t> </w:t>
      </w:r>
      <w:r w:rsidRPr="00360A40">
        <w:rPr>
          <w:lang w:val="hu-HU"/>
        </w:rPr>
        <w:t>mg/ttkg-os adagoknál (az AUC alapján számított, 75</w:t>
      </w:r>
      <w:r w:rsidR="00230943" w:rsidRPr="00360A40">
        <w:rPr>
          <w:lang w:val="hu-HU"/>
        </w:rPr>
        <w:t> </w:t>
      </w:r>
      <w:r w:rsidRPr="00360A40">
        <w:rPr>
          <w:lang w:val="hu-HU"/>
        </w:rPr>
        <w:t>mg/nap adagot kapó felnőtt vagy serdülő (12–17 éves) ITP-s betegeken alapuló humán klinikai expozíció 2-szerese, amely egyenértékű a 100 mg/nap adagot kapó HCV-s betegeken alapuló humán klinikai expozícióval). Ugyancsak nem befolyásolta az embriofoetalis fejlődést nyulak</w:t>
      </w:r>
      <w:r w:rsidR="00095772">
        <w:rPr>
          <w:lang w:val="hu-HU"/>
        </w:rPr>
        <w:t>nál</w:t>
      </w:r>
      <w:r w:rsidRPr="00360A40">
        <w:rPr>
          <w:lang w:val="hu-HU"/>
        </w:rPr>
        <w:t xml:space="preserve"> legfeljebb napi 150</w:t>
      </w:r>
      <w:r w:rsidR="00230943" w:rsidRPr="00360A40">
        <w:rPr>
          <w:lang w:val="hu-HU"/>
        </w:rPr>
        <w:t> </w:t>
      </w:r>
      <w:r w:rsidRPr="00360A40">
        <w:rPr>
          <w:lang w:val="hu-HU"/>
        </w:rPr>
        <w:t>mg/ttkg-os adagoknál, amely a legmagasabb vizsgált dózis volt (az AUC alapján számított, 75</w:t>
      </w:r>
      <w:r w:rsidR="00230943" w:rsidRPr="00360A40">
        <w:rPr>
          <w:lang w:val="hu-HU"/>
        </w:rPr>
        <w:t> </w:t>
      </w:r>
      <w:r w:rsidRPr="00360A40">
        <w:rPr>
          <w:lang w:val="hu-HU"/>
        </w:rPr>
        <w:t>mg/nap adagot kapó ITP-s és 100</w:t>
      </w:r>
      <w:r w:rsidR="00230943" w:rsidRPr="00360A40">
        <w:rPr>
          <w:lang w:val="hu-HU"/>
        </w:rPr>
        <w:t> </w:t>
      </w:r>
      <w:r w:rsidRPr="00360A40">
        <w:rPr>
          <w:lang w:val="hu-HU"/>
        </w:rPr>
        <w:t>mg/nap adagot kapó HCV-s betegeken alapuló humán klinikai expozíció 0,3-0,5-szöröse). Mindazonáltal, az anyára nézve toxikus, napi 60</w:t>
      </w:r>
      <w:r w:rsidR="00230943" w:rsidRPr="00360A40">
        <w:rPr>
          <w:lang w:val="hu-HU"/>
        </w:rPr>
        <w:t> </w:t>
      </w:r>
      <w:r w:rsidRPr="00360A40">
        <w:rPr>
          <w:lang w:val="hu-HU"/>
        </w:rPr>
        <w:t>mg/ttkg dózisoknál (az AUC alapján számított, 75</w:t>
      </w:r>
      <w:r w:rsidR="00230943" w:rsidRPr="00360A40">
        <w:rPr>
          <w:lang w:val="hu-HU"/>
        </w:rPr>
        <w:t> </w:t>
      </w:r>
      <w:r w:rsidRPr="00360A40">
        <w:rPr>
          <w:lang w:val="hu-HU"/>
        </w:rPr>
        <w:t>mg/nap adagot kapó ITP-s betegeken alapuló humán klinikai expozíció 6-szorosa, illetve 100</w:t>
      </w:r>
      <w:r w:rsidR="00230943" w:rsidRPr="00360A40">
        <w:rPr>
          <w:lang w:val="hu-HU"/>
        </w:rPr>
        <w:t> </w:t>
      </w:r>
      <w:r w:rsidRPr="00360A40">
        <w:rPr>
          <w:lang w:val="hu-HU"/>
        </w:rPr>
        <w:t xml:space="preserve">mg/nap adagot kapó HCV-s betegeken alapuló humán klinikai expozíció 3-szorosa) az eltrombopag-kezelés </w:t>
      </w:r>
      <w:r w:rsidR="004A32AB">
        <w:rPr>
          <w:lang w:val="hu-HU"/>
        </w:rPr>
        <w:t>patkányoknál</w:t>
      </w:r>
      <w:r w:rsidRPr="00360A40">
        <w:rPr>
          <w:lang w:val="hu-HU"/>
        </w:rPr>
        <w:t xml:space="preserve"> az embrió elhalálozásával (megnövekedett pre- és post-implantációs veszteség), csökkent magzati test</w:t>
      </w:r>
      <w:r w:rsidR="004A32AB">
        <w:rPr>
          <w:lang w:val="hu-HU"/>
        </w:rPr>
        <w:t>tömegge</w:t>
      </w:r>
      <w:r w:rsidRPr="00360A40">
        <w:rPr>
          <w:lang w:val="hu-HU"/>
        </w:rPr>
        <w:t>l és a terhes méh súlyának csökkenésével járt együtt a nőstény fertilitás vizsgálatban, és a nyaki borda ritka előfordulásával, valamint csökkent magzati testtömeggel járt együtt az embriofoetalis fejlődési vizsgálatban. Az eltrombopag csak akkor alkalmazható terhesség alatt, ha a kezelés várható előnye ellensúlyozza a magzatra vonatkozó lehetséges kockázatot (lásd 4.6</w:t>
      </w:r>
      <w:r w:rsidR="00230943" w:rsidRPr="00360A40">
        <w:rPr>
          <w:lang w:val="hu-HU"/>
        </w:rPr>
        <w:t> </w:t>
      </w:r>
      <w:r w:rsidRPr="00360A40">
        <w:rPr>
          <w:lang w:val="hu-HU"/>
        </w:rPr>
        <w:t xml:space="preserve">pont). Az eltrombopag nem befolyásolta a hím fertilitást </w:t>
      </w:r>
      <w:r w:rsidR="004A32AB">
        <w:rPr>
          <w:lang w:val="hu-HU"/>
        </w:rPr>
        <w:t>patkányoknál</w:t>
      </w:r>
      <w:r w:rsidRPr="00360A40">
        <w:rPr>
          <w:lang w:val="hu-HU"/>
        </w:rPr>
        <w:t xml:space="preserve"> legfeljebb napi 40</w:t>
      </w:r>
      <w:r w:rsidR="00230943" w:rsidRPr="00360A40">
        <w:rPr>
          <w:lang w:val="hu-HU"/>
        </w:rPr>
        <w:t> </w:t>
      </w:r>
      <w:r w:rsidRPr="00360A40">
        <w:rPr>
          <w:lang w:val="hu-HU"/>
        </w:rPr>
        <w:t>mg/ttkg-os adagoknál, amely a legmagasabb vizsgált dózis volt (az AUC alapján számított, 75</w:t>
      </w:r>
      <w:r w:rsidR="00230943" w:rsidRPr="00360A40">
        <w:rPr>
          <w:lang w:val="hu-HU"/>
        </w:rPr>
        <w:t> </w:t>
      </w:r>
      <w:r w:rsidRPr="00360A40">
        <w:rPr>
          <w:lang w:val="hu-HU"/>
        </w:rPr>
        <w:t>mg/nap adagot kapó ITP-s betegeken alapuló humán klinikai expozíció 3-szorosa, illetve 100</w:t>
      </w:r>
      <w:r w:rsidR="00230943" w:rsidRPr="00360A40">
        <w:rPr>
          <w:lang w:val="hu-HU"/>
        </w:rPr>
        <w:t> </w:t>
      </w:r>
      <w:r w:rsidRPr="00360A40">
        <w:rPr>
          <w:lang w:val="hu-HU"/>
        </w:rPr>
        <w:t>mg/nap adagot kapó HCV-s betegeken alapuló humán klinikai expozíció 2-szerese). Patkányokon végzett pre- és postnatalis fejlődési vizsgálatban nem toxikus anyai dózisoknál (napi 10 és 20</w:t>
      </w:r>
      <w:r w:rsidR="00230943" w:rsidRPr="00360A40">
        <w:rPr>
          <w:lang w:val="hu-HU"/>
        </w:rPr>
        <w:t> </w:t>
      </w:r>
      <w:r w:rsidRPr="00360A40">
        <w:rPr>
          <w:lang w:val="hu-HU"/>
        </w:rPr>
        <w:t>mg/ttkg) nem találtak nemkívánatos hatást az F0 nőstény patkányok vemhességére, ellésére és szoptatására, valamint az utódok (F1) növekedésére, fejlődésére, idegi-viselkedési vagy reprodukciós funkcióira. Az F0 anyáknál történő gyógyszeralkalmazást követően az eltrombopagot az összes F1 patkánykölyök plazmájában kimutatták a teljes 22</w:t>
      </w:r>
      <w:r w:rsidR="00230943" w:rsidRPr="00360A40">
        <w:rPr>
          <w:lang w:val="hu-HU"/>
        </w:rPr>
        <w:t> </w:t>
      </w:r>
      <w:r w:rsidRPr="00360A40">
        <w:rPr>
          <w:lang w:val="hu-HU"/>
        </w:rPr>
        <w:t>órás mintavételi idő alatt, ami arra utal, hogy a patkánykölykök eltrombopag expozícióját valószínűleg a szoptatás eredményezte.</w:t>
      </w:r>
    </w:p>
    <w:p w14:paraId="6D5F2DC2" w14:textId="77777777" w:rsidR="002D66F3" w:rsidRPr="00360A40" w:rsidRDefault="002D66F3" w:rsidP="00360A40">
      <w:pPr>
        <w:pStyle w:val="Szvegtrzs"/>
        <w:kinsoku w:val="0"/>
        <w:overflowPunct w:val="0"/>
        <w:ind w:left="0"/>
        <w:rPr>
          <w:lang w:val="hu-HU"/>
        </w:rPr>
      </w:pPr>
    </w:p>
    <w:p w14:paraId="776B6FA6" w14:textId="77777777" w:rsidR="002D66F3" w:rsidRPr="00360A40" w:rsidRDefault="002D66F3" w:rsidP="00360A40">
      <w:pPr>
        <w:pStyle w:val="Szvegtrzs"/>
        <w:kinsoku w:val="0"/>
        <w:overflowPunct w:val="0"/>
        <w:ind w:left="0"/>
        <w:rPr>
          <w:lang w:val="hu-HU"/>
        </w:rPr>
      </w:pPr>
      <w:r w:rsidRPr="00360A40">
        <w:rPr>
          <w:u w:val="single"/>
          <w:lang w:val="hu-HU"/>
        </w:rPr>
        <w:t>Fototoxicitás</w:t>
      </w:r>
    </w:p>
    <w:p w14:paraId="6FA71D07" w14:textId="77777777" w:rsidR="002D66F3" w:rsidRPr="00360A40" w:rsidRDefault="002D66F3" w:rsidP="00360A40">
      <w:pPr>
        <w:pStyle w:val="Szvegtrzs"/>
        <w:kinsoku w:val="0"/>
        <w:overflowPunct w:val="0"/>
        <w:ind w:left="0"/>
        <w:rPr>
          <w:lang w:val="hu-HU"/>
        </w:rPr>
      </w:pPr>
    </w:p>
    <w:p w14:paraId="1BE7E119" w14:textId="18043275" w:rsidR="002D66F3" w:rsidRPr="00360A40" w:rsidRDefault="002D66F3" w:rsidP="00360A40">
      <w:pPr>
        <w:pStyle w:val="Szvegtrzs"/>
        <w:kinsoku w:val="0"/>
        <w:overflowPunct w:val="0"/>
        <w:ind w:left="0"/>
        <w:rPr>
          <w:lang w:val="hu-HU"/>
        </w:rPr>
      </w:pPr>
      <w:r w:rsidRPr="00360A40">
        <w:rPr>
          <w:lang w:val="hu-HU"/>
        </w:rPr>
        <w:t xml:space="preserve">Az eltrombopaggal végzett </w:t>
      </w:r>
      <w:r w:rsidRPr="00360A40">
        <w:rPr>
          <w:i/>
          <w:iCs/>
          <w:lang w:val="hu-HU"/>
        </w:rPr>
        <w:t xml:space="preserve">in vitro </w:t>
      </w:r>
      <w:r w:rsidRPr="00360A40">
        <w:rPr>
          <w:lang w:val="hu-HU"/>
        </w:rPr>
        <w:t xml:space="preserve">vizsgálatok felvetik a fototoxicitás kockázatának lehetőségét; azonban </w:t>
      </w:r>
      <w:r w:rsidR="004A32AB">
        <w:rPr>
          <w:lang w:val="hu-HU"/>
        </w:rPr>
        <w:t>rágcsálóknál</w:t>
      </w:r>
      <w:r w:rsidRPr="00360A40">
        <w:rPr>
          <w:lang w:val="hu-HU"/>
        </w:rPr>
        <w:t xml:space="preserve"> nem volt látható jele bőr-fototoxicitásnak (az AUC alapján számított,</w:t>
      </w:r>
      <w:r w:rsidR="00C62B2A" w:rsidRPr="00360A40">
        <w:rPr>
          <w:lang w:val="hu-HU"/>
        </w:rPr>
        <w:t xml:space="preserve"> </w:t>
      </w:r>
      <w:r w:rsidRPr="00360A40">
        <w:rPr>
          <w:lang w:val="hu-HU"/>
        </w:rPr>
        <w:t>75</w:t>
      </w:r>
      <w:r w:rsidR="00230943" w:rsidRPr="00360A40">
        <w:rPr>
          <w:lang w:val="hu-HU"/>
        </w:rPr>
        <w:t> </w:t>
      </w:r>
      <w:r w:rsidRPr="00360A40">
        <w:rPr>
          <w:lang w:val="hu-HU"/>
        </w:rPr>
        <w:t>mg/nap adagot kapó felnőtt vagy gyermek</w:t>
      </w:r>
      <w:r w:rsidR="002827B0">
        <w:rPr>
          <w:lang w:val="hu-HU"/>
        </w:rPr>
        <w:t>- és serdülőkorú</w:t>
      </w:r>
      <w:r w:rsidRPr="00360A40">
        <w:rPr>
          <w:lang w:val="hu-HU"/>
        </w:rPr>
        <w:t xml:space="preserve"> ITP-s betegeken alapuló humán klinikai expozíció 10-szerese vagy 7-szerese, illetve 100</w:t>
      </w:r>
      <w:r w:rsidR="00230943" w:rsidRPr="00360A40">
        <w:rPr>
          <w:lang w:val="hu-HU"/>
        </w:rPr>
        <w:t> </w:t>
      </w:r>
      <w:r w:rsidRPr="00360A40">
        <w:rPr>
          <w:lang w:val="hu-HU"/>
        </w:rPr>
        <w:t>mg/nap adagot kapó HCV-s betegeken alapuló humán klinikai expozíció 5-szöröse) vagy szem-fototoxicitásnak (az AUC alapján számított, 75 mg/nap adagot kapó felnőtt vagy gyermek</w:t>
      </w:r>
      <w:r w:rsidR="002827B0">
        <w:rPr>
          <w:lang w:val="hu-HU"/>
        </w:rPr>
        <w:t>- és serdülőkorú</w:t>
      </w:r>
      <w:r w:rsidRPr="00360A40">
        <w:rPr>
          <w:lang w:val="hu-HU"/>
        </w:rPr>
        <w:t xml:space="preserve"> ITP-s betegeken alapuló humán klinikai expozíció</w:t>
      </w:r>
      <w:r w:rsidR="00EA221C" w:rsidRPr="00360A40">
        <w:rPr>
          <w:lang w:val="hu-HU"/>
        </w:rPr>
        <w:t xml:space="preserve"> </w:t>
      </w:r>
      <w:r w:rsidR="005D57C1">
        <w:rPr>
          <w:rFonts w:eastAsia="SymbolMT"/>
          <w:lang w:val="pl-PL" w:eastAsia="en-GB"/>
        </w:rPr>
        <w:t>≥</w:t>
      </w:r>
      <w:r w:rsidRPr="00360A40">
        <w:rPr>
          <w:lang w:val="hu-HU"/>
        </w:rPr>
        <w:t>4-szerese, illetve 100</w:t>
      </w:r>
      <w:r w:rsidR="00230943" w:rsidRPr="00360A40">
        <w:rPr>
          <w:lang w:val="hu-HU"/>
        </w:rPr>
        <w:t> </w:t>
      </w:r>
      <w:r w:rsidRPr="00360A40">
        <w:rPr>
          <w:lang w:val="hu-HU"/>
        </w:rPr>
        <w:t>mg/nap adagot kapó HCV-s betegeken alapuló humán klinikai expozíció</w:t>
      </w:r>
      <w:r w:rsidR="00EA221C" w:rsidRPr="00360A40">
        <w:rPr>
          <w:lang w:val="hu-HU"/>
        </w:rPr>
        <w:t xml:space="preserve"> 3-</w:t>
      </w:r>
      <w:r w:rsidRPr="00360A40">
        <w:rPr>
          <w:lang w:val="hu-HU"/>
        </w:rPr>
        <w:t>szorosa). Továbbá, egy klinikai farmakológiai vizsgálatban 36</w:t>
      </w:r>
      <w:r w:rsidR="00230943" w:rsidRPr="00360A40">
        <w:rPr>
          <w:lang w:val="hu-HU"/>
        </w:rPr>
        <w:t> </w:t>
      </w:r>
      <w:r w:rsidRPr="00360A40">
        <w:rPr>
          <w:lang w:val="hu-HU"/>
        </w:rPr>
        <w:t>személynél nem volt bizonyíték arra, hogy a fényérzékenység fokozódott volna 75</w:t>
      </w:r>
      <w:r w:rsidR="00230943" w:rsidRPr="00360A40">
        <w:rPr>
          <w:lang w:val="hu-HU"/>
        </w:rPr>
        <w:t> </w:t>
      </w:r>
      <w:r w:rsidRPr="00360A40">
        <w:rPr>
          <w:lang w:val="hu-HU"/>
        </w:rPr>
        <w:t xml:space="preserve">mg eltrombopag adagolása után. Ezt a késleltetett fototoxicitási index segítségével mérték. Mindazonáltal, a fényallergia potenciális kockázata nem zárható ki, mivel </w:t>
      </w:r>
      <w:r w:rsidRPr="00360A40">
        <w:rPr>
          <w:lang w:val="hu-HU"/>
        </w:rPr>
        <w:lastRenderedPageBreak/>
        <w:t>nem végezhető specifikus preklinikai vizsgálat.</w:t>
      </w:r>
    </w:p>
    <w:p w14:paraId="29B345E3" w14:textId="77777777" w:rsidR="002D66F3" w:rsidRPr="00360A40" w:rsidRDefault="002D66F3" w:rsidP="00360A40">
      <w:pPr>
        <w:pStyle w:val="Szvegtrzs"/>
        <w:kinsoku w:val="0"/>
        <w:overflowPunct w:val="0"/>
        <w:ind w:left="0"/>
        <w:rPr>
          <w:lang w:val="hu-HU"/>
        </w:rPr>
      </w:pPr>
    </w:p>
    <w:p w14:paraId="5D8CEC15" w14:textId="77777777" w:rsidR="002D66F3" w:rsidRPr="00360A40" w:rsidRDefault="002D66F3" w:rsidP="00360A40">
      <w:pPr>
        <w:pStyle w:val="Szvegtrzs"/>
        <w:kinsoku w:val="0"/>
        <w:overflowPunct w:val="0"/>
        <w:ind w:left="0"/>
        <w:rPr>
          <w:lang w:val="hu-HU"/>
        </w:rPr>
      </w:pPr>
      <w:r w:rsidRPr="00360A40">
        <w:rPr>
          <w:u w:val="single"/>
          <w:lang w:val="hu-HU"/>
        </w:rPr>
        <w:t>Fiatal állatokkal végzett vizsgálatok</w:t>
      </w:r>
    </w:p>
    <w:p w14:paraId="0249BA93" w14:textId="77777777" w:rsidR="002D66F3" w:rsidRPr="00360A40" w:rsidRDefault="002D66F3" w:rsidP="00360A40">
      <w:pPr>
        <w:pStyle w:val="Szvegtrzs"/>
        <w:kinsoku w:val="0"/>
        <w:overflowPunct w:val="0"/>
        <w:ind w:left="0"/>
        <w:rPr>
          <w:lang w:val="hu-HU"/>
        </w:rPr>
      </w:pPr>
    </w:p>
    <w:p w14:paraId="61873DD1" w14:textId="5A09D2A7" w:rsidR="002D66F3" w:rsidRPr="00360A40" w:rsidRDefault="002D66F3" w:rsidP="00360A40">
      <w:pPr>
        <w:pStyle w:val="Szvegtrzs"/>
        <w:kinsoku w:val="0"/>
        <w:overflowPunct w:val="0"/>
        <w:ind w:left="0"/>
        <w:rPr>
          <w:lang w:val="hu-HU"/>
        </w:rPr>
      </w:pPr>
      <w:r w:rsidRPr="00360A40">
        <w:rPr>
          <w:lang w:val="hu-HU"/>
        </w:rPr>
        <w:t>Nem tolerálható dózisokban adagolva, az elválasztás előtt álló fiatal patkányoknál ocularis opacitást észleltek. Tolerálható dózisoknál nem figyeltek meg ocularis opacitást (lásd fent a „Farmakológiai biztonságossági és ismételt adagolású dózistoxicitási jellemzők” c. alpontot) Következésképpen, az AUC alapján meghatározott expozíciós határokat figyelembe véve az eltrombopaggal összefüggő szürkehályog kialakulásának kockázatát gyermekeknél és serdülőknél nem lehet kizárni. A fiatal patkányoknál nem észleltek arra utaló eredményeket, hogy az eltrombopag-kezelés mellett nagyobb a toxicitás kockázata az ITP-s gyermekeknél és serdülőknél, mint a felnőtteknél.</w:t>
      </w:r>
    </w:p>
    <w:p w14:paraId="45E326D6" w14:textId="70C574C8" w:rsidR="00EA221C" w:rsidRPr="00360A40" w:rsidRDefault="00EA221C" w:rsidP="00360A40">
      <w:pPr>
        <w:pStyle w:val="Szvegtrzs"/>
        <w:kinsoku w:val="0"/>
        <w:overflowPunct w:val="0"/>
        <w:ind w:left="0"/>
        <w:rPr>
          <w:lang w:val="hu-HU"/>
        </w:rPr>
      </w:pPr>
    </w:p>
    <w:p w14:paraId="621E2147" w14:textId="77777777" w:rsidR="00EA221C" w:rsidRPr="00360A40" w:rsidRDefault="00EA221C" w:rsidP="00360A40">
      <w:pPr>
        <w:pStyle w:val="Szvegtrzs"/>
        <w:kinsoku w:val="0"/>
        <w:overflowPunct w:val="0"/>
        <w:ind w:left="0"/>
        <w:rPr>
          <w:lang w:val="hu-HU"/>
        </w:rPr>
      </w:pPr>
    </w:p>
    <w:p w14:paraId="7867F983" w14:textId="1C0120CB" w:rsidR="002D66F3" w:rsidRPr="00360A40" w:rsidRDefault="00EA221C" w:rsidP="00360A40">
      <w:pPr>
        <w:pStyle w:val="Cmsor1"/>
        <w:kinsoku w:val="0"/>
        <w:overflowPunct w:val="0"/>
        <w:ind w:left="0" w:firstLine="0"/>
        <w:rPr>
          <w:b w:val="0"/>
          <w:bCs w:val="0"/>
          <w:lang w:val="hu-HU"/>
        </w:rPr>
      </w:pPr>
      <w:r w:rsidRPr="00360A40">
        <w:rPr>
          <w:lang w:val="hu-HU"/>
        </w:rPr>
        <w:t>6.</w:t>
      </w:r>
      <w:r w:rsidRPr="00360A40">
        <w:rPr>
          <w:lang w:val="hu-HU"/>
        </w:rPr>
        <w:tab/>
      </w:r>
      <w:r w:rsidR="002D66F3" w:rsidRPr="00360A40">
        <w:rPr>
          <w:lang w:val="hu-HU"/>
        </w:rPr>
        <w:t>GYÓGYSZERÉSZETI JELLEMZŐK</w:t>
      </w:r>
    </w:p>
    <w:p w14:paraId="47DC0389" w14:textId="77777777" w:rsidR="002D66F3" w:rsidRPr="00360A40" w:rsidRDefault="002D66F3" w:rsidP="00360A40">
      <w:pPr>
        <w:pStyle w:val="Szvegtrzs"/>
        <w:kinsoku w:val="0"/>
        <w:overflowPunct w:val="0"/>
        <w:ind w:left="0"/>
        <w:rPr>
          <w:b/>
          <w:bCs/>
          <w:lang w:val="hu-HU"/>
        </w:rPr>
      </w:pPr>
    </w:p>
    <w:p w14:paraId="5E807CCE" w14:textId="65C946A5" w:rsidR="002D66F3" w:rsidRPr="00360A40" w:rsidRDefault="00EA221C" w:rsidP="00360A40">
      <w:pPr>
        <w:pStyle w:val="Szvegtrzs"/>
        <w:kinsoku w:val="0"/>
        <w:overflowPunct w:val="0"/>
        <w:ind w:left="0"/>
        <w:rPr>
          <w:lang w:val="hu-HU"/>
        </w:rPr>
      </w:pPr>
      <w:r w:rsidRPr="00360A40">
        <w:rPr>
          <w:b/>
          <w:bCs/>
          <w:lang w:val="hu-HU"/>
        </w:rPr>
        <w:t>6.1</w:t>
      </w:r>
      <w:r w:rsidRPr="00360A40">
        <w:rPr>
          <w:b/>
          <w:bCs/>
          <w:lang w:val="hu-HU"/>
        </w:rPr>
        <w:tab/>
      </w:r>
      <w:r w:rsidR="002D66F3" w:rsidRPr="00360A40">
        <w:rPr>
          <w:b/>
          <w:bCs/>
          <w:lang w:val="hu-HU"/>
        </w:rPr>
        <w:t>Segédanyagok felsorolása</w:t>
      </w:r>
    </w:p>
    <w:p w14:paraId="0240C31B" w14:textId="77777777" w:rsidR="002D66F3" w:rsidRPr="00360A40" w:rsidRDefault="002D66F3" w:rsidP="00360A40">
      <w:pPr>
        <w:pStyle w:val="Szvegtrzs"/>
        <w:kinsoku w:val="0"/>
        <w:overflowPunct w:val="0"/>
        <w:ind w:left="0"/>
        <w:rPr>
          <w:b/>
          <w:bCs/>
          <w:lang w:val="hu-HU"/>
        </w:rPr>
      </w:pPr>
    </w:p>
    <w:p w14:paraId="0989953D" w14:textId="3ACFB4F9"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12,5</w:t>
      </w:r>
      <w:r w:rsidR="00FF776E" w:rsidRPr="00360A40">
        <w:rPr>
          <w:u w:val="single"/>
          <w:lang w:val="hu-HU"/>
        </w:rPr>
        <w:t> </w:t>
      </w:r>
      <w:r w:rsidR="002D66F3" w:rsidRPr="00360A40">
        <w:rPr>
          <w:u w:val="single"/>
          <w:lang w:val="hu-HU"/>
        </w:rPr>
        <w:t>mg filmtabletta</w:t>
      </w:r>
    </w:p>
    <w:p w14:paraId="7E2F0200" w14:textId="77777777" w:rsidR="002D66F3" w:rsidRPr="00360A40" w:rsidRDefault="002D66F3" w:rsidP="00360A40">
      <w:pPr>
        <w:pStyle w:val="Szvegtrzs"/>
        <w:kinsoku w:val="0"/>
        <w:overflowPunct w:val="0"/>
        <w:ind w:left="0"/>
        <w:rPr>
          <w:u w:val="single"/>
          <w:lang w:val="hu-HU"/>
        </w:rPr>
      </w:pPr>
    </w:p>
    <w:p w14:paraId="24BEA25A" w14:textId="77777777" w:rsidR="00FF776E" w:rsidRPr="00360A40" w:rsidRDefault="002D66F3" w:rsidP="00360A40">
      <w:pPr>
        <w:pStyle w:val="Szvegtrzs"/>
        <w:kinsoku w:val="0"/>
        <w:overflowPunct w:val="0"/>
        <w:ind w:left="0"/>
        <w:rPr>
          <w:lang w:val="hu-HU"/>
        </w:rPr>
      </w:pPr>
      <w:r w:rsidRPr="00360A40">
        <w:rPr>
          <w:i/>
          <w:iCs/>
          <w:u w:val="single"/>
          <w:lang w:val="hu-HU"/>
        </w:rPr>
        <w:t>Tablettamag</w:t>
      </w:r>
    </w:p>
    <w:p w14:paraId="576B4A2E" w14:textId="2AE7A3A5" w:rsidR="00FF776E" w:rsidRPr="00360A40" w:rsidRDefault="00FF776E" w:rsidP="00360A40">
      <w:pPr>
        <w:pStyle w:val="Szvegtrzs"/>
        <w:kinsoku w:val="0"/>
        <w:overflowPunct w:val="0"/>
        <w:ind w:left="0"/>
        <w:rPr>
          <w:lang w:val="hu-HU"/>
        </w:rPr>
      </w:pPr>
      <w:r w:rsidRPr="00360A40">
        <w:rPr>
          <w:lang w:val="hu-HU"/>
        </w:rPr>
        <w:t>m</w:t>
      </w:r>
      <w:r w:rsidR="002D66F3" w:rsidRPr="00360A40">
        <w:rPr>
          <w:lang w:val="hu-HU"/>
        </w:rPr>
        <w:t>annit (E421)</w:t>
      </w:r>
    </w:p>
    <w:p w14:paraId="5D2D2C40" w14:textId="581357C8" w:rsidR="00FF776E" w:rsidRPr="00360A40" w:rsidRDefault="00FF776E" w:rsidP="00360A40">
      <w:pPr>
        <w:pStyle w:val="Szvegtrzs"/>
        <w:kinsoku w:val="0"/>
        <w:overflowPunct w:val="0"/>
        <w:ind w:left="0"/>
        <w:rPr>
          <w:lang w:val="hu-HU"/>
        </w:rPr>
      </w:pPr>
      <w:r w:rsidRPr="00360A40">
        <w:rPr>
          <w:lang w:val="hu-HU"/>
        </w:rPr>
        <w:t>m</w:t>
      </w:r>
      <w:r w:rsidR="002D66F3" w:rsidRPr="00360A40">
        <w:rPr>
          <w:lang w:val="hu-HU"/>
        </w:rPr>
        <w:t>ikrokristályos cellulóz</w:t>
      </w:r>
    </w:p>
    <w:p w14:paraId="6C6CBDB6" w14:textId="791B70A4" w:rsidR="002D66F3" w:rsidRPr="00360A40" w:rsidRDefault="00FF776E" w:rsidP="00360A40">
      <w:pPr>
        <w:pStyle w:val="Szvegtrzs"/>
        <w:kinsoku w:val="0"/>
        <w:overflowPunct w:val="0"/>
        <w:ind w:left="0"/>
        <w:rPr>
          <w:lang w:val="hu-HU"/>
        </w:rPr>
      </w:pPr>
      <w:r w:rsidRPr="00360A40">
        <w:rPr>
          <w:lang w:val="hu-HU"/>
        </w:rPr>
        <w:t>p</w:t>
      </w:r>
      <w:r w:rsidR="002D66F3" w:rsidRPr="00360A40">
        <w:rPr>
          <w:lang w:val="hu-HU"/>
        </w:rPr>
        <w:t>ovidon</w:t>
      </w:r>
    </w:p>
    <w:p w14:paraId="22B6ECA0" w14:textId="36FD7D0A" w:rsidR="002D66F3" w:rsidRPr="00360A40" w:rsidRDefault="00FF776E" w:rsidP="00360A40">
      <w:pPr>
        <w:pStyle w:val="Szvegtrzs"/>
        <w:kinsoku w:val="0"/>
        <w:overflowPunct w:val="0"/>
        <w:ind w:left="0"/>
        <w:rPr>
          <w:lang w:val="hu-HU"/>
        </w:rPr>
      </w:pPr>
      <w:r w:rsidRPr="00360A40">
        <w:rPr>
          <w:lang w:val="hu-HU"/>
        </w:rPr>
        <w:t>k</w:t>
      </w:r>
      <w:r w:rsidR="002D66F3" w:rsidRPr="00360A40">
        <w:rPr>
          <w:lang w:val="hu-HU"/>
        </w:rPr>
        <w:t>arboximetilkeményítő-nátrium</w:t>
      </w:r>
      <w:r w:rsidR="000F69E8" w:rsidRPr="00360A40">
        <w:rPr>
          <w:lang w:val="hu-HU"/>
        </w:rPr>
        <w:t xml:space="preserve"> </w:t>
      </w:r>
    </w:p>
    <w:p w14:paraId="06D2B18D" w14:textId="77777777" w:rsidR="00E31418" w:rsidRPr="00360A40" w:rsidRDefault="00E31418" w:rsidP="00360A40">
      <w:pPr>
        <w:pStyle w:val="Szvegtrzs"/>
        <w:kinsoku w:val="0"/>
        <w:overflowPunct w:val="0"/>
        <w:ind w:left="0"/>
        <w:rPr>
          <w:lang w:val="hu-HU"/>
        </w:rPr>
      </w:pPr>
      <w:r w:rsidRPr="00360A40">
        <w:rPr>
          <w:lang w:val="hu-HU"/>
        </w:rPr>
        <w:t>magnézium-sztearát</w:t>
      </w:r>
    </w:p>
    <w:p w14:paraId="4C6FFA10" w14:textId="77777777" w:rsidR="002D66F3" w:rsidRPr="00360A40" w:rsidRDefault="002D66F3" w:rsidP="00360A40">
      <w:pPr>
        <w:pStyle w:val="Szvegtrzs"/>
        <w:kinsoku w:val="0"/>
        <w:overflowPunct w:val="0"/>
        <w:ind w:left="0"/>
        <w:rPr>
          <w:lang w:val="hu-HU"/>
        </w:rPr>
      </w:pPr>
    </w:p>
    <w:p w14:paraId="37CC4C77" w14:textId="77777777" w:rsidR="00C62B2A" w:rsidRPr="00360A40" w:rsidRDefault="002D66F3" w:rsidP="00360A40">
      <w:pPr>
        <w:pStyle w:val="Szvegtrzs"/>
        <w:kinsoku w:val="0"/>
        <w:overflowPunct w:val="0"/>
        <w:ind w:left="0"/>
        <w:rPr>
          <w:i/>
          <w:iCs/>
          <w:lang w:val="hu-HU"/>
        </w:rPr>
      </w:pPr>
      <w:r w:rsidRPr="00360A40">
        <w:rPr>
          <w:i/>
          <w:iCs/>
          <w:u w:val="single"/>
          <w:lang w:val="hu-HU"/>
        </w:rPr>
        <w:t>Tablettabevonat</w:t>
      </w:r>
    </w:p>
    <w:p w14:paraId="376CC5F9" w14:textId="77777777" w:rsidR="00F93321" w:rsidRPr="00360A40" w:rsidRDefault="00F93321" w:rsidP="00360A40">
      <w:pPr>
        <w:pStyle w:val="Szvegtrzs"/>
        <w:kinsoku w:val="0"/>
        <w:overflowPunct w:val="0"/>
        <w:ind w:left="0"/>
        <w:rPr>
          <w:lang w:val="hu-HU"/>
        </w:rPr>
      </w:pPr>
      <w:r w:rsidRPr="00360A40">
        <w:rPr>
          <w:lang w:val="hu-HU"/>
        </w:rPr>
        <w:t>titán-dioxid (E171)</w:t>
      </w:r>
    </w:p>
    <w:p w14:paraId="4370974C" w14:textId="360CCE51" w:rsidR="00C62B2A" w:rsidRPr="00360A40" w:rsidRDefault="00C62B2A" w:rsidP="00360A40">
      <w:pPr>
        <w:pStyle w:val="Szvegtrzs"/>
        <w:kinsoku w:val="0"/>
        <w:overflowPunct w:val="0"/>
        <w:ind w:left="0"/>
        <w:rPr>
          <w:lang w:val="hu-HU"/>
        </w:rPr>
      </w:pPr>
      <w:r w:rsidRPr="00360A40">
        <w:rPr>
          <w:lang w:val="hu-HU"/>
        </w:rPr>
        <w:t>h</w:t>
      </w:r>
      <w:r w:rsidR="002D66F3" w:rsidRPr="00360A40">
        <w:rPr>
          <w:lang w:val="hu-HU"/>
        </w:rPr>
        <w:t>ipromellóz (E464)</w:t>
      </w:r>
    </w:p>
    <w:p w14:paraId="7ED91ACA" w14:textId="444A4CCB" w:rsidR="002D66F3" w:rsidRPr="00360A40" w:rsidRDefault="004B5898" w:rsidP="00360A40">
      <w:pPr>
        <w:pStyle w:val="Szvegtrzs"/>
        <w:kinsoku w:val="0"/>
        <w:overflowPunct w:val="0"/>
        <w:ind w:left="0"/>
        <w:rPr>
          <w:lang w:val="hu-HU"/>
        </w:rPr>
      </w:pPr>
      <w:r w:rsidRPr="00360A40">
        <w:rPr>
          <w:lang w:val="hu-HU"/>
        </w:rPr>
        <w:t>m</w:t>
      </w:r>
      <w:r w:rsidR="002D66F3" w:rsidRPr="00360A40">
        <w:rPr>
          <w:lang w:val="hu-HU"/>
        </w:rPr>
        <w:t>akrogol (E1521)</w:t>
      </w:r>
    </w:p>
    <w:p w14:paraId="2C732AA8" w14:textId="6231F54C" w:rsidR="00DD1B03" w:rsidRPr="00360A40" w:rsidRDefault="00F87C29" w:rsidP="00360A40">
      <w:pPr>
        <w:pStyle w:val="Szvegtrzs"/>
        <w:kinsoku w:val="0"/>
        <w:overflowPunct w:val="0"/>
        <w:ind w:left="0"/>
        <w:rPr>
          <w:lang w:val="hu-HU"/>
        </w:rPr>
      </w:pPr>
      <w:r w:rsidRPr="00360A40">
        <w:rPr>
          <w:lang w:val="hu-HU"/>
        </w:rPr>
        <w:t xml:space="preserve">poliszorbát 80 </w:t>
      </w:r>
      <w:r w:rsidR="00DD1B03" w:rsidRPr="00360A40">
        <w:rPr>
          <w:lang w:val="hu-HU"/>
        </w:rPr>
        <w:t>(</w:t>
      </w:r>
      <w:r w:rsidRPr="00360A40">
        <w:rPr>
          <w:lang w:val="hu-HU"/>
        </w:rPr>
        <w:t>E433</w:t>
      </w:r>
      <w:r w:rsidR="00DD1B03" w:rsidRPr="00360A40">
        <w:rPr>
          <w:lang w:val="hu-HU"/>
        </w:rPr>
        <w:t>)</w:t>
      </w:r>
    </w:p>
    <w:p w14:paraId="59384499" w14:textId="77777777" w:rsidR="002D66F3" w:rsidRPr="00360A40" w:rsidRDefault="002D66F3" w:rsidP="00360A40">
      <w:pPr>
        <w:pStyle w:val="Szvegtrzs"/>
        <w:kinsoku w:val="0"/>
        <w:overflowPunct w:val="0"/>
        <w:ind w:left="0"/>
        <w:rPr>
          <w:lang w:val="hu-HU"/>
        </w:rPr>
      </w:pPr>
    </w:p>
    <w:p w14:paraId="5EAC8C0E" w14:textId="57055A8B"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25</w:t>
      </w:r>
      <w:r w:rsidR="00F87C29" w:rsidRPr="00360A40">
        <w:rPr>
          <w:u w:val="single"/>
          <w:lang w:val="hu-HU"/>
        </w:rPr>
        <w:t> </w:t>
      </w:r>
      <w:r w:rsidR="002D66F3" w:rsidRPr="00360A40">
        <w:rPr>
          <w:u w:val="single"/>
          <w:lang w:val="hu-HU"/>
        </w:rPr>
        <w:t>mg filmtabletta</w:t>
      </w:r>
    </w:p>
    <w:p w14:paraId="1C85D333" w14:textId="77777777" w:rsidR="002D66F3" w:rsidRPr="00360A40" w:rsidRDefault="002D66F3" w:rsidP="00360A40">
      <w:pPr>
        <w:pStyle w:val="Szvegtrzs"/>
        <w:kinsoku w:val="0"/>
        <w:overflowPunct w:val="0"/>
        <w:ind w:left="0"/>
        <w:rPr>
          <w:lang w:val="hu-HU"/>
        </w:rPr>
      </w:pPr>
    </w:p>
    <w:p w14:paraId="4EDEBD47" w14:textId="77777777" w:rsidR="00F87C29" w:rsidRPr="00360A40" w:rsidRDefault="00F87C29" w:rsidP="00360A40">
      <w:pPr>
        <w:pStyle w:val="Szvegtrzs"/>
        <w:kinsoku w:val="0"/>
        <w:overflowPunct w:val="0"/>
        <w:ind w:left="0"/>
        <w:rPr>
          <w:lang w:val="hu-HU"/>
        </w:rPr>
      </w:pPr>
      <w:r w:rsidRPr="00360A40">
        <w:rPr>
          <w:i/>
          <w:iCs/>
          <w:u w:val="single"/>
          <w:lang w:val="hu-HU"/>
        </w:rPr>
        <w:t>Tablettamag</w:t>
      </w:r>
    </w:p>
    <w:p w14:paraId="52102F53" w14:textId="77777777" w:rsidR="00F87C29" w:rsidRPr="00360A40" w:rsidRDefault="00F87C29" w:rsidP="00360A40">
      <w:pPr>
        <w:pStyle w:val="Szvegtrzs"/>
        <w:kinsoku w:val="0"/>
        <w:overflowPunct w:val="0"/>
        <w:ind w:left="0"/>
        <w:rPr>
          <w:lang w:val="hu-HU"/>
        </w:rPr>
      </w:pPr>
      <w:r w:rsidRPr="00360A40">
        <w:rPr>
          <w:lang w:val="hu-HU"/>
        </w:rPr>
        <w:t>mannit (E421)</w:t>
      </w:r>
    </w:p>
    <w:p w14:paraId="51F45785" w14:textId="77777777" w:rsidR="00F87C29" w:rsidRPr="00360A40" w:rsidRDefault="00F87C29" w:rsidP="00360A40">
      <w:pPr>
        <w:pStyle w:val="Szvegtrzs"/>
        <w:kinsoku w:val="0"/>
        <w:overflowPunct w:val="0"/>
        <w:ind w:left="0"/>
        <w:rPr>
          <w:lang w:val="hu-HU"/>
        </w:rPr>
      </w:pPr>
      <w:r w:rsidRPr="00360A40">
        <w:rPr>
          <w:lang w:val="hu-HU"/>
        </w:rPr>
        <w:t>mikrokristályos cellulóz</w:t>
      </w:r>
    </w:p>
    <w:p w14:paraId="25CE7763" w14:textId="77777777" w:rsidR="00F87C29" w:rsidRPr="00360A40" w:rsidRDefault="00F87C29" w:rsidP="00360A40">
      <w:pPr>
        <w:pStyle w:val="Szvegtrzs"/>
        <w:kinsoku w:val="0"/>
        <w:overflowPunct w:val="0"/>
        <w:ind w:left="0"/>
        <w:rPr>
          <w:lang w:val="hu-HU"/>
        </w:rPr>
      </w:pPr>
      <w:r w:rsidRPr="00360A40">
        <w:rPr>
          <w:lang w:val="hu-HU"/>
        </w:rPr>
        <w:t>povidon</w:t>
      </w:r>
    </w:p>
    <w:p w14:paraId="7CC6E448" w14:textId="77777777" w:rsidR="00F87C29" w:rsidRPr="00360A40" w:rsidRDefault="00F87C29" w:rsidP="00360A40">
      <w:pPr>
        <w:pStyle w:val="Szvegtrzs"/>
        <w:kinsoku w:val="0"/>
        <w:overflowPunct w:val="0"/>
        <w:ind w:left="0"/>
        <w:rPr>
          <w:lang w:val="hu-HU"/>
        </w:rPr>
      </w:pPr>
      <w:r w:rsidRPr="00360A40">
        <w:rPr>
          <w:lang w:val="hu-HU"/>
        </w:rPr>
        <w:t xml:space="preserve">karboximetilkeményítő-nátrium </w:t>
      </w:r>
    </w:p>
    <w:p w14:paraId="75309DC2" w14:textId="77777777" w:rsidR="00F87C29" w:rsidRPr="00360A40" w:rsidRDefault="00F87C29" w:rsidP="00360A40">
      <w:pPr>
        <w:pStyle w:val="Szvegtrzs"/>
        <w:kinsoku w:val="0"/>
        <w:overflowPunct w:val="0"/>
        <w:ind w:left="0"/>
        <w:rPr>
          <w:lang w:val="hu-HU"/>
        </w:rPr>
      </w:pPr>
      <w:r w:rsidRPr="00360A40">
        <w:rPr>
          <w:lang w:val="hu-HU"/>
        </w:rPr>
        <w:t>magnézium-sztearát</w:t>
      </w:r>
    </w:p>
    <w:p w14:paraId="65210234" w14:textId="77777777" w:rsidR="00F87C29" w:rsidRPr="00360A40" w:rsidRDefault="00F87C29" w:rsidP="00360A40">
      <w:pPr>
        <w:pStyle w:val="Szvegtrzs"/>
        <w:kinsoku w:val="0"/>
        <w:overflowPunct w:val="0"/>
        <w:ind w:left="0"/>
        <w:rPr>
          <w:lang w:val="hu-HU"/>
        </w:rPr>
      </w:pPr>
    </w:p>
    <w:p w14:paraId="3E5E5FEE" w14:textId="77777777" w:rsidR="00F87C29" w:rsidRPr="00360A40" w:rsidRDefault="00F87C29" w:rsidP="00360A40">
      <w:pPr>
        <w:pStyle w:val="Szvegtrzs"/>
        <w:kinsoku w:val="0"/>
        <w:overflowPunct w:val="0"/>
        <w:ind w:left="0"/>
        <w:rPr>
          <w:i/>
          <w:iCs/>
          <w:lang w:val="hu-HU"/>
        </w:rPr>
      </w:pPr>
      <w:r w:rsidRPr="00360A40">
        <w:rPr>
          <w:i/>
          <w:iCs/>
          <w:u w:val="single"/>
          <w:lang w:val="hu-HU"/>
        </w:rPr>
        <w:t>Tablettabevonat</w:t>
      </w:r>
    </w:p>
    <w:p w14:paraId="4592FB89" w14:textId="77777777" w:rsidR="00F87C29" w:rsidRPr="00360A40" w:rsidRDefault="00F87C29" w:rsidP="00360A40">
      <w:pPr>
        <w:pStyle w:val="Szvegtrzs"/>
        <w:kinsoku w:val="0"/>
        <w:overflowPunct w:val="0"/>
        <w:ind w:left="0"/>
        <w:rPr>
          <w:lang w:val="hu-HU"/>
        </w:rPr>
      </w:pPr>
      <w:bookmarkStart w:id="1" w:name="_Hlk174382749"/>
      <w:r w:rsidRPr="00360A40">
        <w:rPr>
          <w:lang w:val="hu-HU"/>
        </w:rPr>
        <w:t>titán-dioxid (E171)</w:t>
      </w:r>
    </w:p>
    <w:p w14:paraId="32C89AF3" w14:textId="77777777" w:rsidR="00F87C29" w:rsidRPr="00360A40" w:rsidRDefault="00F87C29" w:rsidP="00360A40">
      <w:pPr>
        <w:pStyle w:val="Szvegtrzs"/>
        <w:kinsoku w:val="0"/>
        <w:overflowPunct w:val="0"/>
        <w:ind w:left="0"/>
        <w:rPr>
          <w:lang w:val="hu-HU"/>
        </w:rPr>
      </w:pPr>
      <w:r w:rsidRPr="00360A40">
        <w:rPr>
          <w:lang w:val="hu-HU"/>
        </w:rPr>
        <w:t>hipromellóz (E464)</w:t>
      </w:r>
    </w:p>
    <w:p w14:paraId="54ED307F" w14:textId="77777777" w:rsidR="00F87C29" w:rsidRPr="00360A40" w:rsidRDefault="00F87C29" w:rsidP="00360A40">
      <w:pPr>
        <w:pStyle w:val="Szvegtrzs"/>
        <w:kinsoku w:val="0"/>
        <w:overflowPunct w:val="0"/>
        <w:ind w:left="0"/>
        <w:rPr>
          <w:lang w:val="hu-HU"/>
        </w:rPr>
      </w:pPr>
      <w:r w:rsidRPr="00360A40">
        <w:rPr>
          <w:lang w:val="hu-HU"/>
        </w:rPr>
        <w:t>makrogol (E1521)</w:t>
      </w:r>
    </w:p>
    <w:p w14:paraId="2A6A5845" w14:textId="77777777" w:rsidR="00F87C29" w:rsidRPr="00360A40" w:rsidRDefault="00F87C29" w:rsidP="00360A40">
      <w:pPr>
        <w:pStyle w:val="Szvegtrzs"/>
        <w:kinsoku w:val="0"/>
        <w:overflowPunct w:val="0"/>
        <w:ind w:left="0"/>
        <w:rPr>
          <w:lang w:val="hu-HU"/>
        </w:rPr>
      </w:pPr>
      <w:bookmarkStart w:id="2" w:name="_Hlk174382613"/>
      <w:bookmarkEnd w:id="1"/>
      <w:r w:rsidRPr="00360A40">
        <w:rPr>
          <w:lang w:val="hu-HU"/>
        </w:rPr>
        <w:t>poliszorbát 80 (E433)</w:t>
      </w:r>
      <w:bookmarkEnd w:id="2"/>
    </w:p>
    <w:p w14:paraId="41C05126" w14:textId="77777777" w:rsidR="002D66F3" w:rsidRPr="00360A40" w:rsidRDefault="002D66F3" w:rsidP="00360A40">
      <w:pPr>
        <w:pStyle w:val="Szvegtrzs"/>
        <w:kinsoku w:val="0"/>
        <w:overflowPunct w:val="0"/>
        <w:ind w:left="0"/>
        <w:rPr>
          <w:lang w:val="hu-HU"/>
        </w:rPr>
      </w:pPr>
    </w:p>
    <w:p w14:paraId="09F5FCB2" w14:textId="6A53000B"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50</w:t>
      </w:r>
      <w:r w:rsidR="00F87C29" w:rsidRPr="00360A40">
        <w:rPr>
          <w:u w:val="single"/>
          <w:lang w:val="hu-HU"/>
        </w:rPr>
        <w:t> </w:t>
      </w:r>
      <w:r w:rsidR="002D66F3" w:rsidRPr="00360A40">
        <w:rPr>
          <w:u w:val="single"/>
          <w:lang w:val="hu-HU"/>
        </w:rPr>
        <w:t>mg filmtabletta</w:t>
      </w:r>
    </w:p>
    <w:p w14:paraId="3CEBDCA1" w14:textId="77777777" w:rsidR="002D66F3" w:rsidRPr="00360A40" w:rsidRDefault="002D66F3" w:rsidP="00360A40">
      <w:pPr>
        <w:pStyle w:val="Szvegtrzs"/>
        <w:kinsoku w:val="0"/>
        <w:overflowPunct w:val="0"/>
        <w:ind w:left="0"/>
        <w:rPr>
          <w:lang w:val="hu-HU"/>
        </w:rPr>
      </w:pPr>
    </w:p>
    <w:p w14:paraId="118F71A2" w14:textId="77777777" w:rsidR="00F87C29" w:rsidRPr="00360A40" w:rsidRDefault="00F87C29" w:rsidP="00360A40">
      <w:pPr>
        <w:pStyle w:val="Szvegtrzs"/>
        <w:kinsoku w:val="0"/>
        <w:overflowPunct w:val="0"/>
        <w:ind w:left="0"/>
        <w:rPr>
          <w:lang w:val="hu-HU"/>
        </w:rPr>
      </w:pPr>
      <w:r w:rsidRPr="00360A40">
        <w:rPr>
          <w:i/>
          <w:iCs/>
          <w:u w:val="single"/>
          <w:lang w:val="hu-HU"/>
        </w:rPr>
        <w:t>Tablettamag</w:t>
      </w:r>
    </w:p>
    <w:p w14:paraId="4707205A" w14:textId="77777777" w:rsidR="00F87C29" w:rsidRPr="00360A40" w:rsidRDefault="00F87C29" w:rsidP="00360A40">
      <w:pPr>
        <w:pStyle w:val="Szvegtrzs"/>
        <w:kinsoku w:val="0"/>
        <w:overflowPunct w:val="0"/>
        <w:ind w:left="0"/>
        <w:rPr>
          <w:lang w:val="hu-HU"/>
        </w:rPr>
      </w:pPr>
      <w:r w:rsidRPr="00360A40">
        <w:rPr>
          <w:lang w:val="hu-HU"/>
        </w:rPr>
        <w:t>mannit (E421)</w:t>
      </w:r>
    </w:p>
    <w:p w14:paraId="777107FD" w14:textId="77777777" w:rsidR="00F87C29" w:rsidRPr="00360A40" w:rsidRDefault="00F87C29" w:rsidP="00360A40">
      <w:pPr>
        <w:pStyle w:val="Szvegtrzs"/>
        <w:kinsoku w:val="0"/>
        <w:overflowPunct w:val="0"/>
        <w:ind w:left="0"/>
        <w:rPr>
          <w:lang w:val="hu-HU"/>
        </w:rPr>
      </w:pPr>
      <w:r w:rsidRPr="00360A40">
        <w:rPr>
          <w:lang w:val="hu-HU"/>
        </w:rPr>
        <w:t>mikrokristályos cellulóz</w:t>
      </w:r>
    </w:p>
    <w:p w14:paraId="464C794F" w14:textId="77777777" w:rsidR="00F87C29" w:rsidRPr="00360A40" w:rsidRDefault="00F87C29" w:rsidP="00360A40">
      <w:pPr>
        <w:pStyle w:val="Szvegtrzs"/>
        <w:kinsoku w:val="0"/>
        <w:overflowPunct w:val="0"/>
        <w:ind w:left="0"/>
        <w:rPr>
          <w:lang w:val="hu-HU"/>
        </w:rPr>
      </w:pPr>
      <w:r w:rsidRPr="00360A40">
        <w:rPr>
          <w:lang w:val="hu-HU"/>
        </w:rPr>
        <w:t>povidon</w:t>
      </w:r>
    </w:p>
    <w:p w14:paraId="7ED6A409" w14:textId="77777777" w:rsidR="00F87C29" w:rsidRPr="00360A40" w:rsidRDefault="00F87C29" w:rsidP="00360A40">
      <w:pPr>
        <w:pStyle w:val="Szvegtrzs"/>
        <w:kinsoku w:val="0"/>
        <w:overflowPunct w:val="0"/>
        <w:ind w:left="0"/>
        <w:rPr>
          <w:lang w:val="hu-HU"/>
        </w:rPr>
      </w:pPr>
      <w:r w:rsidRPr="00360A40">
        <w:rPr>
          <w:lang w:val="hu-HU"/>
        </w:rPr>
        <w:t xml:space="preserve">karboximetilkeményítő-nátrium </w:t>
      </w:r>
    </w:p>
    <w:p w14:paraId="0B5FF365" w14:textId="77777777" w:rsidR="00F87C29" w:rsidRPr="00360A40" w:rsidRDefault="00F87C29" w:rsidP="00360A40">
      <w:pPr>
        <w:pStyle w:val="Szvegtrzs"/>
        <w:kinsoku w:val="0"/>
        <w:overflowPunct w:val="0"/>
        <w:ind w:left="0"/>
        <w:rPr>
          <w:lang w:val="hu-HU"/>
        </w:rPr>
      </w:pPr>
      <w:r w:rsidRPr="00360A40">
        <w:rPr>
          <w:lang w:val="hu-HU"/>
        </w:rPr>
        <w:t>magnézium-sztearát</w:t>
      </w:r>
    </w:p>
    <w:p w14:paraId="7B09228F" w14:textId="77777777" w:rsidR="00F87C29" w:rsidRPr="00360A40" w:rsidRDefault="00F87C29" w:rsidP="00360A40">
      <w:pPr>
        <w:pStyle w:val="Szvegtrzs"/>
        <w:kinsoku w:val="0"/>
        <w:overflowPunct w:val="0"/>
        <w:ind w:left="0"/>
        <w:rPr>
          <w:lang w:val="hu-HU"/>
        </w:rPr>
      </w:pPr>
    </w:p>
    <w:p w14:paraId="287FC2FC" w14:textId="77777777" w:rsidR="00F87C29" w:rsidRPr="00360A40" w:rsidRDefault="00F87C29" w:rsidP="00360A40">
      <w:pPr>
        <w:pStyle w:val="Szvegtrzs"/>
        <w:kinsoku w:val="0"/>
        <w:overflowPunct w:val="0"/>
        <w:ind w:left="0"/>
        <w:rPr>
          <w:i/>
          <w:iCs/>
          <w:lang w:val="hu-HU"/>
        </w:rPr>
      </w:pPr>
      <w:r w:rsidRPr="00360A40">
        <w:rPr>
          <w:i/>
          <w:iCs/>
          <w:u w:val="single"/>
          <w:lang w:val="hu-HU"/>
        </w:rPr>
        <w:t>Tablettabevonat</w:t>
      </w:r>
    </w:p>
    <w:p w14:paraId="4867FAEA" w14:textId="77777777" w:rsidR="00F87C29" w:rsidRPr="00360A40" w:rsidRDefault="00F87C29" w:rsidP="00360A40">
      <w:pPr>
        <w:pStyle w:val="Szvegtrzs"/>
        <w:kinsoku w:val="0"/>
        <w:overflowPunct w:val="0"/>
        <w:ind w:left="0"/>
        <w:rPr>
          <w:lang w:val="hu-HU"/>
        </w:rPr>
      </w:pPr>
      <w:r w:rsidRPr="00360A40">
        <w:rPr>
          <w:lang w:val="hu-HU"/>
        </w:rPr>
        <w:lastRenderedPageBreak/>
        <w:t>titán-dioxid (E171)</w:t>
      </w:r>
    </w:p>
    <w:p w14:paraId="5811B3C8" w14:textId="77777777" w:rsidR="00F87C29" w:rsidRPr="00360A40" w:rsidRDefault="00F87C29" w:rsidP="00360A40">
      <w:pPr>
        <w:pStyle w:val="Szvegtrzs"/>
        <w:kinsoku w:val="0"/>
        <w:overflowPunct w:val="0"/>
        <w:ind w:left="0"/>
        <w:rPr>
          <w:lang w:val="hu-HU"/>
        </w:rPr>
      </w:pPr>
      <w:r w:rsidRPr="00360A40">
        <w:rPr>
          <w:lang w:val="hu-HU"/>
        </w:rPr>
        <w:t>hipromellóz (E464)</w:t>
      </w:r>
    </w:p>
    <w:p w14:paraId="3A2AD227" w14:textId="77777777" w:rsidR="00F87C29" w:rsidRPr="00360A40" w:rsidRDefault="00F87C29" w:rsidP="00360A40">
      <w:pPr>
        <w:pStyle w:val="Szvegtrzs"/>
        <w:kinsoku w:val="0"/>
        <w:overflowPunct w:val="0"/>
        <w:ind w:left="0"/>
        <w:rPr>
          <w:lang w:val="hu-HU"/>
        </w:rPr>
      </w:pPr>
      <w:r w:rsidRPr="00360A40">
        <w:rPr>
          <w:lang w:val="hu-HU"/>
        </w:rPr>
        <w:t>makrogol (E1521)</w:t>
      </w:r>
    </w:p>
    <w:p w14:paraId="3FDABF76" w14:textId="39CA7759" w:rsidR="00F87C29" w:rsidRPr="00360A40" w:rsidRDefault="00F87C29" w:rsidP="00360A40">
      <w:pPr>
        <w:pStyle w:val="Szvegtrzs"/>
        <w:kinsoku w:val="0"/>
        <w:overflowPunct w:val="0"/>
        <w:ind w:left="0"/>
        <w:rPr>
          <w:lang w:val="hu-HU"/>
        </w:rPr>
      </w:pPr>
      <w:r w:rsidRPr="00360A40">
        <w:rPr>
          <w:lang w:val="hu-HU"/>
        </w:rPr>
        <w:t>vörös vas-oxid (E172)</w:t>
      </w:r>
    </w:p>
    <w:p w14:paraId="4DA4693A" w14:textId="5663B4AA" w:rsidR="00F87C29" w:rsidRPr="00360A40" w:rsidRDefault="00F87C29" w:rsidP="00360A40">
      <w:pPr>
        <w:pStyle w:val="Szvegtrzs"/>
        <w:kinsoku w:val="0"/>
        <w:overflowPunct w:val="0"/>
        <w:ind w:left="0"/>
        <w:rPr>
          <w:lang w:val="hu-HU"/>
        </w:rPr>
      </w:pPr>
      <w:r w:rsidRPr="00360A40">
        <w:rPr>
          <w:lang w:val="hu-HU"/>
        </w:rPr>
        <w:t>sárga vas-oxid (E172)</w:t>
      </w:r>
    </w:p>
    <w:p w14:paraId="0337DFE2" w14:textId="77777777" w:rsidR="002D66F3" w:rsidRPr="00360A40" w:rsidRDefault="002D66F3" w:rsidP="00360A40">
      <w:pPr>
        <w:pStyle w:val="Szvegtrzs"/>
        <w:kinsoku w:val="0"/>
        <w:overflowPunct w:val="0"/>
        <w:ind w:left="0"/>
        <w:rPr>
          <w:lang w:val="hu-HU"/>
        </w:rPr>
      </w:pPr>
    </w:p>
    <w:p w14:paraId="119497F4" w14:textId="5896C010" w:rsidR="002D66F3" w:rsidRPr="00360A40" w:rsidRDefault="004873CF" w:rsidP="00360A40">
      <w:pPr>
        <w:pStyle w:val="Szvegtrzs"/>
        <w:kinsoku w:val="0"/>
        <w:overflowPunct w:val="0"/>
        <w:ind w:left="0"/>
        <w:rPr>
          <w:u w:val="single"/>
          <w:lang w:val="hu-HU"/>
        </w:rPr>
      </w:pPr>
      <w:r w:rsidRPr="00360A40">
        <w:rPr>
          <w:u w:val="single"/>
          <w:lang w:val="hu-HU"/>
        </w:rPr>
        <w:t xml:space="preserve">Eltrombopag </w:t>
      </w:r>
      <w:r w:rsidR="00182D80" w:rsidRPr="00360A40">
        <w:rPr>
          <w:u w:val="single"/>
          <w:lang w:val="hu-HU"/>
        </w:rPr>
        <w:t>Vipharm</w:t>
      </w:r>
      <w:r w:rsidR="002D66F3" w:rsidRPr="00360A40">
        <w:rPr>
          <w:u w:val="single"/>
          <w:lang w:val="hu-HU"/>
        </w:rPr>
        <w:t xml:space="preserve"> 75</w:t>
      </w:r>
      <w:r w:rsidR="00C62B2A" w:rsidRPr="00360A40">
        <w:rPr>
          <w:u w:val="single"/>
          <w:lang w:val="hu-HU"/>
        </w:rPr>
        <w:t> </w:t>
      </w:r>
      <w:r w:rsidR="002D66F3" w:rsidRPr="00360A40">
        <w:rPr>
          <w:u w:val="single"/>
          <w:lang w:val="hu-HU"/>
        </w:rPr>
        <w:t>mg filmtabletta</w:t>
      </w:r>
    </w:p>
    <w:p w14:paraId="31E09FD6" w14:textId="77777777" w:rsidR="00C62B2A" w:rsidRPr="00360A40" w:rsidRDefault="00C62B2A" w:rsidP="00360A40">
      <w:pPr>
        <w:pStyle w:val="Szvegtrzs"/>
        <w:kinsoku w:val="0"/>
        <w:overflowPunct w:val="0"/>
        <w:ind w:left="0"/>
        <w:rPr>
          <w:lang w:val="hu-HU"/>
        </w:rPr>
      </w:pPr>
    </w:p>
    <w:p w14:paraId="0BC4D2B7" w14:textId="77777777" w:rsidR="00F87C29" w:rsidRPr="00360A40" w:rsidRDefault="00F87C29" w:rsidP="00360A40">
      <w:pPr>
        <w:pStyle w:val="Szvegtrzs"/>
        <w:kinsoku w:val="0"/>
        <w:overflowPunct w:val="0"/>
        <w:ind w:left="0"/>
        <w:rPr>
          <w:lang w:val="hu-HU"/>
        </w:rPr>
      </w:pPr>
      <w:r w:rsidRPr="00360A40">
        <w:rPr>
          <w:i/>
          <w:iCs/>
          <w:u w:val="single"/>
          <w:lang w:val="hu-HU"/>
        </w:rPr>
        <w:t>Tablettamag</w:t>
      </w:r>
    </w:p>
    <w:p w14:paraId="18D460F8" w14:textId="77777777" w:rsidR="00F87C29" w:rsidRPr="00360A40" w:rsidRDefault="00F87C29" w:rsidP="00360A40">
      <w:pPr>
        <w:pStyle w:val="Szvegtrzs"/>
        <w:kinsoku w:val="0"/>
        <w:overflowPunct w:val="0"/>
        <w:ind w:left="0"/>
        <w:rPr>
          <w:lang w:val="hu-HU"/>
        </w:rPr>
      </w:pPr>
      <w:r w:rsidRPr="00360A40">
        <w:rPr>
          <w:lang w:val="hu-HU"/>
        </w:rPr>
        <w:t>mannit (E421)</w:t>
      </w:r>
    </w:p>
    <w:p w14:paraId="2698BD32" w14:textId="77777777" w:rsidR="00F87C29" w:rsidRPr="00360A40" w:rsidRDefault="00F87C29" w:rsidP="00360A40">
      <w:pPr>
        <w:pStyle w:val="Szvegtrzs"/>
        <w:kinsoku w:val="0"/>
        <w:overflowPunct w:val="0"/>
        <w:ind w:left="0"/>
        <w:rPr>
          <w:lang w:val="hu-HU"/>
        </w:rPr>
      </w:pPr>
      <w:r w:rsidRPr="00360A40">
        <w:rPr>
          <w:lang w:val="hu-HU"/>
        </w:rPr>
        <w:t>mikrokristályos cellulóz</w:t>
      </w:r>
    </w:p>
    <w:p w14:paraId="4C9EFC5B" w14:textId="77777777" w:rsidR="00F87C29" w:rsidRPr="00360A40" w:rsidRDefault="00F87C29" w:rsidP="00360A40">
      <w:pPr>
        <w:pStyle w:val="Szvegtrzs"/>
        <w:kinsoku w:val="0"/>
        <w:overflowPunct w:val="0"/>
        <w:ind w:left="0"/>
        <w:rPr>
          <w:lang w:val="hu-HU"/>
        </w:rPr>
      </w:pPr>
      <w:r w:rsidRPr="00360A40">
        <w:rPr>
          <w:lang w:val="hu-HU"/>
        </w:rPr>
        <w:t>povidon</w:t>
      </w:r>
    </w:p>
    <w:p w14:paraId="0A441D0F" w14:textId="77777777" w:rsidR="00F87C29" w:rsidRPr="00360A40" w:rsidRDefault="00F87C29" w:rsidP="00360A40">
      <w:pPr>
        <w:pStyle w:val="Szvegtrzs"/>
        <w:kinsoku w:val="0"/>
        <w:overflowPunct w:val="0"/>
        <w:ind w:left="0"/>
        <w:rPr>
          <w:lang w:val="hu-HU"/>
        </w:rPr>
      </w:pPr>
      <w:r w:rsidRPr="00360A40">
        <w:rPr>
          <w:lang w:val="hu-HU"/>
        </w:rPr>
        <w:t xml:space="preserve">karboximetilkeményítő-nátrium </w:t>
      </w:r>
    </w:p>
    <w:p w14:paraId="721B6E6F" w14:textId="77777777" w:rsidR="00F87C29" w:rsidRPr="00360A40" w:rsidRDefault="00F87C29" w:rsidP="00360A40">
      <w:pPr>
        <w:pStyle w:val="Szvegtrzs"/>
        <w:kinsoku w:val="0"/>
        <w:overflowPunct w:val="0"/>
        <w:ind w:left="0"/>
        <w:rPr>
          <w:lang w:val="hu-HU"/>
        </w:rPr>
      </w:pPr>
      <w:r w:rsidRPr="00360A40">
        <w:rPr>
          <w:lang w:val="hu-HU"/>
        </w:rPr>
        <w:t>magnézium-sztearát</w:t>
      </w:r>
    </w:p>
    <w:p w14:paraId="21689C0D" w14:textId="77777777" w:rsidR="00F87C29" w:rsidRPr="00360A40" w:rsidRDefault="00F87C29" w:rsidP="00360A40">
      <w:pPr>
        <w:pStyle w:val="Szvegtrzs"/>
        <w:kinsoku w:val="0"/>
        <w:overflowPunct w:val="0"/>
        <w:ind w:left="0"/>
        <w:rPr>
          <w:lang w:val="hu-HU"/>
        </w:rPr>
      </w:pPr>
    </w:p>
    <w:p w14:paraId="45375EC9" w14:textId="77777777" w:rsidR="00F87C29" w:rsidRPr="00360A40" w:rsidRDefault="00F87C29" w:rsidP="00360A40">
      <w:pPr>
        <w:pStyle w:val="Szvegtrzs"/>
        <w:kinsoku w:val="0"/>
        <w:overflowPunct w:val="0"/>
        <w:ind w:left="0"/>
        <w:rPr>
          <w:i/>
          <w:iCs/>
          <w:lang w:val="hu-HU"/>
        </w:rPr>
      </w:pPr>
      <w:r w:rsidRPr="00360A40">
        <w:rPr>
          <w:i/>
          <w:iCs/>
          <w:u w:val="single"/>
          <w:lang w:val="hu-HU"/>
        </w:rPr>
        <w:t>Tablettabevonat</w:t>
      </w:r>
    </w:p>
    <w:p w14:paraId="783C2A78" w14:textId="77777777" w:rsidR="00F87C29" w:rsidRPr="00360A40" w:rsidRDefault="00F87C29" w:rsidP="00360A40">
      <w:pPr>
        <w:pStyle w:val="Szvegtrzs"/>
        <w:kinsoku w:val="0"/>
        <w:overflowPunct w:val="0"/>
        <w:ind w:left="0"/>
        <w:rPr>
          <w:lang w:val="hu-HU"/>
        </w:rPr>
      </w:pPr>
      <w:r w:rsidRPr="00360A40">
        <w:rPr>
          <w:lang w:val="hu-HU"/>
        </w:rPr>
        <w:t>titán-dioxid (E171)</w:t>
      </w:r>
    </w:p>
    <w:p w14:paraId="37363B8D" w14:textId="77777777" w:rsidR="00F87C29" w:rsidRPr="00360A40" w:rsidRDefault="00F87C29" w:rsidP="00360A40">
      <w:pPr>
        <w:pStyle w:val="Szvegtrzs"/>
        <w:kinsoku w:val="0"/>
        <w:overflowPunct w:val="0"/>
        <w:ind w:left="0"/>
        <w:rPr>
          <w:lang w:val="hu-HU"/>
        </w:rPr>
      </w:pPr>
      <w:r w:rsidRPr="00360A40">
        <w:rPr>
          <w:lang w:val="hu-HU"/>
        </w:rPr>
        <w:t>hipromellóz (E464)</w:t>
      </w:r>
    </w:p>
    <w:p w14:paraId="369750BD" w14:textId="77777777" w:rsidR="00F87C29" w:rsidRPr="00360A40" w:rsidRDefault="00F87C29" w:rsidP="00360A40">
      <w:pPr>
        <w:pStyle w:val="Szvegtrzs"/>
        <w:kinsoku w:val="0"/>
        <w:overflowPunct w:val="0"/>
        <w:ind w:left="0"/>
        <w:rPr>
          <w:lang w:val="hu-HU"/>
        </w:rPr>
      </w:pPr>
      <w:r w:rsidRPr="00360A40">
        <w:rPr>
          <w:lang w:val="hu-HU"/>
        </w:rPr>
        <w:t>makrogol (E1521)</w:t>
      </w:r>
    </w:p>
    <w:p w14:paraId="54FCD464" w14:textId="77777777" w:rsidR="00F87C29" w:rsidRPr="00360A40" w:rsidRDefault="00F87C29" w:rsidP="00360A40">
      <w:pPr>
        <w:pStyle w:val="Szvegtrzs"/>
        <w:kinsoku w:val="0"/>
        <w:overflowPunct w:val="0"/>
        <w:ind w:left="0"/>
        <w:rPr>
          <w:lang w:val="hu-HU"/>
        </w:rPr>
      </w:pPr>
      <w:r w:rsidRPr="00360A40">
        <w:rPr>
          <w:lang w:val="hu-HU"/>
        </w:rPr>
        <w:t>vörös vas-oxid (E172)</w:t>
      </w:r>
    </w:p>
    <w:p w14:paraId="026CE962" w14:textId="67FCAA32" w:rsidR="00F87C29" w:rsidRPr="00360A40" w:rsidRDefault="00F87C29" w:rsidP="00360A40">
      <w:pPr>
        <w:pStyle w:val="Szvegtrzs"/>
        <w:kinsoku w:val="0"/>
        <w:overflowPunct w:val="0"/>
        <w:ind w:left="0"/>
        <w:rPr>
          <w:lang w:val="hu-HU"/>
        </w:rPr>
      </w:pPr>
      <w:r w:rsidRPr="00360A40">
        <w:rPr>
          <w:lang w:val="hu-HU"/>
        </w:rPr>
        <w:t>fekete vas-oxid (E172)</w:t>
      </w:r>
    </w:p>
    <w:p w14:paraId="69262DAB" w14:textId="77777777" w:rsidR="002D66F3" w:rsidRPr="00360A40" w:rsidRDefault="002D66F3" w:rsidP="00360A40">
      <w:pPr>
        <w:pStyle w:val="Szvegtrzs"/>
        <w:kinsoku w:val="0"/>
        <w:overflowPunct w:val="0"/>
        <w:ind w:left="0"/>
        <w:rPr>
          <w:lang w:val="hu-HU"/>
        </w:rPr>
      </w:pPr>
    </w:p>
    <w:p w14:paraId="78B2DFFF" w14:textId="7818011B" w:rsidR="002D66F3" w:rsidRPr="00360A40" w:rsidRDefault="00EA221C" w:rsidP="00360A40">
      <w:pPr>
        <w:pStyle w:val="Cmsor1"/>
        <w:kinsoku w:val="0"/>
        <w:overflowPunct w:val="0"/>
        <w:ind w:left="0" w:firstLine="0"/>
        <w:rPr>
          <w:b w:val="0"/>
          <w:bCs w:val="0"/>
          <w:lang w:val="hu-HU"/>
        </w:rPr>
      </w:pPr>
      <w:r w:rsidRPr="00360A40">
        <w:rPr>
          <w:lang w:val="hu-HU"/>
        </w:rPr>
        <w:t>6.2</w:t>
      </w:r>
      <w:r w:rsidRPr="00360A40">
        <w:rPr>
          <w:lang w:val="hu-HU"/>
        </w:rPr>
        <w:tab/>
      </w:r>
      <w:r w:rsidR="002D66F3" w:rsidRPr="00360A40">
        <w:rPr>
          <w:lang w:val="hu-HU"/>
        </w:rPr>
        <w:t>Inkompatibilitások</w:t>
      </w:r>
    </w:p>
    <w:p w14:paraId="0148228A" w14:textId="77777777" w:rsidR="002D66F3" w:rsidRPr="00360A40" w:rsidRDefault="002D66F3" w:rsidP="00360A40">
      <w:pPr>
        <w:pStyle w:val="Szvegtrzs"/>
        <w:kinsoku w:val="0"/>
        <w:overflowPunct w:val="0"/>
        <w:ind w:left="0"/>
        <w:rPr>
          <w:b/>
          <w:bCs/>
          <w:lang w:val="hu-HU"/>
        </w:rPr>
      </w:pPr>
    </w:p>
    <w:p w14:paraId="4761C6FF" w14:textId="77777777" w:rsidR="002D66F3" w:rsidRPr="00360A40" w:rsidRDefault="002D66F3" w:rsidP="00360A40">
      <w:pPr>
        <w:pStyle w:val="Szvegtrzs"/>
        <w:kinsoku w:val="0"/>
        <w:overflowPunct w:val="0"/>
        <w:ind w:left="0"/>
        <w:rPr>
          <w:lang w:val="hu-HU"/>
        </w:rPr>
      </w:pPr>
      <w:r w:rsidRPr="00360A40">
        <w:rPr>
          <w:lang w:val="hu-HU"/>
        </w:rPr>
        <w:t>Nem értelmezhető.</w:t>
      </w:r>
    </w:p>
    <w:p w14:paraId="0D1C0DB1" w14:textId="77777777" w:rsidR="002D66F3" w:rsidRPr="00360A40" w:rsidRDefault="002D66F3" w:rsidP="00360A40">
      <w:pPr>
        <w:pStyle w:val="Szvegtrzs"/>
        <w:kinsoku w:val="0"/>
        <w:overflowPunct w:val="0"/>
        <w:ind w:left="0"/>
        <w:rPr>
          <w:lang w:val="hu-HU"/>
        </w:rPr>
      </w:pPr>
    </w:p>
    <w:p w14:paraId="0845F135" w14:textId="67776824" w:rsidR="002D66F3" w:rsidRPr="00360A40" w:rsidRDefault="00EA221C" w:rsidP="00360A40">
      <w:pPr>
        <w:pStyle w:val="Cmsor1"/>
        <w:kinsoku w:val="0"/>
        <w:overflowPunct w:val="0"/>
        <w:ind w:left="0" w:firstLine="0"/>
        <w:rPr>
          <w:b w:val="0"/>
          <w:bCs w:val="0"/>
          <w:lang w:val="hu-HU"/>
        </w:rPr>
      </w:pPr>
      <w:r w:rsidRPr="00360A40">
        <w:rPr>
          <w:lang w:val="hu-HU"/>
        </w:rPr>
        <w:t>6.3</w:t>
      </w:r>
      <w:r w:rsidRPr="00360A40">
        <w:rPr>
          <w:lang w:val="hu-HU"/>
        </w:rPr>
        <w:tab/>
      </w:r>
      <w:r w:rsidR="002D66F3" w:rsidRPr="00360A40">
        <w:rPr>
          <w:lang w:val="hu-HU"/>
        </w:rPr>
        <w:t>Felhasználhatósági időtartam</w:t>
      </w:r>
    </w:p>
    <w:p w14:paraId="7E4330AD" w14:textId="77777777" w:rsidR="002D66F3" w:rsidRPr="00360A40" w:rsidRDefault="002D66F3" w:rsidP="00360A40">
      <w:pPr>
        <w:pStyle w:val="Szvegtrzs"/>
        <w:kinsoku w:val="0"/>
        <w:overflowPunct w:val="0"/>
        <w:ind w:left="0"/>
        <w:rPr>
          <w:b/>
          <w:bCs/>
          <w:lang w:val="hu-HU"/>
        </w:rPr>
      </w:pPr>
    </w:p>
    <w:p w14:paraId="72AF666A" w14:textId="2A9CA0F3" w:rsidR="002D66F3" w:rsidRPr="00360A40" w:rsidRDefault="00920D44" w:rsidP="00360A40">
      <w:pPr>
        <w:pStyle w:val="Szvegtrzs"/>
        <w:kinsoku w:val="0"/>
        <w:overflowPunct w:val="0"/>
        <w:ind w:left="0"/>
        <w:rPr>
          <w:lang w:val="hu-HU"/>
        </w:rPr>
      </w:pPr>
      <w:r w:rsidRPr="00360A40">
        <w:rPr>
          <w:lang w:val="hu-HU"/>
        </w:rPr>
        <w:t>3</w:t>
      </w:r>
      <w:r w:rsidR="00C62B2A" w:rsidRPr="00360A40">
        <w:rPr>
          <w:lang w:val="hu-HU"/>
        </w:rPr>
        <w:t> </w:t>
      </w:r>
      <w:r w:rsidR="001401AA" w:rsidRPr="00360A40">
        <w:rPr>
          <w:lang w:val="hu-HU"/>
        </w:rPr>
        <w:t>év</w:t>
      </w:r>
    </w:p>
    <w:p w14:paraId="4DF8DD3A" w14:textId="77777777" w:rsidR="00920D44" w:rsidRPr="00360A40" w:rsidRDefault="00920D44" w:rsidP="00360A40">
      <w:pPr>
        <w:pStyle w:val="Szvegtrzs"/>
        <w:kinsoku w:val="0"/>
        <w:overflowPunct w:val="0"/>
        <w:ind w:left="0"/>
        <w:rPr>
          <w:lang w:val="hu-HU"/>
        </w:rPr>
      </w:pPr>
    </w:p>
    <w:p w14:paraId="5F4BE97D" w14:textId="66CAFDFD" w:rsidR="002D66F3" w:rsidRPr="00000464" w:rsidRDefault="00EA221C" w:rsidP="00000464">
      <w:pPr>
        <w:pStyle w:val="Cmsor1"/>
        <w:kinsoku w:val="0"/>
        <w:overflowPunct w:val="0"/>
        <w:ind w:left="567" w:hanging="567"/>
        <w:rPr>
          <w:b w:val="0"/>
          <w:bCs w:val="0"/>
          <w:lang w:val="hu-HU"/>
        </w:rPr>
      </w:pPr>
      <w:r w:rsidRPr="00000464">
        <w:rPr>
          <w:lang w:val="hu-HU"/>
        </w:rPr>
        <w:t>6.4</w:t>
      </w:r>
      <w:r w:rsidRPr="00000464">
        <w:rPr>
          <w:lang w:val="hu-HU"/>
        </w:rPr>
        <w:tab/>
      </w:r>
      <w:r w:rsidR="002D66F3" w:rsidRPr="00000464">
        <w:rPr>
          <w:lang w:val="hu-HU"/>
        </w:rPr>
        <w:t>Különleges tárolási előírások</w:t>
      </w:r>
    </w:p>
    <w:p w14:paraId="7E493E11" w14:textId="77777777" w:rsidR="002D66F3" w:rsidRPr="00360A40" w:rsidRDefault="002D66F3" w:rsidP="00360A40">
      <w:pPr>
        <w:pStyle w:val="Szvegtrzs"/>
        <w:kinsoku w:val="0"/>
        <w:overflowPunct w:val="0"/>
        <w:ind w:left="0"/>
        <w:rPr>
          <w:b/>
          <w:bCs/>
          <w:lang w:val="hu-HU"/>
        </w:rPr>
      </w:pPr>
    </w:p>
    <w:p w14:paraId="14A46858" w14:textId="33956653" w:rsidR="00CF69AD" w:rsidRDefault="005E4F84" w:rsidP="00360A40">
      <w:pPr>
        <w:pStyle w:val="Szvegtrzs"/>
        <w:kinsoku w:val="0"/>
        <w:overflowPunct w:val="0"/>
        <w:ind w:left="0"/>
        <w:rPr>
          <w:u w:val="single"/>
          <w:lang w:val="hu-HU"/>
        </w:rPr>
      </w:pPr>
      <w:r w:rsidRPr="00360A40">
        <w:rPr>
          <w:u w:val="single"/>
          <w:lang w:val="hu-HU"/>
        </w:rPr>
        <w:t>Eltrombopag Vipharm 12,5 mg filmtabletta</w:t>
      </w:r>
    </w:p>
    <w:p w14:paraId="159B54FC" w14:textId="0DDC64E5" w:rsidR="00CF69AD" w:rsidRDefault="00CF69AD" w:rsidP="00360A40">
      <w:pPr>
        <w:pStyle w:val="Szvegtrzs"/>
        <w:kinsoku w:val="0"/>
        <w:overflowPunct w:val="0"/>
        <w:ind w:left="0"/>
        <w:rPr>
          <w:u w:val="single"/>
          <w:lang w:val="hu-HU"/>
        </w:rPr>
      </w:pPr>
      <w:r w:rsidRPr="00360A40">
        <w:rPr>
          <w:u w:val="single"/>
          <w:lang w:val="hu-HU"/>
        </w:rPr>
        <w:t>Eltrombopag Vipharm 25 mg filmtabletta</w:t>
      </w:r>
    </w:p>
    <w:p w14:paraId="5ADF1453" w14:textId="05833F6B" w:rsidR="002D66F3" w:rsidRPr="00360A40" w:rsidRDefault="00CF69AD" w:rsidP="00360A40">
      <w:pPr>
        <w:pStyle w:val="Szvegtrzs"/>
        <w:kinsoku w:val="0"/>
        <w:overflowPunct w:val="0"/>
        <w:ind w:left="0"/>
        <w:rPr>
          <w:lang w:val="hu-HU"/>
        </w:rPr>
      </w:pPr>
      <w:r>
        <w:rPr>
          <w:lang w:val="hu-HU"/>
        </w:rPr>
        <w:t xml:space="preserve">Ez a gyógyszer </w:t>
      </w:r>
      <w:r w:rsidR="002D66F3" w:rsidRPr="00360A40">
        <w:rPr>
          <w:lang w:val="hu-HU"/>
        </w:rPr>
        <w:t>nem igényel különleges tárolást.</w:t>
      </w:r>
    </w:p>
    <w:p w14:paraId="3E2B7F95" w14:textId="77777777" w:rsidR="005E4F84" w:rsidRPr="00360A40" w:rsidRDefault="005E4F84" w:rsidP="00360A40">
      <w:pPr>
        <w:pStyle w:val="Szvegtrzs"/>
        <w:kinsoku w:val="0"/>
        <w:overflowPunct w:val="0"/>
        <w:ind w:left="0"/>
        <w:rPr>
          <w:lang w:val="hu-HU"/>
        </w:rPr>
      </w:pPr>
    </w:p>
    <w:p w14:paraId="011FC3FE" w14:textId="74357D2A" w:rsidR="00CF69AD" w:rsidRDefault="005E4F84" w:rsidP="00360A40">
      <w:pPr>
        <w:pStyle w:val="Szvegtrzs"/>
        <w:kinsoku w:val="0"/>
        <w:overflowPunct w:val="0"/>
        <w:ind w:left="0"/>
        <w:rPr>
          <w:u w:val="single"/>
          <w:lang w:val="hu-HU"/>
        </w:rPr>
      </w:pPr>
      <w:r w:rsidRPr="00360A40">
        <w:rPr>
          <w:u w:val="single"/>
          <w:lang w:val="hu-HU"/>
        </w:rPr>
        <w:t>Eltrombopag Vipharm 50 mg filmtabletta</w:t>
      </w:r>
    </w:p>
    <w:p w14:paraId="747BB99C" w14:textId="430FA10E" w:rsidR="00CF69AD" w:rsidRDefault="00CF69AD" w:rsidP="00360A40">
      <w:pPr>
        <w:pStyle w:val="Szvegtrzs"/>
        <w:kinsoku w:val="0"/>
        <w:overflowPunct w:val="0"/>
        <w:ind w:left="0"/>
        <w:rPr>
          <w:lang w:val="hu-HU"/>
        </w:rPr>
      </w:pPr>
      <w:r>
        <w:rPr>
          <w:u w:val="single"/>
          <w:lang w:val="hu-HU"/>
        </w:rPr>
        <w:t>Eltrombopag Vipharm 75</w:t>
      </w:r>
      <w:r w:rsidRPr="00360A40">
        <w:rPr>
          <w:u w:val="single"/>
          <w:lang w:val="hu-HU"/>
        </w:rPr>
        <w:t> mg filmtabletta</w:t>
      </w:r>
    </w:p>
    <w:p w14:paraId="6B6AE0DC" w14:textId="763139D6" w:rsidR="005E4F84" w:rsidRPr="00360A40" w:rsidRDefault="00CF69AD" w:rsidP="00360A40">
      <w:pPr>
        <w:pStyle w:val="Szvegtrzs"/>
        <w:kinsoku w:val="0"/>
        <w:overflowPunct w:val="0"/>
        <w:ind w:left="0"/>
        <w:rPr>
          <w:lang w:val="hu-HU"/>
        </w:rPr>
      </w:pPr>
      <w:r>
        <w:rPr>
          <w:rFonts w:eastAsia="SimSun"/>
          <w:snapToGrid w:val="0"/>
          <w:szCs w:val="20"/>
          <w:lang w:val="hu-HU" w:eastAsia="zh-CN"/>
        </w:rPr>
        <w:t xml:space="preserve">Ez a gyógyszer </w:t>
      </w:r>
      <w:r w:rsidR="005E4F84" w:rsidRPr="00360A40">
        <w:rPr>
          <w:rFonts w:eastAsia="SimSun"/>
          <w:snapToGrid w:val="0"/>
          <w:szCs w:val="20"/>
          <w:lang w:val="hu-HU" w:eastAsia="zh-CN"/>
        </w:rPr>
        <w:t>különleges tárolási hőmérsékletet nem igényel</w:t>
      </w:r>
      <w:r>
        <w:rPr>
          <w:rFonts w:eastAsia="SimSun"/>
          <w:snapToGrid w:val="0"/>
          <w:szCs w:val="20"/>
          <w:lang w:val="hu-HU" w:eastAsia="zh-CN"/>
        </w:rPr>
        <w:t>.</w:t>
      </w:r>
      <w:r w:rsidR="005E4F84" w:rsidRPr="00360A40">
        <w:rPr>
          <w:rFonts w:eastAsia="SimSun"/>
          <w:snapToGrid w:val="0"/>
          <w:szCs w:val="20"/>
          <w:lang w:val="hu-HU" w:eastAsia="zh-CN"/>
        </w:rPr>
        <w:t xml:space="preserve"> </w:t>
      </w:r>
      <w:r>
        <w:rPr>
          <w:rFonts w:eastAsia="SimSun"/>
          <w:snapToGrid w:val="0"/>
          <w:szCs w:val="20"/>
          <w:lang w:val="hu-HU" w:eastAsia="zh-CN"/>
        </w:rPr>
        <w:t>A</w:t>
      </w:r>
      <w:r w:rsidR="005E4F84" w:rsidRPr="00360A40">
        <w:rPr>
          <w:rFonts w:eastAsia="SimSun"/>
          <w:snapToGrid w:val="0"/>
          <w:szCs w:val="20"/>
          <w:lang w:val="hu-HU" w:eastAsia="zh-CN"/>
        </w:rPr>
        <w:t xml:space="preserve"> fénytől való védelem érdekében az eredeti csomagolásban tárolandó</w:t>
      </w:r>
      <w:r w:rsidR="005E4F84" w:rsidRPr="00360A40">
        <w:rPr>
          <w:lang w:val="hu-HU"/>
        </w:rPr>
        <w:t>.</w:t>
      </w:r>
    </w:p>
    <w:p w14:paraId="3B1BA1A0" w14:textId="77777777" w:rsidR="002D66F3" w:rsidRPr="00360A40" w:rsidRDefault="002D66F3" w:rsidP="00360A40">
      <w:pPr>
        <w:pStyle w:val="Szvegtrzs"/>
        <w:kinsoku w:val="0"/>
        <w:overflowPunct w:val="0"/>
        <w:ind w:left="0"/>
        <w:rPr>
          <w:lang w:val="hu-HU"/>
        </w:rPr>
      </w:pPr>
    </w:p>
    <w:p w14:paraId="2E143910" w14:textId="16CCA036" w:rsidR="002D66F3" w:rsidRPr="00000464" w:rsidRDefault="00EA221C" w:rsidP="00000464">
      <w:pPr>
        <w:pStyle w:val="Cmsor1"/>
        <w:kinsoku w:val="0"/>
        <w:overflowPunct w:val="0"/>
        <w:ind w:left="567" w:hanging="567"/>
        <w:rPr>
          <w:b w:val="0"/>
          <w:bCs w:val="0"/>
          <w:lang w:val="hu-HU"/>
        </w:rPr>
      </w:pPr>
      <w:r w:rsidRPr="00000464">
        <w:rPr>
          <w:lang w:val="hu-HU"/>
        </w:rPr>
        <w:t>6.5</w:t>
      </w:r>
      <w:r w:rsidRPr="00000464">
        <w:rPr>
          <w:lang w:val="hu-HU"/>
        </w:rPr>
        <w:tab/>
      </w:r>
      <w:r w:rsidR="002D66F3" w:rsidRPr="00000464">
        <w:rPr>
          <w:lang w:val="hu-HU"/>
        </w:rPr>
        <w:t>Csomagolás típusa és kiszerelése</w:t>
      </w:r>
    </w:p>
    <w:p w14:paraId="58DDEEA8" w14:textId="77777777" w:rsidR="002D66F3" w:rsidRPr="00360A40" w:rsidRDefault="002D66F3" w:rsidP="00360A40">
      <w:pPr>
        <w:pStyle w:val="Szvegtrzs"/>
        <w:kinsoku w:val="0"/>
        <w:overflowPunct w:val="0"/>
        <w:ind w:left="0"/>
        <w:rPr>
          <w:b/>
          <w:bCs/>
          <w:lang w:val="hu-HU"/>
        </w:rPr>
      </w:pPr>
    </w:p>
    <w:p w14:paraId="330F2F2C" w14:textId="363A9043" w:rsidR="002D66F3" w:rsidRPr="00360A40" w:rsidRDefault="005E4F84" w:rsidP="00360A40">
      <w:pPr>
        <w:pStyle w:val="Szvegtrzs"/>
        <w:kinsoku w:val="0"/>
        <w:overflowPunct w:val="0"/>
        <w:ind w:left="0"/>
        <w:rPr>
          <w:lang w:val="hu-HU"/>
        </w:rPr>
      </w:pPr>
      <w:r w:rsidRPr="00360A40">
        <w:rPr>
          <w:lang w:val="hu-HU"/>
        </w:rPr>
        <w:t>14 db, 28 db vagy 84 db filmtablettát tartalmazó alumínium (</w:t>
      </w:r>
      <w:r w:rsidR="00920D44" w:rsidRPr="00360A40">
        <w:rPr>
          <w:lang w:val="hu-HU"/>
        </w:rPr>
        <w:t>PA/</w:t>
      </w:r>
      <w:r w:rsidRPr="00360A40">
        <w:rPr>
          <w:lang w:val="hu-HU"/>
        </w:rPr>
        <w:t>Al</w:t>
      </w:r>
      <w:r w:rsidR="004E484B">
        <w:rPr>
          <w:lang w:val="hu-HU"/>
        </w:rPr>
        <w:t>u</w:t>
      </w:r>
      <w:r w:rsidR="00920D44" w:rsidRPr="00360A40">
        <w:rPr>
          <w:lang w:val="hu-HU"/>
        </w:rPr>
        <w:t>/PVC</w:t>
      </w:r>
      <w:r w:rsidR="005B5937">
        <w:rPr>
          <w:lang w:val="hu-HU"/>
        </w:rPr>
        <w:t>/</w:t>
      </w:r>
      <w:r w:rsidR="00920D44" w:rsidRPr="00360A40">
        <w:rPr>
          <w:lang w:val="hu-HU"/>
        </w:rPr>
        <w:t>/</w:t>
      </w:r>
      <w:r w:rsidRPr="00360A40">
        <w:rPr>
          <w:lang w:val="hu-HU"/>
        </w:rPr>
        <w:t>A</w:t>
      </w:r>
      <w:r w:rsidR="00920D44" w:rsidRPr="00360A40">
        <w:rPr>
          <w:lang w:val="hu-HU"/>
        </w:rPr>
        <w:t>l</w:t>
      </w:r>
      <w:r w:rsidR="004E484B">
        <w:rPr>
          <w:lang w:val="hu-HU"/>
        </w:rPr>
        <w:t>u</w:t>
      </w:r>
      <w:r w:rsidRPr="00360A40">
        <w:rPr>
          <w:lang w:val="hu-HU"/>
        </w:rPr>
        <w:t>)</w:t>
      </w:r>
      <w:r w:rsidR="005B5937">
        <w:rPr>
          <w:lang w:val="hu-HU"/>
        </w:rPr>
        <w:t xml:space="preserve"> </w:t>
      </w:r>
      <w:r w:rsidR="005B5937" w:rsidRPr="00360A40">
        <w:rPr>
          <w:lang w:val="hu-HU"/>
        </w:rPr>
        <w:t>buborékcsomagolás</w:t>
      </w:r>
      <w:r w:rsidR="00920D44" w:rsidRPr="00360A40">
        <w:rPr>
          <w:lang w:val="hu-HU"/>
        </w:rPr>
        <w:t xml:space="preserve"> </w:t>
      </w:r>
      <w:r w:rsidR="009000F2" w:rsidRPr="00360A40">
        <w:rPr>
          <w:lang w:val="hu-HU"/>
        </w:rPr>
        <w:t>dobozban</w:t>
      </w:r>
      <w:r w:rsidR="00920D44" w:rsidRPr="00360A40">
        <w:rPr>
          <w:lang w:val="hu-HU"/>
        </w:rPr>
        <w:t>.</w:t>
      </w:r>
    </w:p>
    <w:p w14:paraId="68917024" w14:textId="77777777" w:rsidR="00920D44" w:rsidRPr="00360A40" w:rsidRDefault="00920D44" w:rsidP="00360A40">
      <w:pPr>
        <w:pStyle w:val="Szvegtrzs"/>
        <w:kinsoku w:val="0"/>
        <w:overflowPunct w:val="0"/>
        <w:ind w:left="0"/>
        <w:rPr>
          <w:lang w:val="hu-HU"/>
        </w:rPr>
      </w:pPr>
    </w:p>
    <w:p w14:paraId="2E880805" w14:textId="77777777" w:rsidR="002D66F3" w:rsidRPr="00360A40" w:rsidRDefault="002D66F3" w:rsidP="00360A40">
      <w:pPr>
        <w:pStyle w:val="Szvegtrzs"/>
        <w:kinsoku w:val="0"/>
        <w:overflowPunct w:val="0"/>
        <w:ind w:left="0"/>
        <w:rPr>
          <w:lang w:val="hu-HU"/>
        </w:rPr>
      </w:pPr>
      <w:r w:rsidRPr="00360A40">
        <w:rPr>
          <w:lang w:val="hu-HU"/>
        </w:rPr>
        <w:t>Nem feltétlenül mindegyik kiszerelés kerül kereskedelmi forgalomba.</w:t>
      </w:r>
    </w:p>
    <w:p w14:paraId="33A873B8" w14:textId="77777777" w:rsidR="002D66F3" w:rsidRPr="00360A40" w:rsidRDefault="002D66F3" w:rsidP="00360A40">
      <w:pPr>
        <w:pStyle w:val="Szvegtrzs"/>
        <w:kinsoku w:val="0"/>
        <w:overflowPunct w:val="0"/>
        <w:ind w:left="0"/>
        <w:rPr>
          <w:lang w:val="hu-HU"/>
        </w:rPr>
      </w:pPr>
    </w:p>
    <w:p w14:paraId="606C33C2" w14:textId="1B235BC9" w:rsidR="002D66F3" w:rsidRPr="00000464" w:rsidRDefault="00EA221C" w:rsidP="00000464">
      <w:pPr>
        <w:pStyle w:val="Cmsor1"/>
        <w:kinsoku w:val="0"/>
        <w:overflowPunct w:val="0"/>
        <w:ind w:left="567" w:hanging="567"/>
        <w:rPr>
          <w:b w:val="0"/>
          <w:bCs w:val="0"/>
          <w:lang w:val="hu-HU"/>
        </w:rPr>
      </w:pPr>
      <w:r w:rsidRPr="00000464">
        <w:rPr>
          <w:lang w:val="hu-HU"/>
        </w:rPr>
        <w:t>6.6</w:t>
      </w:r>
      <w:r w:rsidRPr="00000464">
        <w:rPr>
          <w:lang w:val="hu-HU"/>
        </w:rPr>
        <w:tab/>
      </w:r>
      <w:r w:rsidR="002D66F3" w:rsidRPr="00000464">
        <w:rPr>
          <w:lang w:val="hu-HU"/>
        </w:rPr>
        <w:t>A megsemmisítésre vonatkozó különleges óvintézkedések</w:t>
      </w:r>
      <w:r w:rsidR="00000464" w:rsidRPr="00000464">
        <w:rPr>
          <w:lang w:val="hu-HU"/>
        </w:rPr>
        <w:t xml:space="preserve"> </w:t>
      </w:r>
      <w:r w:rsidR="00000464" w:rsidRPr="009F4BD6">
        <w:rPr>
          <w:rFonts w:eastAsia="Times New Roman"/>
          <w:noProof/>
          <w:lang w:eastAsia="en-US"/>
        </w:rPr>
        <w:t>és egyéb, a készítmény kezelésével kapcsolatos információk</w:t>
      </w:r>
    </w:p>
    <w:p w14:paraId="320A721E" w14:textId="77777777" w:rsidR="002D66F3" w:rsidRPr="00360A40" w:rsidRDefault="002D66F3" w:rsidP="00360A40">
      <w:pPr>
        <w:pStyle w:val="Szvegtrzs"/>
        <w:kinsoku w:val="0"/>
        <w:overflowPunct w:val="0"/>
        <w:ind w:left="0"/>
        <w:rPr>
          <w:b/>
          <w:bCs/>
          <w:lang w:val="hu-HU"/>
        </w:rPr>
      </w:pPr>
    </w:p>
    <w:p w14:paraId="55C8BE2A" w14:textId="77777777" w:rsidR="002D66F3" w:rsidRPr="00360A40" w:rsidRDefault="002D66F3" w:rsidP="00360A40">
      <w:pPr>
        <w:pStyle w:val="Szvegtrzs"/>
        <w:kinsoku w:val="0"/>
        <w:overflowPunct w:val="0"/>
        <w:ind w:left="0"/>
        <w:rPr>
          <w:lang w:val="hu-HU"/>
        </w:rPr>
      </w:pPr>
      <w:r w:rsidRPr="00360A40">
        <w:rPr>
          <w:lang w:val="hu-HU"/>
        </w:rPr>
        <w:t>Bármilyen fel nem használt gyógyszer, illetve hulladékanyag megsemmisítését a gyógyszerekre vonatkozó előírások szerint kell végrehajtani.</w:t>
      </w:r>
    </w:p>
    <w:p w14:paraId="11344639" w14:textId="11D46449" w:rsidR="002D66F3" w:rsidRPr="00360A40" w:rsidRDefault="002D66F3" w:rsidP="00360A40">
      <w:pPr>
        <w:pStyle w:val="Szvegtrzs"/>
        <w:kinsoku w:val="0"/>
        <w:overflowPunct w:val="0"/>
        <w:ind w:left="0"/>
        <w:rPr>
          <w:lang w:val="hu-HU"/>
        </w:rPr>
      </w:pPr>
    </w:p>
    <w:p w14:paraId="7B9D996E" w14:textId="0233BD22" w:rsidR="00CF69AD" w:rsidRPr="00CF69AD" w:rsidRDefault="00CF69AD" w:rsidP="00CF69AD">
      <w:pPr>
        <w:keepNext/>
        <w:suppressAutoHyphens/>
        <w:adjustRightInd/>
        <w:outlineLvl w:val="3"/>
        <w:rPr>
          <w:rFonts w:eastAsia="Times New Roman"/>
          <w:sz w:val="22"/>
          <w:szCs w:val="22"/>
          <w:lang w:val="hu-HU" w:eastAsia="hu-HU"/>
        </w:rPr>
      </w:pPr>
      <w:r w:rsidRPr="00CF69AD">
        <w:rPr>
          <w:rFonts w:eastAsia="Times New Roman"/>
          <w:b/>
          <w:bCs/>
          <w:sz w:val="22"/>
          <w:szCs w:val="22"/>
          <w:lang w:val="hu-HU" w:eastAsia="hu-HU"/>
        </w:rPr>
        <w:t xml:space="preserve">Megjegyzés: </w:t>
      </w:r>
      <w:r w:rsidRPr="00CF69AD">
        <w:rPr>
          <w:rFonts w:eastAsia="Times New Roman"/>
          <w:bCs/>
          <w:sz w:val="22"/>
          <w:szCs w:val="22"/>
          <w:lang w:val="hu-HU" w:eastAsia="hu-HU"/>
        </w:rPr>
        <w:sym w:font="Wingdings" w:char="F058"/>
      </w:r>
      <w:r w:rsidRPr="00CF69AD">
        <w:rPr>
          <w:rFonts w:eastAsia="Times New Roman"/>
          <w:bCs/>
          <w:sz w:val="22"/>
          <w:szCs w:val="22"/>
          <w:lang w:val="hu-HU" w:eastAsia="hu-HU"/>
        </w:rPr>
        <w:t xml:space="preserve"> </w:t>
      </w:r>
      <w:r w:rsidRPr="00CF69AD">
        <w:rPr>
          <w:rFonts w:eastAsia="Times New Roman"/>
          <w:sz w:val="22"/>
          <w:szCs w:val="22"/>
          <w:lang w:val="hu-HU" w:eastAsia="hu-HU"/>
        </w:rPr>
        <w:t>(</w:t>
      </w:r>
      <w:r>
        <w:rPr>
          <w:rFonts w:eastAsia="Times New Roman"/>
          <w:sz w:val="22"/>
          <w:szCs w:val="22"/>
          <w:lang w:val="hu-HU" w:eastAsia="hu-HU"/>
        </w:rPr>
        <w:t>egy</w:t>
      </w:r>
      <w:r w:rsidRPr="00CF69AD">
        <w:rPr>
          <w:rFonts w:eastAsia="Times New Roman"/>
          <w:sz w:val="22"/>
          <w:szCs w:val="22"/>
          <w:lang w:val="hu-HU" w:eastAsia="hu-HU"/>
        </w:rPr>
        <w:t xml:space="preserve"> kereszt)</w:t>
      </w:r>
    </w:p>
    <w:p w14:paraId="68140818" w14:textId="77777777" w:rsidR="00CF69AD" w:rsidRPr="00CF69AD" w:rsidRDefault="00CF69AD" w:rsidP="00CF69AD">
      <w:pPr>
        <w:suppressAutoHyphens/>
        <w:adjustRightInd/>
        <w:rPr>
          <w:rFonts w:eastAsia="Times New Roman"/>
          <w:b/>
          <w:sz w:val="22"/>
          <w:szCs w:val="22"/>
          <w:lang w:val="hu-HU" w:eastAsia="hu-HU"/>
        </w:rPr>
      </w:pPr>
      <w:r w:rsidRPr="00CF69AD">
        <w:rPr>
          <w:rFonts w:eastAsia="Times New Roman"/>
          <w:sz w:val="22"/>
          <w:szCs w:val="22"/>
          <w:lang w:val="hu-HU" w:eastAsia="hu-HU"/>
        </w:rPr>
        <w:t>Osztályozás:</w:t>
      </w:r>
      <w:r w:rsidRPr="00CF69AD">
        <w:rPr>
          <w:rFonts w:eastAsia="Times New Roman"/>
          <w:b/>
          <w:sz w:val="22"/>
          <w:szCs w:val="22"/>
          <w:lang w:val="hu-HU" w:eastAsia="hu-HU"/>
        </w:rPr>
        <w:t xml:space="preserve"> II./2 csoport</w:t>
      </w:r>
    </w:p>
    <w:p w14:paraId="638779BA" w14:textId="30DF101E" w:rsidR="00CF69AD" w:rsidRPr="00CF69AD" w:rsidRDefault="00CF69AD" w:rsidP="00CF69AD">
      <w:pPr>
        <w:adjustRightInd/>
        <w:rPr>
          <w:rFonts w:eastAsia="Times New Roman"/>
          <w:sz w:val="22"/>
          <w:szCs w:val="22"/>
          <w:lang w:val="hu-HU" w:eastAsia="en-US"/>
        </w:rPr>
      </w:pPr>
      <w:r w:rsidRPr="00CF69AD">
        <w:rPr>
          <w:rFonts w:eastAsia="Times New Roman"/>
          <w:sz w:val="22"/>
          <w:szCs w:val="22"/>
          <w:lang w:val="hu-HU" w:eastAsia="hu-HU"/>
        </w:rPr>
        <w:t xml:space="preserve">Korlátozott érvényű orvosi rendelvényhez kötött, szakorvosi/kórhzi diagnózist követően folyamatos </w:t>
      </w:r>
      <w:r w:rsidRPr="00CF69AD">
        <w:rPr>
          <w:rFonts w:eastAsia="Times New Roman"/>
          <w:sz w:val="22"/>
          <w:szCs w:val="22"/>
          <w:lang w:val="hu-HU" w:eastAsia="hu-HU"/>
        </w:rPr>
        <w:lastRenderedPageBreak/>
        <w:t>szakorvosi ellenőrzés mellett alkalmazható gyógyszer (Sz).</w:t>
      </w:r>
    </w:p>
    <w:p w14:paraId="54E53514" w14:textId="022CBF87" w:rsidR="00FD2011" w:rsidRPr="00360A40" w:rsidRDefault="00FD2011" w:rsidP="00360A40">
      <w:pPr>
        <w:rPr>
          <w:bCs/>
          <w:sz w:val="22"/>
        </w:rPr>
      </w:pPr>
    </w:p>
    <w:p w14:paraId="1D76C0F1" w14:textId="77777777" w:rsidR="002D66F3" w:rsidRPr="00360A40" w:rsidRDefault="002D66F3" w:rsidP="00360A40">
      <w:pPr>
        <w:rPr>
          <w:bCs/>
          <w:sz w:val="22"/>
          <w:lang w:val="hu-HU"/>
        </w:rPr>
      </w:pPr>
    </w:p>
    <w:p w14:paraId="6FD494EC" w14:textId="0594011A" w:rsidR="002D66F3" w:rsidRPr="00360A40" w:rsidRDefault="00EA221C" w:rsidP="00360A40">
      <w:pPr>
        <w:pStyle w:val="Cmsor1"/>
        <w:kinsoku w:val="0"/>
        <w:overflowPunct w:val="0"/>
        <w:ind w:left="0" w:firstLine="0"/>
        <w:rPr>
          <w:b w:val="0"/>
          <w:bCs w:val="0"/>
          <w:lang w:val="hu-HU"/>
        </w:rPr>
      </w:pPr>
      <w:r w:rsidRPr="00360A40">
        <w:rPr>
          <w:lang w:val="hu-HU"/>
        </w:rPr>
        <w:t>7.</w:t>
      </w:r>
      <w:r w:rsidRPr="00360A40">
        <w:rPr>
          <w:lang w:val="hu-HU"/>
        </w:rPr>
        <w:tab/>
      </w:r>
      <w:r w:rsidR="002D66F3" w:rsidRPr="00360A40">
        <w:rPr>
          <w:lang w:val="hu-HU"/>
        </w:rPr>
        <w:t>A FORGALOMBAHOZATALI ENGEDÉLY JOGOSULTJA</w:t>
      </w:r>
    </w:p>
    <w:p w14:paraId="4962047D" w14:textId="77777777" w:rsidR="002D66F3" w:rsidRPr="00360A40" w:rsidRDefault="002D66F3" w:rsidP="00360A40">
      <w:pPr>
        <w:pStyle w:val="Szvegtrzs"/>
        <w:kinsoku w:val="0"/>
        <w:overflowPunct w:val="0"/>
        <w:ind w:left="0"/>
        <w:rPr>
          <w:b/>
          <w:bCs/>
          <w:lang w:val="hu-HU"/>
        </w:rPr>
      </w:pPr>
    </w:p>
    <w:p w14:paraId="76D1FD26" w14:textId="77777777" w:rsidR="005E4F84" w:rsidRPr="00360A40" w:rsidRDefault="005E4F84" w:rsidP="00360A40">
      <w:pPr>
        <w:ind w:left="-5"/>
        <w:rPr>
          <w:sz w:val="22"/>
        </w:rPr>
      </w:pPr>
      <w:r w:rsidRPr="00360A40">
        <w:rPr>
          <w:sz w:val="22"/>
        </w:rPr>
        <w:t>Vipharm S.A.</w:t>
      </w:r>
    </w:p>
    <w:p w14:paraId="70E99A08" w14:textId="77777777" w:rsidR="005E4F84" w:rsidRPr="00360A40" w:rsidRDefault="005E4F84" w:rsidP="00360A40">
      <w:pPr>
        <w:ind w:left="-5"/>
        <w:rPr>
          <w:sz w:val="22"/>
        </w:rPr>
      </w:pPr>
      <w:r w:rsidRPr="00360A40">
        <w:rPr>
          <w:sz w:val="22"/>
        </w:rPr>
        <w:t>ul. A. i F. Radziwiłłów 9</w:t>
      </w:r>
    </w:p>
    <w:p w14:paraId="4CC70F3B" w14:textId="77777777" w:rsidR="005E4F84" w:rsidRPr="00360A40" w:rsidRDefault="005E4F84" w:rsidP="00360A40">
      <w:pPr>
        <w:ind w:left="-5"/>
        <w:rPr>
          <w:sz w:val="22"/>
          <w:lang w:val="en-US"/>
        </w:rPr>
      </w:pPr>
      <w:r w:rsidRPr="00360A40">
        <w:rPr>
          <w:sz w:val="22"/>
          <w:lang w:val="en-US"/>
        </w:rPr>
        <w:t>05-850 Ożarów Mazowiecki</w:t>
      </w:r>
    </w:p>
    <w:p w14:paraId="0BA01AAF" w14:textId="746C707E" w:rsidR="005E4F84" w:rsidRPr="00360A40" w:rsidRDefault="005E4F84" w:rsidP="00360A40">
      <w:pPr>
        <w:rPr>
          <w:sz w:val="22"/>
          <w:lang w:val="en-US"/>
        </w:rPr>
      </w:pPr>
      <w:r w:rsidRPr="00360A40">
        <w:rPr>
          <w:sz w:val="22"/>
          <w:lang w:val="en-US"/>
        </w:rPr>
        <w:t>Lengyelország</w:t>
      </w:r>
    </w:p>
    <w:p w14:paraId="478698B3" w14:textId="0A804642" w:rsidR="00342A5C" w:rsidRPr="00360A40" w:rsidRDefault="00342A5C" w:rsidP="00360A40">
      <w:pPr>
        <w:pStyle w:val="Szvegtrzs"/>
        <w:ind w:left="0"/>
        <w:rPr>
          <w:lang w:val="hu-HU"/>
        </w:rPr>
      </w:pPr>
    </w:p>
    <w:p w14:paraId="7613F890" w14:textId="77777777" w:rsidR="00D8677A" w:rsidRPr="00360A40" w:rsidRDefault="00D8677A" w:rsidP="00360A40">
      <w:pPr>
        <w:pStyle w:val="Szvegtrzs"/>
        <w:ind w:left="0"/>
        <w:rPr>
          <w:lang w:val="hu-HU"/>
        </w:rPr>
      </w:pPr>
    </w:p>
    <w:p w14:paraId="119CE1CC" w14:textId="4CA62465" w:rsidR="002D66F3" w:rsidRPr="00360A40" w:rsidRDefault="00EA221C" w:rsidP="00360A40">
      <w:pPr>
        <w:pStyle w:val="Cmsor1"/>
        <w:kinsoku w:val="0"/>
        <w:overflowPunct w:val="0"/>
        <w:ind w:left="0" w:firstLine="0"/>
        <w:rPr>
          <w:b w:val="0"/>
          <w:bCs w:val="0"/>
          <w:lang w:val="hu-HU"/>
        </w:rPr>
      </w:pPr>
      <w:r w:rsidRPr="00360A40">
        <w:rPr>
          <w:lang w:val="hu-HU"/>
        </w:rPr>
        <w:t>8.</w:t>
      </w:r>
      <w:r w:rsidRPr="00360A40">
        <w:rPr>
          <w:lang w:val="hu-HU"/>
        </w:rPr>
        <w:tab/>
      </w:r>
      <w:r w:rsidR="002D66F3" w:rsidRPr="00360A40">
        <w:rPr>
          <w:lang w:val="hu-HU"/>
        </w:rPr>
        <w:t>A FORGALOMBAHOZATALI ENGEDÉLY SZÁMA(I)</w:t>
      </w:r>
    </w:p>
    <w:p w14:paraId="6D572FA9" w14:textId="1E889CB9" w:rsidR="002D66F3" w:rsidRDefault="002D66F3" w:rsidP="00360A40">
      <w:pPr>
        <w:pStyle w:val="Szvegtrzs"/>
        <w:kinsoku w:val="0"/>
        <w:overflowPunct w:val="0"/>
        <w:ind w:left="0"/>
        <w:rPr>
          <w:lang w:val="hu-HU"/>
        </w:rPr>
      </w:pPr>
      <w:bookmarkStart w:id="3" w:name="_Hlk135991447"/>
    </w:p>
    <w:p w14:paraId="72E989BC" w14:textId="119DED1F" w:rsidR="004848E7" w:rsidRPr="004848E7" w:rsidRDefault="004848E7" w:rsidP="00B55307">
      <w:pPr>
        <w:pStyle w:val="Szvegtrzs"/>
        <w:tabs>
          <w:tab w:val="left" w:pos="2268"/>
          <w:tab w:val="left" w:pos="3119"/>
        </w:tabs>
        <w:kinsoku w:val="0"/>
        <w:overflowPunct w:val="0"/>
        <w:ind w:left="0"/>
        <w:rPr>
          <w:u w:val="single"/>
          <w:lang w:val="hu-HU"/>
        </w:rPr>
      </w:pPr>
      <w:r w:rsidRPr="004848E7">
        <w:rPr>
          <w:u w:val="single"/>
          <w:lang w:val="hu-HU"/>
        </w:rPr>
        <w:t>Eltrombopag Vipharm 12,5 mg filmtabletta</w:t>
      </w:r>
    </w:p>
    <w:p w14:paraId="6E69A0E7" w14:textId="2B00FC26"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OGYI-T-24523/01</w:t>
      </w:r>
      <w:r>
        <w:rPr>
          <w:lang w:val="hu-HU"/>
        </w:rPr>
        <w:tab/>
      </w:r>
      <w:r w:rsidRPr="004848E7">
        <w:rPr>
          <w:lang w:val="hu-HU"/>
        </w:rPr>
        <w:t>14</w:t>
      </w:r>
      <w:r>
        <w:rPr>
          <w:lang w:val="hu-HU"/>
        </w:rPr>
        <w:t>×</w:t>
      </w:r>
      <w:r>
        <w:rPr>
          <w:lang w:val="hu-HU"/>
        </w:rPr>
        <w:tab/>
        <w:t>P</w:t>
      </w:r>
      <w:r w:rsidRPr="004848E7">
        <w:rPr>
          <w:lang w:val="hu-HU"/>
        </w:rPr>
        <w:t>A/Alu/PVC//Alu buborékcsomagolásban</w:t>
      </w:r>
    </w:p>
    <w:p w14:paraId="654EAADD" w14:textId="442080A4"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OGYI-T-24523/02</w:t>
      </w:r>
      <w:r>
        <w:rPr>
          <w:lang w:val="hu-HU"/>
        </w:rPr>
        <w:tab/>
      </w:r>
      <w:r w:rsidRPr="004848E7">
        <w:rPr>
          <w:lang w:val="hu-HU"/>
        </w:rPr>
        <w:t>28</w:t>
      </w:r>
      <w:r>
        <w:rPr>
          <w:lang w:val="hu-HU"/>
        </w:rPr>
        <w:t>×</w:t>
      </w:r>
      <w:r>
        <w:rPr>
          <w:lang w:val="hu-HU"/>
        </w:rPr>
        <w:tab/>
        <w:t>P</w:t>
      </w:r>
      <w:r w:rsidRPr="004848E7">
        <w:rPr>
          <w:lang w:val="hu-HU"/>
        </w:rPr>
        <w:t>A/Alu/PVC//Alu buborékcsomagolásban</w:t>
      </w:r>
    </w:p>
    <w:p w14:paraId="15FDBE53" w14:textId="1F808A33"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OGYI-T-24523/03</w:t>
      </w:r>
      <w:r>
        <w:rPr>
          <w:lang w:val="hu-HU"/>
        </w:rPr>
        <w:tab/>
      </w:r>
      <w:r w:rsidRPr="004848E7">
        <w:rPr>
          <w:lang w:val="hu-HU"/>
        </w:rPr>
        <w:t>84</w:t>
      </w:r>
      <w:r>
        <w:rPr>
          <w:lang w:val="hu-HU"/>
        </w:rPr>
        <w:t>×</w:t>
      </w:r>
      <w:r>
        <w:rPr>
          <w:lang w:val="hu-HU"/>
        </w:rPr>
        <w:tab/>
        <w:t>P</w:t>
      </w:r>
      <w:r w:rsidRPr="004848E7">
        <w:rPr>
          <w:lang w:val="hu-HU"/>
        </w:rPr>
        <w:t>A/Alu/PVC//Alu buborékcsomagolásban</w:t>
      </w:r>
    </w:p>
    <w:p w14:paraId="427B280E" w14:textId="77777777" w:rsidR="004848E7" w:rsidRPr="004848E7" w:rsidRDefault="004848E7" w:rsidP="00B55307">
      <w:pPr>
        <w:pStyle w:val="Szvegtrzs"/>
        <w:tabs>
          <w:tab w:val="left" w:pos="2268"/>
          <w:tab w:val="left" w:pos="3119"/>
        </w:tabs>
        <w:kinsoku w:val="0"/>
        <w:overflowPunct w:val="0"/>
        <w:ind w:left="0"/>
        <w:rPr>
          <w:lang w:val="hu-HU"/>
        </w:rPr>
      </w:pPr>
    </w:p>
    <w:p w14:paraId="09BC79E1" w14:textId="7A0CF233" w:rsidR="004848E7" w:rsidRPr="004848E7" w:rsidRDefault="004848E7" w:rsidP="00B55307">
      <w:pPr>
        <w:pStyle w:val="Szvegtrzs"/>
        <w:tabs>
          <w:tab w:val="left" w:pos="2268"/>
          <w:tab w:val="left" w:pos="3119"/>
        </w:tabs>
        <w:kinsoku w:val="0"/>
        <w:overflowPunct w:val="0"/>
        <w:ind w:left="0"/>
        <w:rPr>
          <w:u w:val="single"/>
          <w:lang w:val="hu-HU"/>
        </w:rPr>
      </w:pPr>
      <w:r w:rsidRPr="004848E7">
        <w:rPr>
          <w:u w:val="single"/>
          <w:lang w:val="hu-HU"/>
        </w:rPr>
        <w:t>Eltrombopag Vipharm 25 mg filmtabletta</w:t>
      </w:r>
    </w:p>
    <w:p w14:paraId="718B3F7C" w14:textId="3B4FC8A9"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OGYI-T-24523/04</w:t>
      </w:r>
      <w:r>
        <w:rPr>
          <w:lang w:val="hu-HU"/>
        </w:rPr>
        <w:tab/>
      </w:r>
      <w:r w:rsidRPr="004848E7">
        <w:rPr>
          <w:lang w:val="hu-HU"/>
        </w:rPr>
        <w:t>14</w:t>
      </w:r>
      <w:r>
        <w:rPr>
          <w:lang w:val="hu-HU"/>
        </w:rPr>
        <w:t>×</w:t>
      </w:r>
      <w:r>
        <w:rPr>
          <w:lang w:val="hu-HU"/>
        </w:rPr>
        <w:tab/>
        <w:t>P</w:t>
      </w:r>
      <w:r w:rsidRPr="004848E7">
        <w:rPr>
          <w:lang w:val="hu-HU"/>
        </w:rPr>
        <w:t>A/Alu/PVC//Alu buborékcsomagolásban</w:t>
      </w:r>
    </w:p>
    <w:p w14:paraId="060F6765" w14:textId="2FC6B3E7"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OGYI-T-24523/05</w:t>
      </w:r>
      <w:r>
        <w:rPr>
          <w:lang w:val="hu-HU"/>
        </w:rPr>
        <w:tab/>
      </w:r>
      <w:r w:rsidRPr="004848E7">
        <w:rPr>
          <w:lang w:val="hu-HU"/>
        </w:rPr>
        <w:t>28</w:t>
      </w:r>
      <w:r>
        <w:rPr>
          <w:lang w:val="hu-HU"/>
        </w:rPr>
        <w:t>×</w:t>
      </w:r>
      <w:r>
        <w:rPr>
          <w:lang w:val="hu-HU"/>
        </w:rPr>
        <w:tab/>
        <w:t>P</w:t>
      </w:r>
      <w:r w:rsidRPr="004848E7">
        <w:rPr>
          <w:lang w:val="hu-HU"/>
        </w:rPr>
        <w:t>A/Alu/PVC//Alu buborékcsomagolásban</w:t>
      </w:r>
    </w:p>
    <w:p w14:paraId="17FE3E2C" w14:textId="0F2E1367"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OGYI-T-24523/06</w:t>
      </w:r>
      <w:r>
        <w:rPr>
          <w:lang w:val="hu-HU"/>
        </w:rPr>
        <w:tab/>
      </w:r>
      <w:r w:rsidRPr="004848E7">
        <w:rPr>
          <w:lang w:val="hu-HU"/>
        </w:rPr>
        <w:t>84</w:t>
      </w:r>
      <w:r>
        <w:rPr>
          <w:lang w:val="hu-HU"/>
        </w:rPr>
        <w:t>×</w:t>
      </w:r>
      <w:r>
        <w:rPr>
          <w:lang w:val="hu-HU"/>
        </w:rPr>
        <w:tab/>
        <w:t>P</w:t>
      </w:r>
      <w:r w:rsidRPr="004848E7">
        <w:rPr>
          <w:lang w:val="hu-HU"/>
        </w:rPr>
        <w:t>A/Alu/PVC//Alu buborékcsomagolásban</w:t>
      </w:r>
    </w:p>
    <w:p w14:paraId="41AA9851" w14:textId="77777777" w:rsidR="004848E7" w:rsidRDefault="004848E7" w:rsidP="00B55307">
      <w:pPr>
        <w:pStyle w:val="Szvegtrzs"/>
        <w:tabs>
          <w:tab w:val="left" w:pos="2268"/>
          <w:tab w:val="left" w:pos="3119"/>
        </w:tabs>
        <w:kinsoku w:val="0"/>
        <w:overflowPunct w:val="0"/>
        <w:ind w:left="0"/>
        <w:rPr>
          <w:lang w:val="hu-HU"/>
        </w:rPr>
      </w:pPr>
    </w:p>
    <w:p w14:paraId="1DA6EB03" w14:textId="52091655" w:rsidR="004848E7" w:rsidRPr="004848E7" w:rsidRDefault="004848E7" w:rsidP="00B55307">
      <w:pPr>
        <w:pStyle w:val="Szvegtrzs"/>
        <w:tabs>
          <w:tab w:val="left" w:pos="2268"/>
          <w:tab w:val="left" w:pos="3119"/>
        </w:tabs>
        <w:kinsoku w:val="0"/>
        <w:overflowPunct w:val="0"/>
        <w:ind w:left="0"/>
        <w:rPr>
          <w:u w:val="single"/>
          <w:lang w:val="hu-HU"/>
        </w:rPr>
      </w:pPr>
      <w:r w:rsidRPr="004848E7">
        <w:rPr>
          <w:u w:val="single"/>
          <w:lang w:val="hu-HU"/>
        </w:rPr>
        <w:t xml:space="preserve">Eltrombopag Vipharm 50 mg filmtabletta </w:t>
      </w:r>
    </w:p>
    <w:p w14:paraId="3CDE290B" w14:textId="667D90B5"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OGYI-T-24523/07</w:t>
      </w:r>
      <w:r>
        <w:rPr>
          <w:lang w:val="hu-HU"/>
        </w:rPr>
        <w:tab/>
      </w:r>
      <w:r w:rsidRPr="004848E7">
        <w:rPr>
          <w:lang w:val="hu-HU"/>
        </w:rPr>
        <w:t>14</w:t>
      </w:r>
      <w:r>
        <w:rPr>
          <w:lang w:val="hu-HU"/>
        </w:rPr>
        <w:t>×</w:t>
      </w:r>
      <w:r>
        <w:rPr>
          <w:lang w:val="hu-HU"/>
        </w:rPr>
        <w:tab/>
        <w:t>P</w:t>
      </w:r>
      <w:r w:rsidRPr="004848E7">
        <w:rPr>
          <w:lang w:val="hu-HU"/>
        </w:rPr>
        <w:t>A/Alu/PVC//Alu buborékcsomagolásban</w:t>
      </w:r>
    </w:p>
    <w:p w14:paraId="31D9698F" w14:textId="23BCCAA1"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OGYI-T-24523/08</w:t>
      </w:r>
      <w:r>
        <w:rPr>
          <w:lang w:val="hu-HU"/>
        </w:rPr>
        <w:tab/>
      </w:r>
      <w:r w:rsidRPr="004848E7">
        <w:rPr>
          <w:lang w:val="hu-HU"/>
        </w:rPr>
        <w:t>28</w:t>
      </w:r>
      <w:r>
        <w:rPr>
          <w:lang w:val="hu-HU"/>
        </w:rPr>
        <w:t>×</w:t>
      </w:r>
      <w:r>
        <w:rPr>
          <w:lang w:val="hu-HU"/>
        </w:rPr>
        <w:tab/>
        <w:t>P</w:t>
      </w:r>
      <w:r w:rsidRPr="004848E7">
        <w:rPr>
          <w:lang w:val="hu-HU"/>
        </w:rPr>
        <w:t>A/Alu/PVC//Alu buborékcsomagolásban</w:t>
      </w:r>
    </w:p>
    <w:p w14:paraId="7CB34F43" w14:textId="0A7479D0"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OGYI-T-24523/09</w:t>
      </w:r>
      <w:r>
        <w:rPr>
          <w:lang w:val="hu-HU"/>
        </w:rPr>
        <w:tab/>
      </w:r>
      <w:r w:rsidRPr="004848E7">
        <w:rPr>
          <w:lang w:val="hu-HU"/>
        </w:rPr>
        <w:t>84</w:t>
      </w:r>
      <w:r>
        <w:rPr>
          <w:lang w:val="hu-HU"/>
        </w:rPr>
        <w:t>×</w:t>
      </w:r>
      <w:r>
        <w:rPr>
          <w:lang w:val="hu-HU"/>
        </w:rPr>
        <w:tab/>
        <w:t>P</w:t>
      </w:r>
      <w:r w:rsidRPr="004848E7">
        <w:rPr>
          <w:lang w:val="hu-HU"/>
        </w:rPr>
        <w:t>A/Alu/PVC//Alu buborékcsomagolásban</w:t>
      </w:r>
    </w:p>
    <w:p w14:paraId="05F4C603" w14:textId="5FD6890F" w:rsidR="004848E7" w:rsidRPr="004848E7" w:rsidRDefault="004848E7" w:rsidP="00B55307">
      <w:pPr>
        <w:pStyle w:val="Szvegtrzs"/>
        <w:tabs>
          <w:tab w:val="left" w:pos="2268"/>
          <w:tab w:val="left" w:pos="3119"/>
        </w:tabs>
        <w:kinsoku w:val="0"/>
        <w:overflowPunct w:val="0"/>
        <w:ind w:left="0"/>
        <w:rPr>
          <w:lang w:val="hu-HU"/>
        </w:rPr>
      </w:pPr>
    </w:p>
    <w:p w14:paraId="1A5D208F" w14:textId="5362A220" w:rsidR="004848E7" w:rsidRPr="004848E7" w:rsidRDefault="004848E7" w:rsidP="00B55307">
      <w:pPr>
        <w:pStyle w:val="Szvegtrzs"/>
        <w:tabs>
          <w:tab w:val="left" w:pos="2268"/>
          <w:tab w:val="left" w:pos="3119"/>
        </w:tabs>
        <w:kinsoku w:val="0"/>
        <w:overflowPunct w:val="0"/>
        <w:ind w:left="0"/>
        <w:rPr>
          <w:u w:val="single"/>
          <w:lang w:val="hu-HU"/>
        </w:rPr>
      </w:pPr>
      <w:r w:rsidRPr="004848E7">
        <w:rPr>
          <w:u w:val="single"/>
          <w:lang w:val="hu-HU"/>
        </w:rPr>
        <w:t>Eltrombopag Vipharm 75 mg filmtabletta</w:t>
      </w:r>
    </w:p>
    <w:p w14:paraId="5A49EE3A" w14:textId="1C260C76"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OGYI-T-24523/10</w:t>
      </w:r>
      <w:r>
        <w:rPr>
          <w:lang w:val="hu-HU"/>
        </w:rPr>
        <w:tab/>
      </w:r>
      <w:r w:rsidRPr="004848E7">
        <w:rPr>
          <w:lang w:val="hu-HU"/>
        </w:rPr>
        <w:t>14</w:t>
      </w:r>
      <w:r>
        <w:rPr>
          <w:lang w:val="hu-HU"/>
        </w:rPr>
        <w:t>×</w:t>
      </w:r>
      <w:r>
        <w:rPr>
          <w:lang w:val="hu-HU"/>
        </w:rPr>
        <w:tab/>
        <w:t>P</w:t>
      </w:r>
      <w:r w:rsidRPr="004848E7">
        <w:rPr>
          <w:lang w:val="hu-HU"/>
        </w:rPr>
        <w:t>A/Alu/PVC//Alu buborékcsomagolásban</w:t>
      </w:r>
    </w:p>
    <w:p w14:paraId="61450AE0" w14:textId="46A65B65" w:rsidR="004848E7" w:rsidRPr="004848E7" w:rsidRDefault="004848E7" w:rsidP="00B55307">
      <w:pPr>
        <w:pStyle w:val="Szvegtrzs"/>
        <w:tabs>
          <w:tab w:val="left" w:pos="2268"/>
          <w:tab w:val="left" w:pos="3119"/>
        </w:tabs>
        <w:kinsoku w:val="0"/>
        <w:overflowPunct w:val="0"/>
        <w:ind w:left="0"/>
        <w:rPr>
          <w:lang w:val="hu-HU"/>
        </w:rPr>
      </w:pPr>
      <w:r w:rsidRPr="004848E7">
        <w:rPr>
          <w:lang w:val="hu-HU"/>
        </w:rPr>
        <w:t>OGYI-T-24523/11</w:t>
      </w:r>
      <w:r>
        <w:rPr>
          <w:lang w:val="hu-HU"/>
        </w:rPr>
        <w:tab/>
      </w:r>
      <w:r w:rsidRPr="004848E7">
        <w:rPr>
          <w:lang w:val="hu-HU"/>
        </w:rPr>
        <w:t>28</w:t>
      </w:r>
      <w:r>
        <w:rPr>
          <w:lang w:val="hu-HU"/>
        </w:rPr>
        <w:t>×</w:t>
      </w:r>
      <w:r>
        <w:rPr>
          <w:lang w:val="hu-HU"/>
        </w:rPr>
        <w:tab/>
        <w:t>P</w:t>
      </w:r>
      <w:r w:rsidRPr="004848E7">
        <w:rPr>
          <w:lang w:val="hu-HU"/>
        </w:rPr>
        <w:t>A/Alu/PVC//Alu buborékcsomagolásban</w:t>
      </w:r>
    </w:p>
    <w:p w14:paraId="608A4329" w14:textId="5DFE6488" w:rsidR="004848E7" w:rsidRPr="00360A40" w:rsidRDefault="004848E7" w:rsidP="00B55307">
      <w:pPr>
        <w:pStyle w:val="Szvegtrzs"/>
        <w:tabs>
          <w:tab w:val="left" w:pos="2268"/>
          <w:tab w:val="left" w:pos="3119"/>
        </w:tabs>
        <w:kinsoku w:val="0"/>
        <w:overflowPunct w:val="0"/>
        <w:ind w:left="0"/>
        <w:rPr>
          <w:lang w:val="hu-HU"/>
        </w:rPr>
      </w:pPr>
      <w:r w:rsidRPr="004848E7">
        <w:rPr>
          <w:lang w:val="hu-HU"/>
        </w:rPr>
        <w:t>OGYI-T-24523/12</w:t>
      </w:r>
      <w:r>
        <w:rPr>
          <w:lang w:val="hu-HU"/>
        </w:rPr>
        <w:tab/>
      </w:r>
      <w:r w:rsidRPr="004848E7">
        <w:rPr>
          <w:lang w:val="hu-HU"/>
        </w:rPr>
        <w:t>84</w:t>
      </w:r>
      <w:r>
        <w:rPr>
          <w:lang w:val="hu-HU"/>
        </w:rPr>
        <w:t>×</w:t>
      </w:r>
      <w:r>
        <w:rPr>
          <w:lang w:val="hu-HU"/>
        </w:rPr>
        <w:tab/>
        <w:t>P</w:t>
      </w:r>
      <w:r w:rsidRPr="004848E7">
        <w:rPr>
          <w:lang w:val="hu-HU"/>
        </w:rPr>
        <w:t>A/Alu/PVC//Alu buborékcsomagolásban</w:t>
      </w:r>
    </w:p>
    <w:bookmarkEnd w:id="3"/>
    <w:p w14:paraId="44CC4B9F" w14:textId="563078B3" w:rsidR="002D66F3" w:rsidRDefault="002D66F3" w:rsidP="00360A40">
      <w:pPr>
        <w:pStyle w:val="Szvegtrzs"/>
        <w:kinsoku w:val="0"/>
        <w:overflowPunct w:val="0"/>
        <w:ind w:left="0"/>
        <w:rPr>
          <w:lang w:val="hu-HU"/>
        </w:rPr>
      </w:pPr>
    </w:p>
    <w:p w14:paraId="1C93568D" w14:textId="77777777" w:rsidR="004848E7" w:rsidRPr="00360A40" w:rsidRDefault="004848E7" w:rsidP="00360A40">
      <w:pPr>
        <w:pStyle w:val="Szvegtrzs"/>
        <w:kinsoku w:val="0"/>
        <w:overflowPunct w:val="0"/>
        <w:ind w:left="0"/>
        <w:rPr>
          <w:lang w:val="hu-HU"/>
        </w:rPr>
      </w:pPr>
    </w:p>
    <w:p w14:paraId="6C7DFBE2" w14:textId="2DC67946" w:rsidR="002D66F3" w:rsidRPr="00360A40" w:rsidRDefault="00EA221C" w:rsidP="00360A40">
      <w:pPr>
        <w:pStyle w:val="Cmsor1"/>
        <w:kinsoku w:val="0"/>
        <w:overflowPunct w:val="0"/>
        <w:ind w:left="567" w:hanging="567"/>
        <w:rPr>
          <w:b w:val="0"/>
          <w:bCs w:val="0"/>
          <w:lang w:val="hu-HU"/>
        </w:rPr>
      </w:pPr>
      <w:r w:rsidRPr="00360A40">
        <w:rPr>
          <w:lang w:val="hu-HU"/>
        </w:rPr>
        <w:t>9.</w:t>
      </w:r>
      <w:r w:rsidRPr="00360A40">
        <w:rPr>
          <w:lang w:val="hu-HU"/>
        </w:rPr>
        <w:tab/>
      </w:r>
      <w:r w:rsidR="002D66F3" w:rsidRPr="00360A40">
        <w:rPr>
          <w:lang w:val="hu-HU"/>
        </w:rPr>
        <w:t>A FORGALOMBAHOZATALI ENGEDÉLY ELSŐ KIADÁSÁNAK/ MEGÚJÍTÁSÁNAK DÁTUMA</w:t>
      </w:r>
    </w:p>
    <w:p w14:paraId="3835073C" w14:textId="77777777" w:rsidR="002D66F3" w:rsidRPr="00360A40" w:rsidRDefault="002D66F3" w:rsidP="00360A40">
      <w:pPr>
        <w:pStyle w:val="Szvegtrzs"/>
        <w:kinsoku w:val="0"/>
        <w:overflowPunct w:val="0"/>
        <w:ind w:left="0"/>
        <w:rPr>
          <w:b/>
          <w:bCs/>
          <w:lang w:val="hu-HU"/>
        </w:rPr>
      </w:pPr>
    </w:p>
    <w:p w14:paraId="30508180" w14:textId="78699D7A" w:rsidR="00D8677A" w:rsidRPr="00360A40" w:rsidRDefault="00D8677A" w:rsidP="00360A40">
      <w:pPr>
        <w:rPr>
          <w:sz w:val="22"/>
          <w:szCs w:val="22"/>
          <w:lang w:val="hu-HU" w:eastAsia="en-US"/>
        </w:rPr>
      </w:pPr>
      <w:r w:rsidRPr="00360A40">
        <w:rPr>
          <w:sz w:val="22"/>
          <w:szCs w:val="22"/>
        </w:rPr>
        <w:t>A forgalomba hozatali engedély első kiadásának dátuma: 202</w:t>
      </w:r>
      <w:r w:rsidR="004848E7">
        <w:rPr>
          <w:sz w:val="22"/>
          <w:szCs w:val="22"/>
          <w:lang w:val="hu-HU"/>
        </w:rPr>
        <w:t>5</w:t>
      </w:r>
      <w:r w:rsidR="005E4F84" w:rsidRPr="00360A40">
        <w:rPr>
          <w:sz w:val="22"/>
          <w:szCs w:val="22"/>
          <w:lang w:val="hu-HU"/>
        </w:rPr>
        <w:t>.</w:t>
      </w:r>
      <w:r w:rsidR="004848E7">
        <w:rPr>
          <w:sz w:val="22"/>
          <w:szCs w:val="22"/>
          <w:lang w:val="hu-HU"/>
        </w:rPr>
        <w:t xml:space="preserve"> február 4.</w:t>
      </w:r>
    </w:p>
    <w:p w14:paraId="656365A2" w14:textId="77777777" w:rsidR="002D66F3" w:rsidRPr="00360A40" w:rsidRDefault="002D66F3" w:rsidP="00360A40">
      <w:pPr>
        <w:pStyle w:val="Szvegtrzs"/>
        <w:kinsoku w:val="0"/>
        <w:overflowPunct w:val="0"/>
        <w:ind w:left="0"/>
        <w:rPr>
          <w:lang w:val="hu-HU"/>
        </w:rPr>
      </w:pPr>
    </w:p>
    <w:p w14:paraId="313ED3B7" w14:textId="77777777" w:rsidR="002D66F3" w:rsidRPr="00360A40" w:rsidRDefault="002D66F3" w:rsidP="00360A40">
      <w:pPr>
        <w:pStyle w:val="Szvegtrzs"/>
        <w:kinsoku w:val="0"/>
        <w:overflowPunct w:val="0"/>
        <w:ind w:left="0"/>
        <w:rPr>
          <w:lang w:val="hu-HU"/>
        </w:rPr>
      </w:pPr>
    </w:p>
    <w:p w14:paraId="524CE17B" w14:textId="0B4A8CA2" w:rsidR="002D66F3" w:rsidRPr="00360A40" w:rsidRDefault="00EA221C" w:rsidP="00360A40">
      <w:pPr>
        <w:pStyle w:val="Cmsor1"/>
        <w:kinsoku w:val="0"/>
        <w:overflowPunct w:val="0"/>
        <w:ind w:left="0" w:firstLine="0"/>
        <w:rPr>
          <w:b w:val="0"/>
          <w:bCs w:val="0"/>
          <w:lang w:val="hu-HU"/>
        </w:rPr>
      </w:pPr>
      <w:r w:rsidRPr="00360A40">
        <w:rPr>
          <w:lang w:val="hu-HU"/>
        </w:rPr>
        <w:t>10.</w:t>
      </w:r>
      <w:r w:rsidRPr="00360A40">
        <w:rPr>
          <w:lang w:val="hu-HU"/>
        </w:rPr>
        <w:tab/>
      </w:r>
      <w:r w:rsidR="002D66F3" w:rsidRPr="00360A40">
        <w:rPr>
          <w:lang w:val="hu-HU"/>
        </w:rPr>
        <w:t>A SZÖVEG ELLENŐRZÉSÉNEK DÁTUMA</w:t>
      </w:r>
    </w:p>
    <w:p w14:paraId="6A7308E4" w14:textId="77777777" w:rsidR="002D66F3" w:rsidRPr="00360A40" w:rsidRDefault="002D66F3" w:rsidP="00360A40">
      <w:pPr>
        <w:pStyle w:val="Szvegtrzs"/>
        <w:kinsoku w:val="0"/>
        <w:overflowPunct w:val="0"/>
        <w:ind w:left="0"/>
        <w:rPr>
          <w:b/>
          <w:bCs/>
          <w:lang w:val="hu-HU"/>
        </w:rPr>
      </w:pPr>
    </w:p>
    <w:p w14:paraId="4F0F0CED" w14:textId="71CD3024" w:rsidR="002D66F3" w:rsidRDefault="00A65F7A" w:rsidP="00360A40">
      <w:pPr>
        <w:pStyle w:val="Szvegtrzs"/>
        <w:kinsoku w:val="0"/>
        <w:overflowPunct w:val="0"/>
        <w:ind w:left="0"/>
        <w:rPr>
          <w:lang w:val="hu-HU"/>
        </w:rPr>
      </w:pPr>
      <w:r>
        <w:rPr>
          <w:lang w:val="hu-HU"/>
        </w:rPr>
        <w:t>202</w:t>
      </w:r>
      <w:r w:rsidR="006D3D51">
        <w:rPr>
          <w:lang w:val="hu-HU"/>
        </w:rPr>
        <w:t>5</w:t>
      </w:r>
      <w:r>
        <w:rPr>
          <w:lang w:val="hu-HU"/>
        </w:rPr>
        <w:t>. december 19.</w:t>
      </w:r>
    </w:p>
    <w:p w14:paraId="34BF5F4A" w14:textId="77777777" w:rsidR="00404AD7" w:rsidRDefault="00404AD7" w:rsidP="00360A40">
      <w:pPr>
        <w:pStyle w:val="Szvegtrzs"/>
        <w:kinsoku w:val="0"/>
        <w:overflowPunct w:val="0"/>
        <w:ind w:left="0"/>
        <w:rPr>
          <w:lang w:val="hu-HU"/>
        </w:rPr>
      </w:pPr>
    </w:p>
    <w:p w14:paraId="684B039C" w14:textId="77777777" w:rsidR="004848E7" w:rsidRPr="00360A40" w:rsidRDefault="004848E7" w:rsidP="00360A40">
      <w:pPr>
        <w:pStyle w:val="Szvegtrzs"/>
        <w:kinsoku w:val="0"/>
        <w:overflowPunct w:val="0"/>
        <w:ind w:left="0"/>
        <w:rPr>
          <w:lang w:val="hu-HU"/>
        </w:rPr>
      </w:pPr>
    </w:p>
    <w:sectPr w:rsidR="004848E7" w:rsidRPr="00360A40" w:rsidSect="00360A40">
      <w:headerReference w:type="default" r:id="rId9"/>
      <w:footerReference w:type="default" r:id="rId10"/>
      <w:footerReference w:type="first" r:id="rId11"/>
      <w:pgSz w:w="11910" w:h="16840" w:code="9"/>
      <w:pgMar w:top="1134" w:right="1417" w:bottom="1134" w:left="1417" w:header="737" w:footer="7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46E3A" w14:textId="77777777" w:rsidR="002D2EAD" w:rsidRDefault="002D2EAD">
      <w:r>
        <w:separator/>
      </w:r>
    </w:p>
  </w:endnote>
  <w:endnote w:type="continuationSeparator" w:id="0">
    <w:p w14:paraId="0D3E7FA0" w14:textId="77777777" w:rsidR="002D2EAD" w:rsidRDefault="002D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A6477" w14:textId="77777777" w:rsidR="002827B0" w:rsidRDefault="002827B0">
    <w:pPr>
      <w:pStyle w:val="Szvegtrzs"/>
      <w:kinsoku w:val="0"/>
      <w:overflowPunct w:val="0"/>
      <w:spacing w:line="14" w:lineRule="auto"/>
      <w:ind w:left="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D911C" w14:textId="77777777" w:rsidR="00A65F7A" w:rsidRPr="00A65F7A" w:rsidRDefault="00A65F7A" w:rsidP="00A65F7A">
    <w:pPr>
      <w:pStyle w:val="llb"/>
      <w:rPr>
        <w:sz w:val="18"/>
        <w:szCs w:val="18"/>
      </w:rPr>
    </w:pPr>
    <w:r w:rsidRPr="00A65F7A">
      <w:rPr>
        <w:sz w:val="18"/>
        <w:szCs w:val="18"/>
      </w:rPr>
      <w:t>NNGYK/ETGY/28451/2025</w:t>
    </w:r>
  </w:p>
  <w:p w14:paraId="2264ADEC" w14:textId="77777777" w:rsidR="00A65F7A" w:rsidRPr="00A65F7A" w:rsidRDefault="00A65F7A" w:rsidP="00A65F7A">
    <w:pPr>
      <w:pStyle w:val="llb"/>
      <w:rPr>
        <w:sz w:val="18"/>
        <w:szCs w:val="18"/>
      </w:rPr>
    </w:pPr>
    <w:r w:rsidRPr="00A65F7A">
      <w:rPr>
        <w:sz w:val="18"/>
        <w:szCs w:val="18"/>
      </w:rPr>
      <w:t>NNGYK/ETGY/28452/2025</w:t>
    </w:r>
  </w:p>
  <w:p w14:paraId="0B710CE8" w14:textId="77777777" w:rsidR="00A65F7A" w:rsidRPr="00A65F7A" w:rsidRDefault="00A65F7A" w:rsidP="00A65F7A">
    <w:pPr>
      <w:pStyle w:val="llb"/>
      <w:rPr>
        <w:sz w:val="18"/>
        <w:szCs w:val="18"/>
      </w:rPr>
    </w:pPr>
    <w:r w:rsidRPr="00A65F7A">
      <w:rPr>
        <w:sz w:val="18"/>
        <w:szCs w:val="18"/>
      </w:rPr>
      <w:t>NNGYK/ETGY/28453/2025</w:t>
    </w:r>
  </w:p>
  <w:p w14:paraId="271E832D" w14:textId="77B49F98" w:rsidR="002827B0" w:rsidRPr="009F4BD6" w:rsidRDefault="00A65F7A" w:rsidP="00360A40">
    <w:pPr>
      <w:pStyle w:val="llb"/>
      <w:rPr>
        <w:sz w:val="18"/>
        <w:szCs w:val="18"/>
      </w:rPr>
    </w:pPr>
    <w:r w:rsidRPr="00A65F7A">
      <w:rPr>
        <w:sz w:val="18"/>
        <w:szCs w:val="18"/>
      </w:rPr>
      <w:t>NNGYK/ETGY/28454/2025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A0CFF" w14:textId="77777777" w:rsidR="002D2EAD" w:rsidRDefault="002D2EAD">
      <w:r>
        <w:separator/>
      </w:r>
    </w:p>
  </w:footnote>
  <w:footnote w:type="continuationSeparator" w:id="0">
    <w:p w14:paraId="7397561A" w14:textId="77777777" w:rsidR="002D2EAD" w:rsidRDefault="002D2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120034"/>
      <w:docPartObj>
        <w:docPartGallery w:val="Page Numbers (Top of Page)"/>
        <w:docPartUnique/>
      </w:docPartObj>
    </w:sdtPr>
    <w:sdtEndPr>
      <w:rPr>
        <w:sz w:val="18"/>
        <w:szCs w:val="18"/>
      </w:rPr>
    </w:sdtEndPr>
    <w:sdtContent>
      <w:p w14:paraId="6EB2D53C" w14:textId="54B56437" w:rsidR="002827B0" w:rsidRPr="009F4BD6" w:rsidRDefault="002827B0">
        <w:pPr>
          <w:pStyle w:val="lfej"/>
          <w:jc w:val="center"/>
          <w:rPr>
            <w:sz w:val="18"/>
            <w:szCs w:val="18"/>
          </w:rPr>
        </w:pPr>
        <w:r w:rsidRPr="009F4BD6">
          <w:rPr>
            <w:sz w:val="18"/>
            <w:szCs w:val="18"/>
          </w:rPr>
          <w:fldChar w:fldCharType="begin"/>
        </w:r>
        <w:r w:rsidRPr="009F4BD6">
          <w:rPr>
            <w:sz w:val="18"/>
            <w:szCs w:val="18"/>
          </w:rPr>
          <w:instrText>PAGE   \* MERGEFORMAT</w:instrText>
        </w:r>
        <w:r w:rsidRPr="009F4BD6">
          <w:rPr>
            <w:sz w:val="18"/>
            <w:szCs w:val="18"/>
          </w:rPr>
          <w:fldChar w:fldCharType="separate"/>
        </w:r>
        <w:r w:rsidR="00B55307" w:rsidRPr="00B55307">
          <w:rPr>
            <w:noProof/>
            <w:sz w:val="18"/>
            <w:szCs w:val="18"/>
            <w:lang w:val="hu-HU"/>
          </w:rPr>
          <w:t>37</w:t>
        </w:r>
        <w:r w:rsidRPr="009F4BD6">
          <w:rPr>
            <w:sz w:val="18"/>
            <w:szCs w:val="18"/>
          </w:rPr>
          <w:fldChar w:fldCharType="end"/>
        </w:r>
      </w:p>
    </w:sdtContent>
  </w:sdt>
  <w:p w14:paraId="03546F41" w14:textId="77777777" w:rsidR="002827B0" w:rsidRDefault="002827B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686" w:hanging="568"/>
      </w:pPr>
      <w:rPr>
        <w:rFonts w:ascii="Times New Roman" w:hAnsi="Times New Roman" w:cs="Times New Roman"/>
        <w:b/>
        <w:bCs/>
        <w:w w:val="99"/>
        <w:sz w:val="22"/>
        <w:szCs w:val="22"/>
      </w:rPr>
    </w:lvl>
    <w:lvl w:ilvl="1">
      <w:start w:val="1"/>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406" w:hanging="568"/>
      </w:pPr>
    </w:lvl>
    <w:lvl w:ilvl="3">
      <w:numFmt w:val="bullet"/>
      <w:lvlText w:val="•"/>
      <w:lvlJc w:val="left"/>
      <w:pPr>
        <w:ind w:left="3266" w:hanging="568"/>
      </w:pPr>
    </w:lvl>
    <w:lvl w:ilvl="4">
      <w:numFmt w:val="bullet"/>
      <w:lvlText w:val="•"/>
      <w:lvlJc w:val="left"/>
      <w:pPr>
        <w:ind w:left="4125" w:hanging="568"/>
      </w:pPr>
    </w:lvl>
    <w:lvl w:ilvl="5">
      <w:numFmt w:val="bullet"/>
      <w:lvlText w:val="•"/>
      <w:lvlJc w:val="left"/>
      <w:pPr>
        <w:ind w:left="4985" w:hanging="568"/>
      </w:pPr>
    </w:lvl>
    <w:lvl w:ilvl="6">
      <w:numFmt w:val="bullet"/>
      <w:lvlText w:val="•"/>
      <w:lvlJc w:val="left"/>
      <w:pPr>
        <w:ind w:left="5845" w:hanging="568"/>
      </w:pPr>
    </w:lvl>
    <w:lvl w:ilvl="7">
      <w:numFmt w:val="bullet"/>
      <w:lvlText w:val="•"/>
      <w:lvlJc w:val="left"/>
      <w:pPr>
        <w:ind w:left="6705" w:hanging="568"/>
      </w:pPr>
    </w:lvl>
    <w:lvl w:ilvl="8">
      <w:numFmt w:val="bullet"/>
      <w:lvlText w:val="•"/>
      <w:lvlJc w:val="left"/>
      <w:pPr>
        <w:ind w:left="7565" w:hanging="568"/>
      </w:pPr>
    </w:lvl>
  </w:abstractNum>
  <w:abstractNum w:abstractNumId="1" w15:restartNumberingAfterBreak="0">
    <w:nsid w:val="00000403"/>
    <w:multiLevelType w:val="multilevel"/>
    <w:tmpl w:val="FFFFFFFF"/>
    <w:lvl w:ilvl="0">
      <w:start w:val="1"/>
      <w:numFmt w:val="decimal"/>
      <w:lvlText w:val="%1."/>
      <w:lvlJc w:val="left"/>
      <w:pPr>
        <w:ind w:left="1537" w:hanging="221"/>
      </w:pPr>
      <w:rPr>
        <w:rFonts w:ascii="Times New Roman" w:hAnsi="Times New Roman" w:cs="Times New Roman"/>
        <w:b/>
        <w:bCs/>
        <w:w w:val="99"/>
        <w:sz w:val="22"/>
        <w:szCs w:val="22"/>
      </w:rPr>
    </w:lvl>
    <w:lvl w:ilvl="1">
      <w:numFmt w:val="bullet"/>
      <w:lvlText w:val="•"/>
      <w:lvlJc w:val="left"/>
      <w:pPr>
        <w:ind w:left="2318" w:hanging="221"/>
      </w:pPr>
    </w:lvl>
    <w:lvl w:ilvl="2">
      <w:numFmt w:val="bullet"/>
      <w:lvlText w:val="•"/>
      <w:lvlJc w:val="left"/>
      <w:pPr>
        <w:ind w:left="3098" w:hanging="221"/>
      </w:pPr>
    </w:lvl>
    <w:lvl w:ilvl="3">
      <w:numFmt w:val="bullet"/>
      <w:lvlText w:val="•"/>
      <w:lvlJc w:val="left"/>
      <w:pPr>
        <w:ind w:left="3879" w:hanging="221"/>
      </w:pPr>
    </w:lvl>
    <w:lvl w:ilvl="4">
      <w:numFmt w:val="bullet"/>
      <w:lvlText w:val="•"/>
      <w:lvlJc w:val="left"/>
      <w:pPr>
        <w:ind w:left="4660" w:hanging="221"/>
      </w:pPr>
    </w:lvl>
    <w:lvl w:ilvl="5">
      <w:numFmt w:val="bullet"/>
      <w:lvlText w:val="•"/>
      <w:lvlJc w:val="left"/>
      <w:pPr>
        <w:ind w:left="5441" w:hanging="221"/>
      </w:pPr>
    </w:lvl>
    <w:lvl w:ilvl="6">
      <w:numFmt w:val="bullet"/>
      <w:lvlText w:val="•"/>
      <w:lvlJc w:val="left"/>
      <w:pPr>
        <w:ind w:left="6222" w:hanging="221"/>
      </w:pPr>
    </w:lvl>
    <w:lvl w:ilvl="7">
      <w:numFmt w:val="bullet"/>
      <w:lvlText w:val="•"/>
      <w:lvlJc w:val="left"/>
      <w:pPr>
        <w:ind w:left="7002" w:hanging="221"/>
      </w:pPr>
    </w:lvl>
    <w:lvl w:ilvl="8">
      <w:numFmt w:val="bullet"/>
      <w:lvlText w:val="•"/>
      <w:lvlJc w:val="left"/>
      <w:pPr>
        <w:ind w:left="7783" w:hanging="221"/>
      </w:pPr>
    </w:lvl>
  </w:abstractNum>
  <w:abstractNum w:abstractNumId="2" w15:restartNumberingAfterBreak="0">
    <w:nsid w:val="00000404"/>
    <w:multiLevelType w:val="multilevel"/>
    <w:tmpl w:val="FFFFFFFF"/>
    <w:lvl w:ilvl="0">
      <w:numFmt w:val="bullet"/>
      <w:lvlText w:val="◆"/>
      <w:lvlJc w:val="left"/>
      <w:pPr>
        <w:ind w:left="686" w:hanging="568"/>
      </w:pPr>
      <w:rPr>
        <w:rFonts w:ascii="Times New Roman" w:hAnsi="Times New Roman"/>
        <w:b w:val="0"/>
        <w:w w:val="50"/>
        <w:sz w:val="22"/>
      </w:rPr>
    </w:lvl>
    <w:lvl w:ilvl="1">
      <w:numFmt w:val="bullet"/>
      <w:lvlText w:val="•"/>
      <w:lvlJc w:val="left"/>
      <w:pPr>
        <w:ind w:left="1552" w:hanging="568"/>
      </w:pPr>
    </w:lvl>
    <w:lvl w:ilvl="2">
      <w:numFmt w:val="bullet"/>
      <w:lvlText w:val="•"/>
      <w:lvlJc w:val="left"/>
      <w:pPr>
        <w:ind w:left="2418" w:hanging="568"/>
      </w:pPr>
    </w:lvl>
    <w:lvl w:ilvl="3">
      <w:numFmt w:val="bullet"/>
      <w:lvlText w:val="•"/>
      <w:lvlJc w:val="left"/>
      <w:pPr>
        <w:ind w:left="3284" w:hanging="568"/>
      </w:pPr>
    </w:lvl>
    <w:lvl w:ilvl="4">
      <w:numFmt w:val="bullet"/>
      <w:lvlText w:val="•"/>
      <w:lvlJc w:val="left"/>
      <w:pPr>
        <w:ind w:left="4149" w:hanging="568"/>
      </w:pPr>
    </w:lvl>
    <w:lvl w:ilvl="5">
      <w:numFmt w:val="bullet"/>
      <w:lvlText w:val="•"/>
      <w:lvlJc w:val="left"/>
      <w:pPr>
        <w:ind w:left="5015" w:hanging="568"/>
      </w:pPr>
    </w:lvl>
    <w:lvl w:ilvl="6">
      <w:numFmt w:val="bullet"/>
      <w:lvlText w:val="•"/>
      <w:lvlJc w:val="left"/>
      <w:pPr>
        <w:ind w:left="5881" w:hanging="568"/>
      </w:pPr>
    </w:lvl>
    <w:lvl w:ilvl="7">
      <w:numFmt w:val="bullet"/>
      <w:lvlText w:val="•"/>
      <w:lvlJc w:val="left"/>
      <w:pPr>
        <w:ind w:left="6747" w:hanging="568"/>
      </w:pPr>
    </w:lvl>
    <w:lvl w:ilvl="8">
      <w:numFmt w:val="bullet"/>
      <w:lvlText w:val="•"/>
      <w:lvlJc w:val="left"/>
      <w:pPr>
        <w:ind w:left="7613" w:hanging="568"/>
      </w:pPr>
    </w:lvl>
  </w:abstractNum>
  <w:abstractNum w:abstractNumId="3" w15:restartNumberingAfterBreak="0">
    <w:nsid w:val="00000405"/>
    <w:multiLevelType w:val="multilevel"/>
    <w:tmpl w:val="FFFFFFFF"/>
    <w:lvl w:ilvl="0">
      <w:numFmt w:val="bullet"/>
      <w:lvlText w:val="◆"/>
      <w:lvlJc w:val="left"/>
      <w:pPr>
        <w:ind w:left="686" w:hanging="568"/>
      </w:pPr>
      <w:rPr>
        <w:rFonts w:ascii="Times New Roman" w:hAnsi="Times New Roman"/>
        <w:b w:val="0"/>
        <w:w w:val="51"/>
        <w:position w:val="9"/>
        <w:sz w:val="14"/>
      </w:rPr>
    </w:lvl>
    <w:lvl w:ilvl="1">
      <w:numFmt w:val="bullet"/>
      <w:lvlText w:val="•"/>
      <w:lvlJc w:val="left"/>
      <w:pPr>
        <w:ind w:left="1552" w:hanging="568"/>
      </w:pPr>
    </w:lvl>
    <w:lvl w:ilvl="2">
      <w:numFmt w:val="bullet"/>
      <w:lvlText w:val="•"/>
      <w:lvlJc w:val="left"/>
      <w:pPr>
        <w:ind w:left="2418" w:hanging="568"/>
      </w:pPr>
    </w:lvl>
    <w:lvl w:ilvl="3">
      <w:numFmt w:val="bullet"/>
      <w:lvlText w:val="•"/>
      <w:lvlJc w:val="left"/>
      <w:pPr>
        <w:ind w:left="3284" w:hanging="568"/>
      </w:pPr>
    </w:lvl>
    <w:lvl w:ilvl="4">
      <w:numFmt w:val="bullet"/>
      <w:lvlText w:val="•"/>
      <w:lvlJc w:val="left"/>
      <w:pPr>
        <w:ind w:left="4149" w:hanging="568"/>
      </w:pPr>
    </w:lvl>
    <w:lvl w:ilvl="5">
      <w:numFmt w:val="bullet"/>
      <w:lvlText w:val="•"/>
      <w:lvlJc w:val="left"/>
      <w:pPr>
        <w:ind w:left="5015" w:hanging="568"/>
      </w:pPr>
    </w:lvl>
    <w:lvl w:ilvl="6">
      <w:numFmt w:val="bullet"/>
      <w:lvlText w:val="•"/>
      <w:lvlJc w:val="left"/>
      <w:pPr>
        <w:ind w:left="5881" w:hanging="568"/>
      </w:pPr>
    </w:lvl>
    <w:lvl w:ilvl="7">
      <w:numFmt w:val="bullet"/>
      <w:lvlText w:val="•"/>
      <w:lvlJc w:val="left"/>
      <w:pPr>
        <w:ind w:left="6747" w:hanging="568"/>
      </w:pPr>
    </w:lvl>
    <w:lvl w:ilvl="8">
      <w:numFmt w:val="bullet"/>
      <w:lvlText w:val="•"/>
      <w:lvlJc w:val="left"/>
      <w:pPr>
        <w:ind w:left="7613" w:hanging="568"/>
      </w:pPr>
    </w:lvl>
  </w:abstractNum>
  <w:abstractNum w:abstractNumId="4" w15:restartNumberingAfterBreak="0">
    <w:nsid w:val="00000406"/>
    <w:multiLevelType w:val="multilevel"/>
    <w:tmpl w:val="FFFFFFFF"/>
    <w:lvl w:ilvl="0">
      <w:start w:val="4"/>
      <w:numFmt w:val="decimal"/>
      <w:lvlText w:val="%1"/>
      <w:lvlJc w:val="left"/>
      <w:pPr>
        <w:ind w:left="450" w:hanging="332"/>
      </w:pPr>
      <w:rPr>
        <w:rFonts w:cs="Times New Roman"/>
      </w:rPr>
    </w:lvl>
    <w:lvl w:ilvl="1">
      <w:start w:val="4"/>
      <w:numFmt w:val="decimal"/>
      <w:lvlText w:val="%1.%2"/>
      <w:lvlJc w:val="left"/>
      <w:pPr>
        <w:ind w:left="450" w:hanging="332"/>
      </w:pPr>
      <w:rPr>
        <w:rFonts w:ascii="Times New Roman" w:hAnsi="Times New Roman" w:cs="Times New Roman"/>
        <w:b w:val="0"/>
        <w:bCs w:val="0"/>
        <w:w w:val="99"/>
        <w:sz w:val="22"/>
        <w:szCs w:val="22"/>
      </w:rPr>
    </w:lvl>
    <w:lvl w:ilvl="2">
      <w:numFmt w:val="bullet"/>
      <w:lvlText w:val=""/>
      <w:lvlJc w:val="left"/>
      <w:pPr>
        <w:ind w:left="786" w:hanging="568"/>
      </w:pPr>
      <w:rPr>
        <w:rFonts w:ascii="Symbol" w:hAnsi="Symbol"/>
        <w:b w:val="0"/>
        <w:w w:val="99"/>
        <w:sz w:val="22"/>
      </w:rPr>
    </w:lvl>
    <w:lvl w:ilvl="3">
      <w:numFmt w:val="bullet"/>
      <w:lvlText w:val="•"/>
      <w:lvlJc w:val="left"/>
      <w:pPr>
        <w:ind w:left="2670" w:hanging="568"/>
      </w:pPr>
    </w:lvl>
    <w:lvl w:ilvl="4">
      <w:numFmt w:val="bullet"/>
      <w:lvlText w:val="•"/>
      <w:lvlJc w:val="left"/>
      <w:pPr>
        <w:ind w:left="3612" w:hanging="568"/>
      </w:pPr>
    </w:lvl>
    <w:lvl w:ilvl="5">
      <w:numFmt w:val="bullet"/>
      <w:lvlText w:val="•"/>
      <w:lvlJc w:val="left"/>
      <w:pPr>
        <w:ind w:left="4554" w:hanging="568"/>
      </w:pPr>
    </w:lvl>
    <w:lvl w:ilvl="6">
      <w:numFmt w:val="bullet"/>
      <w:lvlText w:val="•"/>
      <w:lvlJc w:val="left"/>
      <w:pPr>
        <w:ind w:left="5496" w:hanging="568"/>
      </w:pPr>
    </w:lvl>
    <w:lvl w:ilvl="7">
      <w:numFmt w:val="bullet"/>
      <w:lvlText w:val="•"/>
      <w:lvlJc w:val="left"/>
      <w:pPr>
        <w:ind w:left="6438" w:hanging="568"/>
      </w:pPr>
    </w:lvl>
    <w:lvl w:ilvl="8">
      <w:numFmt w:val="bullet"/>
      <w:lvlText w:val="•"/>
      <w:lvlJc w:val="left"/>
      <w:pPr>
        <w:ind w:left="7381" w:hanging="568"/>
      </w:pPr>
    </w:lvl>
  </w:abstractNum>
  <w:abstractNum w:abstractNumId="5" w15:restartNumberingAfterBreak="0">
    <w:nsid w:val="00000407"/>
    <w:multiLevelType w:val="multilevel"/>
    <w:tmpl w:val="FFFFFFFF"/>
    <w:lvl w:ilvl="0">
      <w:start w:val="4"/>
      <w:numFmt w:val="decimal"/>
      <w:lvlText w:val="%1"/>
      <w:lvlJc w:val="left"/>
      <w:pPr>
        <w:ind w:left="786" w:hanging="568"/>
      </w:pPr>
      <w:rPr>
        <w:rFonts w:cs="Times New Roman"/>
      </w:rPr>
    </w:lvl>
    <w:lvl w:ilvl="1">
      <w:start w:val="3"/>
      <w:numFmt w:val="decimal"/>
      <w:lvlText w:val="%1.%2"/>
      <w:lvlJc w:val="left"/>
      <w:pPr>
        <w:ind w:left="786" w:hanging="568"/>
      </w:pPr>
      <w:rPr>
        <w:rFonts w:ascii="Times New Roman" w:hAnsi="Times New Roman" w:cs="Times New Roman"/>
        <w:b/>
        <w:bCs/>
        <w:w w:val="99"/>
        <w:sz w:val="22"/>
        <w:szCs w:val="22"/>
      </w:rPr>
    </w:lvl>
    <w:lvl w:ilvl="2">
      <w:numFmt w:val="bullet"/>
      <w:lvlText w:val="•"/>
      <w:lvlJc w:val="left"/>
      <w:pPr>
        <w:ind w:left="2530" w:hanging="568"/>
      </w:pPr>
    </w:lvl>
    <w:lvl w:ilvl="3">
      <w:numFmt w:val="bullet"/>
      <w:lvlText w:val="•"/>
      <w:lvlJc w:val="left"/>
      <w:pPr>
        <w:ind w:left="3402" w:hanging="568"/>
      </w:pPr>
    </w:lvl>
    <w:lvl w:ilvl="4">
      <w:numFmt w:val="bullet"/>
      <w:lvlText w:val="•"/>
      <w:lvlJc w:val="left"/>
      <w:pPr>
        <w:ind w:left="4273" w:hanging="568"/>
      </w:pPr>
    </w:lvl>
    <w:lvl w:ilvl="5">
      <w:numFmt w:val="bullet"/>
      <w:lvlText w:val="•"/>
      <w:lvlJc w:val="left"/>
      <w:pPr>
        <w:ind w:left="5145" w:hanging="568"/>
      </w:pPr>
    </w:lvl>
    <w:lvl w:ilvl="6">
      <w:numFmt w:val="bullet"/>
      <w:lvlText w:val="•"/>
      <w:lvlJc w:val="left"/>
      <w:pPr>
        <w:ind w:left="6017" w:hanging="568"/>
      </w:pPr>
    </w:lvl>
    <w:lvl w:ilvl="7">
      <w:numFmt w:val="bullet"/>
      <w:lvlText w:val="•"/>
      <w:lvlJc w:val="left"/>
      <w:pPr>
        <w:ind w:left="6889" w:hanging="568"/>
      </w:pPr>
    </w:lvl>
    <w:lvl w:ilvl="8">
      <w:numFmt w:val="bullet"/>
      <w:lvlText w:val="•"/>
      <w:lvlJc w:val="left"/>
      <w:pPr>
        <w:ind w:left="7761" w:hanging="568"/>
      </w:pPr>
    </w:lvl>
  </w:abstractNum>
  <w:abstractNum w:abstractNumId="6" w15:restartNumberingAfterBreak="0">
    <w:nsid w:val="00000408"/>
    <w:multiLevelType w:val="multilevel"/>
    <w:tmpl w:val="FFFFFFFF"/>
    <w:lvl w:ilvl="0">
      <w:start w:val="4"/>
      <w:numFmt w:val="decimal"/>
      <w:lvlText w:val="%1"/>
      <w:lvlJc w:val="left"/>
      <w:pPr>
        <w:ind w:left="686" w:hanging="568"/>
      </w:pPr>
      <w:rPr>
        <w:rFonts w:cs="Times New Roman"/>
      </w:rPr>
    </w:lvl>
    <w:lvl w:ilvl="1">
      <w:start w:val="6"/>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406" w:hanging="568"/>
      </w:pPr>
    </w:lvl>
    <w:lvl w:ilvl="3">
      <w:numFmt w:val="bullet"/>
      <w:lvlText w:val="•"/>
      <w:lvlJc w:val="left"/>
      <w:pPr>
        <w:ind w:left="3266" w:hanging="568"/>
      </w:pPr>
    </w:lvl>
    <w:lvl w:ilvl="4">
      <w:numFmt w:val="bullet"/>
      <w:lvlText w:val="•"/>
      <w:lvlJc w:val="left"/>
      <w:pPr>
        <w:ind w:left="4125" w:hanging="568"/>
      </w:pPr>
    </w:lvl>
    <w:lvl w:ilvl="5">
      <w:numFmt w:val="bullet"/>
      <w:lvlText w:val="•"/>
      <w:lvlJc w:val="left"/>
      <w:pPr>
        <w:ind w:left="4985" w:hanging="568"/>
      </w:pPr>
    </w:lvl>
    <w:lvl w:ilvl="6">
      <w:numFmt w:val="bullet"/>
      <w:lvlText w:val="•"/>
      <w:lvlJc w:val="left"/>
      <w:pPr>
        <w:ind w:left="5845" w:hanging="568"/>
      </w:pPr>
    </w:lvl>
    <w:lvl w:ilvl="7">
      <w:numFmt w:val="bullet"/>
      <w:lvlText w:val="•"/>
      <w:lvlJc w:val="left"/>
      <w:pPr>
        <w:ind w:left="6705" w:hanging="568"/>
      </w:pPr>
    </w:lvl>
    <w:lvl w:ilvl="8">
      <w:numFmt w:val="bullet"/>
      <w:lvlText w:val="•"/>
      <w:lvlJc w:val="left"/>
      <w:pPr>
        <w:ind w:left="7565" w:hanging="568"/>
      </w:pPr>
    </w:lvl>
  </w:abstractNum>
  <w:abstractNum w:abstractNumId="7" w15:restartNumberingAfterBreak="0">
    <w:nsid w:val="00000409"/>
    <w:multiLevelType w:val="multilevel"/>
    <w:tmpl w:val="FFFFFFFF"/>
    <w:lvl w:ilvl="0">
      <w:start w:val="5"/>
      <w:numFmt w:val="decimal"/>
      <w:lvlText w:val="%1."/>
      <w:lvlJc w:val="left"/>
      <w:pPr>
        <w:ind w:left="686" w:hanging="568"/>
      </w:pPr>
      <w:rPr>
        <w:rFonts w:ascii="Times New Roman" w:hAnsi="Times New Roman" w:cs="Times New Roman"/>
        <w:b/>
        <w:bCs/>
        <w:w w:val="99"/>
        <w:sz w:val="22"/>
        <w:szCs w:val="22"/>
      </w:rPr>
    </w:lvl>
    <w:lvl w:ilvl="1">
      <w:start w:val="1"/>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406" w:hanging="568"/>
      </w:pPr>
    </w:lvl>
    <w:lvl w:ilvl="3">
      <w:numFmt w:val="bullet"/>
      <w:lvlText w:val="•"/>
      <w:lvlJc w:val="left"/>
      <w:pPr>
        <w:ind w:left="3266" w:hanging="568"/>
      </w:pPr>
    </w:lvl>
    <w:lvl w:ilvl="4">
      <w:numFmt w:val="bullet"/>
      <w:lvlText w:val="•"/>
      <w:lvlJc w:val="left"/>
      <w:pPr>
        <w:ind w:left="4125" w:hanging="568"/>
      </w:pPr>
    </w:lvl>
    <w:lvl w:ilvl="5">
      <w:numFmt w:val="bullet"/>
      <w:lvlText w:val="•"/>
      <w:lvlJc w:val="left"/>
      <w:pPr>
        <w:ind w:left="4985" w:hanging="568"/>
      </w:pPr>
    </w:lvl>
    <w:lvl w:ilvl="6">
      <w:numFmt w:val="bullet"/>
      <w:lvlText w:val="•"/>
      <w:lvlJc w:val="left"/>
      <w:pPr>
        <w:ind w:left="5845" w:hanging="568"/>
      </w:pPr>
    </w:lvl>
    <w:lvl w:ilvl="7">
      <w:numFmt w:val="bullet"/>
      <w:lvlText w:val="•"/>
      <w:lvlJc w:val="left"/>
      <w:pPr>
        <w:ind w:left="6705" w:hanging="568"/>
      </w:pPr>
    </w:lvl>
    <w:lvl w:ilvl="8">
      <w:numFmt w:val="bullet"/>
      <w:lvlText w:val="•"/>
      <w:lvlJc w:val="left"/>
      <w:pPr>
        <w:ind w:left="7565" w:hanging="568"/>
      </w:pPr>
    </w:lvl>
  </w:abstractNum>
  <w:abstractNum w:abstractNumId="8" w15:restartNumberingAfterBreak="0">
    <w:nsid w:val="0000040A"/>
    <w:multiLevelType w:val="multilevel"/>
    <w:tmpl w:val="FFFFFFFF"/>
    <w:lvl w:ilvl="0">
      <w:start w:val="1"/>
      <w:numFmt w:val="lowerLetter"/>
      <w:lvlText w:val="%1"/>
      <w:lvlJc w:val="left"/>
      <w:pPr>
        <w:ind w:left="686" w:hanging="568"/>
      </w:pPr>
      <w:rPr>
        <w:rFonts w:ascii="Times New Roman" w:hAnsi="Times New Roman" w:cs="Times New Roman"/>
        <w:b w:val="0"/>
        <w:bCs w:val="0"/>
        <w:w w:val="99"/>
        <w:sz w:val="22"/>
        <w:szCs w:val="22"/>
      </w:rPr>
    </w:lvl>
    <w:lvl w:ilvl="1">
      <w:numFmt w:val="bullet"/>
      <w:lvlText w:val="•"/>
      <w:lvlJc w:val="left"/>
      <w:pPr>
        <w:ind w:left="1546" w:hanging="568"/>
      </w:pPr>
    </w:lvl>
    <w:lvl w:ilvl="2">
      <w:numFmt w:val="bullet"/>
      <w:lvlText w:val="•"/>
      <w:lvlJc w:val="left"/>
      <w:pPr>
        <w:ind w:left="2406" w:hanging="568"/>
      </w:pPr>
    </w:lvl>
    <w:lvl w:ilvl="3">
      <w:numFmt w:val="bullet"/>
      <w:lvlText w:val="•"/>
      <w:lvlJc w:val="left"/>
      <w:pPr>
        <w:ind w:left="3266" w:hanging="568"/>
      </w:pPr>
    </w:lvl>
    <w:lvl w:ilvl="4">
      <w:numFmt w:val="bullet"/>
      <w:lvlText w:val="•"/>
      <w:lvlJc w:val="left"/>
      <w:pPr>
        <w:ind w:left="4125" w:hanging="568"/>
      </w:pPr>
    </w:lvl>
    <w:lvl w:ilvl="5">
      <w:numFmt w:val="bullet"/>
      <w:lvlText w:val="•"/>
      <w:lvlJc w:val="left"/>
      <w:pPr>
        <w:ind w:left="4985" w:hanging="568"/>
      </w:pPr>
    </w:lvl>
    <w:lvl w:ilvl="6">
      <w:numFmt w:val="bullet"/>
      <w:lvlText w:val="•"/>
      <w:lvlJc w:val="left"/>
      <w:pPr>
        <w:ind w:left="5845" w:hanging="568"/>
      </w:pPr>
    </w:lvl>
    <w:lvl w:ilvl="7">
      <w:numFmt w:val="bullet"/>
      <w:lvlText w:val="•"/>
      <w:lvlJc w:val="left"/>
      <w:pPr>
        <w:ind w:left="6705" w:hanging="568"/>
      </w:pPr>
    </w:lvl>
    <w:lvl w:ilvl="8">
      <w:numFmt w:val="bullet"/>
      <w:lvlText w:val="•"/>
      <w:lvlJc w:val="left"/>
      <w:pPr>
        <w:ind w:left="7565" w:hanging="568"/>
      </w:pPr>
    </w:lvl>
  </w:abstractNum>
  <w:abstractNum w:abstractNumId="9" w15:restartNumberingAfterBreak="0">
    <w:nsid w:val="0000040B"/>
    <w:multiLevelType w:val="multilevel"/>
    <w:tmpl w:val="FFFFFFFF"/>
    <w:lvl w:ilvl="0">
      <w:start w:val="6"/>
      <w:numFmt w:val="decimal"/>
      <w:lvlText w:val="%1."/>
      <w:lvlJc w:val="left"/>
      <w:pPr>
        <w:ind w:left="1537" w:hanging="221"/>
      </w:pPr>
      <w:rPr>
        <w:rFonts w:ascii="Times New Roman" w:hAnsi="Times New Roman" w:cs="Times New Roman"/>
        <w:b/>
        <w:bCs/>
        <w:w w:val="99"/>
        <w:sz w:val="22"/>
        <w:szCs w:val="22"/>
      </w:rPr>
    </w:lvl>
    <w:lvl w:ilvl="1">
      <w:numFmt w:val="bullet"/>
      <w:lvlText w:val="•"/>
      <w:lvlJc w:val="left"/>
      <w:pPr>
        <w:ind w:left="2304" w:hanging="221"/>
      </w:pPr>
    </w:lvl>
    <w:lvl w:ilvl="2">
      <w:numFmt w:val="bullet"/>
      <w:lvlText w:val="•"/>
      <w:lvlJc w:val="left"/>
      <w:pPr>
        <w:ind w:left="3070" w:hanging="221"/>
      </w:pPr>
    </w:lvl>
    <w:lvl w:ilvl="3">
      <w:numFmt w:val="bullet"/>
      <w:lvlText w:val="•"/>
      <w:lvlJc w:val="left"/>
      <w:pPr>
        <w:ind w:left="3837" w:hanging="221"/>
      </w:pPr>
    </w:lvl>
    <w:lvl w:ilvl="4">
      <w:numFmt w:val="bullet"/>
      <w:lvlText w:val="•"/>
      <w:lvlJc w:val="left"/>
      <w:pPr>
        <w:ind w:left="4604" w:hanging="221"/>
      </w:pPr>
    </w:lvl>
    <w:lvl w:ilvl="5">
      <w:numFmt w:val="bullet"/>
      <w:lvlText w:val="•"/>
      <w:lvlJc w:val="left"/>
      <w:pPr>
        <w:ind w:left="5371" w:hanging="221"/>
      </w:pPr>
    </w:lvl>
    <w:lvl w:ilvl="6">
      <w:numFmt w:val="bullet"/>
      <w:lvlText w:val="•"/>
      <w:lvlJc w:val="left"/>
      <w:pPr>
        <w:ind w:left="6138" w:hanging="221"/>
      </w:pPr>
    </w:lvl>
    <w:lvl w:ilvl="7">
      <w:numFmt w:val="bullet"/>
      <w:lvlText w:val="•"/>
      <w:lvlJc w:val="left"/>
      <w:pPr>
        <w:ind w:left="6904" w:hanging="221"/>
      </w:pPr>
    </w:lvl>
    <w:lvl w:ilvl="8">
      <w:numFmt w:val="bullet"/>
      <w:lvlText w:val="•"/>
      <w:lvlJc w:val="left"/>
      <w:pPr>
        <w:ind w:left="7671" w:hanging="221"/>
      </w:pPr>
    </w:lvl>
  </w:abstractNum>
  <w:abstractNum w:abstractNumId="10" w15:restartNumberingAfterBreak="0">
    <w:nsid w:val="0000040C"/>
    <w:multiLevelType w:val="multilevel"/>
    <w:tmpl w:val="FFFFFFFF"/>
    <w:lvl w:ilvl="0">
      <w:start w:val="1"/>
      <w:numFmt w:val="lowerLetter"/>
      <w:lvlText w:val="%1"/>
      <w:lvlJc w:val="left"/>
      <w:pPr>
        <w:ind w:left="686" w:hanging="568"/>
      </w:pPr>
      <w:rPr>
        <w:rFonts w:ascii="Times New Roman" w:hAnsi="Times New Roman" w:cs="Times New Roman"/>
        <w:b w:val="0"/>
        <w:bCs w:val="0"/>
        <w:w w:val="99"/>
        <w:sz w:val="22"/>
        <w:szCs w:val="22"/>
      </w:rPr>
    </w:lvl>
    <w:lvl w:ilvl="1">
      <w:numFmt w:val="bullet"/>
      <w:lvlText w:val="•"/>
      <w:lvlJc w:val="left"/>
      <w:pPr>
        <w:ind w:left="1558" w:hanging="568"/>
      </w:pPr>
    </w:lvl>
    <w:lvl w:ilvl="2">
      <w:numFmt w:val="bullet"/>
      <w:lvlText w:val="•"/>
      <w:lvlJc w:val="left"/>
      <w:pPr>
        <w:ind w:left="2430" w:hanging="568"/>
      </w:pPr>
    </w:lvl>
    <w:lvl w:ilvl="3">
      <w:numFmt w:val="bullet"/>
      <w:lvlText w:val="•"/>
      <w:lvlJc w:val="left"/>
      <w:pPr>
        <w:ind w:left="3302" w:hanging="568"/>
      </w:pPr>
    </w:lvl>
    <w:lvl w:ilvl="4">
      <w:numFmt w:val="bullet"/>
      <w:lvlText w:val="•"/>
      <w:lvlJc w:val="left"/>
      <w:pPr>
        <w:ind w:left="4173" w:hanging="568"/>
      </w:pPr>
    </w:lvl>
    <w:lvl w:ilvl="5">
      <w:numFmt w:val="bullet"/>
      <w:lvlText w:val="•"/>
      <w:lvlJc w:val="left"/>
      <w:pPr>
        <w:ind w:left="5045" w:hanging="568"/>
      </w:pPr>
    </w:lvl>
    <w:lvl w:ilvl="6">
      <w:numFmt w:val="bullet"/>
      <w:lvlText w:val="•"/>
      <w:lvlJc w:val="left"/>
      <w:pPr>
        <w:ind w:left="5917" w:hanging="568"/>
      </w:pPr>
    </w:lvl>
    <w:lvl w:ilvl="7">
      <w:numFmt w:val="bullet"/>
      <w:lvlText w:val="•"/>
      <w:lvlJc w:val="left"/>
      <w:pPr>
        <w:ind w:left="6789" w:hanging="568"/>
      </w:pPr>
    </w:lvl>
    <w:lvl w:ilvl="8">
      <w:numFmt w:val="bullet"/>
      <w:lvlText w:val="•"/>
      <w:lvlJc w:val="left"/>
      <w:pPr>
        <w:ind w:left="7661" w:hanging="568"/>
      </w:pPr>
    </w:lvl>
  </w:abstractNum>
  <w:abstractNum w:abstractNumId="11" w15:restartNumberingAfterBreak="0">
    <w:nsid w:val="0000040D"/>
    <w:multiLevelType w:val="multilevel"/>
    <w:tmpl w:val="FFFFFFFF"/>
    <w:lvl w:ilvl="0">
      <w:start w:val="8"/>
      <w:numFmt w:val="decimal"/>
      <w:lvlText w:val="%1."/>
      <w:lvlJc w:val="left"/>
      <w:pPr>
        <w:ind w:left="1537" w:hanging="221"/>
      </w:pPr>
      <w:rPr>
        <w:rFonts w:ascii="Times New Roman" w:hAnsi="Times New Roman" w:cs="Times New Roman"/>
        <w:b/>
        <w:bCs/>
        <w:w w:val="99"/>
        <w:sz w:val="22"/>
        <w:szCs w:val="22"/>
      </w:rPr>
    </w:lvl>
    <w:lvl w:ilvl="1">
      <w:numFmt w:val="bullet"/>
      <w:lvlText w:val="•"/>
      <w:lvlJc w:val="left"/>
      <w:pPr>
        <w:ind w:left="2310" w:hanging="221"/>
      </w:pPr>
    </w:lvl>
    <w:lvl w:ilvl="2">
      <w:numFmt w:val="bullet"/>
      <w:lvlText w:val="•"/>
      <w:lvlJc w:val="left"/>
      <w:pPr>
        <w:ind w:left="3082" w:hanging="221"/>
      </w:pPr>
    </w:lvl>
    <w:lvl w:ilvl="3">
      <w:numFmt w:val="bullet"/>
      <w:lvlText w:val="•"/>
      <w:lvlJc w:val="left"/>
      <w:pPr>
        <w:ind w:left="3855" w:hanging="221"/>
      </w:pPr>
    </w:lvl>
    <w:lvl w:ilvl="4">
      <w:numFmt w:val="bullet"/>
      <w:lvlText w:val="•"/>
      <w:lvlJc w:val="left"/>
      <w:pPr>
        <w:ind w:left="4628" w:hanging="221"/>
      </w:pPr>
    </w:lvl>
    <w:lvl w:ilvl="5">
      <w:numFmt w:val="bullet"/>
      <w:lvlText w:val="•"/>
      <w:lvlJc w:val="left"/>
      <w:pPr>
        <w:ind w:left="5401" w:hanging="221"/>
      </w:pPr>
    </w:lvl>
    <w:lvl w:ilvl="6">
      <w:numFmt w:val="bullet"/>
      <w:lvlText w:val="•"/>
      <w:lvlJc w:val="left"/>
      <w:pPr>
        <w:ind w:left="6174" w:hanging="221"/>
      </w:pPr>
    </w:lvl>
    <w:lvl w:ilvl="7">
      <w:numFmt w:val="bullet"/>
      <w:lvlText w:val="•"/>
      <w:lvlJc w:val="left"/>
      <w:pPr>
        <w:ind w:left="6946" w:hanging="221"/>
      </w:pPr>
    </w:lvl>
    <w:lvl w:ilvl="8">
      <w:numFmt w:val="bullet"/>
      <w:lvlText w:val="•"/>
      <w:lvlJc w:val="left"/>
      <w:pPr>
        <w:ind w:left="7719" w:hanging="221"/>
      </w:pPr>
    </w:lvl>
  </w:abstractNum>
  <w:abstractNum w:abstractNumId="12" w15:restartNumberingAfterBreak="0">
    <w:nsid w:val="0000040E"/>
    <w:multiLevelType w:val="multilevel"/>
    <w:tmpl w:val="FFFFFFFF"/>
    <w:lvl w:ilvl="0">
      <w:start w:val="2"/>
      <w:numFmt w:val="decimal"/>
      <w:lvlText w:val="%1-"/>
      <w:lvlJc w:val="left"/>
      <w:pPr>
        <w:ind w:left="118" w:hanging="184"/>
      </w:pPr>
      <w:rPr>
        <w:rFonts w:ascii="Times New Roman" w:hAnsi="Times New Roman" w:cs="Times New Roman"/>
        <w:b w:val="0"/>
        <w:bCs w:val="0"/>
        <w:w w:val="99"/>
        <w:sz w:val="22"/>
        <w:szCs w:val="22"/>
      </w:rPr>
    </w:lvl>
    <w:lvl w:ilvl="1">
      <w:numFmt w:val="bullet"/>
      <w:lvlText w:val="•"/>
      <w:lvlJc w:val="left"/>
      <w:pPr>
        <w:ind w:left="1035" w:hanging="184"/>
      </w:pPr>
    </w:lvl>
    <w:lvl w:ilvl="2">
      <w:numFmt w:val="bullet"/>
      <w:lvlText w:val="•"/>
      <w:lvlJc w:val="left"/>
      <w:pPr>
        <w:ind w:left="1951" w:hanging="184"/>
      </w:pPr>
    </w:lvl>
    <w:lvl w:ilvl="3">
      <w:numFmt w:val="bullet"/>
      <w:lvlText w:val="•"/>
      <w:lvlJc w:val="left"/>
      <w:pPr>
        <w:ind w:left="2868" w:hanging="184"/>
      </w:pPr>
    </w:lvl>
    <w:lvl w:ilvl="4">
      <w:numFmt w:val="bullet"/>
      <w:lvlText w:val="•"/>
      <w:lvlJc w:val="left"/>
      <w:pPr>
        <w:ind w:left="3785" w:hanging="184"/>
      </w:pPr>
    </w:lvl>
    <w:lvl w:ilvl="5">
      <w:numFmt w:val="bullet"/>
      <w:lvlText w:val="•"/>
      <w:lvlJc w:val="left"/>
      <w:pPr>
        <w:ind w:left="4701" w:hanging="184"/>
      </w:pPr>
    </w:lvl>
    <w:lvl w:ilvl="6">
      <w:numFmt w:val="bullet"/>
      <w:lvlText w:val="•"/>
      <w:lvlJc w:val="left"/>
      <w:pPr>
        <w:ind w:left="5618" w:hanging="184"/>
      </w:pPr>
    </w:lvl>
    <w:lvl w:ilvl="7">
      <w:numFmt w:val="bullet"/>
      <w:lvlText w:val="•"/>
      <w:lvlJc w:val="left"/>
      <w:pPr>
        <w:ind w:left="6535" w:hanging="184"/>
      </w:pPr>
    </w:lvl>
    <w:lvl w:ilvl="8">
      <w:numFmt w:val="bullet"/>
      <w:lvlText w:val="•"/>
      <w:lvlJc w:val="left"/>
      <w:pPr>
        <w:ind w:left="7451" w:hanging="184"/>
      </w:pPr>
    </w:lvl>
  </w:abstractNum>
  <w:abstractNum w:abstractNumId="13" w15:restartNumberingAfterBreak="0">
    <w:nsid w:val="0000040F"/>
    <w:multiLevelType w:val="multilevel"/>
    <w:tmpl w:val="FFFFFFFF"/>
    <w:lvl w:ilvl="0">
      <w:start w:val="6"/>
      <w:numFmt w:val="decimal"/>
      <w:lvlText w:val="%1."/>
      <w:lvlJc w:val="left"/>
      <w:pPr>
        <w:ind w:left="686" w:hanging="568"/>
      </w:pPr>
      <w:rPr>
        <w:rFonts w:ascii="Times New Roman" w:hAnsi="Times New Roman" w:cs="Times New Roman"/>
        <w:b/>
        <w:bCs/>
        <w:w w:val="99"/>
        <w:sz w:val="22"/>
        <w:szCs w:val="22"/>
      </w:rPr>
    </w:lvl>
    <w:lvl w:ilvl="1">
      <w:start w:val="1"/>
      <w:numFmt w:val="decimal"/>
      <w:lvlText w:val="%1.%2"/>
      <w:lvlJc w:val="left"/>
      <w:pPr>
        <w:ind w:left="686" w:hanging="568"/>
      </w:pPr>
      <w:rPr>
        <w:rFonts w:ascii="Times New Roman" w:hAnsi="Times New Roman" w:cs="Times New Roman"/>
        <w:b/>
        <w:bCs/>
        <w:w w:val="99"/>
        <w:sz w:val="22"/>
        <w:szCs w:val="22"/>
      </w:rPr>
    </w:lvl>
    <w:lvl w:ilvl="2">
      <w:numFmt w:val="bullet"/>
      <w:lvlText w:val="•"/>
      <w:lvlJc w:val="left"/>
      <w:pPr>
        <w:ind w:left="2334" w:hanging="568"/>
      </w:pPr>
    </w:lvl>
    <w:lvl w:ilvl="3">
      <w:numFmt w:val="bullet"/>
      <w:lvlText w:val="•"/>
      <w:lvlJc w:val="left"/>
      <w:pPr>
        <w:ind w:left="3158" w:hanging="568"/>
      </w:pPr>
    </w:lvl>
    <w:lvl w:ilvl="4">
      <w:numFmt w:val="bullet"/>
      <w:lvlText w:val="•"/>
      <w:lvlJc w:val="left"/>
      <w:pPr>
        <w:ind w:left="3981" w:hanging="568"/>
      </w:pPr>
    </w:lvl>
    <w:lvl w:ilvl="5">
      <w:numFmt w:val="bullet"/>
      <w:lvlText w:val="•"/>
      <w:lvlJc w:val="left"/>
      <w:pPr>
        <w:ind w:left="4805" w:hanging="568"/>
      </w:pPr>
    </w:lvl>
    <w:lvl w:ilvl="6">
      <w:numFmt w:val="bullet"/>
      <w:lvlText w:val="•"/>
      <w:lvlJc w:val="left"/>
      <w:pPr>
        <w:ind w:left="5629" w:hanging="568"/>
      </w:pPr>
    </w:lvl>
    <w:lvl w:ilvl="7">
      <w:numFmt w:val="bullet"/>
      <w:lvlText w:val="•"/>
      <w:lvlJc w:val="left"/>
      <w:pPr>
        <w:ind w:left="6453" w:hanging="568"/>
      </w:pPr>
    </w:lvl>
    <w:lvl w:ilvl="8">
      <w:numFmt w:val="bullet"/>
      <w:lvlText w:val="•"/>
      <w:lvlJc w:val="left"/>
      <w:pPr>
        <w:ind w:left="7277" w:hanging="568"/>
      </w:pPr>
    </w:lvl>
  </w:abstractNum>
  <w:abstractNum w:abstractNumId="14" w15:restartNumberingAfterBreak="0">
    <w:nsid w:val="1D6F68E9"/>
    <w:multiLevelType w:val="hybridMultilevel"/>
    <w:tmpl w:val="64A4572C"/>
    <w:lvl w:ilvl="0" w:tplc="5B5E926A">
      <w:start w:val="50"/>
      <w:numFmt w:val="bullet"/>
      <w:lvlText w:val=""/>
      <w:lvlJc w:val="left"/>
      <w:pPr>
        <w:ind w:left="462" w:hanging="360"/>
      </w:pPr>
      <w:rPr>
        <w:rFonts w:ascii="Wingdings" w:eastAsiaTheme="minorEastAsia" w:hAnsi="Wingdings" w:cs="Times New Roman" w:hint="default"/>
      </w:rPr>
    </w:lvl>
    <w:lvl w:ilvl="1" w:tplc="040E0003" w:tentative="1">
      <w:start w:val="1"/>
      <w:numFmt w:val="bullet"/>
      <w:lvlText w:val="o"/>
      <w:lvlJc w:val="left"/>
      <w:pPr>
        <w:ind w:left="1182" w:hanging="360"/>
      </w:pPr>
      <w:rPr>
        <w:rFonts w:ascii="Courier New" w:hAnsi="Courier New" w:cs="Courier New" w:hint="default"/>
      </w:rPr>
    </w:lvl>
    <w:lvl w:ilvl="2" w:tplc="040E0005" w:tentative="1">
      <w:start w:val="1"/>
      <w:numFmt w:val="bullet"/>
      <w:lvlText w:val=""/>
      <w:lvlJc w:val="left"/>
      <w:pPr>
        <w:ind w:left="1902" w:hanging="360"/>
      </w:pPr>
      <w:rPr>
        <w:rFonts w:ascii="Wingdings" w:hAnsi="Wingdings" w:hint="default"/>
      </w:rPr>
    </w:lvl>
    <w:lvl w:ilvl="3" w:tplc="040E0001" w:tentative="1">
      <w:start w:val="1"/>
      <w:numFmt w:val="bullet"/>
      <w:lvlText w:val=""/>
      <w:lvlJc w:val="left"/>
      <w:pPr>
        <w:ind w:left="2622" w:hanging="360"/>
      </w:pPr>
      <w:rPr>
        <w:rFonts w:ascii="Symbol" w:hAnsi="Symbol" w:hint="default"/>
      </w:rPr>
    </w:lvl>
    <w:lvl w:ilvl="4" w:tplc="040E0003" w:tentative="1">
      <w:start w:val="1"/>
      <w:numFmt w:val="bullet"/>
      <w:lvlText w:val="o"/>
      <w:lvlJc w:val="left"/>
      <w:pPr>
        <w:ind w:left="3342" w:hanging="360"/>
      </w:pPr>
      <w:rPr>
        <w:rFonts w:ascii="Courier New" w:hAnsi="Courier New" w:cs="Courier New" w:hint="default"/>
      </w:rPr>
    </w:lvl>
    <w:lvl w:ilvl="5" w:tplc="040E0005" w:tentative="1">
      <w:start w:val="1"/>
      <w:numFmt w:val="bullet"/>
      <w:lvlText w:val=""/>
      <w:lvlJc w:val="left"/>
      <w:pPr>
        <w:ind w:left="4062" w:hanging="360"/>
      </w:pPr>
      <w:rPr>
        <w:rFonts w:ascii="Wingdings" w:hAnsi="Wingdings" w:hint="default"/>
      </w:rPr>
    </w:lvl>
    <w:lvl w:ilvl="6" w:tplc="040E0001" w:tentative="1">
      <w:start w:val="1"/>
      <w:numFmt w:val="bullet"/>
      <w:lvlText w:val=""/>
      <w:lvlJc w:val="left"/>
      <w:pPr>
        <w:ind w:left="4782" w:hanging="360"/>
      </w:pPr>
      <w:rPr>
        <w:rFonts w:ascii="Symbol" w:hAnsi="Symbol" w:hint="default"/>
      </w:rPr>
    </w:lvl>
    <w:lvl w:ilvl="7" w:tplc="040E0003" w:tentative="1">
      <w:start w:val="1"/>
      <w:numFmt w:val="bullet"/>
      <w:lvlText w:val="o"/>
      <w:lvlJc w:val="left"/>
      <w:pPr>
        <w:ind w:left="5502" w:hanging="360"/>
      </w:pPr>
      <w:rPr>
        <w:rFonts w:ascii="Courier New" w:hAnsi="Courier New" w:cs="Courier New" w:hint="default"/>
      </w:rPr>
    </w:lvl>
    <w:lvl w:ilvl="8" w:tplc="040E0005" w:tentative="1">
      <w:start w:val="1"/>
      <w:numFmt w:val="bullet"/>
      <w:lvlText w:val=""/>
      <w:lvlJc w:val="left"/>
      <w:pPr>
        <w:ind w:left="6222" w:hanging="360"/>
      </w:pPr>
      <w:rPr>
        <w:rFonts w:ascii="Wingdings" w:hAnsi="Wingdings" w:hint="default"/>
      </w:rPr>
    </w:lvl>
  </w:abstractNum>
  <w:num w:numId="1" w16cid:durableId="787551644">
    <w:abstractNumId w:val="13"/>
  </w:num>
  <w:num w:numId="2" w16cid:durableId="371734110">
    <w:abstractNumId w:val="12"/>
  </w:num>
  <w:num w:numId="3" w16cid:durableId="1428308371">
    <w:abstractNumId w:val="11"/>
  </w:num>
  <w:num w:numId="4" w16cid:durableId="869876832">
    <w:abstractNumId w:val="10"/>
  </w:num>
  <w:num w:numId="5" w16cid:durableId="654534744">
    <w:abstractNumId w:val="9"/>
  </w:num>
  <w:num w:numId="6" w16cid:durableId="875584500">
    <w:abstractNumId w:val="8"/>
  </w:num>
  <w:num w:numId="7" w16cid:durableId="1019892151">
    <w:abstractNumId w:val="7"/>
  </w:num>
  <w:num w:numId="8" w16cid:durableId="183061563">
    <w:abstractNumId w:val="6"/>
  </w:num>
  <w:num w:numId="9" w16cid:durableId="485752847">
    <w:abstractNumId w:val="5"/>
  </w:num>
  <w:num w:numId="10" w16cid:durableId="667290588">
    <w:abstractNumId w:val="4"/>
  </w:num>
  <w:num w:numId="11" w16cid:durableId="420953133">
    <w:abstractNumId w:val="3"/>
  </w:num>
  <w:num w:numId="12" w16cid:durableId="519782246">
    <w:abstractNumId w:val="2"/>
  </w:num>
  <w:num w:numId="13" w16cid:durableId="1236402825">
    <w:abstractNumId w:val="1"/>
  </w:num>
  <w:num w:numId="14" w16cid:durableId="1683244068">
    <w:abstractNumId w:val="0"/>
  </w:num>
  <w:num w:numId="15" w16cid:durableId="17143032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bordersDoNotSurroundHeader/>
  <w:bordersDoNotSurroundFooter/>
  <w:defaultTabStop w:val="567"/>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D79"/>
    <w:rsid w:val="00000464"/>
    <w:rsid w:val="0000440C"/>
    <w:rsid w:val="000063E5"/>
    <w:rsid w:val="00006533"/>
    <w:rsid w:val="00011547"/>
    <w:rsid w:val="0001241B"/>
    <w:rsid w:val="0002175B"/>
    <w:rsid w:val="00040944"/>
    <w:rsid w:val="00047C79"/>
    <w:rsid w:val="00086575"/>
    <w:rsid w:val="000879F0"/>
    <w:rsid w:val="00095772"/>
    <w:rsid w:val="000A642C"/>
    <w:rsid w:val="000B1792"/>
    <w:rsid w:val="000B2308"/>
    <w:rsid w:val="000B33DB"/>
    <w:rsid w:val="000C37A6"/>
    <w:rsid w:val="000C6781"/>
    <w:rsid w:val="000E25D3"/>
    <w:rsid w:val="000E6AA3"/>
    <w:rsid w:val="000E7AD0"/>
    <w:rsid w:val="000F2E10"/>
    <w:rsid w:val="000F69E8"/>
    <w:rsid w:val="00112706"/>
    <w:rsid w:val="00121529"/>
    <w:rsid w:val="001401AA"/>
    <w:rsid w:val="001411C6"/>
    <w:rsid w:val="001414FF"/>
    <w:rsid w:val="001520D8"/>
    <w:rsid w:val="00157559"/>
    <w:rsid w:val="0015758A"/>
    <w:rsid w:val="001736F7"/>
    <w:rsid w:val="00181496"/>
    <w:rsid w:val="00182D80"/>
    <w:rsid w:val="001967F3"/>
    <w:rsid w:val="001A5EAF"/>
    <w:rsid w:val="001B10DC"/>
    <w:rsid w:val="001D4BD7"/>
    <w:rsid w:val="001D601C"/>
    <w:rsid w:val="001D76F7"/>
    <w:rsid w:val="001D7900"/>
    <w:rsid w:val="001E58E4"/>
    <w:rsid w:val="001E701B"/>
    <w:rsid w:val="001F678D"/>
    <w:rsid w:val="0021069D"/>
    <w:rsid w:val="00210CF2"/>
    <w:rsid w:val="002271F6"/>
    <w:rsid w:val="00230943"/>
    <w:rsid w:val="002325CF"/>
    <w:rsid w:val="00240870"/>
    <w:rsid w:val="00241A9D"/>
    <w:rsid w:val="0024252D"/>
    <w:rsid w:val="00244354"/>
    <w:rsid w:val="00262D96"/>
    <w:rsid w:val="002724DC"/>
    <w:rsid w:val="002827B0"/>
    <w:rsid w:val="00287C56"/>
    <w:rsid w:val="0029328F"/>
    <w:rsid w:val="00293E81"/>
    <w:rsid w:val="00295446"/>
    <w:rsid w:val="002A2DEB"/>
    <w:rsid w:val="002D2EAD"/>
    <w:rsid w:val="002D66F3"/>
    <w:rsid w:val="00306E76"/>
    <w:rsid w:val="003271C2"/>
    <w:rsid w:val="003273D9"/>
    <w:rsid w:val="00342A5C"/>
    <w:rsid w:val="0034656D"/>
    <w:rsid w:val="00355CC3"/>
    <w:rsid w:val="00355E41"/>
    <w:rsid w:val="00360A40"/>
    <w:rsid w:val="00362166"/>
    <w:rsid w:val="00367A1A"/>
    <w:rsid w:val="00380BAB"/>
    <w:rsid w:val="00384E67"/>
    <w:rsid w:val="00395A6F"/>
    <w:rsid w:val="003C4331"/>
    <w:rsid w:val="003C6A38"/>
    <w:rsid w:val="003D1F44"/>
    <w:rsid w:val="003E6483"/>
    <w:rsid w:val="003F5C15"/>
    <w:rsid w:val="00401E7E"/>
    <w:rsid w:val="00404AD7"/>
    <w:rsid w:val="00440B29"/>
    <w:rsid w:val="004456E4"/>
    <w:rsid w:val="0044668E"/>
    <w:rsid w:val="0045344E"/>
    <w:rsid w:val="00465689"/>
    <w:rsid w:val="004836D1"/>
    <w:rsid w:val="004848E7"/>
    <w:rsid w:val="004873CF"/>
    <w:rsid w:val="00492043"/>
    <w:rsid w:val="00492F64"/>
    <w:rsid w:val="00495312"/>
    <w:rsid w:val="00496C6A"/>
    <w:rsid w:val="004A32AB"/>
    <w:rsid w:val="004A3AF7"/>
    <w:rsid w:val="004A668F"/>
    <w:rsid w:val="004B3537"/>
    <w:rsid w:val="004B5898"/>
    <w:rsid w:val="004C3553"/>
    <w:rsid w:val="004E484B"/>
    <w:rsid w:val="004F4DD2"/>
    <w:rsid w:val="005045B1"/>
    <w:rsid w:val="00515BB9"/>
    <w:rsid w:val="005314EB"/>
    <w:rsid w:val="00544DD8"/>
    <w:rsid w:val="005463AF"/>
    <w:rsid w:val="00573313"/>
    <w:rsid w:val="00577A0B"/>
    <w:rsid w:val="00580238"/>
    <w:rsid w:val="00581A67"/>
    <w:rsid w:val="005B2A97"/>
    <w:rsid w:val="005B5937"/>
    <w:rsid w:val="005D57C1"/>
    <w:rsid w:val="005D6C3D"/>
    <w:rsid w:val="005E4F84"/>
    <w:rsid w:val="00602004"/>
    <w:rsid w:val="00602B0E"/>
    <w:rsid w:val="006072C8"/>
    <w:rsid w:val="00620A40"/>
    <w:rsid w:val="0065036F"/>
    <w:rsid w:val="00650C6D"/>
    <w:rsid w:val="00674E0C"/>
    <w:rsid w:val="006A082C"/>
    <w:rsid w:val="006D0A8B"/>
    <w:rsid w:val="006D3D51"/>
    <w:rsid w:val="006D5A3E"/>
    <w:rsid w:val="006D6352"/>
    <w:rsid w:val="006D76A7"/>
    <w:rsid w:val="006E08B2"/>
    <w:rsid w:val="006F6F76"/>
    <w:rsid w:val="0070005B"/>
    <w:rsid w:val="00723FD9"/>
    <w:rsid w:val="007444F1"/>
    <w:rsid w:val="00751B0C"/>
    <w:rsid w:val="0076371A"/>
    <w:rsid w:val="00765939"/>
    <w:rsid w:val="00781785"/>
    <w:rsid w:val="007838D5"/>
    <w:rsid w:val="00792DCA"/>
    <w:rsid w:val="00795530"/>
    <w:rsid w:val="007A2319"/>
    <w:rsid w:val="007A2EFB"/>
    <w:rsid w:val="007B0C85"/>
    <w:rsid w:val="007B6931"/>
    <w:rsid w:val="007C4FE8"/>
    <w:rsid w:val="007E2565"/>
    <w:rsid w:val="007E29F1"/>
    <w:rsid w:val="00824CAB"/>
    <w:rsid w:val="00835DBB"/>
    <w:rsid w:val="00843337"/>
    <w:rsid w:val="00846326"/>
    <w:rsid w:val="0085790D"/>
    <w:rsid w:val="00892284"/>
    <w:rsid w:val="00893912"/>
    <w:rsid w:val="00893A06"/>
    <w:rsid w:val="008968D5"/>
    <w:rsid w:val="008A0568"/>
    <w:rsid w:val="008B6C10"/>
    <w:rsid w:val="008D211D"/>
    <w:rsid w:val="008D4E2C"/>
    <w:rsid w:val="008E0F9B"/>
    <w:rsid w:val="008E7A1E"/>
    <w:rsid w:val="008F5260"/>
    <w:rsid w:val="008F567A"/>
    <w:rsid w:val="008F6492"/>
    <w:rsid w:val="009000F2"/>
    <w:rsid w:val="00902615"/>
    <w:rsid w:val="009054EA"/>
    <w:rsid w:val="00905F90"/>
    <w:rsid w:val="00906AE3"/>
    <w:rsid w:val="009107E5"/>
    <w:rsid w:val="00912B8C"/>
    <w:rsid w:val="00920D44"/>
    <w:rsid w:val="00931AE1"/>
    <w:rsid w:val="00937AF7"/>
    <w:rsid w:val="00957181"/>
    <w:rsid w:val="00963878"/>
    <w:rsid w:val="00984B48"/>
    <w:rsid w:val="009B0C4A"/>
    <w:rsid w:val="009B4546"/>
    <w:rsid w:val="009B6B70"/>
    <w:rsid w:val="009D41CF"/>
    <w:rsid w:val="009F216E"/>
    <w:rsid w:val="009F4BD6"/>
    <w:rsid w:val="00A039BB"/>
    <w:rsid w:val="00A218FB"/>
    <w:rsid w:val="00A24C53"/>
    <w:rsid w:val="00A35128"/>
    <w:rsid w:val="00A64A10"/>
    <w:rsid w:val="00A65F7A"/>
    <w:rsid w:val="00A802A2"/>
    <w:rsid w:val="00A87068"/>
    <w:rsid w:val="00AB3ADE"/>
    <w:rsid w:val="00AB6D0D"/>
    <w:rsid w:val="00AC2CB4"/>
    <w:rsid w:val="00AC342A"/>
    <w:rsid w:val="00AD17A9"/>
    <w:rsid w:val="00AD6269"/>
    <w:rsid w:val="00AE28AE"/>
    <w:rsid w:val="00B133AD"/>
    <w:rsid w:val="00B23496"/>
    <w:rsid w:val="00B55307"/>
    <w:rsid w:val="00B6223B"/>
    <w:rsid w:val="00B77ABF"/>
    <w:rsid w:val="00B84548"/>
    <w:rsid w:val="00B962E3"/>
    <w:rsid w:val="00BC0643"/>
    <w:rsid w:val="00BC36B4"/>
    <w:rsid w:val="00BD2A13"/>
    <w:rsid w:val="00BD4335"/>
    <w:rsid w:val="00BE1FCB"/>
    <w:rsid w:val="00C51B7C"/>
    <w:rsid w:val="00C54721"/>
    <w:rsid w:val="00C60E0E"/>
    <w:rsid w:val="00C62B2A"/>
    <w:rsid w:val="00C637F4"/>
    <w:rsid w:val="00C83AE4"/>
    <w:rsid w:val="00CB244B"/>
    <w:rsid w:val="00CC5D79"/>
    <w:rsid w:val="00CF0762"/>
    <w:rsid w:val="00CF1260"/>
    <w:rsid w:val="00CF46F8"/>
    <w:rsid w:val="00CF69AD"/>
    <w:rsid w:val="00CF7645"/>
    <w:rsid w:val="00CF7FE6"/>
    <w:rsid w:val="00D224C3"/>
    <w:rsid w:val="00D25F36"/>
    <w:rsid w:val="00D26634"/>
    <w:rsid w:val="00D445F9"/>
    <w:rsid w:val="00D51351"/>
    <w:rsid w:val="00D81D00"/>
    <w:rsid w:val="00D83CA4"/>
    <w:rsid w:val="00D8677A"/>
    <w:rsid w:val="00D91D84"/>
    <w:rsid w:val="00D9275E"/>
    <w:rsid w:val="00D97078"/>
    <w:rsid w:val="00DB2CA9"/>
    <w:rsid w:val="00DC0EC1"/>
    <w:rsid w:val="00DC3AFD"/>
    <w:rsid w:val="00DD1B03"/>
    <w:rsid w:val="00DD229D"/>
    <w:rsid w:val="00DE6F04"/>
    <w:rsid w:val="00E00600"/>
    <w:rsid w:val="00E014AD"/>
    <w:rsid w:val="00E11B4F"/>
    <w:rsid w:val="00E227D6"/>
    <w:rsid w:val="00E31418"/>
    <w:rsid w:val="00E44F3B"/>
    <w:rsid w:val="00E75C79"/>
    <w:rsid w:val="00E83077"/>
    <w:rsid w:val="00EA221C"/>
    <w:rsid w:val="00EA41B5"/>
    <w:rsid w:val="00EB3D23"/>
    <w:rsid w:val="00EC422B"/>
    <w:rsid w:val="00ED366D"/>
    <w:rsid w:val="00F21243"/>
    <w:rsid w:val="00F23566"/>
    <w:rsid w:val="00F269BB"/>
    <w:rsid w:val="00F271B6"/>
    <w:rsid w:val="00F27803"/>
    <w:rsid w:val="00F35469"/>
    <w:rsid w:val="00F35FA6"/>
    <w:rsid w:val="00F61F5E"/>
    <w:rsid w:val="00F658F6"/>
    <w:rsid w:val="00F83EC4"/>
    <w:rsid w:val="00F87C29"/>
    <w:rsid w:val="00F912E3"/>
    <w:rsid w:val="00F9299A"/>
    <w:rsid w:val="00F93321"/>
    <w:rsid w:val="00F97209"/>
    <w:rsid w:val="00FB21EF"/>
    <w:rsid w:val="00FB7CC2"/>
    <w:rsid w:val="00FD0A9B"/>
    <w:rsid w:val="00FD1889"/>
    <w:rsid w:val="00FD1A00"/>
    <w:rsid w:val="00FD2011"/>
    <w:rsid w:val="00FD773B"/>
    <w:rsid w:val="00FF776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431E32"/>
  <w14:defaultImageDpi w14:val="96"/>
  <w15:docId w15:val="{761477EF-A82C-4C90-BFC8-23854B99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pPr>
      <w:widowControl w:val="0"/>
      <w:autoSpaceDE w:val="0"/>
      <w:autoSpaceDN w:val="0"/>
      <w:adjustRightInd w:val="0"/>
      <w:spacing w:after="0" w:line="240" w:lineRule="auto"/>
    </w:pPr>
    <w:rPr>
      <w:rFonts w:ascii="Times New Roman" w:hAnsi="Times New Roman"/>
      <w:sz w:val="24"/>
      <w:szCs w:val="24"/>
      <w:lang w:val="el-GR" w:eastAsia="el-GR"/>
    </w:rPr>
  </w:style>
  <w:style w:type="paragraph" w:styleId="Cmsor1">
    <w:name w:val="heading 1"/>
    <w:basedOn w:val="Norml"/>
    <w:next w:val="Norml"/>
    <w:link w:val="Cmsor1Char"/>
    <w:uiPriority w:val="1"/>
    <w:qFormat/>
    <w:pPr>
      <w:ind w:left="686" w:hanging="568"/>
      <w:outlineLvl w:val="0"/>
    </w:pPr>
    <w:rPr>
      <w:b/>
      <w:bCs/>
      <w:sz w:val="22"/>
      <w:szCs w:val="22"/>
    </w:rPr>
  </w:style>
  <w:style w:type="paragraph" w:styleId="Cmsor2">
    <w:name w:val="heading 2"/>
    <w:basedOn w:val="Norml"/>
    <w:next w:val="Norml"/>
    <w:link w:val="Cmsor2Char"/>
    <w:uiPriority w:val="9"/>
    <w:semiHidden/>
    <w:unhideWhenUsed/>
    <w:qFormat/>
    <w:rsid w:val="00FD201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uiPriority w:val="1"/>
    <w:qFormat/>
    <w:pPr>
      <w:ind w:left="118"/>
    </w:pPr>
    <w:rPr>
      <w:sz w:val="22"/>
      <w:szCs w:val="22"/>
    </w:rPr>
  </w:style>
  <w:style w:type="character" w:customStyle="1" w:styleId="Cmsor1Char">
    <w:name w:val="Címsor 1 Char"/>
    <w:basedOn w:val="Bekezdsalapbettpusa"/>
    <w:link w:val="Cmsor1"/>
    <w:uiPriority w:val="9"/>
    <w:locked/>
    <w:rPr>
      <w:rFonts w:asciiTheme="majorHAnsi" w:eastAsiaTheme="majorEastAsia" w:hAnsiTheme="majorHAnsi" w:cs="Times New Roman"/>
      <w:b/>
      <w:bCs/>
      <w:kern w:val="32"/>
      <w:sz w:val="32"/>
      <w:szCs w:val="32"/>
    </w:rPr>
  </w:style>
  <w:style w:type="paragraph" w:styleId="Listaszerbekezds">
    <w:name w:val="List Paragraph"/>
    <w:basedOn w:val="Norml"/>
    <w:uiPriority w:val="1"/>
    <w:qFormat/>
  </w:style>
  <w:style w:type="character" w:customStyle="1" w:styleId="SzvegtrzsChar">
    <w:name w:val="Szövegtörzs Char"/>
    <w:basedOn w:val="Bekezdsalapbettpusa"/>
    <w:link w:val="Szvegtrzs"/>
    <w:uiPriority w:val="99"/>
    <w:semiHidden/>
    <w:locked/>
    <w:rPr>
      <w:rFonts w:ascii="Times New Roman" w:hAnsi="Times New Roman" w:cs="Times New Roman"/>
      <w:sz w:val="24"/>
      <w:szCs w:val="24"/>
    </w:r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1D76F7"/>
    <w:pPr>
      <w:tabs>
        <w:tab w:val="center" w:pos="4153"/>
        <w:tab w:val="right" w:pos="8306"/>
      </w:tabs>
    </w:pPr>
  </w:style>
  <w:style w:type="paragraph" w:styleId="llb">
    <w:name w:val="footer"/>
    <w:basedOn w:val="Norml"/>
    <w:link w:val="llbChar"/>
    <w:uiPriority w:val="99"/>
    <w:unhideWhenUsed/>
    <w:rsid w:val="001D76F7"/>
    <w:pPr>
      <w:tabs>
        <w:tab w:val="center" w:pos="4153"/>
        <w:tab w:val="right" w:pos="8306"/>
      </w:tabs>
    </w:pPr>
  </w:style>
  <w:style w:type="character" w:customStyle="1" w:styleId="lfejChar">
    <w:name w:val="Élőfej Char"/>
    <w:basedOn w:val="Bekezdsalapbettpusa"/>
    <w:link w:val="lfej"/>
    <w:uiPriority w:val="99"/>
    <w:locked/>
    <w:rsid w:val="001D76F7"/>
    <w:rPr>
      <w:rFonts w:ascii="Times New Roman" w:hAnsi="Times New Roman" w:cs="Times New Roman"/>
      <w:sz w:val="24"/>
      <w:szCs w:val="24"/>
    </w:rPr>
  </w:style>
  <w:style w:type="paragraph" w:styleId="Vltozat">
    <w:name w:val="Revision"/>
    <w:hidden/>
    <w:uiPriority w:val="99"/>
    <w:semiHidden/>
    <w:rsid w:val="00A218FB"/>
    <w:pPr>
      <w:spacing w:after="0" w:line="240" w:lineRule="auto"/>
    </w:pPr>
    <w:rPr>
      <w:rFonts w:ascii="Times New Roman" w:hAnsi="Times New Roman"/>
      <w:sz w:val="24"/>
      <w:szCs w:val="24"/>
      <w:lang w:val="el-GR" w:eastAsia="el-GR"/>
    </w:rPr>
  </w:style>
  <w:style w:type="character" w:customStyle="1" w:styleId="llbChar">
    <w:name w:val="Élőláb Char"/>
    <w:basedOn w:val="Bekezdsalapbettpusa"/>
    <w:link w:val="llb"/>
    <w:uiPriority w:val="99"/>
    <w:locked/>
    <w:rsid w:val="001D76F7"/>
    <w:rPr>
      <w:rFonts w:ascii="Times New Roman" w:hAnsi="Times New Roman" w:cs="Times New Roman"/>
      <w:sz w:val="24"/>
      <w:szCs w:val="24"/>
    </w:rPr>
  </w:style>
  <w:style w:type="paragraph" w:styleId="Buborkszveg">
    <w:name w:val="Balloon Text"/>
    <w:basedOn w:val="Norml"/>
    <w:link w:val="BuborkszvegChar"/>
    <w:uiPriority w:val="99"/>
    <w:semiHidden/>
    <w:unhideWhenUsed/>
    <w:rsid w:val="00ED366D"/>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D366D"/>
    <w:rPr>
      <w:rFonts w:ascii="Segoe UI" w:hAnsi="Segoe UI" w:cs="Segoe UI"/>
      <w:sz w:val="18"/>
      <w:szCs w:val="18"/>
      <w:lang w:val="el-GR" w:eastAsia="el-GR"/>
    </w:rPr>
  </w:style>
  <w:style w:type="character" w:styleId="Jegyzethivatkozs">
    <w:name w:val="annotation reference"/>
    <w:basedOn w:val="Bekezdsalapbettpusa"/>
    <w:uiPriority w:val="99"/>
    <w:semiHidden/>
    <w:unhideWhenUsed/>
    <w:rsid w:val="00492F64"/>
    <w:rPr>
      <w:sz w:val="16"/>
      <w:szCs w:val="16"/>
    </w:rPr>
  </w:style>
  <w:style w:type="paragraph" w:styleId="Jegyzetszveg">
    <w:name w:val="annotation text"/>
    <w:basedOn w:val="Norml"/>
    <w:link w:val="JegyzetszvegChar"/>
    <w:uiPriority w:val="99"/>
    <w:semiHidden/>
    <w:unhideWhenUsed/>
    <w:rsid w:val="00492F64"/>
    <w:rPr>
      <w:sz w:val="20"/>
      <w:szCs w:val="20"/>
    </w:rPr>
  </w:style>
  <w:style w:type="character" w:customStyle="1" w:styleId="JegyzetszvegChar">
    <w:name w:val="Jegyzetszöveg Char"/>
    <w:basedOn w:val="Bekezdsalapbettpusa"/>
    <w:link w:val="Jegyzetszveg"/>
    <w:uiPriority w:val="99"/>
    <w:semiHidden/>
    <w:rsid w:val="00492F64"/>
    <w:rPr>
      <w:rFonts w:ascii="Times New Roman" w:hAnsi="Times New Roman"/>
      <w:sz w:val="20"/>
      <w:szCs w:val="20"/>
      <w:lang w:val="el-GR" w:eastAsia="el-GR"/>
    </w:rPr>
  </w:style>
  <w:style w:type="paragraph" w:styleId="Megjegyzstrgya">
    <w:name w:val="annotation subject"/>
    <w:basedOn w:val="Jegyzetszveg"/>
    <w:next w:val="Jegyzetszveg"/>
    <w:link w:val="MegjegyzstrgyaChar"/>
    <w:uiPriority w:val="99"/>
    <w:semiHidden/>
    <w:unhideWhenUsed/>
    <w:rsid w:val="00492F64"/>
    <w:rPr>
      <w:b/>
      <w:bCs/>
    </w:rPr>
  </w:style>
  <w:style w:type="character" w:customStyle="1" w:styleId="MegjegyzstrgyaChar">
    <w:name w:val="Megjegyzés tárgya Char"/>
    <w:basedOn w:val="JegyzetszvegChar"/>
    <w:link w:val="Megjegyzstrgya"/>
    <w:uiPriority w:val="99"/>
    <w:semiHidden/>
    <w:rsid w:val="00492F64"/>
    <w:rPr>
      <w:rFonts w:ascii="Times New Roman" w:hAnsi="Times New Roman"/>
      <w:b/>
      <w:bCs/>
      <w:sz w:val="20"/>
      <w:szCs w:val="20"/>
      <w:lang w:val="el-GR" w:eastAsia="el-GR"/>
    </w:rPr>
  </w:style>
  <w:style w:type="paragraph" w:customStyle="1" w:styleId="Default">
    <w:name w:val="Default"/>
    <w:rsid w:val="007838D5"/>
    <w:pPr>
      <w:autoSpaceDE w:val="0"/>
      <w:autoSpaceDN w:val="0"/>
      <w:adjustRightInd w:val="0"/>
      <w:spacing w:after="0" w:line="240" w:lineRule="auto"/>
    </w:pPr>
    <w:rPr>
      <w:rFonts w:ascii="Times New Roman" w:hAnsi="Times New Roman"/>
      <w:color w:val="000000"/>
      <w:sz w:val="24"/>
      <w:szCs w:val="24"/>
      <w:lang w:val="hu-HU"/>
    </w:rPr>
  </w:style>
  <w:style w:type="paragraph" w:customStyle="1" w:styleId="Normal1">
    <w:name w:val="Normal1"/>
    <w:basedOn w:val="Norml"/>
    <w:rsid w:val="00FD2011"/>
    <w:pPr>
      <w:suppressAutoHyphens/>
      <w:autoSpaceDN/>
      <w:adjustRightInd/>
    </w:pPr>
    <w:rPr>
      <w:rFonts w:eastAsia="HG Mincho Light J"/>
      <w:color w:val="000000"/>
      <w:sz w:val="20"/>
      <w:lang w:val="hu-HU"/>
    </w:rPr>
  </w:style>
  <w:style w:type="character" w:customStyle="1" w:styleId="Cmsor2Char">
    <w:name w:val="Címsor 2 Char"/>
    <w:basedOn w:val="Bekezdsalapbettpusa"/>
    <w:link w:val="Cmsor2"/>
    <w:uiPriority w:val="9"/>
    <w:semiHidden/>
    <w:rsid w:val="00FD2011"/>
    <w:rPr>
      <w:rFonts w:asciiTheme="majorHAnsi" w:eastAsiaTheme="majorEastAsia" w:hAnsiTheme="majorHAnsi" w:cstheme="majorBidi"/>
      <w:color w:val="2E74B5" w:themeColor="accent1" w:themeShade="BF"/>
      <w:sz w:val="26"/>
      <w:szCs w:val="26"/>
      <w:lang w:val="el-GR" w:eastAsia="el-GR"/>
    </w:rPr>
  </w:style>
  <w:style w:type="table" w:styleId="Rcsostblzat">
    <w:name w:val="Table Grid"/>
    <w:basedOn w:val="Normltblzat"/>
    <w:rsid w:val="00D445F9"/>
    <w:pPr>
      <w:spacing w:after="0" w:line="240" w:lineRule="auto"/>
    </w:pPr>
    <w:rPr>
      <w:rFonts w:ascii="Times New Roman" w:eastAsia="SimSun" w:hAnsi="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09641">
      <w:bodyDiv w:val="1"/>
      <w:marLeft w:val="0"/>
      <w:marRight w:val="0"/>
      <w:marTop w:val="0"/>
      <w:marBottom w:val="0"/>
      <w:divBdr>
        <w:top w:val="none" w:sz="0" w:space="0" w:color="auto"/>
        <w:left w:val="none" w:sz="0" w:space="0" w:color="auto"/>
        <w:bottom w:val="none" w:sz="0" w:space="0" w:color="auto"/>
        <w:right w:val="none" w:sz="0" w:space="0" w:color="auto"/>
      </w:divBdr>
    </w:div>
    <w:div w:id="480077591">
      <w:bodyDiv w:val="1"/>
      <w:marLeft w:val="0"/>
      <w:marRight w:val="0"/>
      <w:marTop w:val="0"/>
      <w:marBottom w:val="0"/>
      <w:divBdr>
        <w:top w:val="none" w:sz="0" w:space="0" w:color="auto"/>
        <w:left w:val="none" w:sz="0" w:space="0" w:color="auto"/>
        <w:bottom w:val="none" w:sz="0" w:space="0" w:color="auto"/>
        <w:right w:val="none" w:sz="0" w:space="0" w:color="auto"/>
      </w:divBdr>
    </w:div>
    <w:div w:id="583615213">
      <w:bodyDiv w:val="1"/>
      <w:marLeft w:val="0"/>
      <w:marRight w:val="0"/>
      <w:marTop w:val="0"/>
      <w:marBottom w:val="0"/>
      <w:divBdr>
        <w:top w:val="none" w:sz="0" w:space="0" w:color="auto"/>
        <w:left w:val="none" w:sz="0" w:space="0" w:color="auto"/>
        <w:bottom w:val="none" w:sz="0" w:space="0" w:color="auto"/>
        <w:right w:val="none" w:sz="0" w:space="0" w:color="auto"/>
      </w:divBdr>
    </w:div>
    <w:div w:id="867258894">
      <w:bodyDiv w:val="1"/>
      <w:marLeft w:val="0"/>
      <w:marRight w:val="0"/>
      <w:marTop w:val="0"/>
      <w:marBottom w:val="0"/>
      <w:divBdr>
        <w:top w:val="none" w:sz="0" w:space="0" w:color="auto"/>
        <w:left w:val="none" w:sz="0" w:space="0" w:color="auto"/>
        <w:bottom w:val="none" w:sz="0" w:space="0" w:color="auto"/>
        <w:right w:val="none" w:sz="0" w:space="0" w:color="auto"/>
      </w:divBdr>
    </w:div>
    <w:div w:id="1172069096">
      <w:bodyDiv w:val="1"/>
      <w:marLeft w:val="0"/>
      <w:marRight w:val="0"/>
      <w:marTop w:val="0"/>
      <w:marBottom w:val="0"/>
      <w:divBdr>
        <w:top w:val="none" w:sz="0" w:space="0" w:color="auto"/>
        <w:left w:val="none" w:sz="0" w:space="0" w:color="auto"/>
        <w:bottom w:val="none" w:sz="0" w:space="0" w:color="auto"/>
        <w:right w:val="none" w:sz="0" w:space="0" w:color="auto"/>
      </w:divBdr>
    </w:div>
    <w:div w:id="1466771251">
      <w:bodyDiv w:val="1"/>
      <w:marLeft w:val="0"/>
      <w:marRight w:val="0"/>
      <w:marTop w:val="0"/>
      <w:marBottom w:val="0"/>
      <w:divBdr>
        <w:top w:val="none" w:sz="0" w:space="0" w:color="auto"/>
        <w:left w:val="none" w:sz="0" w:space="0" w:color="auto"/>
        <w:bottom w:val="none" w:sz="0" w:space="0" w:color="auto"/>
        <w:right w:val="none" w:sz="0" w:space="0" w:color="auto"/>
      </w:divBdr>
    </w:div>
    <w:div w:id="1482847233">
      <w:bodyDiv w:val="1"/>
      <w:marLeft w:val="0"/>
      <w:marRight w:val="0"/>
      <w:marTop w:val="0"/>
      <w:marBottom w:val="0"/>
      <w:divBdr>
        <w:top w:val="none" w:sz="0" w:space="0" w:color="auto"/>
        <w:left w:val="none" w:sz="0" w:space="0" w:color="auto"/>
        <w:bottom w:val="none" w:sz="0" w:space="0" w:color="auto"/>
        <w:right w:val="none" w:sz="0" w:space="0" w:color="auto"/>
      </w:divBdr>
    </w:div>
    <w:div w:id="165768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B95D0-9F57-49F2-B700-EEEC82F59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14691</Words>
  <Characters>101368</Characters>
  <Application>Microsoft Office Word</Application>
  <DocSecurity>0</DocSecurity>
  <Lines>844</Lines>
  <Paragraphs>231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HU_NNGYK_56.1</cp:lastModifiedBy>
  <cp:revision>2</cp:revision>
  <dcterms:created xsi:type="dcterms:W3CDTF">2026-02-17T15:52:00Z</dcterms:created>
  <dcterms:modified xsi:type="dcterms:W3CDTF">2026-02-17T15:52:00Z</dcterms:modified>
</cp:coreProperties>
</file>