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22DF8" w14:textId="5C5BDEE1" w:rsidR="00461A7A" w:rsidRDefault="00A601A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 xml:space="preserve"> </w:t>
      </w:r>
      <w:r w:rsidR="00461A7A" w:rsidRPr="00461A7A">
        <w:rPr>
          <w:rFonts w:ascii="Times New Roman" w:hAnsi="Times New Roman" w:cs="Times New Roman"/>
          <w:b/>
          <w:bCs/>
          <w:kern w:val="0"/>
        </w:rPr>
        <w:t xml:space="preserve">1. </w:t>
      </w:r>
      <w:r w:rsidR="00013FEA">
        <w:rPr>
          <w:rFonts w:ascii="Times New Roman" w:hAnsi="Times New Roman" w:cs="Times New Roman"/>
          <w:b/>
          <w:bCs/>
          <w:kern w:val="0"/>
        </w:rPr>
        <w:tab/>
      </w:r>
      <w:r w:rsidR="00461A7A" w:rsidRPr="00461A7A">
        <w:rPr>
          <w:rFonts w:ascii="Times New Roman" w:hAnsi="Times New Roman" w:cs="Times New Roman"/>
          <w:b/>
          <w:bCs/>
          <w:kern w:val="0"/>
        </w:rPr>
        <w:t>A GYÓGYSZER NEVE</w:t>
      </w:r>
    </w:p>
    <w:p w14:paraId="01A38203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86A7582" w14:textId="3793FD50" w:rsidR="00461A7A" w:rsidRPr="00461A7A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Krufton</w:t>
      </w:r>
      <w:r w:rsidR="00461A7A" w:rsidRPr="00461A7A">
        <w:rPr>
          <w:rFonts w:ascii="Times New Roman" w:hAnsi="Times New Roman" w:cs="Times New Roman"/>
          <w:kern w:val="0"/>
        </w:rPr>
        <w:t xml:space="preserve"> 50 mg kemény kapszula</w:t>
      </w:r>
    </w:p>
    <w:p w14:paraId="072AE428" w14:textId="0AA51F65" w:rsidR="00461A7A" w:rsidRPr="00461A7A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Krufton</w:t>
      </w:r>
      <w:r w:rsidR="00461A7A" w:rsidRPr="00461A7A">
        <w:rPr>
          <w:rFonts w:ascii="Times New Roman" w:hAnsi="Times New Roman" w:cs="Times New Roman"/>
          <w:kern w:val="0"/>
        </w:rPr>
        <w:t xml:space="preserve"> 150 mg kemény kapszula</w:t>
      </w:r>
    </w:p>
    <w:p w14:paraId="137F838A" w14:textId="0310EA95" w:rsidR="00461A7A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Krufton</w:t>
      </w:r>
      <w:r w:rsidR="00461A7A" w:rsidRPr="00461A7A">
        <w:rPr>
          <w:rFonts w:ascii="Times New Roman" w:hAnsi="Times New Roman" w:cs="Times New Roman"/>
          <w:kern w:val="0"/>
        </w:rPr>
        <w:t xml:space="preserve"> 200 mg kemény kapszula</w:t>
      </w:r>
    </w:p>
    <w:p w14:paraId="17AB4A67" w14:textId="77777777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F308615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DE5F0AB" w14:textId="7D4EC17D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461A7A">
        <w:rPr>
          <w:rFonts w:ascii="Times New Roman" w:hAnsi="Times New Roman" w:cs="Times New Roman"/>
          <w:b/>
          <w:bCs/>
          <w:kern w:val="0"/>
        </w:rPr>
        <w:t xml:space="preserve">2. </w:t>
      </w:r>
      <w:r w:rsidR="00013FEA">
        <w:rPr>
          <w:rFonts w:ascii="Times New Roman" w:hAnsi="Times New Roman" w:cs="Times New Roman"/>
          <w:b/>
          <w:bCs/>
          <w:kern w:val="0"/>
        </w:rPr>
        <w:tab/>
      </w:r>
      <w:r w:rsidRPr="00461A7A">
        <w:rPr>
          <w:rFonts w:ascii="Times New Roman" w:eastAsia="TimesNewRomanPS-BoldMT" w:hAnsi="Times New Roman" w:cs="Times New Roman"/>
          <w:b/>
          <w:bCs/>
          <w:kern w:val="0"/>
        </w:rPr>
        <w:t>MINŐSÉGI ÉS MENNYISÉGI ÖSSZETÉTEL</w:t>
      </w:r>
    </w:p>
    <w:p w14:paraId="3679161A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p w14:paraId="194E980E" w14:textId="3AFE1D8D" w:rsidR="00461A7A" w:rsidRPr="00461A7A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Krufton</w:t>
      </w:r>
      <w:r w:rsidR="00461A7A" w:rsidRPr="00461A7A">
        <w:rPr>
          <w:rFonts w:ascii="Times New Roman" w:hAnsi="Times New Roman" w:cs="Times New Roman"/>
          <w:kern w:val="0"/>
        </w:rPr>
        <w:t xml:space="preserve"> 50 mg kemény kapszula</w:t>
      </w:r>
    </w:p>
    <w:p w14:paraId="772C12F2" w14:textId="284097D5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hAnsi="Times New Roman" w:cs="Times New Roman"/>
          <w:kern w:val="0"/>
        </w:rPr>
        <w:t>50</w:t>
      </w:r>
      <w:r w:rsidR="008C4F87">
        <w:rPr>
          <w:rFonts w:ascii="Times New Roman" w:hAnsi="Times New Roman" w:cs="Times New Roman"/>
          <w:kern w:val="0"/>
        </w:rPr>
        <w:t> </w:t>
      </w:r>
      <w:r w:rsidRPr="00461A7A">
        <w:rPr>
          <w:rFonts w:ascii="Times New Roman" w:hAnsi="Times New Roman" w:cs="Times New Roman"/>
          <w:kern w:val="0"/>
        </w:rPr>
        <w:t>mg nilotinibet tartalmaz kemény kapszulánként (hidroklorid-</w:t>
      </w:r>
      <w:r w:rsidR="003D6BEE">
        <w:rPr>
          <w:rFonts w:ascii="Times New Roman" w:hAnsi="Times New Roman" w:cs="Times New Roman"/>
          <w:kern w:val="0"/>
        </w:rPr>
        <w:t>di</w:t>
      </w:r>
      <w:r w:rsidRPr="00461A7A">
        <w:rPr>
          <w:rFonts w:ascii="Times New Roman" w:hAnsi="Times New Roman" w:cs="Times New Roman"/>
          <w:kern w:val="0"/>
        </w:rPr>
        <w:t>hidrát formájában).</w:t>
      </w:r>
    </w:p>
    <w:p w14:paraId="0685F4B8" w14:textId="77777777" w:rsidR="00245776" w:rsidRPr="00461A7A" w:rsidRDefault="00245776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0DFC127" w14:textId="35EDDC95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461A7A">
        <w:rPr>
          <w:rFonts w:ascii="Times New Roman" w:hAnsi="Times New Roman" w:cs="Times New Roman"/>
          <w:i/>
          <w:iCs/>
          <w:kern w:val="0"/>
        </w:rPr>
        <w:t>Ismert hatású segédanyag</w:t>
      </w:r>
    </w:p>
    <w:p w14:paraId="5301DD18" w14:textId="5EBD4B43" w:rsidR="00461A7A" w:rsidRDefault="005D52B1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35</w:t>
      </w:r>
      <w:r w:rsidR="008C4F87">
        <w:rPr>
          <w:rFonts w:ascii="Times New Roman" w:hAnsi="Times New Roman" w:cs="Times New Roman"/>
          <w:kern w:val="0"/>
        </w:rPr>
        <w:t> </w:t>
      </w:r>
      <w:r w:rsidR="00461A7A" w:rsidRPr="00461A7A">
        <w:rPr>
          <w:rFonts w:ascii="Times New Roman" w:hAnsi="Times New Roman" w:cs="Times New Roman"/>
          <w:kern w:val="0"/>
        </w:rPr>
        <w:t>mg laktózt tartalmaz kemény kapszulánként.</w:t>
      </w:r>
    </w:p>
    <w:p w14:paraId="057A45ED" w14:textId="77777777" w:rsidR="00245776" w:rsidRPr="00461A7A" w:rsidRDefault="00245776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98BB92A" w14:textId="69F59B75" w:rsidR="00461A7A" w:rsidRPr="00461A7A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Krufton </w:t>
      </w:r>
      <w:r w:rsidR="00461A7A" w:rsidRPr="00461A7A">
        <w:rPr>
          <w:rFonts w:ascii="Times New Roman" w:hAnsi="Times New Roman" w:cs="Times New Roman"/>
          <w:kern w:val="0"/>
        </w:rPr>
        <w:t>150</w:t>
      </w:r>
      <w:r w:rsidR="008134D3">
        <w:rPr>
          <w:rFonts w:ascii="Times New Roman" w:hAnsi="Times New Roman" w:cs="Times New Roman"/>
          <w:kern w:val="0"/>
        </w:rPr>
        <w:t> </w:t>
      </w:r>
      <w:r w:rsidR="00461A7A" w:rsidRPr="00461A7A">
        <w:rPr>
          <w:rFonts w:ascii="Times New Roman" w:hAnsi="Times New Roman" w:cs="Times New Roman"/>
          <w:kern w:val="0"/>
        </w:rPr>
        <w:t>mg kemény kapszula</w:t>
      </w:r>
    </w:p>
    <w:p w14:paraId="504B32C2" w14:textId="0186D153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hAnsi="Times New Roman" w:cs="Times New Roman"/>
          <w:kern w:val="0"/>
        </w:rPr>
        <w:t>150</w:t>
      </w:r>
      <w:r w:rsidR="008C4F87">
        <w:rPr>
          <w:rFonts w:ascii="Times New Roman" w:hAnsi="Times New Roman" w:cs="Times New Roman"/>
          <w:kern w:val="0"/>
        </w:rPr>
        <w:t> </w:t>
      </w:r>
      <w:r w:rsidRPr="00461A7A">
        <w:rPr>
          <w:rFonts w:ascii="Times New Roman" w:hAnsi="Times New Roman" w:cs="Times New Roman"/>
          <w:kern w:val="0"/>
        </w:rPr>
        <w:t>mg nilotinibet tartalmaz kemény kapszulánként (hidroklorid-</w:t>
      </w:r>
      <w:r w:rsidR="003D6BEE">
        <w:rPr>
          <w:rFonts w:ascii="Times New Roman" w:hAnsi="Times New Roman" w:cs="Times New Roman"/>
          <w:kern w:val="0"/>
        </w:rPr>
        <w:t>di</w:t>
      </w:r>
      <w:r w:rsidRPr="00461A7A">
        <w:rPr>
          <w:rFonts w:ascii="Times New Roman" w:hAnsi="Times New Roman" w:cs="Times New Roman"/>
          <w:kern w:val="0"/>
        </w:rPr>
        <w:t>hidrát formájában).</w:t>
      </w:r>
    </w:p>
    <w:p w14:paraId="3345E41B" w14:textId="77777777" w:rsidR="00245776" w:rsidRPr="00461A7A" w:rsidRDefault="00245776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FE726A6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461A7A">
        <w:rPr>
          <w:rFonts w:ascii="Times New Roman" w:hAnsi="Times New Roman" w:cs="Times New Roman"/>
          <w:i/>
          <w:iCs/>
          <w:kern w:val="0"/>
        </w:rPr>
        <w:t>Ismert hatású segédanyag</w:t>
      </w:r>
    </w:p>
    <w:p w14:paraId="11C296E8" w14:textId="0898F86A" w:rsidR="00461A7A" w:rsidRDefault="00013FE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104</w:t>
      </w:r>
      <w:r w:rsidR="008C4F87">
        <w:rPr>
          <w:rFonts w:ascii="Times New Roman" w:hAnsi="Times New Roman" w:cs="Times New Roman"/>
          <w:kern w:val="0"/>
        </w:rPr>
        <w:t> </w:t>
      </w:r>
      <w:r w:rsidR="00461A7A" w:rsidRPr="00461A7A">
        <w:rPr>
          <w:rFonts w:ascii="Times New Roman" w:hAnsi="Times New Roman" w:cs="Times New Roman"/>
          <w:kern w:val="0"/>
        </w:rPr>
        <w:t>mg laktózt tartalmaz kemény kapszulánként.</w:t>
      </w:r>
    </w:p>
    <w:p w14:paraId="690DABE4" w14:textId="77777777" w:rsidR="00245776" w:rsidRPr="00461A7A" w:rsidRDefault="00245776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1240BA2" w14:textId="215FC416" w:rsidR="00461A7A" w:rsidRPr="00461A7A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Krufton</w:t>
      </w:r>
      <w:r w:rsidR="00245776">
        <w:rPr>
          <w:rFonts w:ascii="Times New Roman" w:hAnsi="Times New Roman" w:cs="Times New Roman"/>
          <w:kern w:val="0"/>
        </w:rPr>
        <w:t xml:space="preserve"> </w:t>
      </w:r>
      <w:r w:rsidR="00461A7A" w:rsidRPr="00461A7A">
        <w:rPr>
          <w:rFonts w:ascii="Times New Roman" w:hAnsi="Times New Roman" w:cs="Times New Roman"/>
          <w:kern w:val="0"/>
        </w:rPr>
        <w:t>200</w:t>
      </w:r>
      <w:r w:rsidR="008134D3">
        <w:rPr>
          <w:rFonts w:ascii="Times New Roman" w:hAnsi="Times New Roman" w:cs="Times New Roman"/>
          <w:kern w:val="0"/>
        </w:rPr>
        <w:t> </w:t>
      </w:r>
      <w:r w:rsidR="00461A7A" w:rsidRPr="00461A7A">
        <w:rPr>
          <w:rFonts w:ascii="Times New Roman" w:hAnsi="Times New Roman" w:cs="Times New Roman"/>
          <w:kern w:val="0"/>
        </w:rPr>
        <w:t>mg kemény kapszula</w:t>
      </w:r>
    </w:p>
    <w:p w14:paraId="0EDF3F63" w14:textId="49CEE49F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hAnsi="Times New Roman" w:cs="Times New Roman"/>
          <w:kern w:val="0"/>
        </w:rPr>
        <w:t>200</w:t>
      </w:r>
      <w:r w:rsidR="008134D3">
        <w:rPr>
          <w:rFonts w:ascii="Times New Roman" w:hAnsi="Times New Roman" w:cs="Times New Roman"/>
          <w:kern w:val="0"/>
        </w:rPr>
        <w:t> </w:t>
      </w:r>
      <w:r w:rsidRPr="00461A7A">
        <w:rPr>
          <w:rFonts w:ascii="Times New Roman" w:hAnsi="Times New Roman" w:cs="Times New Roman"/>
          <w:kern w:val="0"/>
        </w:rPr>
        <w:t>mg nilotinibet tartalmaz kemény kapszulánként (hidroklorid-monohidrát formájában).</w:t>
      </w:r>
    </w:p>
    <w:p w14:paraId="23518397" w14:textId="77777777" w:rsidR="00245776" w:rsidRPr="00461A7A" w:rsidRDefault="00245776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58F846B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461A7A">
        <w:rPr>
          <w:rFonts w:ascii="Times New Roman" w:hAnsi="Times New Roman" w:cs="Times New Roman"/>
          <w:i/>
          <w:iCs/>
          <w:kern w:val="0"/>
        </w:rPr>
        <w:t>Ismert hatású segédanyag</w:t>
      </w:r>
    </w:p>
    <w:p w14:paraId="0DD7D357" w14:textId="56F319F0" w:rsidR="00461A7A" w:rsidRDefault="00013FE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139</w:t>
      </w:r>
      <w:r w:rsidR="003E2264">
        <w:rPr>
          <w:rFonts w:ascii="Times New Roman" w:hAnsi="Times New Roman" w:cs="Times New Roman"/>
          <w:kern w:val="0"/>
        </w:rPr>
        <w:t> </w:t>
      </w:r>
      <w:r w:rsidR="00461A7A" w:rsidRPr="00461A7A">
        <w:rPr>
          <w:rFonts w:ascii="Times New Roman" w:hAnsi="Times New Roman" w:cs="Times New Roman"/>
          <w:kern w:val="0"/>
        </w:rPr>
        <w:t>mg laktózt tartalmaz kemény kapszulánként.</w:t>
      </w:r>
    </w:p>
    <w:p w14:paraId="626D291E" w14:textId="77777777" w:rsidR="00013FEA" w:rsidRPr="00461A7A" w:rsidRDefault="00013FE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BD37B9C" w14:textId="77777777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hAnsi="Times New Roman" w:cs="Times New Roman"/>
          <w:kern w:val="0"/>
        </w:rPr>
        <w:t>A segédanyagok teljes listáját lásd a 6.1 pontban.</w:t>
      </w:r>
    </w:p>
    <w:p w14:paraId="27BEBE10" w14:textId="77777777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AAE795F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B39E2B1" w14:textId="5161C834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461A7A">
        <w:rPr>
          <w:rFonts w:ascii="Times New Roman" w:hAnsi="Times New Roman" w:cs="Times New Roman"/>
          <w:b/>
          <w:bCs/>
          <w:kern w:val="0"/>
        </w:rPr>
        <w:t xml:space="preserve">3. </w:t>
      </w:r>
      <w:r w:rsidR="00013FEA">
        <w:rPr>
          <w:rFonts w:ascii="Times New Roman" w:hAnsi="Times New Roman" w:cs="Times New Roman"/>
          <w:b/>
          <w:bCs/>
          <w:kern w:val="0"/>
        </w:rPr>
        <w:tab/>
      </w:r>
      <w:r w:rsidRPr="00461A7A">
        <w:rPr>
          <w:rFonts w:ascii="Times New Roman" w:hAnsi="Times New Roman" w:cs="Times New Roman"/>
          <w:b/>
          <w:bCs/>
          <w:kern w:val="0"/>
        </w:rPr>
        <w:t>GYÓGYSZERFORMA</w:t>
      </w:r>
    </w:p>
    <w:p w14:paraId="6A0D36CB" w14:textId="77777777" w:rsidR="00461A7A" w:rsidRP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26BA8408" w14:textId="77777777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hAnsi="Times New Roman" w:cs="Times New Roman"/>
          <w:kern w:val="0"/>
        </w:rPr>
        <w:t>Kemény kapszula.</w:t>
      </w:r>
    </w:p>
    <w:p w14:paraId="5E3B853E" w14:textId="77777777" w:rsidR="003075E5" w:rsidRPr="00461A7A" w:rsidRDefault="003075E5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C67F7C1" w14:textId="6ABDAEC0" w:rsidR="00461A7A" w:rsidRPr="008219EE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="00461A7A" w:rsidRPr="008219EE">
        <w:rPr>
          <w:rFonts w:ascii="Times New Roman" w:hAnsi="Times New Roman" w:cs="Times New Roman"/>
          <w:kern w:val="0"/>
          <w:u w:val="single"/>
        </w:rPr>
        <w:t xml:space="preserve"> 50</w:t>
      </w:r>
      <w:r w:rsidR="006F0CEA">
        <w:rPr>
          <w:rFonts w:ascii="Times New Roman" w:hAnsi="Times New Roman" w:cs="Times New Roman"/>
          <w:kern w:val="0"/>
          <w:u w:val="single"/>
        </w:rPr>
        <w:t> </w:t>
      </w:r>
      <w:r w:rsidR="00461A7A" w:rsidRPr="008219EE">
        <w:rPr>
          <w:rFonts w:ascii="Times New Roman" w:hAnsi="Times New Roman" w:cs="Times New Roman"/>
          <w:kern w:val="0"/>
          <w:u w:val="single"/>
        </w:rPr>
        <w:t>mg kemény kapszula</w:t>
      </w:r>
    </w:p>
    <w:p w14:paraId="6935AB3C" w14:textId="77777777" w:rsidR="003075E5" w:rsidRPr="00461A7A" w:rsidRDefault="003075E5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A71DEFF" w14:textId="67CC5B2E" w:rsidR="00461A7A" w:rsidRDefault="00461A7A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eastAsia="TimesNewRomanPSMT" w:hAnsi="Times New Roman" w:cs="Times New Roman"/>
          <w:kern w:val="0"/>
        </w:rPr>
        <w:t xml:space="preserve">Fehér vagy sárgás színű por </w:t>
      </w:r>
      <w:r w:rsidR="000F0E6E" w:rsidRPr="00461A7A">
        <w:rPr>
          <w:rFonts w:ascii="Times New Roman" w:hAnsi="Times New Roman" w:cs="Times New Roman"/>
          <w:kern w:val="0"/>
        </w:rPr>
        <w:t xml:space="preserve">4-es </w:t>
      </w:r>
      <w:r w:rsidR="000F0E6E" w:rsidRPr="00461A7A">
        <w:rPr>
          <w:rFonts w:ascii="Times New Roman" w:eastAsia="TimesNewRomanPSMT" w:hAnsi="Times New Roman" w:cs="Times New Roman"/>
          <w:kern w:val="0"/>
        </w:rPr>
        <w:t>méretű</w:t>
      </w:r>
      <w:r w:rsidR="00A91438">
        <w:rPr>
          <w:rFonts w:ascii="Times New Roman" w:eastAsia="TimesNewRomanPSMT" w:hAnsi="Times New Roman" w:cs="Times New Roman"/>
          <w:kern w:val="0"/>
        </w:rPr>
        <w:t xml:space="preserve">, </w:t>
      </w:r>
      <w:r w:rsidR="00A91438" w:rsidRPr="00065A92">
        <w:rPr>
          <w:rFonts w:ascii="Times New Roman" w:hAnsi="Times New Roman"/>
        </w:rPr>
        <w:t>(hozzávetőlegesen 14,4 mm hosszúságú)</w:t>
      </w:r>
      <w:r w:rsidR="00A91438">
        <w:rPr>
          <w:rFonts w:ascii="Times New Roman" w:hAnsi="Times New Roman"/>
        </w:rPr>
        <w:t xml:space="preserve">, </w:t>
      </w:r>
      <w:r w:rsidR="00A91438" w:rsidRPr="00065A92">
        <w:rPr>
          <w:rFonts w:ascii="Times New Roman" w:hAnsi="Times New Roman"/>
        </w:rPr>
        <w:t>felső részén piros és alsó részén sárga</w:t>
      </w:r>
      <w:r w:rsidR="00A91438">
        <w:rPr>
          <w:rFonts w:ascii="Times New Roman" w:hAnsi="Times New Roman"/>
        </w:rPr>
        <w:t>, átlátszatlan</w:t>
      </w:r>
      <w:r w:rsidR="000F0E6E" w:rsidRPr="00461A7A">
        <w:rPr>
          <w:rFonts w:ascii="Times New Roman" w:eastAsia="TimesNewRomanPSMT" w:hAnsi="Times New Roman" w:cs="Times New Roman"/>
          <w:kern w:val="0"/>
        </w:rPr>
        <w:t xml:space="preserve"> kemény </w:t>
      </w:r>
      <w:r w:rsidR="000F0E6E">
        <w:rPr>
          <w:rFonts w:ascii="Times New Roman" w:hAnsi="Times New Roman" w:cs="Times New Roman"/>
          <w:kern w:val="0"/>
        </w:rPr>
        <w:t>HPMC</w:t>
      </w:r>
      <w:r w:rsidR="000F0E6E" w:rsidRPr="00461A7A">
        <w:rPr>
          <w:rFonts w:ascii="Times New Roman" w:hAnsi="Times New Roman" w:cs="Times New Roman"/>
          <w:kern w:val="0"/>
        </w:rPr>
        <w:t xml:space="preserve"> kapszulában</w:t>
      </w:r>
      <w:r w:rsidRPr="00461A7A">
        <w:rPr>
          <w:rFonts w:ascii="Times New Roman" w:eastAsia="TimesNewRomanPSMT" w:hAnsi="Times New Roman" w:cs="Times New Roman"/>
          <w:kern w:val="0"/>
        </w:rPr>
        <w:t>,</w:t>
      </w:r>
      <w:r w:rsidR="0019607D">
        <w:rPr>
          <w:rFonts w:ascii="Times New Roman" w:eastAsia="TimesNewRomanPSMT" w:hAnsi="Times New Roman" w:cs="Times New Roman"/>
          <w:kern w:val="0"/>
        </w:rPr>
        <w:t xml:space="preserve"> </w:t>
      </w:r>
      <w:r w:rsidR="00A91438">
        <w:rPr>
          <w:rFonts w:ascii="Times New Roman" w:eastAsia="TimesNewRomanPSMT" w:hAnsi="Times New Roman" w:cs="Times New Roman"/>
          <w:kern w:val="0"/>
        </w:rPr>
        <w:t>amely</w:t>
      </w:r>
      <w:r w:rsidRPr="00461A7A">
        <w:rPr>
          <w:rFonts w:ascii="Times New Roman" w:hAnsi="Times New Roman" w:cs="Times New Roman"/>
          <w:kern w:val="0"/>
        </w:rPr>
        <w:t xml:space="preserve"> </w:t>
      </w:r>
      <w:r w:rsidR="005D785C">
        <w:rPr>
          <w:rFonts w:ascii="Times New Roman" w:hAnsi="Times New Roman" w:cs="Times New Roman"/>
          <w:kern w:val="0"/>
        </w:rPr>
        <w:t>alsó részén</w:t>
      </w:r>
      <w:r w:rsidRPr="00461A7A">
        <w:rPr>
          <w:rFonts w:ascii="Times New Roman" w:hAnsi="Times New Roman" w:cs="Times New Roman"/>
          <w:kern w:val="0"/>
        </w:rPr>
        <w:t xml:space="preserve"> </w:t>
      </w:r>
      <w:r w:rsidR="005D785C">
        <w:rPr>
          <w:rFonts w:ascii="Times New Roman" w:hAnsi="Times New Roman" w:cs="Times New Roman"/>
          <w:kern w:val="0"/>
        </w:rPr>
        <w:t>vízszintes</w:t>
      </w:r>
      <w:r w:rsidRPr="00461A7A">
        <w:rPr>
          <w:rFonts w:ascii="Times New Roman" w:hAnsi="Times New Roman" w:cs="Times New Roman"/>
          <w:kern w:val="0"/>
        </w:rPr>
        <w:t xml:space="preserve">, </w:t>
      </w:r>
      <w:r w:rsidRPr="00461A7A">
        <w:rPr>
          <w:rFonts w:ascii="Times New Roman" w:eastAsia="TimesNewRomanPSMT" w:hAnsi="Times New Roman" w:cs="Times New Roman"/>
          <w:kern w:val="0"/>
        </w:rPr>
        <w:t>fekete „</w:t>
      </w:r>
      <w:r w:rsidR="00AD00E1">
        <w:rPr>
          <w:rFonts w:ascii="Times New Roman" w:hAnsi="Times New Roman" w:cs="Times New Roman"/>
          <w:kern w:val="0"/>
        </w:rPr>
        <w:t>50</w:t>
      </w:r>
      <w:r w:rsidR="006F0CEA">
        <w:rPr>
          <w:rFonts w:ascii="Times New Roman" w:hAnsi="Times New Roman" w:cs="Times New Roman"/>
          <w:kern w:val="0"/>
        </w:rPr>
        <w:t> </w:t>
      </w:r>
      <w:r w:rsidR="00AD00E1">
        <w:rPr>
          <w:rFonts w:ascii="Times New Roman" w:hAnsi="Times New Roman" w:cs="Times New Roman"/>
          <w:kern w:val="0"/>
        </w:rPr>
        <w:t>mg</w:t>
      </w:r>
      <w:r w:rsidRPr="00461A7A">
        <w:rPr>
          <w:rFonts w:ascii="Times New Roman" w:eastAsia="TimesNewRomanPSMT" w:hAnsi="Times New Roman" w:cs="Times New Roman"/>
          <w:kern w:val="0"/>
        </w:rPr>
        <w:t xml:space="preserve">” </w:t>
      </w:r>
      <w:r w:rsidR="00A8181E">
        <w:rPr>
          <w:rFonts w:ascii="Times New Roman" w:eastAsia="TimesNewRomanPSMT" w:hAnsi="Times New Roman" w:cs="Times New Roman"/>
          <w:kern w:val="0"/>
        </w:rPr>
        <w:t xml:space="preserve">felirattal van </w:t>
      </w:r>
      <w:r w:rsidRPr="00461A7A">
        <w:rPr>
          <w:rFonts w:ascii="Times New Roman" w:hAnsi="Times New Roman" w:cs="Times New Roman"/>
          <w:kern w:val="0"/>
        </w:rPr>
        <w:t>ellát</w:t>
      </w:r>
      <w:r w:rsidR="006F0CEA">
        <w:rPr>
          <w:rFonts w:ascii="Times New Roman" w:hAnsi="Times New Roman" w:cs="Times New Roman"/>
          <w:kern w:val="0"/>
        </w:rPr>
        <w:t>va</w:t>
      </w:r>
      <w:r w:rsidRPr="00461A7A">
        <w:rPr>
          <w:rFonts w:ascii="Times New Roman" w:hAnsi="Times New Roman" w:cs="Times New Roman"/>
          <w:kern w:val="0"/>
        </w:rPr>
        <w:t>.</w:t>
      </w:r>
    </w:p>
    <w:p w14:paraId="000FF501" w14:textId="77777777" w:rsidR="003075E5" w:rsidRPr="00461A7A" w:rsidRDefault="003075E5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D84CF5A" w14:textId="13DC0A74" w:rsidR="00461A7A" w:rsidRPr="008219EE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="00461A7A" w:rsidRPr="008219EE">
        <w:rPr>
          <w:rFonts w:ascii="Times New Roman" w:hAnsi="Times New Roman" w:cs="Times New Roman"/>
          <w:kern w:val="0"/>
          <w:u w:val="single"/>
        </w:rPr>
        <w:t xml:space="preserve"> 150</w:t>
      </w:r>
      <w:r w:rsidR="006F0CEA">
        <w:rPr>
          <w:rFonts w:ascii="Times New Roman" w:hAnsi="Times New Roman" w:cs="Times New Roman"/>
          <w:kern w:val="0"/>
          <w:u w:val="single"/>
        </w:rPr>
        <w:t> </w:t>
      </w:r>
      <w:r w:rsidR="00461A7A" w:rsidRPr="008219EE">
        <w:rPr>
          <w:rFonts w:ascii="Times New Roman" w:hAnsi="Times New Roman" w:cs="Times New Roman"/>
          <w:kern w:val="0"/>
          <w:u w:val="single"/>
        </w:rPr>
        <w:t>mg kemény kapszula</w:t>
      </w:r>
    </w:p>
    <w:p w14:paraId="382BE8CE" w14:textId="77777777" w:rsidR="008219EE" w:rsidRPr="00461A7A" w:rsidRDefault="008219EE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95A0F91" w14:textId="194942FD" w:rsidR="00D67230" w:rsidRDefault="00D67230" w:rsidP="00D672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eastAsia="TimesNewRomanPSMT" w:hAnsi="Times New Roman" w:cs="Times New Roman"/>
          <w:kern w:val="0"/>
        </w:rPr>
        <w:t xml:space="preserve">Fehér vagy sárgás színű por </w:t>
      </w:r>
      <w:r w:rsidR="002006F0">
        <w:rPr>
          <w:rFonts w:ascii="Times New Roman" w:hAnsi="Times New Roman" w:cs="Times New Roman"/>
          <w:kern w:val="0"/>
        </w:rPr>
        <w:t>1</w:t>
      </w:r>
      <w:r w:rsidRPr="00461A7A">
        <w:rPr>
          <w:rFonts w:ascii="Times New Roman" w:hAnsi="Times New Roman" w:cs="Times New Roman"/>
          <w:kern w:val="0"/>
        </w:rPr>
        <w:t xml:space="preserve">-es </w:t>
      </w:r>
      <w:r w:rsidRPr="00461A7A">
        <w:rPr>
          <w:rFonts w:ascii="Times New Roman" w:eastAsia="TimesNewRomanPSMT" w:hAnsi="Times New Roman" w:cs="Times New Roman"/>
          <w:kern w:val="0"/>
        </w:rPr>
        <w:t>méretű</w:t>
      </w:r>
      <w:r w:rsidR="008C285C">
        <w:rPr>
          <w:rFonts w:ascii="Times New Roman" w:eastAsia="TimesNewRomanPSMT" w:hAnsi="Times New Roman" w:cs="Times New Roman"/>
          <w:kern w:val="0"/>
        </w:rPr>
        <w:t>,</w:t>
      </w:r>
      <w:r w:rsidR="00A8181E" w:rsidRPr="00A8181E">
        <w:rPr>
          <w:rFonts w:ascii="Times New Roman" w:hAnsi="Times New Roman"/>
        </w:rPr>
        <w:t xml:space="preserve"> </w:t>
      </w:r>
      <w:r w:rsidR="00A8181E" w:rsidRPr="0081680D">
        <w:rPr>
          <w:rFonts w:ascii="Times New Roman" w:hAnsi="Times New Roman"/>
        </w:rPr>
        <w:t>(hozzávetőlegesen 19,3 mm hosszúságú)</w:t>
      </w:r>
      <w:r w:rsidR="00A8181E">
        <w:rPr>
          <w:rFonts w:ascii="Times New Roman" w:hAnsi="Times New Roman"/>
        </w:rPr>
        <w:t>,</w:t>
      </w:r>
      <w:r w:rsidR="008C285C">
        <w:rPr>
          <w:rFonts w:ascii="Times New Roman" w:eastAsia="TimesNewRomanPSMT" w:hAnsi="Times New Roman" w:cs="Times New Roman"/>
          <w:kern w:val="0"/>
        </w:rPr>
        <w:t xml:space="preserve"> </w:t>
      </w:r>
      <w:r w:rsidR="00A8181E">
        <w:rPr>
          <w:rFonts w:ascii="Times New Roman" w:eastAsia="TimesNewRomanPSMT" w:hAnsi="Times New Roman" w:cs="Times New Roman"/>
          <w:kern w:val="0"/>
        </w:rPr>
        <w:t>piros</w:t>
      </w:r>
      <w:r w:rsidR="00A6735D">
        <w:rPr>
          <w:rFonts w:ascii="Times New Roman" w:eastAsia="TimesNewRomanPSMT" w:hAnsi="Times New Roman" w:cs="Times New Roman"/>
          <w:kern w:val="0"/>
        </w:rPr>
        <w:t>,</w:t>
      </w:r>
      <w:r w:rsidR="00C000FA">
        <w:rPr>
          <w:rFonts w:ascii="Times New Roman" w:eastAsia="TimesNewRomanPSMT" w:hAnsi="Times New Roman" w:cs="Times New Roman"/>
          <w:kern w:val="0"/>
        </w:rPr>
        <w:t xml:space="preserve"> átlátszatlan</w:t>
      </w:r>
      <w:r w:rsidRPr="00461A7A">
        <w:rPr>
          <w:rFonts w:ascii="Times New Roman" w:eastAsia="TimesNewRomanPSMT" w:hAnsi="Times New Roman" w:cs="Times New Roman"/>
          <w:kern w:val="0"/>
        </w:rPr>
        <w:t xml:space="preserve"> kemény </w:t>
      </w:r>
      <w:r>
        <w:rPr>
          <w:rFonts w:ascii="Times New Roman" w:hAnsi="Times New Roman" w:cs="Times New Roman"/>
          <w:kern w:val="0"/>
        </w:rPr>
        <w:t>HPMC</w:t>
      </w:r>
      <w:r w:rsidRPr="00461A7A">
        <w:rPr>
          <w:rFonts w:ascii="Times New Roman" w:hAnsi="Times New Roman" w:cs="Times New Roman"/>
          <w:kern w:val="0"/>
        </w:rPr>
        <w:t xml:space="preserve"> kapszulában</w:t>
      </w:r>
      <w:r>
        <w:rPr>
          <w:rFonts w:ascii="Times New Roman" w:hAnsi="Times New Roman" w:cs="Times New Roman"/>
          <w:kern w:val="0"/>
        </w:rPr>
        <w:t xml:space="preserve">, </w:t>
      </w:r>
      <w:r w:rsidR="00A8181E">
        <w:rPr>
          <w:rFonts w:ascii="Times New Roman" w:hAnsi="Times New Roman" w:cs="Times New Roman"/>
          <w:kern w:val="0"/>
        </w:rPr>
        <w:t>amely</w:t>
      </w:r>
      <w:r w:rsidR="00A8181E"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alsó részén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vízszintes</w:t>
      </w:r>
      <w:r w:rsidRPr="00461A7A">
        <w:rPr>
          <w:rFonts w:ascii="Times New Roman" w:hAnsi="Times New Roman" w:cs="Times New Roman"/>
          <w:kern w:val="0"/>
        </w:rPr>
        <w:t xml:space="preserve">, </w:t>
      </w:r>
      <w:r w:rsidRPr="00461A7A">
        <w:rPr>
          <w:rFonts w:ascii="Times New Roman" w:eastAsia="TimesNewRomanPSMT" w:hAnsi="Times New Roman" w:cs="Times New Roman"/>
          <w:kern w:val="0"/>
        </w:rPr>
        <w:t>fekete „</w:t>
      </w:r>
      <w:r w:rsidR="00C000FA">
        <w:rPr>
          <w:rFonts w:ascii="Times New Roman" w:eastAsia="TimesNewRomanPSMT" w:hAnsi="Times New Roman" w:cs="Times New Roman"/>
          <w:kern w:val="0"/>
        </w:rPr>
        <w:t>1</w:t>
      </w:r>
      <w:r>
        <w:rPr>
          <w:rFonts w:ascii="Times New Roman" w:hAnsi="Times New Roman" w:cs="Times New Roman"/>
          <w:kern w:val="0"/>
        </w:rPr>
        <w:t>50</w:t>
      </w:r>
      <w:r w:rsidR="006F0CEA">
        <w:rPr>
          <w:rFonts w:ascii="Times New Roman" w:hAnsi="Times New Roman" w:cs="Times New Roman"/>
          <w:kern w:val="0"/>
        </w:rPr>
        <w:t> </w:t>
      </w:r>
      <w:r>
        <w:rPr>
          <w:rFonts w:ascii="Times New Roman" w:hAnsi="Times New Roman" w:cs="Times New Roman"/>
          <w:kern w:val="0"/>
        </w:rPr>
        <w:t>mg</w:t>
      </w:r>
      <w:r w:rsidRPr="00461A7A">
        <w:rPr>
          <w:rFonts w:ascii="Times New Roman" w:eastAsia="TimesNewRomanPSMT" w:hAnsi="Times New Roman" w:cs="Times New Roman"/>
          <w:kern w:val="0"/>
        </w:rPr>
        <w:t xml:space="preserve">” </w:t>
      </w:r>
      <w:r w:rsidR="00A8181E">
        <w:rPr>
          <w:rFonts w:ascii="Times New Roman" w:eastAsia="TimesNewRomanPSMT" w:hAnsi="Times New Roman" w:cs="Times New Roman"/>
          <w:kern w:val="0"/>
        </w:rPr>
        <w:t>felirattal van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461A7A">
        <w:rPr>
          <w:rFonts w:ascii="Times New Roman" w:hAnsi="Times New Roman" w:cs="Times New Roman"/>
          <w:kern w:val="0"/>
        </w:rPr>
        <w:t>ellát</w:t>
      </w:r>
      <w:r w:rsidR="006F0CEA">
        <w:rPr>
          <w:rFonts w:ascii="Times New Roman" w:hAnsi="Times New Roman" w:cs="Times New Roman"/>
          <w:kern w:val="0"/>
        </w:rPr>
        <w:t>va</w:t>
      </w:r>
      <w:r w:rsidRPr="00461A7A">
        <w:rPr>
          <w:rFonts w:ascii="Times New Roman" w:hAnsi="Times New Roman" w:cs="Times New Roman"/>
          <w:kern w:val="0"/>
        </w:rPr>
        <w:t>.</w:t>
      </w:r>
    </w:p>
    <w:p w14:paraId="1378C5C4" w14:textId="77777777" w:rsidR="008219EE" w:rsidRPr="00461A7A" w:rsidRDefault="008219EE" w:rsidP="00461A7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DDA1F4D" w14:textId="0694ABF6" w:rsidR="00461A7A" w:rsidRPr="008219EE" w:rsidRDefault="00DE7C90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="00461A7A" w:rsidRPr="008219EE">
        <w:rPr>
          <w:rFonts w:ascii="Times New Roman" w:hAnsi="Times New Roman" w:cs="Times New Roman"/>
          <w:kern w:val="0"/>
          <w:u w:val="single"/>
        </w:rPr>
        <w:t xml:space="preserve"> 200</w:t>
      </w:r>
      <w:r w:rsidR="006F0CEA">
        <w:rPr>
          <w:rFonts w:ascii="Times New Roman" w:hAnsi="Times New Roman" w:cs="Times New Roman"/>
          <w:kern w:val="0"/>
          <w:u w:val="single"/>
        </w:rPr>
        <w:t> </w:t>
      </w:r>
      <w:r w:rsidR="00461A7A" w:rsidRPr="008219EE">
        <w:rPr>
          <w:rFonts w:ascii="Times New Roman" w:hAnsi="Times New Roman" w:cs="Times New Roman"/>
          <w:kern w:val="0"/>
          <w:u w:val="single"/>
        </w:rPr>
        <w:t>mg kemény kapszula</w:t>
      </w:r>
    </w:p>
    <w:p w14:paraId="2664DBA0" w14:textId="77777777" w:rsidR="008219EE" w:rsidRPr="00461A7A" w:rsidRDefault="008219EE" w:rsidP="00461A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BA00FC5" w14:textId="240DAC10" w:rsidR="001F7E84" w:rsidRDefault="001F7E84" w:rsidP="001F7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461A7A">
        <w:rPr>
          <w:rFonts w:ascii="Times New Roman" w:eastAsia="TimesNewRomanPSMT" w:hAnsi="Times New Roman" w:cs="Times New Roman"/>
          <w:kern w:val="0"/>
        </w:rPr>
        <w:t xml:space="preserve">Fehér vagy sárgás színű por </w:t>
      </w:r>
      <w:r w:rsidR="00937A3F">
        <w:rPr>
          <w:rFonts w:ascii="Times New Roman" w:hAnsi="Times New Roman" w:cs="Times New Roman"/>
          <w:kern w:val="0"/>
        </w:rPr>
        <w:t>0</w:t>
      </w:r>
      <w:r w:rsidRPr="00461A7A">
        <w:rPr>
          <w:rFonts w:ascii="Times New Roman" w:hAnsi="Times New Roman" w:cs="Times New Roman"/>
          <w:kern w:val="0"/>
        </w:rPr>
        <w:t>-</w:t>
      </w:r>
      <w:r w:rsidR="00937A3F">
        <w:rPr>
          <w:rFonts w:ascii="Times New Roman" w:hAnsi="Times New Roman" w:cs="Times New Roman"/>
          <w:kern w:val="0"/>
        </w:rPr>
        <w:t>á</w:t>
      </w:r>
      <w:r w:rsidRPr="00461A7A">
        <w:rPr>
          <w:rFonts w:ascii="Times New Roman" w:hAnsi="Times New Roman" w:cs="Times New Roman"/>
          <w:kern w:val="0"/>
        </w:rPr>
        <w:t xml:space="preserve">s </w:t>
      </w:r>
      <w:r w:rsidRPr="00461A7A">
        <w:rPr>
          <w:rFonts w:ascii="Times New Roman" w:eastAsia="TimesNewRomanPSMT" w:hAnsi="Times New Roman" w:cs="Times New Roman"/>
          <w:kern w:val="0"/>
        </w:rPr>
        <w:t>méretű</w:t>
      </w:r>
      <w:r>
        <w:rPr>
          <w:rFonts w:ascii="Times New Roman" w:eastAsia="TimesNewRomanPSMT" w:hAnsi="Times New Roman" w:cs="Times New Roman"/>
          <w:kern w:val="0"/>
        </w:rPr>
        <w:t xml:space="preserve">, </w:t>
      </w:r>
      <w:r w:rsidR="00A8181E" w:rsidRPr="00AD6D0B">
        <w:rPr>
          <w:rFonts w:ascii="Times New Roman" w:hAnsi="Times New Roman"/>
        </w:rPr>
        <w:t>(hozzávetőlegesen 21,4 mm hosszúságú)</w:t>
      </w:r>
      <w:r w:rsidR="00A8181E">
        <w:rPr>
          <w:rFonts w:ascii="Times New Roman" w:hAnsi="Times New Roman"/>
        </w:rPr>
        <w:t xml:space="preserve">, </w:t>
      </w:r>
      <w:r w:rsidR="00A8181E">
        <w:rPr>
          <w:rFonts w:ascii="Times New Roman" w:eastAsia="TimesNewRomanPSMT" w:hAnsi="Times New Roman" w:cs="Times New Roman"/>
          <w:kern w:val="0"/>
        </w:rPr>
        <w:t>világossárga</w:t>
      </w:r>
      <w:r>
        <w:rPr>
          <w:rFonts w:ascii="Times New Roman" w:eastAsia="TimesNewRomanPSMT" w:hAnsi="Times New Roman" w:cs="Times New Roman"/>
          <w:kern w:val="0"/>
        </w:rPr>
        <w:t>, átlátszatlan</w:t>
      </w:r>
      <w:r w:rsidRPr="00461A7A">
        <w:rPr>
          <w:rFonts w:ascii="Times New Roman" w:eastAsia="TimesNewRomanPSMT" w:hAnsi="Times New Roman" w:cs="Times New Roman"/>
          <w:kern w:val="0"/>
        </w:rPr>
        <w:t xml:space="preserve"> kemény </w:t>
      </w:r>
      <w:r>
        <w:rPr>
          <w:rFonts w:ascii="Times New Roman" w:hAnsi="Times New Roman" w:cs="Times New Roman"/>
          <w:kern w:val="0"/>
        </w:rPr>
        <w:t>HPMC</w:t>
      </w:r>
      <w:r w:rsidRPr="00461A7A">
        <w:rPr>
          <w:rFonts w:ascii="Times New Roman" w:hAnsi="Times New Roman" w:cs="Times New Roman"/>
          <w:kern w:val="0"/>
        </w:rPr>
        <w:t xml:space="preserve"> kapszulában</w:t>
      </w:r>
      <w:r>
        <w:rPr>
          <w:rFonts w:ascii="Times New Roman" w:hAnsi="Times New Roman" w:cs="Times New Roman"/>
          <w:kern w:val="0"/>
        </w:rPr>
        <w:t xml:space="preserve">, </w:t>
      </w:r>
      <w:r w:rsidR="00A8181E">
        <w:rPr>
          <w:rFonts w:ascii="Times New Roman" w:hAnsi="Times New Roman" w:cs="Times New Roman"/>
          <w:kern w:val="0"/>
        </w:rPr>
        <w:t>amely</w:t>
      </w:r>
      <w:r w:rsidR="00A8181E"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alsó részén</w:t>
      </w:r>
      <w:r w:rsidRPr="00461A7A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vízszintes</w:t>
      </w:r>
      <w:r w:rsidRPr="00461A7A">
        <w:rPr>
          <w:rFonts w:ascii="Times New Roman" w:hAnsi="Times New Roman" w:cs="Times New Roman"/>
          <w:kern w:val="0"/>
        </w:rPr>
        <w:t xml:space="preserve">, </w:t>
      </w:r>
      <w:r w:rsidRPr="00461A7A">
        <w:rPr>
          <w:rFonts w:ascii="Times New Roman" w:eastAsia="TimesNewRomanPSMT" w:hAnsi="Times New Roman" w:cs="Times New Roman"/>
          <w:kern w:val="0"/>
        </w:rPr>
        <w:t>fekete „</w:t>
      </w:r>
      <w:r w:rsidR="00937A3F">
        <w:rPr>
          <w:rFonts w:ascii="Times New Roman" w:eastAsia="TimesNewRomanPSMT" w:hAnsi="Times New Roman" w:cs="Times New Roman"/>
          <w:kern w:val="0"/>
        </w:rPr>
        <w:t>20</w:t>
      </w:r>
      <w:r>
        <w:rPr>
          <w:rFonts w:ascii="Times New Roman" w:hAnsi="Times New Roman" w:cs="Times New Roman"/>
          <w:kern w:val="0"/>
        </w:rPr>
        <w:t>0</w:t>
      </w:r>
      <w:r w:rsidR="006F0CEA">
        <w:rPr>
          <w:rFonts w:ascii="Times New Roman" w:hAnsi="Times New Roman" w:cs="Times New Roman"/>
          <w:kern w:val="0"/>
        </w:rPr>
        <w:t> </w:t>
      </w:r>
      <w:r>
        <w:rPr>
          <w:rFonts w:ascii="Times New Roman" w:hAnsi="Times New Roman" w:cs="Times New Roman"/>
          <w:kern w:val="0"/>
        </w:rPr>
        <w:t>mg</w:t>
      </w:r>
      <w:r w:rsidRPr="00461A7A">
        <w:rPr>
          <w:rFonts w:ascii="Times New Roman" w:eastAsia="TimesNewRomanPSMT" w:hAnsi="Times New Roman" w:cs="Times New Roman"/>
          <w:kern w:val="0"/>
        </w:rPr>
        <w:t xml:space="preserve">” </w:t>
      </w:r>
      <w:r w:rsidR="00A8181E">
        <w:rPr>
          <w:rFonts w:ascii="Times New Roman" w:eastAsia="TimesNewRomanPSMT" w:hAnsi="Times New Roman" w:cs="Times New Roman"/>
          <w:kern w:val="0"/>
        </w:rPr>
        <w:t xml:space="preserve">felirattal van </w:t>
      </w:r>
      <w:r w:rsidRPr="00461A7A">
        <w:rPr>
          <w:rFonts w:ascii="Times New Roman" w:hAnsi="Times New Roman" w:cs="Times New Roman"/>
          <w:kern w:val="0"/>
        </w:rPr>
        <w:t>ellát</w:t>
      </w:r>
      <w:r w:rsidR="006F0CEA">
        <w:rPr>
          <w:rFonts w:ascii="Times New Roman" w:hAnsi="Times New Roman" w:cs="Times New Roman"/>
          <w:kern w:val="0"/>
        </w:rPr>
        <w:t>va</w:t>
      </w:r>
      <w:r w:rsidRPr="00461A7A">
        <w:rPr>
          <w:rFonts w:ascii="Times New Roman" w:hAnsi="Times New Roman" w:cs="Times New Roman"/>
          <w:kern w:val="0"/>
        </w:rPr>
        <w:t>.</w:t>
      </w:r>
    </w:p>
    <w:p w14:paraId="1F2EE052" w14:textId="77777777" w:rsidR="008442BA" w:rsidRDefault="008442BA" w:rsidP="001F7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29027E8" w14:textId="64102D20" w:rsidR="005129BB" w:rsidRDefault="005129BB" w:rsidP="001F7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4B1D6C" w14:textId="1B095D4D" w:rsidR="008442BA" w:rsidRDefault="008442BA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8442BA">
        <w:rPr>
          <w:rFonts w:ascii="Times New Roman" w:hAnsi="Times New Roman" w:cs="Times New Roman"/>
          <w:b/>
          <w:bCs/>
          <w:kern w:val="0"/>
        </w:rPr>
        <w:lastRenderedPageBreak/>
        <w:t xml:space="preserve">4. 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8442BA">
        <w:rPr>
          <w:rFonts w:ascii="Times New Roman" w:eastAsia="TimesNewRomanPS-BoldMT" w:hAnsi="Times New Roman" w:cs="Times New Roman"/>
          <w:b/>
          <w:bCs/>
          <w:kern w:val="0"/>
        </w:rPr>
        <w:t>KLINIKAI JELLEMZŐK</w:t>
      </w:r>
    </w:p>
    <w:p w14:paraId="15811E7C" w14:textId="77777777" w:rsidR="008442BA" w:rsidRPr="008442BA" w:rsidRDefault="008442BA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p w14:paraId="38B4620C" w14:textId="3512AD52" w:rsidR="008442BA" w:rsidRDefault="008442BA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8442BA">
        <w:rPr>
          <w:rFonts w:ascii="Times New Roman" w:hAnsi="Times New Roman" w:cs="Times New Roman"/>
          <w:b/>
          <w:bCs/>
          <w:kern w:val="0"/>
        </w:rPr>
        <w:t xml:space="preserve">4.1 </w:t>
      </w:r>
      <w:r w:rsidR="00760930">
        <w:rPr>
          <w:rFonts w:ascii="Times New Roman" w:hAnsi="Times New Roman" w:cs="Times New Roman"/>
          <w:b/>
          <w:bCs/>
          <w:kern w:val="0"/>
        </w:rPr>
        <w:tab/>
      </w:r>
      <w:r w:rsidRPr="008442BA">
        <w:rPr>
          <w:rFonts w:ascii="Times New Roman" w:hAnsi="Times New Roman" w:cs="Times New Roman"/>
          <w:b/>
          <w:bCs/>
          <w:kern w:val="0"/>
        </w:rPr>
        <w:t>Terápiás javallatok</w:t>
      </w:r>
    </w:p>
    <w:p w14:paraId="1214DCBC" w14:textId="77777777" w:rsidR="005D233F" w:rsidRPr="008442BA" w:rsidRDefault="005D233F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B222778" w14:textId="1095B923" w:rsidR="008442BA" w:rsidRPr="008442BA" w:rsidRDefault="008442BA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 xml:space="preserve">A </w:t>
      </w:r>
      <w:r w:rsidR="00DE7C90">
        <w:rPr>
          <w:rFonts w:ascii="Times New Roman" w:hAnsi="Times New Roman" w:cs="Times New Roman"/>
          <w:kern w:val="0"/>
        </w:rPr>
        <w:t>Krufton</w:t>
      </w:r>
      <w:r w:rsidRPr="008442BA">
        <w:rPr>
          <w:rFonts w:ascii="Times New Roman" w:hAnsi="Times New Roman" w:cs="Times New Roman"/>
          <w:kern w:val="0"/>
        </w:rPr>
        <w:t xml:space="preserve"> az alábbiak kezelésére javallott:</w:t>
      </w:r>
    </w:p>
    <w:p w14:paraId="0B671C00" w14:textId="234997FF" w:rsidR="008442BA" w:rsidRP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 xml:space="preserve">- </w:t>
      </w:r>
      <w:r w:rsidR="00EA20F2">
        <w:rPr>
          <w:rFonts w:ascii="Times New Roman" w:hAnsi="Times New Roman" w:cs="Times New Roman"/>
          <w:kern w:val="0"/>
        </w:rPr>
        <w:t>Újonnan diagnosztizált</w:t>
      </w:r>
      <w:r w:rsidRPr="008442BA">
        <w:rPr>
          <w:rFonts w:ascii="Times New Roman" w:hAnsi="Times New Roman" w:cs="Times New Roman"/>
          <w:kern w:val="0"/>
        </w:rPr>
        <w:t>, Philadelphia</w:t>
      </w:r>
      <w:r w:rsidR="005D233F">
        <w:rPr>
          <w:rFonts w:ascii="Times New Roman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 xml:space="preserve">kromoszóma-pozitív, krónikus myeloid leukaemia (CML) krónikus </w:t>
      </w:r>
      <w:r w:rsidR="00EA20F2" w:rsidRPr="008442BA">
        <w:rPr>
          <w:rFonts w:ascii="Times New Roman" w:hAnsi="Times New Roman" w:cs="Times New Roman"/>
          <w:kern w:val="0"/>
        </w:rPr>
        <w:t>fázisá</w:t>
      </w:r>
      <w:r w:rsidR="00EA20F2">
        <w:rPr>
          <w:rFonts w:ascii="Times New Roman" w:hAnsi="Times New Roman" w:cs="Times New Roman"/>
          <w:kern w:val="0"/>
        </w:rPr>
        <w:t xml:space="preserve">nak kezelésére </w:t>
      </w:r>
      <w:r w:rsidR="00EA20F2" w:rsidRPr="008442BA">
        <w:rPr>
          <w:rFonts w:ascii="Times New Roman" w:eastAsia="TimesNewRomanPSMT" w:hAnsi="Times New Roman" w:cs="Times New Roman"/>
          <w:kern w:val="0"/>
        </w:rPr>
        <w:t>felnőtt és gyermek</w:t>
      </w:r>
      <w:r w:rsidR="00EA20F2" w:rsidRPr="008442BA">
        <w:rPr>
          <w:rFonts w:ascii="Times New Roman" w:hAnsi="Times New Roman" w:cs="Times New Roman"/>
          <w:kern w:val="0"/>
        </w:rPr>
        <w:t>gyógyászati betegeknél</w:t>
      </w:r>
      <w:r w:rsidRPr="008442BA">
        <w:rPr>
          <w:rFonts w:ascii="Times New Roman" w:hAnsi="Times New Roman" w:cs="Times New Roman"/>
          <w:kern w:val="0"/>
        </w:rPr>
        <w:t>,</w:t>
      </w:r>
    </w:p>
    <w:p w14:paraId="5C140A41" w14:textId="232C91DD" w:rsidR="008442BA" w:rsidRP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 xml:space="preserve">- Philadelphia kromoszóma-pozitív CML krónikus és akcelerált </w:t>
      </w:r>
      <w:r w:rsidR="00EA20F2" w:rsidRPr="008442BA">
        <w:rPr>
          <w:rFonts w:ascii="Times New Roman" w:hAnsi="Times New Roman" w:cs="Times New Roman"/>
          <w:kern w:val="0"/>
        </w:rPr>
        <w:t>fázisá</w:t>
      </w:r>
      <w:r w:rsidR="00EA20F2">
        <w:rPr>
          <w:rFonts w:ascii="Times New Roman" w:hAnsi="Times New Roman" w:cs="Times New Roman"/>
          <w:kern w:val="0"/>
        </w:rPr>
        <w:t xml:space="preserve">nak kezelésére </w:t>
      </w:r>
      <w:r w:rsidR="00EA20F2" w:rsidRPr="008442BA">
        <w:rPr>
          <w:rFonts w:ascii="Times New Roman" w:eastAsia="TimesNewRomanPSMT" w:hAnsi="Times New Roman" w:cs="Times New Roman"/>
          <w:kern w:val="0"/>
        </w:rPr>
        <w:t>felnőtt betegeknél</w:t>
      </w:r>
      <w:r w:rsidRPr="008442BA">
        <w:rPr>
          <w:rFonts w:ascii="Times New Roman" w:hAnsi="Times New Roman" w:cs="Times New Roman"/>
          <w:kern w:val="0"/>
        </w:rPr>
        <w:t>,</w:t>
      </w:r>
      <w:r w:rsidR="005D233F">
        <w:rPr>
          <w:rFonts w:ascii="Times New Roman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 xml:space="preserve">olyan esetekben, </w:t>
      </w:r>
      <w:r w:rsidR="00EA20F2" w:rsidRPr="008442BA">
        <w:rPr>
          <w:rFonts w:ascii="Times New Roman" w:hAnsi="Times New Roman" w:cs="Times New Roman"/>
          <w:kern w:val="0"/>
        </w:rPr>
        <w:t>a</w:t>
      </w:r>
      <w:r w:rsidR="00EA20F2">
        <w:rPr>
          <w:rFonts w:ascii="Times New Roman" w:hAnsi="Times New Roman" w:cs="Times New Roman"/>
          <w:kern w:val="0"/>
        </w:rPr>
        <w:t xml:space="preserve">kiknél </w:t>
      </w:r>
      <w:r w:rsidRPr="008442BA">
        <w:rPr>
          <w:rFonts w:ascii="Times New Roman" w:hAnsi="Times New Roman" w:cs="Times New Roman"/>
          <w:kern w:val="0"/>
        </w:rPr>
        <w:t xml:space="preserve">a korábbi kezelésre </w:t>
      </w:r>
      <w:r w:rsidR="00C619EF">
        <w:rPr>
          <w:rFonts w:ascii="Times New Roman" w:hAnsi="Times New Roman" w:cs="Times New Roman"/>
          <w:kern w:val="0"/>
        </w:rPr>
        <w:t xml:space="preserve">- </w:t>
      </w:r>
      <w:r w:rsidR="00C619EF" w:rsidRPr="008442BA">
        <w:rPr>
          <w:rFonts w:ascii="Times New Roman" w:eastAsia="TimesNewRomanPSMT" w:hAnsi="Times New Roman" w:cs="Times New Roman"/>
          <w:kern w:val="0"/>
        </w:rPr>
        <w:t>beleértve az imatinibet</w:t>
      </w:r>
      <w:r w:rsidR="00C619EF">
        <w:rPr>
          <w:rFonts w:ascii="Times New Roman" w:eastAsia="TimesNewRomanPSMT" w:hAnsi="Times New Roman" w:cs="Times New Roman"/>
          <w:kern w:val="0"/>
        </w:rPr>
        <w:t xml:space="preserve"> is - </w:t>
      </w:r>
      <w:r w:rsidR="00EA20F2" w:rsidRPr="008442BA">
        <w:rPr>
          <w:rFonts w:ascii="Times New Roman" w:hAnsi="Times New Roman" w:cs="Times New Roman"/>
          <w:kern w:val="0"/>
        </w:rPr>
        <w:t>rezisztenci</w:t>
      </w:r>
      <w:r w:rsidR="00EA20F2">
        <w:rPr>
          <w:rFonts w:ascii="Times New Roman" w:hAnsi="Times New Roman" w:cs="Times New Roman"/>
          <w:kern w:val="0"/>
        </w:rPr>
        <w:t>a</w:t>
      </w:r>
      <w:r w:rsidR="00EA20F2" w:rsidRPr="008442BA">
        <w:rPr>
          <w:rFonts w:ascii="Times New Roman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>vagy intoleranci</w:t>
      </w:r>
      <w:r w:rsidR="00EA20F2">
        <w:rPr>
          <w:rFonts w:ascii="Times New Roman" w:hAnsi="Times New Roman" w:cs="Times New Roman"/>
          <w:kern w:val="0"/>
        </w:rPr>
        <w:t>a</w:t>
      </w:r>
      <w:r w:rsidRPr="008442BA">
        <w:rPr>
          <w:rFonts w:ascii="Times New Roman" w:hAnsi="Times New Roman" w:cs="Times New Roman"/>
          <w:kern w:val="0"/>
        </w:rPr>
        <w:t xml:space="preserve"> </w:t>
      </w:r>
      <w:r w:rsidR="00EA20F2">
        <w:rPr>
          <w:rFonts w:ascii="Times New Roman" w:hAnsi="Times New Roman" w:cs="Times New Roman"/>
          <w:kern w:val="0"/>
        </w:rPr>
        <w:t>alakult ki</w:t>
      </w:r>
      <w:r w:rsidRPr="008442BA">
        <w:rPr>
          <w:rFonts w:ascii="Times New Roman" w:eastAsia="TimesNewRomanPSMT" w:hAnsi="Times New Roman" w:cs="Times New Roman"/>
          <w:kern w:val="0"/>
        </w:rPr>
        <w:t>. Blasztos krízisben lévő CML</w:t>
      </w:r>
      <w:r w:rsidRPr="008442BA">
        <w:rPr>
          <w:rFonts w:ascii="Times New Roman" w:hAnsi="Times New Roman" w:cs="Times New Roman"/>
          <w:kern w:val="0"/>
        </w:rPr>
        <w:t>-</w:t>
      </w:r>
      <w:r w:rsidR="00195299">
        <w:rPr>
          <w:rFonts w:ascii="Times New Roman" w:hAnsi="Times New Roman" w:cs="Times New Roman"/>
          <w:kern w:val="0"/>
        </w:rPr>
        <w:t>e</w:t>
      </w:r>
      <w:r w:rsidR="00195299" w:rsidRPr="008442BA">
        <w:rPr>
          <w:rFonts w:ascii="Times New Roman" w:hAnsi="Times New Roman" w:cs="Times New Roman"/>
          <w:kern w:val="0"/>
        </w:rPr>
        <w:t xml:space="preserve">s </w:t>
      </w:r>
      <w:r w:rsidRPr="008442BA">
        <w:rPr>
          <w:rFonts w:ascii="Times New Roman" w:hAnsi="Times New Roman" w:cs="Times New Roman"/>
          <w:kern w:val="0"/>
        </w:rPr>
        <w:t>betegekre vonatkozóan ne</w:t>
      </w:r>
      <w:r w:rsidR="00A1799F">
        <w:rPr>
          <w:rFonts w:ascii="Times New Roman" w:hAnsi="Times New Roman" w:cs="Times New Roman"/>
          <w:kern w:val="0"/>
        </w:rPr>
        <w:t>m</w:t>
      </w:r>
      <w:r w:rsidRPr="008442BA">
        <w:rPr>
          <w:rFonts w:ascii="Times New Roman" w:hAnsi="Times New Roman" w:cs="Times New Roman"/>
          <w:kern w:val="0"/>
        </w:rPr>
        <w:t xml:space="preserve"> állnak</w:t>
      </w:r>
      <w:r w:rsidR="005D233F">
        <w:rPr>
          <w:rFonts w:ascii="Times New Roman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>rendelkezésre hatásosság</w:t>
      </w:r>
      <w:r w:rsidR="00D03C4A">
        <w:rPr>
          <w:rFonts w:ascii="Times New Roman" w:hAnsi="Times New Roman" w:cs="Times New Roman"/>
          <w:kern w:val="0"/>
        </w:rPr>
        <w:t>ra vonatkozó</w:t>
      </w:r>
      <w:r w:rsidRPr="008442BA">
        <w:rPr>
          <w:rFonts w:ascii="Times New Roman" w:hAnsi="Times New Roman" w:cs="Times New Roman"/>
          <w:kern w:val="0"/>
        </w:rPr>
        <w:t xml:space="preserve"> adatok,</w:t>
      </w:r>
    </w:p>
    <w:p w14:paraId="2E1160B2" w14:textId="0EC5056A" w:rsid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>- Philadelphia kromoszóma-pozitív CML krónikus fázisában,</w:t>
      </w:r>
      <w:r w:rsidR="005D233F">
        <w:rPr>
          <w:rFonts w:ascii="Times New Roman" w:hAnsi="Times New Roman" w:cs="Times New Roman"/>
          <w:kern w:val="0"/>
        </w:rPr>
        <w:t xml:space="preserve"> </w:t>
      </w:r>
      <w:r w:rsidR="00EA20F2" w:rsidRPr="008442BA">
        <w:rPr>
          <w:rFonts w:ascii="Times New Roman" w:hAnsi="Times New Roman" w:cs="Times New Roman"/>
          <w:kern w:val="0"/>
        </w:rPr>
        <w:t>gyermekgyógyászati betegeknél</w:t>
      </w:r>
      <w:r w:rsidR="00EA20F2">
        <w:rPr>
          <w:rFonts w:ascii="Times New Roman" w:hAnsi="Times New Roman" w:cs="Times New Roman"/>
          <w:kern w:val="0"/>
        </w:rPr>
        <w:t xml:space="preserve">, </w:t>
      </w:r>
      <w:r w:rsidRPr="008442BA">
        <w:rPr>
          <w:rFonts w:ascii="Times New Roman" w:hAnsi="Times New Roman" w:cs="Times New Roman"/>
          <w:kern w:val="0"/>
        </w:rPr>
        <w:t xml:space="preserve">olyan esetekben, </w:t>
      </w:r>
      <w:r w:rsidR="00EA20F2" w:rsidRPr="008442BA">
        <w:rPr>
          <w:rFonts w:ascii="Times New Roman" w:hAnsi="Times New Roman" w:cs="Times New Roman"/>
          <w:kern w:val="0"/>
        </w:rPr>
        <w:t>a</w:t>
      </w:r>
      <w:r w:rsidR="00EA20F2">
        <w:rPr>
          <w:rFonts w:ascii="Times New Roman" w:hAnsi="Times New Roman" w:cs="Times New Roman"/>
          <w:kern w:val="0"/>
        </w:rPr>
        <w:t>kiknél</w:t>
      </w:r>
      <w:r w:rsidR="00EA20F2" w:rsidRPr="008442BA">
        <w:rPr>
          <w:rFonts w:ascii="Times New Roman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 xml:space="preserve">a korábbi kezelésre </w:t>
      </w:r>
      <w:r w:rsidR="00C619EF">
        <w:rPr>
          <w:rFonts w:ascii="Times New Roman" w:hAnsi="Times New Roman" w:cs="Times New Roman"/>
          <w:kern w:val="0"/>
        </w:rPr>
        <w:t xml:space="preserve">- </w:t>
      </w:r>
      <w:r w:rsidR="00C619EF" w:rsidRPr="008442BA">
        <w:rPr>
          <w:rFonts w:ascii="Times New Roman" w:eastAsia="TimesNewRomanPSMT" w:hAnsi="Times New Roman" w:cs="Times New Roman"/>
          <w:kern w:val="0"/>
        </w:rPr>
        <w:t>beleértve az imatinibet</w:t>
      </w:r>
      <w:r w:rsidR="00C619EF">
        <w:rPr>
          <w:rFonts w:ascii="Times New Roman" w:eastAsia="TimesNewRomanPSMT" w:hAnsi="Times New Roman" w:cs="Times New Roman"/>
          <w:kern w:val="0"/>
        </w:rPr>
        <w:t xml:space="preserve"> is - </w:t>
      </w:r>
      <w:r w:rsidRPr="008442BA">
        <w:rPr>
          <w:rFonts w:ascii="Times New Roman" w:hAnsi="Times New Roman" w:cs="Times New Roman"/>
          <w:kern w:val="0"/>
        </w:rPr>
        <w:t>rezisztenci</w:t>
      </w:r>
      <w:r w:rsidR="00EA20F2">
        <w:rPr>
          <w:rFonts w:ascii="Times New Roman" w:hAnsi="Times New Roman" w:cs="Times New Roman"/>
          <w:kern w:val="0"/>
        </w:rPr>
        <w:t>a</w:t>
      </w:r>
      <w:r w:rsidRPr="008442BA">
        <w:rPr>
          <w:rFonts w:ascii="Times New Roman" w:hAnsi="Times New Roman" w:cs="Times New Roman"/>
          <w:kern w:val="0"/>
        </w:rPr>
        <w:t xml:space="preserve"> vagy intoleranci</w:t>
      </w:r>
      <w:r w:rsidR="00EA20F2">
        <w:rPr>
          <w:rFonts w:ascii="Times New Roman" w:hAnsi="Times New Roman" w:cs="Times New Roman"/>
          <w:kern w:val="0"/>
        </w:rPr>
        <w:t>a</w:t>
      </w:r>
      <w:r w:rsidRPr="008442BA">
        <w:rPr>
          <w:rFonts w:ascii="Times New Roman" w:hAnsi="Times New Roman" w:cs="Times New Roman"/>
          <w:kern w:val="0"/>
        </w:rPr>
        <w:t xml:space="preserve"> </w:t>
      </w:r>
      <w:r w:rsidR="00EA20F2">
        <w:rPr>
          <w:rFonts w:ascii="Times New Roman" w:hAnsi="Times New Roman" w:cs="Times New Roman"/>
          <w:kern w:val="0"/>
        </w:rPr>
        <w:t>alakult ki</w:t>
      </w:r>
      <w:r w:rsidR="00C619EF">
        <w:rPr>
          <w:rFonts w:ascii="Times New Roman" w:hAnsi="Times New Roman" w:cs="Times New Roman"/>
          <w:kern w:val="0"/>
        </w:rPr>
        <w:t>.</w:t>
      </w:r>
    </w:p>
    <w:p w14:paraId="328DA10A" w14:textId="77777777" w:rsidR="005D233F" w:rsidRPr="008442BA" w:rsidRDefault="005D233F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BB74CBA" w14:textId="76F18BA5" w:rsid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8442BA">
        <w:rPr>
          <w:rFonts w:ascii="Times New Roman" w:hAnsi="Times New Roman" w:cs="Times New Roman"/>
          <w:b/>
          <w:bCs/>
          <w:kern w:val="0"/>
        </w:rPr>
        <w:t xml:space="preserve">4.2 </w:t>
      </w:r>
      <w:r w:rsidR="005D233F">
        <w:rPr>
          <w:rFonts w:ascii="Times New Roman" w:hAnsi="Times New Roman" w:cs="Times New Roman"/>
          <w:b/>
          <w:bCs/>
          <w:kern w:val="0"/>
        </w:rPr>
        <w:tab/>
      </w:r>
      <w:r w:rsidRPr="008442BA">
        <w:rPr>
          <w:rFonts w:ascii="Times New Roman" w:hAnsi="Times New Roman" w:cs="Times New Roman"/>
          <w:b/>
          <w:bCs/>
          <w:kern w:val="0"/>
        </w:rPr>
        <w:t>Adagolás és alkalmazás</w:t>
      </w:r>
    </w:p>
    <w:p w14:paraId="47C112CF" w14:textId="77777777" w:rsidR="00FA3273" w:rsidRPr="008442BA" w:rsidRDefault="00FA3273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2076105" w14:textId="77777777" w:rsid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>A terápiát egy, a CML-es betegek diagnózisában és kezelésében tapasztalt orvosnak kell elindítania.</w:t>
      </w:r>
    </w:p>
    <w:p w14:paraId="68CFB200" w14:textId="77777777" w:rsidR="00FA3273" w:rsidRPr="008442BA" w:rsidRDefault="00FA3273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021FAEC" w14:textId="77777777" w:rsid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FA3273">
        <w:rPr>
          <w:rFonts w:ascii="Times New Roman" w:hAnsi="Times New Roman" w:cs="Times New Roman"/>
          <w:kern w:val="0"/>
          <w:u w:val="single"/>
        </w:rPr>
        <w:t>Adagolás</w:t>
      </w:r>
    </w:p>
    <w:p w14:paraId="59D37D85" w14:textId="77777777" w:rsidR="00772AC9" w:rsidRPr="00FA3273" w:rsidRDefault="00772AC9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785B31BB" w14:textId="3FDB1D61" w:rsid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eastAsia="TimesNewRomanPSMT" w:hAnsi="Times New Roman" w:cs="Times New Roman"/>
          <w:kern w:val="0"/>
        </w:rPr>
        <w:t>A kezelést addig kell folytatni, ameddig az klinikailag előnyös, illetve amíg elfogadhatatlan toxicitás</w:t>
      </w:r>
      <w:r w:rsidR="00FA3273">
        <w:rPr>
          <w:rFonts w:ascii="Times New Roman" w:eastAsia="TimesNewRomanPSMT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>nem lép fel.</w:t>
      </w:r>
    </w:p>
    <w:p w14:paraId="2CCD6B27" w14:textId="77777777" w:rsidR="009332B2" w:rsidRDefault="009332B2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DB5A4B9" w14:textId="3A19FCA7" w:rsid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>Ha egy dózis bevételére nem került sor, a betegnek nem szabad pótlólagos dózist bevennie, csupán a</w:t>
      </w:r>
      <w:r w:rsidR="009332B2">
        <w:rPr>
          <w:rFonts w:ascii="Times New Roman" w:hAnsi="Times New Roman" w:cs="Times New Roman"/>
          <w:kern w:val="0"/>
        </w:rPr>
        <w:t xml:space="preserve"> </w:t>
      </w:r>
      <w:r w:rsidRPr="008442BA">
        <w:rPr>
          <w:rFonts w:ascii="Times New Roman" w:eastAsia="TimesNewRomanPSMT" w:hAnsi="Times New Roman" w:cs="Times New Roman"/>
          <w:kern w:val="0"/>
        </w:rPr>
        <w:t>szokásos, előírt, következő dózist vegye be.</w:t>
      </w:r>
    </w:p>
    <w:p w14:paraId="2AE8F66E" w14:textId="77777777" w:rsidR="009332B2" w:rsidRPr="008442BA" w:rsidRDefault="009332B2" w:rsidP="008442BA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6C7D447E" w14:textId="77777777" w:rsidR="008442BA" w:rsidRPr="009332B2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9332B2">
        <w:rPr>
          <w:rFonts w:ascii="Times New Roman" w:hAnsi="Times New Roman" w:cs="Times New Roman"/>
          <w:i/>
          <w:iCs/>
          <w:kern w:val="0"/>
          <w:u w:val="single"/>
        </w:rPr>
        <w:t>Adagolás Philadelphia kromoszóma-pozitív CML-ben szenvedő, felnőtt betegeknél</w:t>
      </w:r>
    </w:p>
    <w:p w14:paraId="1CB97635" w14:textId="77777777" w:rsidR="008442BA" w:rsidRP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>Az ajánlott dózis:</w:t>
      </w:r>
    </w:p>
    <w:p w14:paraId="11F8A068" w14:textId="1FEBE3A1" w:rsidR="008442BA" w:rsidRPr="008442BA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>- az újonnan diagnosztizált</w:t>
      </w:r>
      <w:r w:rsidR="000277C3">
        <w:rPr>
          <w:rFonts w:ascii="Times New Roman" w:hAnsi="Times New Roman" w:cs="Times New Roman"/>
          <w:kern w:val="0"/>
        </w:rPr>
        <w:t>, a</w:t>
      </w:r>
      <w:r w:rsidRPr="008442BA">
        <w:rPr>
          <w:rFonts w:ascii="Times New Roman" w:hAnsi="Times New Roman" w:cs="Times New Roman"/>
          <w:kern w:val="0"/>
        </w:rPr>
        <w:t xml:space="preserve"> CML krónikus fázisában </w:t>
      </w:r>
      <w:r w:rsidRPr="008442BA">
        <w:rPr>
          <w:rFonts w:ascii="Times New Roman" w:eastAsia="TimesNewRomanPSMT" w:hAnsi="Times New Roman" w:cs="Times New Roman"/>
          <w:kern w:val="0"/>
        </w:rPr>
        <w:t>lévő betegeknél naponta kétszer 300</w:t>
      </w:r>
      <w:r w:rsidR="008676F2">
        <w:rPr>
          <w:rFonts w:ascii="Times New Roman" w:eastAsia="TimesNewRomanPSMT" w:hAnsi="Times New Roman" w:cs="Times New Roman"/>
          <w:kern w:val="0"/>
        </w:rPr>
        <w:t> </w:t>
      </w:r>
      <w:r w:rsidRPr="008442BA">
        <w:rPr>
          <w:rFonts w:ascii="Times New Roman" w:hAnsi="Times New Roman" w:cs="Times New Roman"/>
          <w:kern w:val="0"/>
        </w:rPr>
        <w:t>mg,</w:t>
      </w:r>
    </w:p>
    <w:p w14:paraId="47C9C6E5" w14:textId="0255DFC4" w:rsidR="00937A3F" w:rsidRDefault="008442BA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442BA">
        <w:rPr>
          <w:rFonts w:ascii="Times New Roman" w:hAnsi="Times New Roman" w:cs="Times New Roman"/>
          <w:kern w:val="0"/>
        </w:rPr>
        <w:t xml:space="preserve">- a CML krónikus vagy akcelerált fázisában </w:t>
      </w:r>
      <w:r w:rsidRPr="008442BA">
        <w:rPr>
          <w:rFonts w:ascii="Times New Roman" w:eastAsia="TimesNewRomanPSMT" w:hAnsi="Times New Roman" w:cs="Times New Roman"/>
          <w:kern w:val="0"/>
        </w:rPr>
        <w:t>lévő olyan betegeknél, akik korábbi kezelésre</w:t>
      </w:r>
      <w:r w:rsidR="00C22719">
        <w:rPr>
          <w:rFonts w:ascii="Times New Roman" w:eastAsia="TimesNewRomanPSMT" w:hAnsi="Times New Roman" w:cs="Times New Roman"/>
          <w:kern w:val="0"/>
        </w:rPr>
        <w:t xml:space="preserve"> </w:t>
      </w:r>
      <w:r w:rsidRPr="008442BA">
        <w:rPr>
          <w:rFonts w:ascii="Times New Roman" w:hAnsi="Times New Roman" w:cs="Times New Roman"/>
          <w:kern w:val="0"/>
        </w:rPr>
        <w:t>rezisztenciát vagy intoleranciát mutattak, naponta kétszer 400</w:t>
      </w:r>
      <w:r w:rsidR="008676F2">
        <w:rPr>
          <w:rFonts w:ascii="Times New Roman" w:hAnsi="Times New Roman" w:cs="Times New Roman"/>
          <w:kern w:val="0"/>
        </w:rPr>
        <w:t> </w:t>
      </w:r>
      <w:r w:rsidRPr="008442BA">
        <w:rPr>
          <w:rFonts w:ascii="Times New Roman" w:hAnsi="Times New Roman" w:cs="Times New Roman"/>
          <w:kern w:val="0"/>
        </w:rPr>
        <w:t>mg</w:t>
      </w:r>
    </w:p>
    <w:p w14:paraId="125CF0FE" w14:textId="77777777" w:rsidR="008676F2" w:rsidRPr="008676F2" w:rsidRDefault="008676F2" w:rsidP="008442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8121B0F" w14:textId="77777777" w:rsidR="008676F2" w:rsidRPr="00DC219A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DC219A">
        <w:rPr>
          <w:rFonts w:ascii="Times New Roman" w:hAnsi="Times New Roman" w:cs="Times New Roman"/>
          <w:i/>
          <w:iCs/>
          <w:kern w:val="0"/>
          <w:u w:val="single"/>
        </w:rPr>
        <w:t>Adagolás Philadelphia kromoszóma-pozitív CML-ben szenvedő gyermekgyógyászati betegeknél</w:t>
      </w:r>
    </w:p>
    <w:p w14:paraId="5244F4A4" w14:textId="0CA237B9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676F2">
        <w:rPr>
          <w:rFonts w:ascii="Times New Roman" w:hAnsi="Times New Roman" w:cs="Times New Roman"/>
          <w:kern w:val="0"/>
        </w:rPr>
        <w:t xml:space="preserve">A gyermekgyógyászati </w:t>
      </w:r>
      <w:r w:rsidRPr="008676F2">
        <w:rPr>
          <w:rFonts w:ascii="Times New Roman" w:eastAsia="TimesNewRomanPSMT" w:hAnsi="Times New Roman" w:cs="Times New Roman"/>
          <w:kern w:val="0"/>
        </w:rPr>
        <w:t>betegeknél történő adagolás egyéni</w:t>
      </w:r>
      <w:r w:rsidRPr="008676F2">
        <w:rPr>
          <w:rFonts w:ascii="Times New Roman" w:hAnsi="Times New Roman" w:cs="Times New Roman"/>
          <w:kern w:val="0"/>
        </w:rPr>
        <w:t>, és a testfelszínen alapul (mg/m</w:t>
      </w:r>
      <w:r w:rsidRPr="00DC219A">
        <w:rPr>
          <w:rFonts w:ascii="Times New Roman" w:hAnsi="Times New Roman" w:cs="Times New Roman"/>
          <w:kern w:val="0"/>
          <w:vertAlign w:val="superscript"/>
        </w:rPr>
        <w:t>2</w:t>
      </w:r>
      <w:r w:rsidRPr="008676F2">
        <w:rPr>
          <w:rFonts w:ascii="Times New Roman" w:hAnsi="Times New Roman" w:cs="Times New Roman"/>
          <w:kern w:val="0"/>
        </w:rPr>
        <w:t>). A</w:t>
      </w:r>
      <w:r w:rsidR="002D425E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nilotinib ajánlott adagja naponta kétszer 230</w:t>
      </w:r>
      <w:r w:rsidR="002D425E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mg/m</w:t>
      </w:r>
      <w:r w:rsidRPr="002D425E">
        <w:rPr>
          <w:rFonts w:ascii="Times New Roman" w:hAnsi="Times New Roman" w:cs="Times New Roman"/>
          <w:kern w:val="0"/>
          <w:vertAlign w:val="superscript"/>
        </w:rPr>
        <w:t>2</w:t>
      </w:r>
      <w:r w:rsidRPr="008676F2">
        <w:rPr>
          <w:rFonts w:ascii="Times New Roman" w:hAnsi="Times New Roman" w:cs="Times New Roman"/>
          <w:kern w:val="0"/>
        </w:rPr>
        <w:t>, a legközelebbi 50</w:t>
      </w:r>
      <w:r w:rsidR="002D425E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mg-os dózisszintre kerekítve (a</w:t>
      </w:r>
      <w:r w:rsidR="002D425E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400</w:t>
      </w:r>
      <w:r w:rsidR="0068394F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 xml:space="preserve">mg-os legnagyobb napi egyszeri dózisig) (lásd 1. táblázat). A </w:t>
      </w:r>
      <w:r w:rsidR="00DE7C90">
        <w:rPr>
          <w:rFonts w:ascii="Times New Roman" w:hAnsi="Times New Roman" w:cs="Times New Roman"/>
          <w:kern w:val="0"/>
        </w:rPr>
        <w:t>Krufton</w:t>
      </w:r>
      <w:r w:rsidR="003A4767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kemény kapszula</w:t>
      </w:r>
      <w:r w:rsidR="002D425E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eastAsia="TimesNewRomanPSMT" w:hAnsi="Times New Roman" w:cs="Times New Roman"/>
          <w:kern w:val="0"/>
        </w:rPr>
        <w:t>különböző hatáserősségei kombinálhatók a kívánt dózis elérése céljából.</w:t>
      </w:r>
    </w:p>
    <w:p w14:paraId="023CD772" w14:textId="77777777" w:rsidR="002D425E" w:rsidRPr="008676F2" w:rsidRDefault="002D425E" w:rsidP="008676F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0106B7A2" w14:textId="3F027F10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676F2">
        <w:rPr>
          <w:rFonts w:ascii="Times New Roman" w:hAnsi="Times New Roman" w:cs="Times New Roman"/>
          <w:kern w:val="0"/>
        </w:rPr>
        <w:t>A 2</w:t>
      </w:r>
      <w:r w:rsidR="00092ABF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évesnél fiatalabb gyermekgyógyászati betegeknél nem állnak rendelkezésre terápiás tapasztalatok.</w:t>
      </w:r>
      <w:r w:rsidR="0068394F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Nincsenek adatok a 10</w:t>
      </w:r>
      <w:r w:rsidR="00F52F5A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évesnél fiatalabb</w:t>
      </w:r>
      <w:r w:rsidRPr="007F7759">
        <w:rPr>
          <w:rFonts w:ascii="Times New Roman" w:hAnsi="Times New Roman" w:cs="Times New Roman"/>
          <w:kern w:val="0"/>
        </w:rPr>
        <w:t>, újonnan</w:t>
      </w:r>
      <w:r w:rsidRPr="008676F2">
        <w:rPr>
          <w:rFonts w:ascii="Times New Roman" w:hAnsi="Times New Roman" w:cs="Times New Roman"/>
          <w:kern w:val="0"/>
        </w:rPr>
        <w:t xml:space="preserve"> diagnosztizált gyermekgyógyászati betegeknél, és</w:t>
      </w:r>
      <w:r w:rsidR="0068394F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korlátozott adatok állnak rendelkezésre a 6</w:t>
      </w:r>
      <w:r w:rsidR="00F52F5A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évesnél fiatalabb imatinib-rezisztens, illetve imatinibre</w:t>
      </w:r>
      <w:r w:rsidR="0068394F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intoleráns gyermekgyógyászati betegeknél.</w:t>
      </w:r>
    </w:p>
    <w:p w14:paraId="78ABB6EB" w14:textId="77777777" w:rsidR="002D425E" w:rsidRPr="008676F2" w:rsidRDefault="002D425E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9BF7F5D" w14:textId="57D729F3" w:rsidR="008676F2" w:rsidRP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8676F2">
        <w:rPr>
          <w:rFonts w:ascii="Times New Roman" w:hAnsi="Times New Roman" w:cs="Times New Roman"/>
          <w:b/>
          <w:bCs/>
          <w:kern w:val="0"/>
        </w:rPr>
        <w:t xml:space="preserve">1. táblázat Napi kétszeri </w:t>
      </w:r>
      <w:r w:rsidR="00092ABF" w:rsidRPr="00092ABF">
        <w:rPr>
          <w:rFonts w:ascii="Times New Roman" w:hAnsi="Times New Roman" w:cs="Times New Roman"/>
          <w:b/>
          <w:bCs/>
          <w:kern w:val="0"/>
        </w:rPr>
        <w:t>230</w:t>
      </w:r>
      <w:r w:rsidR="00092ABF">
        <w:rPr>
          <w:rFonts w:ascii="Times New Roman" w:hAnsi="Times New Roman" w:cs="Times New Roman"/>
          <w:b/>
          <w:bCs/>
          <w:kern w:val="0"/>
        </w:rPr>
        <w:t> </w:t>
      </w:r>
      <w:r w:rsidR="00092ABF" w:rsidRPr="00092ABF">
        <w:rPr>
          <w:rFonts w:ascii="Times New Roman" w:hAnsi="Times New Roman" w:cs="Times New Roman"/>
          <w:b/>
          <w:bCs/>
          <w:kern w:val="0"/>
        </w:rPr>
        <w:t>mg/m</w:t>
      </w:r>
      <w:r w:rsidR="00092ABF" w:rsidRPr="00027697">
        <w:rPr>
          <w:rFonts w:ascii="Times New Roman" w:hAnsi="Times New Roman" w:cs="Times New Roman"/>
          <w:b/>
          <w:bCs/>
          <w:kern w:val="0"/>
          <w:vertAlign w:val="superscript"/>
        </w:rPr>
        <w:t>2</w:t>
      </w:r>
      <w:r w:rsidR="00092ABF" w:rsidRPr="00092ABF">
        <w:rPr>
          <w:rFonts w:ascii="Times New Roman" w:hAnsi="Times New Roman" w:cs="Times New Roman"/>
          <w:b/>
          <w:bCs/>
          <w:kern w:val="0"/>
        </w:rPr>
        <w:t xml:space="preserve"> </w:t>
      </w:r>
      <w:r w:rsidRPr="008676F2">
        <w:rPr>
          <w:rFonts w:ascii="Times New Roman" w:hAnsi="Times New Roman" w:cs="Times New Roman"/>
          <w:b/>
          <w:bCs/>
          <w:kern w:val="0"/>
        </w:rPr>
        <w:t>nilotinib gyermekgyógyászati adagolási sémája</w:t>
      </w:r>
    </w:p>
    <w:p w14:paraId="6B2BF9FA" w14:textId="75A895F3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79"/>
        <w:gridCol w:w="2352"/>
      </w:tblGrid>
      <w:tr w:rsidR="000D3B0A" w:rsidRPr="00054B09" w14:paraId="3FB70971" w14:textId="77777777" w:rsidTr="00C619EF">
        <w:trPr>
          <w:trHeight w:val="642"/>
        </w:trPr>
        <w:tc>
          <w:tcPr>
            <w:tcW w:w="2179" w:type="dxa"/>
          </w:tcPr>
          <w:p w14:paraId="24467C27" w14:textId="3AF6C153" w:rsidR="000D3B0A" w:rsidRPr="00054B09" w:rsidRDefault="000D3B0A" w:rsidP="000D3B0A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8676F2">
              <w:rPr>
                <w:rFonts w:ascii="Times New Roman" w:hAnsi="Times New Roman" w:cs="Times New Roman"/>
                <w:kern w:val="0"/>
              </w:rPr>
              <w:t>Testfelszín</w:t>
            </w:r>
          </w:p>
        </w:tc>
        <w:tc>
          <w:tcPr>
            <w:tcW w:w="2352" w:type="dxa"/>
          </w:tcPr>
          <w:p w14:paraId="3906EE8E" w14:textId="77777777" w:rsidR="000D3B0A" w:rsidRPr="008676F2" w:rsidRDefault="000D3B0A" w:rsidP="00851C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8676F2">
              <w:rPr>
                <w:rFonts w:ascii="Times New Roman" w:hAnsi="Times New Roman" w:cs="Times New Roman"/>
                <w:kern w:val="0"/>
              </w:rPr>
              <w:t>Dózis mg-ban</w:t>
            </w:r>
          </w:p>
          <w:p w14:paraId="3F15BB16" w14:textId="607E4F70" w:rsidR="000D3B0A" w:rsidRPr="000A667D" w:rsidRDefault="000D3B0A" w:rsidP="00027697">
            <w:pPr>
              <w:pStyle w:val="TableParagraph"/>
              <w:ind w:left="617" w:right="130" w:hanging="334"/>
              <w:jc w:val="center"/>
              <w:rPr>
                <w:lang w:val="pl-PL"/>
              </w:rPr>
            </w:pPr>
            <w:r w:rsidRPr="000A667D">
              <w:rPr>
                <w:lang w:val="pl-PL"/>
              </w:rPr>
              <w:t xml:space="preserve">(naponta </w:t>
            </w:r>
            <w:r w:rsidR="00441CF6" w:rsidRPr="000A667D">
              <w:rPr>
                <w:lang w:val="pl-PL"/>
              </w:rPr>
              <w:t>kétszer</w:t>
            </w:r>
            <w:r w:rsidRPr="000A667D">
              <w:rPr>
                <w:spacing w:val="-2"/>
                <w:lang w:val="pl-PL"/>
              </w:rPr>
              <w:t>)</w:t>
            </w:r>
          </w:p>
        </w:tc>
      </w:tr>
      <w:tr w:rsidR="000D3B0A" w:rsidRPr="00054B09" w14:paraId="4F466D04" w14:textId="77777777" w:rsidTr="00C619EF">
        <w:trPr>
          <w:trHeight w:val="251"/>
        </w:trPr>
        <w:tc>
          <w:tcPr>
            <w:tcW w:w="2179" w:type="dxa"/>
          </w:tcPr>
          <w:p w14:paraId="6BF214B5" w14:textId="39F4C309" w:rsidR="000D3B0A" w:rsidRPr="00054B09" w:rsidRDefault="000D3B0A" w:rsidP="00C619EF">
            <w:pPr>
              <w:pStyle w:val="TableParagraph"/>
              <w:spacing w:line="232" w:lineRule="exact"/>
              <w:ind w:left="460" w:right="451"/>
            </w:pPr>
            <w:r w:rsidRPr="00054B09">
              <w:t>0</w:t>
            </w:r>
            <w:r w:rsidR="004705F0">
              <w:t>,</w:t>
            </w:r>
            <w:r w:rsidRPr="00054B09">
              <w:t>32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5"/>
              </w:rPr>
              <w:t>m</w:t>
            </w:r>
            <w:r w:rsidRPr="00054B09">
              <w:rPr>
                <w:spacing w:val="-5"/>
                <w:vertAlign w:val="superscript"/>
              </w:rPr>
              <w:t>2</w:t>
            </w:r>
            <w:r w:rsidR="004705F0" w:rsidRPr="004705F0">
              <w:rPr>
                <w:spacing w:val="-5"/>
              </w:rPr>
              <w:t>-ig</w:t>
            </w:r>
          </w:p>
        </w:tc>
        <w:tc>
          <w:tcPr>
            <w:tcW w:w="2352" w:type="dxa"/>
          </w:tcPr>
          <w:p w14:paraId="411149BB" w14:textId="6DF9E91B" w:rsidR="000D3B0A" w:rsidRPr="00054B09" w:rsidRDefault="000D3B0A" w:rsidP="00C619EF">
            <w:pPr>
              <w:pStyle w:val="TableParagraph"/>
              <w:spacing w:line="232" w:lineRule="exact"/>
              <w:ind w:left="829" w:right="815"/>
            </w:pPr>
            <w:r w:rsidRPr="00054B09">
              <w:t>50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234459C6" w14:textId="77777777" w:rsidTr="00C619EF">
        <w:trPr>
          <w:trHeight w:val="253"/>
        </w:trPr>
        <w:tc>
          <w:tcPr>
            <w:tcW w:w="2179" w:type="dxa"/>
          </w:tcPr>
          <w:p w14:paraId="5BD10360" w14:textId="39AE0B59" w:rsidR="000D3B0A" w:rsidRPr="00054B09" w:rsidRDefault="000D3B0A" w:rsidP="00C619EF">
            <w:pPr>
              <w:pStyle w:val="TableParagraph"/>
              <w:spacing w:line="234" w:lineRule="exact"/>
              <w:ind w:left="446"/>
            </w:pPr>
            <w:r w:rsidRPr="00054B09">
              <w:t>0</w:t>
            </w:r>
            <w:r w:rsidR="004705F0">
              <w:t>,</w:t>
            </w:r>
            <w:r w:rsidRPr="00054B09">
              <w:t>33</w:t>
            </w:r>
            <w:r w:rsidRPr="00054B09">
              <w:rPr>
                <w:spacing w:val="-2"/>
              </w:rPr>
              <w:t xml:space="preserve"> </w:t>
            </w:r>
            <w:r w:rsidRPr="00054B09">
              <w:t>– 0</w:t>
            </w:r>
            <w:r w:rsidR="004705F0">
              <w:t>,</w:t>
            </w:r>
            <w:r w:rsidRPr="00054B09">
              <w:t>54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7C7B5A4E" w14:textId="28C51787" w:rsidR="000D3B0A" w:rsidRPr="00054B09" w:rsidRDefault="000D3B0A" w:rsidP="00C619EF">
            <w:pPr>
              <w:pStyle w:val="TableParagraph"/>
              <w:spacing w:line="234" w:lineRule="exact"/>
              <w:ind w:left="829" w:right="815"/>
            </w:pPr>
            <w:r w:rsidRPr="00054B09">
              <w:t>100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7DE9245A" w14:textId="77777777" w:rsidTr="00C619EF">
        <w:trPr>
          <w:trHeight w:val="251"/>
        </w:trPr>
        <w:tc>
          <w:tcPr>
            <w:tcW w:w="2179" w:type="dxa"/>
          </w:tcPr>
          <w:p w14:paraId="1034C917" w14:textId="544B7358" w:rsidR="000D3B0A" w:rsidRPr="00054B09" w:rsidRDefault="000D3B0A" w:rsidP="00C619EF">
            <w:pPr>
              <w:pStyle w:val="TableParagraph"/>
              <w:spacing w:line="232" w:lineRule="exact"/>
              <w:ind w:left="446"/>
            </w:pPr>
            <w:r w:rsidRPr="00054B09">
              <w:t>0</w:t>
            </w:r>
            <w:r w:rsidR="00F10A5A">
              <w:t>,</w:t>
            </w:r>
            <w:r w:rsidRPr="00054B09">
              <w:t>55</w:t>
            </w:r>
            <w:r w:rsidRPr="00054B09">
              <w:rPr>
                <w:spacing w:val="-2"/>
              </w:rPr>
              <w:t xml:space="preserve"> </w:t>
            </w:r>
            <w:r w:rsidRPr="00054B09">
              <w:t>– 0</w:t>
            </w:r>
            <w:r w:rsidR="00F10A5A">
              <w:t>,</w:t>
            </w:r>
            <w:r w:rsidRPr="00054B09">
              <w:t>76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541327C2" w14:textId="0C4CA9A2" w:rsidR="000D3B0A" w:rsidRPr="00054B09" w:rsidRDefault="000D3B0A" w:rsidP="00C619EF">
            <w:pPr>
              <w:pStyle w:val="TableParagraph"/>
              <w:spacing w:line="232" w:lineRule="exact"/>
              <w:ind w:left="829" w:right="815"/>
            </w:pPr>
            <w:r w:rsidRPr="00054B09">
              <w:t>150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27937B8A" w14:textId="77777777" w:rsidTr="00C619EF">
        <w:trPr>
          <w:trHeight w:val="254"/>
        </w:trPr>
        <w:tc>
          <w:tcPr>
            <w:tcW w:w="2179" w:type="dxa"/>
          </w:tcPr>
          <w:p w14:paraId="74247998" w14:textId="02911610" w:rsidR="000D3B0A" w:rsidRPr="00054B09" w:rsidRDefault="000D3B0A" w:rsidP="00C619EF">
            <w:pPr>
              <w:pStyle w:val="TableParagraph"/>
              <w:spacing w:before="1" w:line="233" w:lineRule="exact"/>
              <w:ind w:left="446"/>
            </w:pPr>
            <w:r w:rsidRPr="00054B09">
              <w:t>0</w:t>
            </w:r>
            <w:r w:rsidR="00F10A5A">
              <w:t>,</w:t>
            </w:r>
            <w:r w:rsidRPr="00054B09">
              <w:t>77</w:t>
            </w:r>
            <w:r w:rsidRPr="00054B09">
              <w:rPr>
                <w:spacing w:val="-2"/>
              </w:rPr>
              <w:t xml:space="preserve"> </w:t>
            </w:r>
            <w:r w:rsidRPr="00054B09">
              <w:t>– 0</w:t>
            </w:r>
            <w:r w:rsidR="00F10A5A">
              <w:t>,</w:t>
            </w:r>
            <w:r w:rsidRPr="00054B09">
              <w:t>97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3659A173" w14:textId="4AC56044" w:rsidR="000D3B0A" w:rsidRPr="00054B09" w:rsidRDefault="000D3B0A" w:rsidP="00C619EF">
            <w:pPr>
              <w:pStyle w:val="TableParagraph"/>
              <w:spacing w:before="1" w:line="233" w:lineRule="exact"/>
              <w:ind w:left="829" w:right="815"/>
            </w:pPr>
            <w:r w:rsidRPr="00054B09">
              <w:t>200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2F040A3C" w14:textId="77777777" w:rsidTr="00C619EF">
        <w:trPr>
          <w:trHeight w:val="254"/>
        </w:trPr>
        <w:tc>
          <w:tcPr>
            <w:tcW w:w="2179" w:type="dxa"/>
          </w:tcPr>
          <w:p w14:paraId="5FF730E7" w14:textId="3894C202" w:rsidR="000D3B0A" w:rsidRPr="00054B09" w:rsidRDefault="000D3B0A" w:rsidP="00C619EF">
            <w:pPr>
              <w:pStyle w:val="TableParagraph"/>
              <w:spacing w:line="234" w:lineRule="exact"/>
              <w:ind w:left="446"/>
            </w:pPr>
            <w:r w:rsidRPr="00054B09">
              <w:t>0</w:t>
            </w:r>
            <w:r w:rsidR="00F10A5A">
              <w:t>,</w:t>
            </w:r>
            <w:r w:rsidRPr="00054B09">
              <w:t>98</w:t>
            </w:r>
            <w:r w:rsidRPr="00054B09">
              <w:rPr>
                <w:spacing w:val="-2"/>
              </w:rPr>
              <w:t xml:space="preserve"> </w:t>
            </w:r>
            <w:r w:rsidRPr="00054B09">
              <w:t>– 1</w:t>
            </w:r>
            <w:r w:rsidR="00F10A5A">
              <w:t>,</w:t>
            </w:r>
            <w:r w:rsidRPr="00054B09">
              <w:t>19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291BEA9B" w14:textId="6DB4870F" w:rsidR="000D3B0A" w:rsidRPr="00054B09" w:rsidRDefault="000D3B0A" w:rsidP="00C619EF">
            <w:pPr>
              <w:pStyle w:val="TableParagraph"/>
              <w:spacing w:line="234" w:lineRule="exact"/>
              <w:ind w:left="829" w:right="815"/>
            </w:pPr>
            <w:r w:rsidRPr="00054B09">
              <w:t>250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6F7B8A1A" w14:textId="77777777" w:rsidTr="00C619EF">
        <w:trPr>
          <w:trHeight w:val="251"/>
        </w:trPr>
        <w:tc>
          <w:tcPr>
            <w:tcW w:w="2179" w:type="dxa"/>
          </w:tcPr>
          <w:p w14:paraId="4909760A" w14:textId="5C8BBAC6" w:rsidR="000D3B0A" w:rsidRPr="00054B09" w:rsidRDefault="000D3B0A" w:rsidP="00C619EF">
            <w:pPr>
              <w:pStyle w:val="TableParagraph"/>
              <w:spacing w:line="232" w:lineRule="exact"/>
              <w:ind w:left="446"/>
            </w:pPr>
            <w:r w:rsidRPr="00054B09">
              <w:t>1</w:t>
            </w:r>
            <w:r w:rsidR="00F854D4">
              <w:t>,</w:t>
            </w:r>
            <w:r w:rsidRPr="00054B09">
              <w:t>20</w:t>
            </w:r>
            <w:r w:rsidRPr="00054B09">
              <w:rPr>
                <w:spacing w:val="-2"/>
              </w:rPr>
              <w:t xml:space="preserve"> </w:t>
            </w:r>
            <w:r w:rsidRPr="00054B09">
              <w:t>– 1</w:t>
            </w:r>
            <w:r w:rsidR="00F854D4">
              <w:t>,</w:t>
            </w:r>
            <w:r w:rsidRPr="00054B09">
              <w:t>41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0B023A19" w14:textId="53819C4C" w:rsidR="000D3B0A" w:rsidRPr="00054B09" w:rsidRDefault="000D3B0A" w:rsidP="00C619EF">
            <w:pPr>
              <w:pStyle w:val="TableParagraph"/>
              <w:spacing w:line="232" w:lineRule="exact"/>
              <w:ind w:left="829" w:right="815"/>
            </w:pPr>
            <w:r w:rsidRPr="00054B09">
              <w:t>300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6D12B978" w14:textId="77777777" w:rsidTr="00C619EF">
        <w:trPr>
          <w:trHeight w:val="254"/>
        </w:trPr>
        <w:tc>
          <w:tcPr>
            <w:tcW w:w="2179" w:type="dxa"/>
          </w:tcPr>
          <w:p w14:paraId="716DEA0C" w14:textId="648F2DA3" w:rsidR="000D3B0A" w:rsidRPr="00054B09" w:rsidRDefault="000D3B0A" w:rsidP="00C619EF">
            <w:pPr>
              <w:pStyle w:val="TableParagraph"/>
              <w:spacing w:line="234" w:lineRule="exact"/>
              <w:ind w:left="446"/>
            </w:pPr>
            <w:r w:rsidRPr="00054B09">
              <w:t>1</w:t>
            </w:r>
            <w:r w:rsidR="00F854D4">
              <w:t>,</w:t>
            </w:r>
            <w:r w:rsidRPr="00054B09">
              <w:t>42</w:t>
            </w:r>
            <w:r w:rsidRPr="00054B09">
              <w:rPr>
                <w:spacing w:val="-2"/>
              </w:rPr>
              <w:t xml:space="preserve"> </w:t>
            </w:r>
            <w:r w:rsidRPr="00054B09">
              <w:t>– 1</w:t>
            </w:r>
            <w:r w:rsidR="00F854D4">
              <w:t>,</w:t>
            </w:r>
            <w:r w:rsidRPr="00054B09">
              <w:t>63</w:t>
            </w:r>
            <w:r w:rsidR="00C507D1">
              <w:rPr>
                <w:spacing w:val="-3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20B8D010" w14:textId="32B87DA1" w:rsidR="000D3B0A" w:rsidRPr="00054B09" w:rsidRDefault="000D3B0A" w:rsidP="00C619EF">
            <w:pPr>
              <w:pStyle w:val="TableParagraph"/>
              <w:spacing w:line="234" w:lineRule="exact"/>
              <w:ind w:left="829" w:right="815"/>
            </w:pPr>
            <w:r w:rsidRPr="00054B09">
              <w:t>350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  <w:tr w:rsidR="000D3B0A" w:rsidRPr="00054B09" w14:paraId="5433C596" w14:textId="77777777" w:rsidTr="00C619EF">
        <w:trPr>
          <w:trHeight w:val="251"/>
        </w:trPr>
        <w:tc>
          <w:tcPr>
            <w:tcW w:w="2179" w:type="dxa"/>
          </w:tcPr>
          <w:p w14:paraId="026231A0" w14:textId="3F2B23B4" w:rsidR="000D3B0A" w:rsidRPr="00054B09" w:rsidRDefault="000D3B0A" w:rsidP="00C619EF">
            <w:pPr>
              <w:pStyle w:val="TableParagraph"/>
              <w:spacing w:line="232" w:lineRule="exact"/>
              <w:ind w:left="460" w:right="448"/>
            </w:pPr>
            <w:r w:rsidRPr="00054B09">
              <w:t>≥1</w:t>
            </w:r>
            <w:r w:rsidR="00F56DEE">
              <w:t>,</w:t>
            </w:r>
            <w:r w:rsidRPr="00054B09">
              <w:t>64</w:t>
            </w:r>
            <w:r w:rsidR="00C507D1">
              <w:rPr>
                <w:spacing w:val="-4"/>
              </w:rPr>
              <w:t> </w:t>
            </w:r>
            <w:r w:rsidRPr="00054B09">
              <w:rPr>
                <w:spacing w:val="-7"/>
              </w:rPr>
              <w:t>m</w:t>
            </w:r>
            <w:r w:rsidRPr="00054B09">
              <w:rPr>
                <w:spacing w:val="-7"/>
                <w:vertAlign w:val="superscript"/>
              </w:rPr>
              <w:t>2</w:t>
            </w:r>
          </w:p>
        </w:tc>
        <w:tc>
          <w:tcPr>
            <w:tcW w:w="2352" w:type="dxa"/>
          </w:tcPr>
          <w:p w14:paraId="0C167283" w14:textId="3D04137E" w:rsidR="000D3B0A" w:rsidRPr="00054B09" w:rsidRDefault="000D3B0A" w:rsidP="00C619EF">
            <w:pPr>
              <w:pStyle w:val="TableParagraph"/>
              <w:spacing w:line="232" w:lineRule="exact"/>
              <w:ind w:left="829" w:right="815"/>
            </w:pPr>
            <w:r w:rsidRPr="00054B09">
              <w:t>400</w:t>
            </w:r>
            <w:r w:rsidR="00C507D1">
              <w:t> </w:t>
            </w:r>
            <w:r w:rsidRPr="00054B09">
              <w:rPr>
                <w:spacing w:val="-5"/>
              </w:rPr>
              <w:t>mg</w:t>
            </w:r>
          </w:p>
        </w:tc>
      </w:tr>
    </w:tbl>
    <w:p w14:paraId="4B0F47E8" w14:textId="77777777" w:rsidR="000D3B0A" w:rsidRPr="008676F2" w:rsidRDefault="000D3B0A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A26D96E" w14:textId="376D6A82" w:rsidR="008676F2" w:rsidRPr="002114B3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2114B3">
        <w:rPr>
          <w:rFonts w:ascii="Times New Roman" w:hAnsi="Times New Roman" w:cs="Times New Roman"/>
          <w:i/>
          <w:iCs/>
          <w:kern w:val="0"/>
          <w:u w:val="single"/>
        </w:rPr>
        <w:t>Philadelphia kromoszóma-pozitív CML</w:t>
      </w:r>
      <w:r w:rsidR="00EA20F2">
        <w:rPr>
          <w:rFonts w:ascii="Times New Roman" w:hAnsi="Times New Roman" w:cs="Times New Roman"/>
          <w:i/>
          <w:iCs/>
          <w:kern w:val="0"/>
          <w:u w:val="single"/>
        </w:rPr>
        <w:t xml:space="preserve"> krónikus fázisában lévő</w:t>
      </w:r>
      <w:r w:rsidRPr="002114B3">
        <w:rPr>
          <w:rFonts w:ascii="Times New Roman" w:hAnsi="Times New Roman" w:cs="Times New Roman"/>
          <w:i/>
          <w:iCs/>
          <w:kern w:val="0"/>
          <w:u w:val="single"/>
        </w:rPr>
        <w:t xml:space="preserve"> felnőtt betegek, akik első vonalbeli nilotinib</w:t>
      </w:r>
      <w:r w:rsidR="00F854D4">
        <w:rPr>
          <w:rFonts w:ascii="Times New Roman" w:hAnsi="Times New Roman" w:cs="Times New Roman"/>
          <w:i/>
          <w:iCs/>
          <w:kern w:val="0"/>
          <w:u w:val="single"/>
        </w:rPr>
        <w:t xml:space="preserve"> </w:t>
      </w:r>
      <w:r w:rsidRPr="002114B3">
        <w:rPr>
          <w:rFonts w:ascii="Times New Roman" w:hAnsi="Times New Roman" w:cs="Times New Roman"/>
          <w:i/>
          <w:iCs/>
          <w:kern w:val="0"/>
          <w:u w:val="single"/>
        </w:rPr>
        <w:t>kezelésben részesültek, és akik tartós, mély molekuláris választ</w:t>
      </w:r>
      <w:r w:rsidR="003A4767">
        <w:rPr>
          <w:rFonts w:ascii="Times New Roman" w:hAnsi="Times New Roman" w:cs="Times New Roman"/>
          <w:i/>
          <w:iCs/>
          <w:kern w:val="0"/>
          <w:u w:val="single"/>
        </w:rPr>
        <w:t xml:space="preserve"> </w:t>
      </w:r>
      <w:r w:rsidR="003A4767" w:rsidRPr="002114B3">
        <w:rPr>
          <w:rFonts w:ascii="Times New Roman" w:hAnsi="Times New Roman" w:cs="Times New Roman"/>
          <w:i/>
          <w:iCs/>
          <w:kern w:val="0"/>
          <w:u w:val="single"/>
        </w:rPr>
        <w:t>(MR4,5)</w:t>
      </w:r>
      <w:r w:rsidRPr="002114B3">
        <w:rPr>
          <w:rFonts w:ascii="Times New Roman" w:hAnsi="Times New Roman" w:cs="Times New Roman"/>
          <w:i/>
          <w:iCs/>
          <w:kern w:val="0"/>
          <w:u w:val="single"/>
        </w:rPr>
        <w:t xml:space="preserve"> értek el </w:t>
      </w:r>
    </w:p>
    <w:p w14:paraId="29EA8AF2" w14:textId="6400069B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676F2">
        <w:rPr>
          <w:rFonts w:ascii="Times New Roman" w:eastAsia="TimesNewRomanPSMT" w:hAnsi="Times New Roman" w:cs="Times New Roman"/>
          <w:kern w:val="0"/>
        </w:rPr>
        <w:t xml:space="preserve">A kezelés abbahagyása mérlegelhető </w:t>
      </w:r>
      <w:r w:rsidR="00EA20F2">
        <w:rPr>
          <w:rFonts w:ascii="Times New Roman" w:eastAsia="TimesNewRomanPSMT" w:hAnsi="Times New Roman" w:cs="Times New Roman"/>
          <w:kern w:val="0"/>
        </w:rPr>
        <w:t xml:space="preserve">az arra alkalmas, </w:t>
      </w:r>
      <w:r w:rsidRPr="008676F2">
        <w:rPr>
          <w:rFonts w:ascii="Times New Roman" w:eastAsia="TimesNewRomanPSMT" w:hAnsi="Times New Roman" w:cs="Times New Roman"/>
          <w:kern w:val="0"/>
        </w:rPr>
        <w:t>Philadelphia kromoszóma</w:t>
      </w:r>
      <w:r w:rsidRPr="008676F2">
        <w:rPr>
          <w:rFonts w:ascii="Times New Roman" w:hAnsi="Times New Roman" w:cs="Times New Roman"/>
          <w:kern w:val="0"/>
        </w:rPr>
        <w:t>-pozitív (Ph+), CML</w:t>
      </w:r>
      <w:r w:rsidR="00EA20F2">
        <w:rPr>
          <w:rFonts w:ascii="Times New Roman" w:hAnsi="Times New Roman" w:cs="Times New Roman"/>
          <w:kern w:val="0"/>
        </w:rPr>
        <w:t xml:space="preserve"> krónikus fázisában lévő</w:t>
      </w:r>
      <w:r w:rsidRPr="008676F2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eastAsia="TimesNewRomanPSMT" w:hAnsi="Times New Roman" w:cs="Times New Roman"/>
          <w:kern w:val="0"/>
        </w:rPr>
        <w:t xml:space="preserve">felnőtt </w:t>
      </w:r>
      <w:r w:rsidRPr="008676F2">
        <w:rPr>
          <w:rFonts w:ascii="Times New Roman" w:hAnsi="Times New Roman" w:cs="Times New Roman"/>
          <w:kern w:val="0"/>
        </w:rPr>
        <w:t>betegeknél, akiket legalább 3</w:t>
      </w:r>
      <w:r w:rsidR="00B158D7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évig naponta kétszer 300</w:t>
      </w:r>
      <w:r w:rsidR="002114B3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mg</w:t>
      </w:r>
      <w:r w:rsidR="000F4439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 xml:space="preserve">nilotinibbel </w:t>
      </w:r>
      <w:r w:rsidRPr="008676F2">
        <w:rPr>
          <w:rFonts w:ascii="Times New Roman" w:eastAsia="TimesNewRomanPSMT" w:hAnsi="Times New Roman" w:cs="Times New Roman"/>
          <w:kern w:val="0"/>
        </w:rPr>
        <w:t>kezeltek, ha a mély molekuláris válaszreakció közvetlenül a kezelés abbahagyása előtt</w:t>
      </w:r>
      <w:r w:rsidR="000F4439">
        <w:rPr>
          <w:rFonts w:ascii="Times New Roman" w:eastAsia="TimesNewRomanPSMT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legalább 1</w:t>
      </w:r>
      <w:r w:rsidR="00B158D7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éve tartós. A nilotinib-kezelés abbahagyását a CML-es betegek kezelésében jártas orvosnak</w:t>
      </w:r>
      <w:r w:rsidR="000F4439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 xml:space="preserve">kell </w:t>
      </w:r>
      <w:r w:rsidR="00D4150C">
        <w:rPr>
          <w:rFonts w:ascii="Times New Roman" w:hAnsi="Times New Roman" w:cs="Times New Roman"/>
          <w:kern w:val="0"/>
        </w:rPr>
        <w:t>kezdeményeznie</w:t>
      </w:r>
      <w:r w:rsidR="00D4150C" w:rsidRPr="008676F2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(lásd 4.4 és 5.1</w:t>
      </w:r>
      <w:r w:rsidR="000F4439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pont).</w:t>
      </w:r>
    </w:p>
    <w:p w14:paraId="31A0DE85" w14:textId="77777777" w:rsidR="00F854D4" w:rsidRPr="008676F2" w:rsidRDefault="00F854D4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386BD37" w14:textId="20B3E599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676F2">
        <w:rPr>
          <w:rFonts w:ascii="Times New Roman" w:hAnsi="Times New Roman" w:cs="Times New Roman"/>
          <w:kern w:val="0"/>
        </w:rPr>
        <w:t>A nilotinib-kezelés abbahagyására alkalmas betegeknél egy évig havonta, majd a második évben</w:t>
      </w:r>
      <w:r w:rsidR="00F854D4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6</w:t>
      </w:r>
      <w:r w:rsidR="00F854D4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eastAsia="TimesNewRomanPSMT" w:hAnsi="Times New Roman" w:cs="Times New Roman"/>
          <w:kern w:val="0"/>
        </w:rPr>
        <w:t>hetente, és azt követően 12</w:t>
      </w:r>
      <w:r w:rsidR="00F854D4">
        <w:rPr>
          <w:rFonts w:ascii="Times New Roman" w:eastAsia="TimesNewRomanPSMT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 xml:space="preserve">hetente monitorozni kell a BCR-ABL transzkript-szintet, </w:t>
      </w:r>
      <w:r w:rsidR="003A4767">
        <w:rPr>
          <w:rFonts w:ascii="Times New Roman" w:hAnsi="Times New Roman" w:cs="Times New Roman"/>
          <w:kern w:val="0"/>
        </w:rPr>
        <w:t>valamint</w:t>
      </w:r>
      <w:r w:rsidRPr="008676F2">
        <w:rPr>
          <w:rFonts w:ascii="Times New Roman" w:hAnsi="Times New Roman" w:cs="Times New Roman"/>
          <w:kern w:val="0"/>
        </w:rPr>
        <w:t xml:space="preserve"> a teljes</w:t>
      </w:r>
      <w:r w:rsidR="00F854D4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(kvantitatív és kvalitatív) vérképet. A BCR-ABL transzkript-szintet olyan kvantitatív diagnosztikai</w:t>
      </w:r>
      <w:r w:rsidR="00F854D4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teszttel kell monitorozni, amely a nemzetközi skálán (International Scale; IS) legalább MR4,5-ös</w:t>
      </w:r>
      <w:r w:rsidR="00F854D4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érzékenységi szintre lett validálva (BCR-</w:t>
      </w:r>
      <w:r w:rsidRPr="008676F2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8676F2">
        <w:rPr>
          <w:rFonts w:ascii="Times New Roman" w:hAnsi="Times New Roman" w:cs="Times New Roman"/>
          <w:kern w:val="0"/>
        </w:rPr>
        <w:t>0,0032% IS).</w:t>
      </w:r>
    </w:p>
    <w:p w14:paraId="56D22A1D" w14:textId="77777777" w:rsidR="00F854D4" w:rsidRPr="008676F2" w:rsidRDefault="00F854D4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409BC40" w14:textId="307BD80E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676F2">
        <w:rPr>
          <w:rFonts w:ascii="Times New Roman" w:eastAsia="TimesNewRomanPSMT" w:hAnsi="Times New Roman" w:cs="Times New Roman"/>
          <w:kern w:val="0"/>
        </w:rPr>
        <w:t>Azoknál a betegeknél, akik a kezelésmentes fázis alatt a</w:t>
      </w:r>
      <w:r w:rsidR="003A4767">
        <w:rPr>
          <w:rFonts w:ascii="Times New Roman" w:eastAsia="TimesNewRomanPSMT" w:hAnsi="Times New Roman" w:cs="Times New Roman"/>
          <w:kern w:val="0"/>
        </w:rPr>
        <w:t>z</w:t>
      </w:r>
      <w:r w:rsidRPr="008676F2">
        <w:rPr>
          <w:rFonts w:ascii="Times New Roman" w:eastAsia="TimesNewRomanPSMT" w:hAnsi="Times New Roman" w:cs="Times New Roman"/>
          <w:kern w:val="0"/>
        </w:rPr>
        <w:t xml:space="preserve"> MR4 szintű molekuláris választ elveszítették</w:t>
      </w:r>
      <w:r w:rsidR="00F854D4">
        <w:rPr>
          <w:rFonts w:ascii="Times New Roman" w:eastAsia="TimesNewRomanPSMT" w:hAnsi="Times New Roman" w:cs="Times New Roman"/>
          <w:kern w:val="0"/>
        </w:rPr>
        <w:t xml:space="preserve"> </w:t>
      </w:r>
      <w:r w:rsidRPr="008E68D3">
        <w:rPr>
          <w:rFonts w:ascii="Times New Roman" w:eastAsia="TimesNewRomanPSMT" w:hAnsi="Times New Roman" w:cs="Times New Roman"/>
          <w:kern w:val="0"/>
        </w:rPr>
        <w:t>(MR4 = BCR-</w:t>
      </w:r>
      <w:r w:rsidRPr="008676F2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8E68D3">
        <w:rPr>
          <w:rFonts w:ascii="Times New Roman" w:eastAsia="TimesNewRomanPSMT" w:hAnsi="Times New Roman" w:cs="Times New Roman"/>
          <w:kern w:val="0"/>
        </w:rPr>
        <w:t>0,01% IS), de a</w:t>
      </w:r>
      <w:r w:rsidR="003A4767">
        <w:rPr>
          <w:rFonts w:ascii="Times New Roman" w:eastAsia="TimesNewRomanPSMT" w:hAnsi="Times New Roman" w:cs="Times New Roman"/>
          <w:kern w:val="0"/>
        </w:rPr>
        <w:t>z</w:t>
      </w:r>
      <w:r w:rsidRPr="008E68D3">
        <w:rPr>
          <w:rFonts w:ascii="Times New Roman" w:eastAsia="TimesNewRomanPSMT" w:hAnsi="Times New Roman" w:cs="Times New Roman"/>
          <w:kern w:val="0"/>
        </w:rPr>
        <w:t xml:space="preserve"> MMR-t</w:t>
      </w:r>
      <w:r w:rsidR="003A4767" w:rsidRPr="008E68D3">
        <w:rPr>
          <w:rFonts w:ascii="Times New Roman" w:eastAsia="TimesNewRomanPSMT" w:hAnsi="Times New Roman" w:cs="Times New Roman"/>
          <w:kern w:val="0"/>
        </w:rPr>
        <w:t xml:space="preserve"> (major molekuláris válasz- Major Molecular Response)</w:t>
      </w:r>
      <w:r w:rsidRPr="008E68D3">
        <w:rPr>
          <w:rFonts w:ascii="Times New Roman" w:eastAsia="TimesNewRomanPSMT" w:hAnsi="Times New Roman" w:cs="Times New Roman"/>
          <w:kern w:val="0"/>
        </w:rPr>
        <w:t xml:space="preserve"> nem (MMR = BCR-</w:t>
      </w:r>
      <w:r w:rsidRPr="008676F2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8E68D3">
        <w:rPr>
          <w:rFonts w:ascii="Times New Roman" w:eastAsia="TimesNewRomanPSMT" w:hAnsi="Times New Roman" w:cs="Times New Roman"/>
          <w:kern w:val="0"/>
        </w:rPr>
        <w:t>0,1% IS), a</w:t>
      </w:r>
      <w:r w:rsidR="00F854D4" w:rsidRPr="008E68D3">
        <w:rPr>
          <w:rFonts w:ascii="Times New Roman" w:eastAsia="TimesNewRomanPSMT" w:hAnsi="Times New Roman" w:cs="Times New Roman"/>
          <w:kern w:val="0"/>
        </w:rPr>
        <w:t xml:space="preserve"> </w:t>
      </w:r>
      <w:r w:rsidRPr="008E68D3">
        <w:rPr>
          <w:rFonts w:ascii="Times New Roman" w:eastAsia="TimesNewRomanPSMT" w:hAnsi="Times New Roman" w:cs="Times New Roman"/>
          <w:kern w:val="0"/>
        </w:rPr>
        <w:t>BCR-ABL transzkript-szintet 2</w:t>
      </w:r>
      <w:r w:rsidR="0008176B" w:rsidRPr="008E68D3">
        <w:rPr>
          <w:rFonts w:ascii="Times New Roman" w:eastAsia="TimesNewRomanPSMT" w:hAnsi="Times New Roman" w:cs="Times New Roman"/>
          <w:kern w:val="0"/>
        </w:rPr>
        <w:t> </w:t>
      </w:r>
      <w:r w:rsidRPr="008E68D3">
        <w:rPr>
          <w:rFonts w:ascii="Times New Roman" w:eastAsia="TimesNewRomanPSMT" w:hAnsi="Times New Roman" w:cs="Times New Roman"/>
          <w:kern w:val="0"/>
        </w:rPr>
        <w:t>hetente</w:t>
      </w:r>
      <w:r w:rsidRPr="008676F2">
        <w:rPr>
          <w:rFonts w:ascii="Times New Roman" w:hAnsi="Times New Roman" w:cs="Times New Roman"/>
          <w:kern w:val="0"/>
        </w:rPr>
        <w:t xml:space="preserve"> monitorozni kell addig, amíg a BCR-ABL-szint vissza nem tér</w:t>
      </w:r>
      <w:r w:rsidR="00064AD5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a</w:t>
      </w:r>
      <w:r w:rsidR="003A4767">
        <w:rPr>
          <w:rFonts w:ascii="Times New Roman" w:hAnsi="Times New Roman" w:cs="Times New Roman"/>
          <w:kern w:val="0"/>
        </w:rPr>
        <w:t>z</w:t>
      </w:r>
      <w:r w:rsidRPr="008676F2">
        <w:rPr>
          <w:rFonts w:ascii="Times New Roman" w:hAnsi="Times New Roman" w:cs="Times New Roman"/>
          <w:kern w:val="0"/>
        </w:rPr>
        <w:t xml:space="preserve"> MR4 és MR4,5 közötti tartományba. Azoknál a betegeknél, akiknél a BCR-ABL-szintje 4 egymást</w:t>
      </w:r>
      <w:r w:rsidR="00064AD5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eastAsia="TimesNewRomanPSMT" w:hAnsi="Times New Roman" w:cs="Times New Roman"/>
          <w:kern w:val="0"/>
        </w:rPr>
        <w:t>követő mérés alkalmával a</w:t>
      </w:r>
      <w:r w:rsidR="003A4767">
        <w:rPr>
          <w:rFonts w:ascii="Times New Roman" w:eastAsia="TimesNewRomanPSMT" w:hAnsi="Times New Roman" w:cs="Times New Roman"/>
          <w:kern w:val="0"/>
        </w:rPr>
        <w:t>z</w:t>
      </w:r>
      <w:r w:rsidRPr="008676F2">
        <w:rPr>
          <w:rFonts w:ascii="Times New Roman" w:eastAsia="TimesNewRomanPSMT" w:hAnsi="Times New Roman" w:cs="Times New Roman"/>
          <w:kern w:val="0"/>
        </w:rPr>
        <w:t xml:space="preserve"> MMR és az MR4 között marad, vissza lehet térni az eredeti monitorozási</w:t>
      </w:r>
      <w:r w:rsidR="00064AD5">
        <w:rPr>
          <w:rFonts w:ascii="Times New Roman" w:eastAsia="TimesNewRomanPSMT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rendre.</w:t>
      </w:r>
    </w:p>
    <w:p w14:paraId="52B228E1" w14:textId="77777777" w:rsidR="00064AD5" w:rsidRPr="008676F2" w:rsidRDefault="00064AD5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D1F6526" w14:textId="7C60A61E" w:rsidR="008676F2" w:rsidRDefault="008676F2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676F2">
        <w:rPr>
          <w:rFonts w:ascii="Times New Roman" w:eastAsia="TimesNewRomanPSMT" w:hAnsi="Times New Roman" w:cs="Times New Roman"/>
          <w:kern w:val="0"/>
        </w:rPr>
        <w:t>Azoknál a betegeknél, akiknél megszűnik a</w:t>
      </w:r>
      <w:r w:rsidR="003A4767">
        <w:rPr>
          <w:rFonts w:ascii="Times New Roman" w:eastAsia="TimesNewRomanPSMT" w:hAnsi="Times New Roman" w:cs="Times New Roman"/>
          <w:kern w:val="0"/>
        </w:rPr>
        <w:t>z</w:t>
      </w:r>
      <w:r w:rsidRPr="008676F2">
        <w:rPr>
          <w:rFonts w:ascii="Times New Roman" w:eastAsia="TimesNewRomanPSMT" w:hAnsi="Times New Roman" w:cs="Times New Roman"/>
          <w:kern w:val="0"/>
        </w:rPr>
        <w:t xml:space="preserve"> MMR, a kezelést a remisszió megszűnésének felismerését</w:t>
      </w:r>
      <w:r w:rsidR="0008176B">
        <w:rPr>
          <w:rFonts w:ascii="Times New Roman" w:eastAsia="TimesNewRomanPSMT" w:hAnsi="Times New Roman" w:cs="Times New Roman"/>
          <w:kern w:val="0"/>
        </w:rPr>
        <w:t xml:space="preserve"> </w:t>
      </w:r>
      <w:r w:rsidRPr="008676F2">
        <w:rPr>
          <w:rFonts w:ascii="Times New Roman" w:eastAsia="TimesNewRomanPSMT" w:hAnsi="Times New Roman" w:cs="Times New Roman"/>
          <w:kern w:val="0"/>
        </w:rPr>
        <w:t>követő 4</w:t>
      </w:r>
      <w:r w:rsidR="0021326A">
        <w:rPr>
          <w:rFonts w:ascii="Times New Roman" w:eastAsia="TimesNewRomanPSMT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héten belül újra el kell kezdeni. A nilotinib-kezelést naponta kétszer 300</w:t>
      </w:r>
      <w:r w:rsidR="00101848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mg-mal, vagy ha a</w:t>
      </w:r>
      <w:r w:rsidR="0008176B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eastAsia="TimesNewRomanPSMT" w:hAnsi="Times New Roman" w:cs="Times New Roman"/>
          <w:kern w:val="0"/>
        </w:rPr>
        <w:t>betegnél a kezelés abbahagyása előtt dóziscsökkentés tört</w:t>
      </w:r>
      <w:r w:rsidRPr="008676F2">
        <w:rPr>
          <w:rFonts w:ascii="Times New Roman" w:hAnsi="Times New Roman" w:cs="Times New Roman"/>
          <w:kern w:val="0"/>
        </w:rPr>
        <w:t>ént, naponta egyszer 400</w:t>
      </w:r>
      <w:r w:rsidR="00101848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mg-os, csökkentett</w:t>
      </w:r>
      <w:r w:rsidR="0008176B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dózissal kell újrakezdeni. Azoknál a betegeknél, akiknél a nilotinib-kezelést újrakezdték, a BCR-ABL</w:t>
      </w:r>
      <w:r w:rsidR="0008176B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transzkript-</w:t>
      </w:r>
      <w:r w:rsidRPr="008676F2">
        <w:rPr>
          <w:rFonts w:ascii="Times New Roman" w:eastAsia="TimesNewRomanPSMT" w:hAnsi="Times New Roman" w:cs="Times New Roman"/>
          <w:kern w:val="0"/>
        </w:rPr>
        <w:t>szintet az MMR visszatéréséig havonta, és azt követően 12</w:t>
      </w:r>
      <w:r w:rsidR="00101848">
        <w:rPr>
          <w:rFonts w:ascii="Times New Roman" w:eastAsia="TimesNewRomanPSMT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hetente monitorozni kell (lásd</w:t>
      </w:r>
      <w:r w:rsidR="0008176B">
        <w:rPr>
          <w:rFonts w:ascii="Times New Roman" w:hAnsi="Times New Roman" w:cs="Times New Roman"/>
          <w:kern w:val="0"/>
        </w:rPr>
        <w:t xml:space="preserve"> </w:t>
      </w:r>
      <w:r w:rsidRPr="008676F2">
        <w:rPr>
          <w:rFonts w:ascii="Times New Roman" w:hAnsi="Times New Roman" w:cs="Times New Roman"/>
          <w:kern w:val="0"/>
        </w:rPr>
        <w:t>4.4</w:t>
      </w:r>
      <w:r w:rsidR="0008176B">
        <w:rPr>
          <w:rFonts w:ascii="Times New Roman" w:hAnsi="Times New Roman" w:cs="Times New Roman"/>
          <w:kern w:val="0"/>
        </w:rPr>
        <w:t> </w:t>
      </w:r>
      <w:r w:rsidRPr="008676F2">
        <w:rPr>
          <w:rFonts w:ascii="Times New Roman" w:hAnsi="Times New Roman" w:cs="Times New Roman"/>
          <w:kern w:val="0"/>
        </w:rPr>
        <w:t>pont).</w:t>
      </w:r>
    </w:p>
    <w:p w14:paraId="09AFE21C" w14:textId="77777777" w:rsidR="00A816E5" w:rsidRDefault="00A816E5" w:rsidP="008676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9C5BE2D" w14:textId="1A1C50C7" w:rsidR="00A816E5" w:rsidRPr="00C617F5" w:rsidRDefault="00A816E5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C617F5">
        <w:rPr>
          <w:rFonts w:ascii="Times New Roman" w:hAnsi="Times New Roman" w:cs="Times New Roman"/>
          <w:i/>
          <w:iCs/>
          <w:kern w:val="0"/>
          <w:u w:val="single"/>
        </w:rPr>
        <w:t>Philadelphia kromoszóma-pozitív CML</w:t>
      </w:r>
      <w:r w:rsidR="00EA20F2">
        <w:rPr>
          <w:rFonts w:ascii="Times New Roman" w:hAnsi="Times New Roman" w:cs="Times New Roman"/>
          <w:i/>
          <w:iCs/>
          <w:kern w:val="0"/>
          <w:u w:val="single"/>
        </w:rPr>
        <w:t xml:space="preserve"> krónikus fázisában lévő</w:t>
      </w:r>
      <w:r w:rsidRPr="00C617F5">
        <w:rPr>
          <w:rFonts w:ascii="Times New Roman" w:hAnsi="Times New Roman" w:cs="Times New Roman"/>
          <w:i/>
          <w:iCs/>
          <w:kern w:val="0"/>
          <w:u w:val="single"/>
        </w:rPr>
        <w:t xml:space="preserve"> felnőtt betegek, akik</w:t>
      </w:r>
      <w:r w:rsidR="002B608F" w:rsidRPr="002B608F">
        <w:rPr>
          <w:rFonts w:ascii="Times New Roman" w:hAnsi="Times New Roman" w:cs="Times New Roman"/>
          <w:i/>
          <w:iCs/>
          <w:kern w:val="0"/>
          <w:u w:val="single"/>
        </w:rPr>
        <w:t xml:space="preserve"> megelőző imatinib-kezelés után</w:t>
      </w:r>
      <w:r w:rsidRPr="00C617F5">
        <w:rPr>
          <w:rFonts w:ascii="Times New Roman" w:hAnsi="Times New Roman" w:cs="Times New Roman"/>
          <w:i/>
          <w:iCs/>
          <w:kern w:val="0"/>
          <w:u w:val="single"/>
        </w:rPr>
        <w:t xml:space="preserve"> tartós, mély</w:t>
      </w:r>
      <w:r w:rsidR="00C617F5">
        <w:rPr>
          <w:rFonts w:ascii="Times New Roman" w:hAnsi="Times New Roman" w:cs="Times New Roman"/>
          <w:i/>
          <w:iCs/>
          <w:kern w:val="0"/>
          <w:u w:val="single"/>
        </w:rPr>
        <w:t xml:space="preserve"> </w:t>
      </w:r>
      <w:r w:rsidRPr="00C617F5">
        <w:rPr>
          <w:rFonts w:ascii="Times New Roman" w:hAnsi="Times New Roman" w:cs="Times New Roman"/>
          <w:i/>
          <w:iCs/>
          <w:kern w:val="0"/>
          <w:u w:val="single"/>
        </w:rPr>
        <w:t>molekuláris választ (MR 4,5) értek el a nilotinib hatására</w:t>
      </w:r>
    </w:p>
    <w:p w14:paraId="1EF86766" w14:textId="6502256E" w:rsidR="00A816E5" w:rsidRDefault="00A816E5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816E5">
        <w:rPr>
          <w:rFonts w:ascii="Times New Roman" w:eastAsia="TimesNewRomanPSMT" w:hAnsi="Times New Roman" w:cs="Times New Roman"/>
          <w:kern w:val="0"/>
        </w:rPr>
        <w:t xml:space="preserve">A kezelés abbahagyása mérlegelhető </w:t>
      </w:r>
      <w:r w:rsidR="00EA20F2">
        <w:rPr>
          <w:rFonts w:ascii="Times New Roman" w:eastAsia="TimesNewRomanPSMT" w:hAnsi="Times New Roman" w:cs="Times New Roman"/>
          <w:kern w:val="0"/>
        </w:rPr>
        <w:t>az arra alkalmas</w:t>
      </w:r>
      <w:r w:rsidRPr="00A816E5">
        <w:rPr>
          <w:rFonts w:ascii="Times New Roman" w:eastAsia="TimesNewRomanPSMT" w:hAnsi="Times New Roman" w:cs="Times New Roman"/>
          <w:kern w:val="0"/>
        </w:rPr>
        <w:t xml:space="preserve"> Philadelphia </w:t>
      </w:r>
      <w:r w:rsidRPr="00A816E5">
        <w:rPr>
          <w:rFonts w:ascii="Times New Roman" w:hAnsi="Times New Roman" w:cs="Times New Roman"/>
          <w:kern w:val="0"/>
        </w:rPr>
        <w:t>kromoszóma-pozitív (Ph+), CML</w:t>
      </w:r>
      <w:r w:rsidR="00EA20F2">
        <w:rPr>
          <w:rFonts w:ascii="Times New Roman" w:hAnsi="Times New Roman" w:cs="Times New Roman"/>
          <w:kern w:val="0"/>
        </w:rPr>
        <w:t xml:space="preserve"> krónikus fázisában lévő </w:t>
      </w:r>
      <w:r w:rsidRPr="00A816E5">
        <w:rPr>
          <w:rFonts w:ascii="Times New Roman" w:eastAsia="TimesNewRomanPSMT" w:hAnsi="Times New Roman" w:cs="Times New Roman"/>
          <w:kern w:val="0"/>
        </w:rPr>
        <w:t xml:space="preserve">felnőtt </w:t>
      </w:r>
      <w:r w:rsidRPr="00A816E5">
        <w:rPr>
          <w:rFonts w:ascii="Times New Roman" w:hAnsi="Times New Roman" w:cs="Times New Roman"/>
          <w:kern w:val="0"/>
        </w:rPr>
        <w:t>betegeknél, akiket legalább 3</w:t>
      </w:r>
      <w:r w:rsidR="00DA2FB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évig nilotinibbel kezeltek, ha a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eastAsia="TimesNewRomanPSMT" w:hAnsi="Times New Roman" w:cs="Times New Roman"/>
          <w:kern w:val="0"/>
        </w:rPr>
        <w:t>mély molekuláris válaszreakció közvetlenül a kezelés abbahagyása előtt legalább 1</w:t>
      </w:r>
      <w:r w:rsidR="00DA2FBB">
        <w:rPr>
          <w:rFonts w:ascii="Times New Roman" w:eastAsia="TimesNewRomanPSMT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éve tartós. A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 xml:space="preserve">nilotinib-kezelés abbahagyását a CML-es betegek kezelésében jártas orvosnak kell </w:t>
      </w:r>
      <w:r w:rsidR="00A30B8A">
        <w:rPr>
          <w:rFonts w:ascii="Times New Roman" w:hAnsi="Times New Roman" w:cs="Times New Roman"/>
          <w:kern w:val="0"/>
        </w:rPr>
        <w:t>kezdeményeznie</w:t>
      </w:r>
      <w:r w:rsidR="00A30B8A" w:rsidRPr="00A816E5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(lásd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4.4 és 5.1</w:t>
      </w:r>
      <w:r w:rsidR="00615CF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pont).</w:t>
      </w:r>
    </w:p>
    <w:p w14:paraId="362B9953" w14:textId="77777777" w:rsidR="00615CFB" w:rsidRPr="00A816E5" w:rsidRDefault="00615CFB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97F2816" w14:textId="63B90BDA" w:rsidR="00A816E5" w:rsidRDefault="00A816E5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816E5">
        <w:rPr>
          <w:rFonts w:ascii="Times New Roman" w:hAnsi="Times New Roman" w:cs="Times New Roman"/>
          <w:kern w:val="0"/>
        </w:rPr>
        <w:t>A nilotinib-kezelés abbahagyására alkalmas betegeknél egy évig havonta, majd a második évben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6</w:t>
      </w:r>
      <w:r w:rsidR="00615CF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eastAsia="TimesNewRomanPSMT" w:hAnsi="Times New Roman" w:cs="Times New Roman"/>
          <w:kern w:val="0"/>
        </w:rPr>
        <w:t>hetente, és azt követően 12</w:t>
      </w:r>
      <w:r w:rsidR="00596FE4">
        <w:rPr>
          <w:rFonts w:ascii="Times New Roman" w:eastAsia="TimesNewRomanPSMT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hetente monitorozni kell a BCR-ABL transzkript-szintet, és a teljes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(kvantitatív és a kvalitatív) vérképet. A BCR-ABL transzkript-szintet olyan kvantitatív diagnosztikai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teszttel kell monitorozni, amely a nemzetközi skálán (International Scale; IS) legalább MR4,5-ös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szenzitivitási szintre lett validálva (BCR-</w:t>
      </w:r>
      <w:r w:rsidRPr="00A816E5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A816E5">
        <w:rPr>
          <w:rFonts w:ascii="Times New Roman" w:hAnsi="Times New Roman" w:cs="Times New Roman"/>
          <w:kern w:val="0"/>
        </w:rPr>
        <w:t>0,0032% IS).</w:t>
      </w:r>
    </w:p>
    <w:p w14:paraId="149C1A1C" w14:textId="77777777" w:rsidR="00615CFB" w:rsidRPr="00A816E5" w:rsidRDefault="00615CFB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53C34DA" w14:textId="516B35DF" w:rsidR="00A816E5" w:rsidRDefault="00A816E5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816E5">
        <w:rPr>
          <w:rFonts w:ascii="Times New Roman" w:hAnsi="Times New Roman" w:cs="Times New Roman"/>
          <w:kern w:val="0"/>
        </w:rPr>
        <w:t>Azoknál a betegeknél, akiknél a kezelésmentes fázis alatt az MR4 elvesztése (MR4 = BCR-</w:t>
      </w:r>
      <w:r w:rsidRPr="00A816E5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A816E5">
        <w:rPr>
          <w:rFonts w:ascii="Times New Roman" w:hAnsi="Times New Roman" w:cs="Times New Roman"/>
          <w:kern w:val="0"/>
        </w:rPr>
        <w:t xml:space="preserve">0,01% IS) </w:t>
      </w:r>
      <w:r w:rsidR="00EA20F2" w:rsidRPr="00A816E5">
        <w:rPr>
          <w:rFonts w:ascii="Times New Roman" w:hAnsi="Times New Roman" w:cs="Times New Roman"/>
          <w:kern w:val="0"/>
        </w:rPr>
        <w:t>igazolásra kerül</w:t>
      </w:r>
      <w:r w:rsidR="00EA20F2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eastAsia="TimesNewRomanPSMT" w:hAnsi="Times New Roman" w:cs="Times New Roman"/>
          <w:kern w:val="0"/>
        </w:rPr>
        <w:t>(két egymást követő, legalább 4</w:t>
      </w:r>
      <w:r w:rsidR="00C94267">
        <w:rPr>
          <w:rFonts w:ascii="Times New Roman" w:eastAsia="TimesNewRomanPSMT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hét különbséggel végzett mérés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eastAsia="TimesNewRomanPSMT" w:hAnsi="Times New Roman" w:cs="Times New Roman"/>
          <w:kern w:val="0"/>
        </w:rPr>
        <w:t xml:space="preserve">mutatja a MR4 megszűnését) vagy a major molekuláris válasz megszűnése </w:t>
      </w:r>
      <w:r w:rsidRPr="00A816E5">
        <w:rPr>
          <w:rFonts w:ascii="Times New Roman" w:hAnsi="Times New Roman" w:cs="Times New Roman"/>
          <w:kern w:val="0"/>
        </w:rPr>
        <w:t>(MMR = BCR-ABL/ABL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eastAsia="TimesNewRomanPSMT" w:hAnsi="Times New Roman" w:cs="Times New Roman"/>
          <w:kern w:val="0"/>
        </w:rPr>
        <w:t xml:space="preserve">≤ </w:t>
      </w:r>
      <w:r w:rsidRPr="00A816E5">
        <w:rPr>
          <w:rFonts w:ascii="Times New Roman" w:hAnsi="Times New Roman" w:cs="Times New Roman"/>
          <w:kern w:val="0"/>
        </w:rPr>
        <w:t xml:space="preserve">0,1% IS) </w:t>
      </w:r>
      <w:r w:rsidRPr="00A816E5">
        <w:rPr>
          <w:rFonts w:ascii="Times New Roman" w:eastAsia="TimesNewRomanPSMT" w:hAnsi="Times New Roman" w:cs="Times New Roman"/>
          <w:kern w:val="0"/>
        </w:rPr>
        <w:t>következik be, a kezelést a molekuláris remisszió megszűnésének felismerését követő</w:t>
      </w:r>
      <w:r w:rsidR="00615CFB">
        <w:rPr>
          <w:rFonts w:ascii="Times New Roman" w:eastAsia="TimesNewRomanPSMT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4</w:t>
      </w:r>
      <w:r w:rsidR="00615CF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héten belül újra el kell kezdeni. A nilotinib-kezelést naponta kétszer 300</w:t>
      </w:r>
      <w:r w:rsidR="00615CF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mg-os vagy kétszer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400</w:t>
      </w:r>
      <w:r w:rsidR="00615CF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mg-os dózissal kell újrakezdeni. Azoknál a betegeknél, akiknél a nilotinib-kezelést újrakezdték, a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hAnsi="Times New Roman" w:cs="Times New Roman"/>
          <w:kern w:val="0"/>
        </w:rPr>
        <w:t>BCR-ABL transzkript-szintet a korábbi major molekuláris válasz (MMR) vagy az MR4-szint</w:t>
      </w:r>
      <w:r w:rsidR="00615CFB">
        <w:rPr>
          <w:rFonts w:ascii="Times New Roman" w:hAnsi="Times New Roman" w:cs="Times New Roman"/>
          <w:kern w:val="0"/>
        </w:rPr>
        <w:t xml:space="preserve"> </w:t>
      </w:r>
      <w:r w:rsidRPr="00A816E5">
        <w:rPr>
          <w:rFonts w:ascii="Times New Roman" w:eastAsia="TimesNewRomanPSMT" w:hAnsi="Times New Roman" w:cs="Times New Roman"/>
          <w:kern w:val="0"/>
        </w:rPr>
        <w:t>helyreállásáig havonta, és azt követően 12</w:t>
      </w:r>
      <w:r w:rsidR="00596FE4">
        <w:rPr>
          <w:rFonts w:ascii="Times New Roman" w:eastAsia="TimesNewRomanPSMT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hetente monitorozni kell (lásd 4.4</w:t>
      </w:r>
      <w:r w:rsidR="00615CFB">
        <w:rPr>
          <w:rFonts w:ascii="Times New Roman" w:hAnsi="Times New Roman" w:cs="Times New Roman"/>
          <w:kern w:val="0"/>
        </w:rPr>
        <w:t> </w:t>
      </w:r>
      <w:r w:rsidRPr="00A816E5">
        <w:rPr>
          <w:rFonts w:ascii="Times New Roman" w:hAnsi="Times New Roman" w:cs="Times New Roman"/>
          <w:kern w:val="0"/>
        </w:rPr>
        <w:t>pont).</w:t>
      </w:r>
    </w:p>
    <w:p w14:paraId="3C8D6159" w14:textId="77777777" w:rsidR="005C1A3E" w:rsidRDefault="005C1A3E" w:rsidP="00A816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95EDB73" w14:textId="77777777" w:rsidR="005C1A3E" w:rsidRPr="003A1D66" w:rsidRDefault="005C1A3E" w:rsidP="005C1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3A1D66">
        <w:rPr>
          <w:rFonts w:ascii="Times New Roman" w:hAnsi="Times New Roman" w:cs="Times New Roman"/>
          <w:i/>
          <w:iCs/>
          <w:kern w:val="0"/>
          <w:u w:val="single"/>
        </w:rPr>
        <w:t>Dózismódosítások vagy változtatások</w:t>
      </w:r>
    </w:p>
    <w:p w14:paraId="280DE1D3" w14:textId="62EA1E1D" w:rsidR="005C1A3E" w:rsidRDefault="00690565" w:rsidP="005C1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Előfordulhat, hogy a</w:t>
      </w:r>
      <w:r w:rsidR="005C1A3E">
        <w:rPr>
          <w:rFonts w:ascii="Times New Roman" w:hAnsi="Times New Roman" w:cs="Times New Roman"/>
          <w:kern w:val="0"/>
        </w:rPr>
        <w:t xml:space="preserve"> </w:t>
      </w:r>
      <w:r w:rsidR="000931C4">
        <w:rPr>
          <w:rFonts w:ascii="Times New Roman" w:hAnsi="Times New Roman" w:cs="Times New Roman"/>
          <w:kern w:val="0"/>
        </w:rPr>
        <w:t>nilotinib</w:t>
      </w:r>
      <w:r w:rsidR="005C1A3E">
        <w:rPr>
          <w:rFonts w:ascii="Times New Roman" w:hAnsi="Times New Roman" w:cs="Times New Roman"/>
          <w:kern w:val="0"/>
        </w:rPr>
        <w:t xml:space="preserve"> a</w:t>
      </w:r>
      <w:r w:rsidR="00337373">
        <w:rPr>
          <w:rFonts w:ascii="Times New Roman" w:hAnsi="Times New Roman" w:cs="Times New Roman"/>
          <w:kern w:val="0"/>
        </w:rPr>
        <w:t>lkalm</w:t>
      </w:r>
      <w:r w:rsidR="008A1CE6">
        <w:rPr>
          <w:rFonts w:ascii="Times New Roman" w:hAnsi="Times New Roman" w:cs="Times New Roman"/>
          <w:kern w:val="0"/>
        </w:rPr>
        <w:t>azá</w:t>
      </w:r>
      <w:r w:rsidR="005C1A3E">
        <w:rPr>
          <w:rFonts w:ascii="Times New Roman" w:hAnsi="Times New Roman" w:cs="Times New Roman"/>
          <w:kern w:val="0"/>
        </w:rPr>
        <w:t>sát átmenetileg fel kell függeszteni és/vagy a dózisát csökkenteni kell olyan</w:t>
      </w:r>
      <w:r w:rsidR="007E4844">
        <w:rPr>
          <w:rFonts w:ascii="Times New Roman" w:hAnsi="Times New Roman" w:cs="Times New Roman"/>
          <w:kern w:val="0"/>
        </w:rPr>
        <w:t xml:space="preserve"> </w:t>
      </w:r>
      <w:r w:rsidR="005C1A3E">
        <w:rPr>
          <w:rFonts w:ascii="Times New Roman" w:hAnsi="Times New Roman" w:cs="Times New Roman"/>
          <w:kern w:val="0"/>
        </w:rPr>
        <w:t>hematológiai toxicitások (neutropenia, thrombocytopenia) jelentkezésekor, amelyek nem állnak</w:t>
      </w:r>
      <w:r w:rsidR="007E4844">
        <w:rPr>
          <w:rFonts w:ascii="Times New Roman" w:hAnsi="Times New Roman" w:cs="Times New Roman"/>
          <w:kern w:val="0"/>
        </w:rPr>
        <w:t xml:space="preserve"> </w:t>
      </w:r>
      <w:r w:rsidR="005C1A3E">
        <w:rPr>
          <w:rFonts w:ascii="Times New Roman" w:hAnsi="Times New Roman" w:cs="Times New Roman"/>
          <w:kern w:val="0"/>
        </w:rPr>
        <w:t>összefüggésben a leukaemia alapbetegséggel (lásd 2.</w:t>
      </w:r>
      <w:r w:rsidR="007E4844">
        <w:rPr>
          <w:rFonts w:ascii="Times New Roman" w:hAnsi="Times New Roman" w:cs="Times New Roman"/>
          <w:kern w:val="0"/>
        </w:rPr>
        <w:t> </w:t>
      </w:r>
      <w:r w:rsidR="005C1A3E">
        <w:rPr>
          <w:rFonts w:ascii="Times New Roman" w:hAnsi="Times New Roman" w:cs="Times New Roman"/>
          <w:kern w:val="0"/>
        </w:rPr>
        <w:t>táblázat).</w:t>
      </w:r>
    </w:p>
    <w:p w14:paraId="4D637627" w14:textId="77777777" w:rsidR="00C617F5" w:rsidRDefault="00C617F5" w:rsidP="005C1A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CE81A03" w14:textId="038FA7AE" w:rsidR="00C617F5" w:rsidRDefault="00C617F5" w:rsidP="00E540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lastRenderedPageBreak/>
        <w:t>2. táblázat Dózismódosítások neutropenia és thrombocytopenia esetében</w:t>
      </w:r>
    </w:p>
    <w:p w14:paraId="1EBC067C" w14:textId="77777777" w:rsidR="00E54092" w:rsidRDefault="00E54092" w:rsidP="00E5409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5"/>
        <w:gridCol w:w="2492"/>
        <w:gridCol w:w="3787"/>
      </w:tblGrid>
      <w:tr w:rsidR="00C617F5" w:rsidRPr="00054B09" w14:paraId="40699679" w14:textId="77777777" w:rsidTr="00027697">
        <w:trPr>
          <w:cantSplit/>
          <w:trHeight w:val="2291"/>
        </w:trPr>
        <w:tc>
          <w:tcPr>
            <w:tcW w:w="2405" w:type="dxa"/>
          </w:tcPr>
          <w:p w14:paraId="15BDABB8" w14:textId="0BD46C1E" w:rsidR="00C617F5" w:rsidRPr="008C16F7" w:rsidRDefault="003A3DDD" w:rsidP="008E68D3">
            <w:pPr>
              <w:pStyle w:val="TableParagraph"/>
              <w:keepNext/>
              <w:ind w:right="48"/>
              <w:rPr>
                <w:lang w:val="hu-HU"/>
              </w:rPr>
            </w:pPr>
            <w:r w:rsidRPr="003A3DDD">
              <w:rPr>
                <w:lang w:val="hu-HU"/>
              </w:rPr>
              <w:t>Felnőttkori újonnan</w:t>
            </w:r>
            <w:r>
              <w:rPr>
                <w:lang w:val="hu-HU"/>
              </w:rPr>
              <w:t xml:space="preserve"> </w:t>
            </w:r>
            <w:r w:rsidRPr="003A3DDD">
              <w:rPr>
                <w:lang w:val="hu-HU"/>
              </w:rPr>
              <w:t>diagnosztizált, krónikus</w:t>
            </w:r>
            <w:r>
              <w:rPr>
                <w:lang w:val="hu-HU"/>
              </w:rPr>
              <w:t xml:space="preserve"> </w:t>
            </w:r>
            <w:r w:rsidRPr="003A3DDD">
              <w:rPr>
                <w:lang w:val="hu-HU"/>
              </w:rPr>
              <w:t>fázisú CML, naponta</w:t>
            </w:r>
            <w:r>
              <w:rPr>
                <w:lang w:val="hu-HU"/>
              </w:rPr>
              <w:t xml:space="preserve"> </w:t>
            </w:r>
            <w:r w:rsidRPr="003A3DDD">
              <w:rPr>
                <w:lang w:val="hu-HU"/>
              </w:rPr>
              <w:t>kétszer 300</w:t>
            </w:r>
            <w:r>
              <w:rPr>
                <w:lang w:val="hu-HU"/>
              </w:rPr>
              <w:t> </w:t>
            </w:r>
            <w:r w:rsidRPr="003A3DDD">
              <w:rPr>
                <w:lang w:val="hu-HU"/>
              </w:rPr>
              <w:t>mg-os dózisnál</w:t>
            </w:r>
            <w:r>
              <w:rPr>
                <w:lang w:val="hu-HU"/>
              </w:rPr>
              <w:t xml:space="preserve"> </w:t>
            </w:r>
            <w:r w:rsidRPr="003A3DDD">
              <w:rPr>
                <w:lang w:val="hu-HU"/>
              </w:rPr>
              <w:t>és</w:t>
            </w:r>
            <w:r w:rsidR="008C16F7">
              <w:rPr>
                <w:lang w:val="hu-HU"/>
              </w:rPr>
              <w:t xml:space="preserve"> </w:t>
            </w:r>
            <w:r w:rsidRPr="003A3DDD">
              <w:rPr>
                <w:lang w:val="hu-HU"/>
              </w:rPr>
              <w:t>imatinib-rezisztens vagy</w:t>
            </w:r>
            <w:r w:rsidR="008C16F7">
              <w:rPr>
                <w:lang w:val="hu-HU"/>
              </w:rPr>
              <w:t xml:space="preserve"> </w:t>
            </w:r>
            <w:r w:rsidRPr="008C16F7">
              <w:rPr>
                <w:lang w:val="hu-HU"/>
              </w:rPr>
              <w:t>imatinibre intoleráns</w:t>
            </w:r>
            <w:r w:rsidR="008C16F7">
              <w:rPr>
                <w:lang w:val="hu-HU"/>
              </w:rPr>
              <w:t xml:space="preserve"> </w:t>
            </w:r>
            <w:r w:rsidRPr="008C16F7">
              <w:rPr>
                <w:lang w:val="hu-HU"/>
              </w:rPr>
              <w:t>krónikus fázisú CML,</w:t>
            </w:r>
            <w:r w:rsidR="008C16F7">
              <w:rPr>
                <w:lang w:val="hu-HU"/>
              </w:rPr>
              <w:t xml:space="preserve"> </w:t>
            </w:r>
            <w:r w:rsidRPr="008C16F7">
              <w:rPr>
                <w:lang w:val="hu-HU"/>
              </w:rPr>
              <w:t>naponta kétszer 400</w:t>
            </w:r>
            <w:r w:rsidR="000D0186">
              <w:rPr>
                <w:lang w:val="hu-HU"/>
              </w:rPr>
              <w:t> </w:t>
            </w:r>
            <w:r w:rsidRPr="008C16F7">
              <w:rPr>
                <w:lang w:val="hu-HU"/>
              </w:rPr>
              <w:t>mg</w:t>
            </w:r>
            <w:r w:rsidR="008C16F7">
              <w:rPr>
                <w:lang w:val="hu-HU"/>
              </w:rPr>
              <w:t xml:space="preserve"> </w:t>
            </w:r>
            <w:r w:rsidRPr="008C16F7">
              <w:rPr>
                <w:lang w:val="hu-HU"/>
              </w:rPr>
              <w:t>dózisnál</w:t>
            </w:r>
          </w:p>
        </w:tc>
        <w:tc>
          <w:tcPr>
            <w:tcW w:w="2492" w:type="dxa"/>
          </w:tcPr>
          <w:p w14:paraId="28715C8E" w14:textId="629C19D8" w:rsidR="00C617F5" w:rsidRPr="00027697" w:rsidRDefault="0081491F" w:rsidP="00027697">
            <w:pPr>
              <w:autoSpaceDE w:val="0"/>
              <w:autoSpaceDN w:val="0"/>
              <w:adjustRightInd w:val="0"/>
              <w:spacing w:after="0" w:line="240" w:lineRule="auto"/>
              <w:ind w:left="138"/>
              <w:rPr>
                <w:lang w:val="fr-FR"/>
              </w:rPr>
            </w:pPr>
            <w:r>
              <w:rPr>
                <w:rFonts w:ascii="Times New Roman" w:hAnsi="Times New Roman" w:cs="Times New Roman"/>
                <w:kern w:val="0"/>
              </w:rPr>
              <w:t xml:space="preserve">ANC* </w:t>
            </w:r>
            <w:proofErr w:type="gramStart"/>
            <w:r w:rsidR="004A109F">
              <w:rPr>
                <w:rFonts w:ascii="Times New Roman" w:hAnsi="Times New Roman" w:cs="Times New Roman"/>
                <w:kern w:val="0"/>
              </w:rPr>
              <w:t>&lt; </w:t>
            </w:r>
            <w:r>
              <w:rPr>
                <w:rFonts w:ascii="Times New Roman" w:hAnsi="Times New Roman" w:cs="Times New Roman"/>
                <w:kern w:val="0"/>
              </w:rPr>
              <w:t>1</w:t>
            </w:r>
            <w:proofErr w:type="gramEnd"/>
            <w:r>
              <w:rPr>
                <w:rFonts w:ascii="Times New Roman" w:hAnsi="Times New Roman" w:cs="Times New Roman"/>
                <w:kern w:val="0"/>
              </w:rPr>
              <w:t>,0</w:t>
            </w:r>
            <w:r w:rsidR="004A109F">
              <w:rPr>
                <w:rFonts w:ascii="Times New Roman" w:hAnsi="Times New Roman" w:cs="Times New Roman"/>
                <w:kern w:val="0"/>
              </w:rPr>
              <w:t> </w:t>
            </w:r>
            <w:r>
              <w:rPr>
                <w:rFonts w:ascii="Times New Roman" w:hAnsi="Times New Roman" w:cs="Times New Roman"/>
                <w:kern w:val="0"/>
              </w:rPr>
              <w:t>×</w:t>
            </w:r>
            <w:r w:rsidR="004A109F">
              <w:rPr>
                <w:rFonts w:ascii="Times New Roman" w:hAnsi="Times New Roman" w:cs="Times New Roman"/>
                <w:kern w:val="0"/>
              </w:rPr>
              <w:t> </w:t>
            </w:r>
            <w:r>
              <w:rPr>
                <w:rFonts w:ascii="Times New Roman" w:hAnsi="Times New Roman" w:cs="Times New Roman"/>
                <w:kern w:val="0"/>
              </w:rPr>
              <w:t>10</w:t>
            </w:r>
            <w:r w:rsidRPr="00330FD1">
              <w:rPr>
                <w:rFonts w:ascii="Times New Roman" w:hAnsi="Times New Roman" w:cs="Times New Roman"/>
                <w:kern w:val="0"/>
                <w:vertAlign w:val="superscript"/>
              </w:rPr>
              <w:t>9</w:t>
            </w:r>
            <w:r>
              <w:rPr>
                <w:rFonts w:ascii="Times New Roman" w:hAnsi="Times New Roman" w:cs="Times New Roman"/>
                <w:kern w:val="0"/>
              </w:rPr>
              <w:t>/l,</w:t>
            </w:r>
            <w:r w:rsidR="004A109F">
              <w:rPr>
                <w:rFonts w:ascii="Times New Roman" w:hAnsi="Times New Roman" w:cs="Times New Roman"/>
                <w:kern w:val="0"/>
              </w:rPr>
              <w:t xml:space="preserve"> </w:t>
            </w:r>
            <w:r>
              <w:rPr>
                <w:rFonts w:ascii="Times New Roman" w:hAnsi="Times New Roman" w:cs="Times New Roman"/>
                <w:kern w:val="0"/>
              </w:rPr>
              <w:t>és/vagy a vérlemezkeszám</w:t>
            </w:r>
            <w:r w:rsidR="004A109F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027697">
              <w:rPr>
                <w:rFonts w:ascii="Times New Roman" w:hAnsi="Times New Roman" w:cs="Times New Roman"/>
                <w:kern w:val="0"/>
              </w:rPr>
              <w:t>&lt;</w:t>
            </w:r>
            <w:r w:rsidR="004A109F">
              <w:rPr>
                <w:rFonts w:ascii="Times New Roman" w:hAnsi="Times New Roman" w:cs="Times New Roman"/>
                <w:kern w:val="0"/>
              </w:rPr>
              <w:t> </w:t>
            </w:r>
            <w:r w:rsidRPr="00027697">
              <w:rPr>
                <w:rFonts w:ascii="Times New Roman" w:hAnsi="Times New Roman" w:cs="Times New Roman"/>
                <w:kern w:val="0"/>
              </w:rPr>
              <w:t>50</w:t>
            </w:r>
            <w:r w:rsidR="004A109F">
              <w:t> </w:t>
            </w:r>
            <w:r w:rsidRPr="00027697">
              <w:rPr>
                <w:rFonts w:ascii="Times New Roman" w:hAnsi="Times New Roman" w:cs="Times New Roman"/>
                <w:kern w:val="0"/>
              </w:rPr>
              <w:t>×</w:t>
            </w:r>
            <w:r w:rsidR="004A109F">
              <w:rPr>
                <w:rFonts w:ascii="Times New Roman" w:hAnsi="Times New Roman" w:cs="Times New Roman"/>
                <w:kern w:val="0"/>
              </w:rPr>
              <w:t> </w:t>
            </w:r>
            <w:r w:rsidRPr="00027697">
              <w:rPr>
                <w:rFonts w:ascii="Times New Roman" w:hAnsi="Times New Roman" w:cs="Times New Roman"/>
                <w:kern w:val="0"/>
              </w:rPr>
              <w:t>10</w:t>
            </w:r>
            <w:r w:rsidRPr="00027697">
              <w:rPr>
                <w:rFonts w:ascii="Times New Roman" w:hAnsi="Times New Roman" w:cs="Times New Roman"/>
                <w:kern w:val="0"/>
                <w:vertAlign w:val="superscript"/>
              </w:rPr>
              <w:t>9</w:t>
            </w:r>
            <w:r w:rsidRPr="00027697">
              <w:rPr>
                <w:rFonts w:ascii="Times New Roman" w:hAnsi="Times New Roman" w:cs="Times New Roman"/>
                <w:kern w:val="0"/>
              </w:rPr>
              <w:t>/l</w:t>
            </w:r>
          </w:p>
        </w:tc>
        <w:tc>
          <w:tcPr>
            <w:tcW w:w="3787" w:type="dxa"/>
          </w:tcPr>
          <w:p w14:paraId="4078AE00" w14:textId="19985DA5" w:rsidR="00240E68" w:rsidRPr="00240E68" w:rsidRDefault="00564564" w:rsidP="008E68D3">
            <w:pPr>
              <w:pStyle w:val="TableParagraph"/>
              <w:keepNext/>
              <w:numPr>
                <w:ilvl w:val="0"/>
                <w:numId w:val="3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>
              <w:rPr>
                <w:lang w:val="hu-HU"/>
              </w:rPr>
              <w:t xml:space="preserve"> </w:t>
            </w:r>
            <w:r w:rsidR="00240E68" w:rsidRPr="00240E68">
              <w:rPr>
                <w:lang w:val="hu-HU"/>
              </w:rPr>
              <w:t xml:space="preserve">A nilotinib </w:t>
            </w:r>
            <w:r w:rsidR="008A1CE6">
              <w:rPr>
                <w:lang w:val="hu-HU"/>
              </w:rPr>
              <w:t>alkalmazását</w:t>
            </w:r>
            <w:r w:rsidR="00240E68" w:rsidRPr="00240E68">
              <w:rPr>
                <w:lang w:val="hu-HU"/>
              </w:rPr>
              <w:t xml:space="preserve"> le kell állítani és a</w:t>
            </w:r>
            <w:r w:rsidR="00240E68">
              <w:rPr>
                <w:lang w:val="hu-HU"/>
              </w:rPr>
              <w:t xml:space="preserve"> </w:t>
            </w:r>
            <w:r w:rsidR="00240E68" w:rsidRPr="00240E68">
              <w:rPr>
                <w:lang w:val="hu-HU"/>
              </w:rPr>
              <w:t>vérképet ellenőrizni kell.</w:t>
            </w:r>
          </w:p>
          <w:p w14:paraId="1DF5FB13" w14:textId="5A6095DA" w:rsidR="00564564" w:rsidRDefault="00564564" w:rsidP="008E68D3">
            <w:pPr>
              <w:pStyle w:val="TableParagraph"/>
              <w:keepNext/>
              <w:numPr>
                <w:ilvl w:val="0"/>
                <w:numId w:val="3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>
              <w:rPr>
                <w:lang w:val="hu-HU"/>
              </w:rPr>
              <w:t xml:space="preserve"> </w:t>
            </w:r>
            <w:r w:rsidR="00240E68" w:rsidRPr="00564564">
              <w:rPr>
                <w:lang w:val="hu-HU"/>
              </w:rPr>
              <w:t xml:space="preserve">A kezelést 2 héten belül újra kell indítani az előző dózissal, ha az ANC </w:t>
            </w:r>
            <w:r w:rsidR="001D559B" w:rsidRPr="00564564">
              <w:rPr>
                <w:lang w:val="hu-HU"/>
              </w:rPr>
              <w:t>&gt;</w:t>
            </w:r>
            <w:r w:rsidR="001D559B">
              <w:rPr>
                <w:lang w:val="hu-HU"/>
              </w:rPr>
              <w:t> </w:t>
            </w:r>
            <w:r w:rsidR="00240E68" w:rsidRPr="00564564">
              <w:rPr>
                <w:lang w:val="hu-HU"/>
              </w:rPr>
              <w:t>1,</w:t>
            </w:r>
            <w:r w:rsidR="001D559B" w:rsidRPr="00564564">
              <w:rPr>
                <w:lang w:val="hu-HU"/>
              </w:rPr>
              <w:t>0</w:t>
            </w:r>
            <w:r w:rsidR="001D559B">
              <w:rPr>
                <w:lang w:val="hu-HU"/>
              </w:rPr>
              <w:t> </w:t>
            </w:r>
            <w:r w:rsidR="001D559B" w:rsidRPr="00564564">
              <w:rPr>
                <w:lang w:val="hu-HU"/>
              </w:rPr>
              <w:t>×</w:t>
            </w:r>
            <w:r w:rsidR="001D559B">
              <w:rPr>
                <w:lang w:val="hu-HU"/>
              </w:rPr>
              <w:t> </w:t>
            </w:r>
            <w:r w:rsidR="00240E68" w:rsidRPr="00564564">
              <w:rPr>
                <w:lang w:val="hu-HU"/>
              </w:rPr>
              <w:t>10</w:t>
            </w:r>
            <w:r w:rsidR="00240E68" w:rsidRPr="007E4844">
              <w:rPr>
                <w:vertAlign w:val="superscript"/>
                <w:lang w:val="hu-HU"/>
              </w:rPr>
              <w:t>9</w:t>
            </w:r>
            <w:r w:rsidR="00240E68" w:rsidRPr="00564564">
              <w:rPr>
                <w:lang w:val="hu-HU"/>
              </w:rPr>
              <w:t>/l,</w:t>
            </w:r>
            <w:r>
              <w:rPr>
                <w:lang w:val="hu-HU"/>
              </w:rPr>
              <w:t xml:space="preserve"> </w:t>
            </w:r>
            <w:r w:rsidR="00240E68" w:rsidRPr="00564564">
              <w:rPr>
                <w:lang w:val="hu-HU"/>
              </w:rPr>
              <w:t xml:space="preserve">és/vagy a vérlemezkeszám </w:t>
            </w:r>
            <w:r w:rsidR="001D559B" w:rsidRPr="00564564">
              <w:rPr>
                <w:lang w:val="hu-HU"/>
              </w:rPr>
              <w:t>&gt;</w:t>
            </w:r>
            <w:r w:rsidR="001D559B">
              <w:rPr>
                <w:lang w:val="hu-HU"/>
              </w:rPr>
              <w:t> </w:t>
            </w:r>
            <w:r w:rsidR="001D559B" w:rsidRPr="00564564">
              <w:rPr>
                <w:lang w:val="hu-HU"/>
              </w:rPr>
              <w:t>50</w:t>
            </w:r>
            <w:r w:rsidR="001D559B">
              <w:rPr>
                <w:lang w:val="hu-HU"/>
              </w:rPr>
              <w:t> </w:t>
            </w:r>
            <w:r w:rsidR="001D559B" w:rsidRPr="00564564">
              <w:rPr>
                <w:lang w:val="hu-HU"/>
              </w:rPr>
              <w:t>×</w:t>
            </w:r>
            <w:r w:rsidR="001D559B">
              <w:rPr>
                <w:lang w:val="hu-HU"/>
              </w:rPr>
              <w:t> </w:t>
            </w:r>
            <w:r w:rsidR="00240E68" w:rsidRPr="00564564">
              <w:rPr>
                <w:lang w:val="hu-HU"/>
              </w:rPr>
              <w:t>10</w:t>
            </w:r>
            <w:r w:rsidR="00240E68" w:rsidRPr="007E4844">
              <w:rPr>
                <w:vertAlign w:val="superscript"/>
                <w:lang w:val="hu-HU"/>
              </w:rPr>
              <w:t>9</w:t>
            </w:r>
            <w:r w:rsidR="00240E68" w:rsidRPr="00564564">
              <w:rPr>
                <w:lang w:val="hu-HU"/>
              </w:rPr>
              <w:t xml:space="preserve">/l. </w:t>
            </w:r>
          </w:p>
          <w:p w14:paraId="10419E7B" w14:textId="4A922377" w:rsidR="00C617F5" w:rsidRPr="00564564" w:rsidRDefault="00240E68" w:rsidP="008E68D3">
            <w:pPr>
              <w:pStyle w:val="TableParagraph"/>
              <w:keepNext/>
              <w:numPr>
                <w:ilvl w:val="0"/>
                <w:numId w:val="3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564564">
              <w:rPr>
                <w:lang w:val="hu-HU"/>
              </w:rPr>
              <w:t xml:space="preserve"> Ha a vérképeredmények alacsonyak</w:t>
            </w:r>
            <w:r w:rsidR="00564564">
              <w:rPr>
                <w:lang w:val="hu-HU"/>
              </w:rPr>
              <w:t xml:space="preserve"> </w:t>
            </w:r>
            <w:r w:rsidRPr="00564564">
              <w:rPr>
                <w:lang w:val="hu-HU"/>
              </w:rPr>
              <w:t>maradnak, naponta egyszer 400</w:t>
            </w:r>
            <w:r w:rsidR="00564564">
              <w:rPr>
                <w:lang w:val="hu-HU"/>
              </w:rPr>
              <w:t> </w:t>
            </w:r>
            <w:r w:rsidRPr="00564564">
              <w:rPr>
                <w:lang w:val="hu-HU"/>
              </w:rPr>
              <w:t>mg-ra való</w:t>
            </w:r>
            <w:r w:rsidR="00564564">
              <w:rPr>
                <w:lang w:val="hu-HU"/>
              </w:rPr>
              <w:t xml:space="preserve"> </w:t>
            </w:r>
            <w:r w:rsidRPr="00240E68">
              <w:rPr>
                <w:lang w:val="hu-HU"/>
              </w:rPr>
              <w:t>dóziscsökkentésre lehet szükség.</w:t>
            </w:r>
          </w:p>
        </w:tc>
      </w:tr>
      <w:tr w:rsidR="00C617F5" w:rsidRPr="00054B09" w14:paraId="60D16BA4" w14:textId="77777777" w:rsidTr="00027697">
        <w:trPr>
          <w:cantSplit/>
        </w:trPr>
        <w:tc>
          <w:tcPr>
            <w:tcW w:w="2405" w:type="dxa"/>
          </w:tcPr>
          <w:p w14:paraId="2DBE65DE" w14:textId="5435E199" w:rsidR="00C617F5" w:rsidRPr="00A269A8" w:rsidRDefault="000D0186" w:rsidP="008E68D3">
            <w:pPr>
              <w:pStyle w:val="TableParagraph"/>
              <w:ind w:right="618"/>
              <w:rPr>
                <w:lang w:val="hu-HU"/>
              </w:rPr>
            </w:pPr>
            <w:r w:rsidRPr="00A269A8">
              <w:rPr>
                <w:lang w:val="hu-HU"/>
              </w:rPr>
              <w:t>Felnőttkori imatinib-rezisztens vagy intoleráns akcelerált fázisú CML, naponta kétszer 400 mg dózisnál</w:t>
            </w:r>
          </w:p>
        </w:tc>
        <w:tc>
          <w:tcPr>
            <w:tcW w:w="2492" w:type="dxa"/>
          </w:tcPr>
          <w:p w14:paraId="7C56BB2E" w14:textId="5B5382C4" w:rsidR="00C617F5" w:rsidRPr="00A269A8" w:rsidRDefault="00330FD1" w:rsidP="00027697">
            <w:pPr>
              <w:pStyle w:val="TableParagraph"/>
              <w:ind w:left="138"/>
              <w:rPr>
                <w:lang w:val="hu-HU"/>
              </w:rPr>
            </w:pPr>
            <w:r w:rsidRPr="00A269A8">
              <w:rPr>
                <w:lang w:val="hu-HU"/>
              </w:rPr>
              <w:t xml:space="preserve">ANC* </w:t>
            </w:r>
            <w:proofErr w:type="gramStart"/>
            <w:r w:rsidR="001D559B" w:rsidRPr="00A269A8">
              <w:rPr>
                <w:lang w:val="hu-HU"/>
              </w:rPr>
              <w:t>&lt;</w:t>
            </w:r>
            <w:r w:rsidR="001D559B">
              <w:rPr>
                <w:lang w:val="hu-HU"/>
              </w:rPr>
              <w:t> </w:t>
            </w:r>
            <w:r w:rsidRPr="00A269A8">
              <w:rPr>
                <w:lang w:val="hu-HU"/>
              </w:rPr>
              <w:t>0</w:t>
            </w:r>
            <w:proofErr w:type="gramEnd"/>
            <w:r w:rsidRPr="00A269A8">
              <w:rPr>
                <w:lang w:val="hu-HU"/>
              </w:rPr>
              <w:t>,</w:t>
            </w:r>
            <w:r w:rsidR="001D559B" w:rsidRPr="00A269A8">
              <w:rPr>
                <w:lang w:val="hu-HU"/>
              </w:rPr>
              <w:t>5</w:t>
            </w:r>
            <w:r w:rsidR="001D559B">
              <w:rPr>
                <w:lang w:val="hu-HU"/>
              </w:rPr>
              <w:t> </w:t>
            </w:r>
            <w:r w:rsidR="001D559B" w:rsidRPr="00A269A8">
              <w:rPr>
                <w:lang w:val="hu-HU"/>
              </w:rPr>
              <w:t>×</w:t>
            </w:r>
            <w:r w:rsidR="001D559B">
              <w:rPr>
                <w:lang w:val="hu-HU"/>
              </w:rPr>
              <w:t> </w:t>
            </w:r>
            <w:r w:rsidRPr="00A269A8">
              <w:rPr>
                <w:lang w:val="hu-HU"/>
              </w:rPr>
              <w:t>10</w:t>
            </w:r>
            <w:r w:rsidRPr="00A269A8">
              <w:rPr>
                <w:vertAlign w:val="superscript"/>
                <w:lang w:val="hu-HU"/>
              </w:rPr>
              <w:t>9</w:t>
            </w:r>
            <w:r w:rsidRPr="00A269A8">
              <w:rPr>
                <w:lang w:val="hu-HU"/>
              </w:rPr>
              <w:t>/l, és/vagy a vérlemezkeszám</w:t>
            </w:r>
            <w:r w:rsidR="001D559B">
              <w:rPr>
                <w:lang w:val="hu-HU"/>
              </w:rPr>
              <w:t xml:space="preserve"> </w:t>
            </w:r>
            <w:r w:rsidR="001D559B" w:rsidRPr="00A269A8">
              <w:rPr>
                <w:lang w:val="hu-HU"/>
              </w:rPr>
              <w:t>&lt;</w:t>
            </w:r>
            <w:r w:rsidR="001D559B">
              <w:rPr>
                <w:lang w:val="hu-HU"/>
              </w:rPr>
              <w:t> </w:t>
            </w:r>
            <w:r w:rsidR="001D559B" w:rsidRPr="00A269A8">
              <w:rPr>
                <w:lang w:val="hu-HU"/>
              </w:rPr>
              <w:t>10</w:t>
            </w:r>
            <w:r w:rsidR="001D559B">
              <w:rPr>
                <w:lang w:val="hu-HU"/>
              </w:rPr>
              <w:t> </w:t>
            </w:r>
            <w:r w:rsidR="001D559B" w:rsidRPr="00A269A8">
              <w:rPr>
                <w:lang w:val="hu-HU"/>
              </w:rPr>
              <w:t>×</w:t>
            </w:r>
            <w:r w:rsidR="001D559B">
              <w:rPr>
                <w:lang w:val="hu-HU"/>
              </w:rPr>
              <w:t> </w:t>
            </w:r>
            <w:r w:rsidRPr="00A269A8">
              <w:rPr>
                <w:lang w:val="hu-HU"/>
              </w:rPr>
              <w:t>10</w:t>
            </w:r>
            <w:r w:rsidRPr="00A269A8">
              <w:rPr>
                <w:vertAlign w:val="superscript"/>
                <w:lang w:val="hu-HU"/>
              </w:rPr>
              <w:t>9</w:t>
            </w:r>
            <w:r w:rsidRPr="00A269A8">
              <w:rPr>
                <w:lang w:val="hu-HU"/>
              </w:rPr>
              <w:t>/l</w:t>
            </w:r>
          </w:p>
        </w:tc>
        <w:tc>
          <w:tcPr>
            <w:tcW w:w="3787" w:type="dxa"/>
          </w:tcPr>
          <w:p w14:paraId="05B82CEE" w14:textId="2DCC7332" w:rsidR="00A269A8" w:rsidRPr="00A269A8" w:rsidRDefault="00A269A8" w:rsidP="008E68D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A269A8">
              <w:rPr>
                <w:lang w:val="hu-HU"/>
              </w:rPr>
              <w:t xml:space="preserve"> A nilotinib </w:t>
            </w:r>
            <w:r w:rsidR="008A1CE6">
              <w:rPr>
                <w:lang w:val="hu-HU"/>
              </w:rPr>
              <w:t>alkalmazását</w:t>
            </w:r>
            <w:r w:rsidRPr="00A269A8">
              <w:rPr>
                <w:lang w:val="hu-HU"/>
              </w:rPr>
              <w:t xml:space="preserve"> le kell állítani és a vérképet ellenőrizni kell. </w:t>
            </w:r>
          </w:p>
          <w:p w14:paraId="5FE92265" w14:textId="4123B4A1" w:rsidR="00A269A8" w:rsidRPr="00A269A8" w:rsidRDefault="00A269A8" w:rsidP="008E68D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A269A8">
              <w:rPr>
                <w:lang w:val="hu-HU"/>
              </w:rPr>
              <w:t xml:space="preserve">A kezelést 2 héten belül újra kell indítani az előző dózissal, ha az ANC </w:t>
            </w:r>
            <w:r w:rsidR="00FD4988" w:rsidRPr="00A269A8">
              <w:rPr>
                <w:lang w:val="hu-HU"/>
              </w:rPr>
              <w:t>&gt;</w:t>
            </w:r>
            <w:r w:rsidR="00FD4988">
              <w:rPr>
                <w:lang w:val="hu-HU"/>
              </w:rPr>
              <w:t> </w:t>
            </w:r>
            <w:r w:rsidRPr="00A269A8">
              <w:rPr>
                <w:lang w:val="hu-HU"/>
              </w:rPr>
              <w:t>1,</w:t>
            </w:r>
            <w:r w:rsidR="00FD4988" w:rsidRPr="00A269A8">
              <w:rPr>
                <w:lang w:val="hu-HU"/>
              </w:rPr>
              <w:t>0</w:t>
            </w:r>
            <w:r w:rsidR="00FD4988">
              <w:rPr>
                <w:lang w:val="hu-HU"/>
              </w:rPr>
              <w:t> </w:t>
            </w:r>
            <w:r w:rsidR="00FD4988" w:rsidRPr="00A269A8">
              <w:rPr>
                <w:lang w:val="hu-HU"/>
              </w:rPr>
              <w:t>×</w:t>
            </w:r>
            <w:r w:rsidR="00FD4988">
              <w:rPr>
                <w:lang w:val="hu-HU"/>
              </w:rPr>
              <w:t> </w:t>
            </w:r>
            <w:r w:rsidRPr="00A269A8">
              <w:rPr>
                <w:lang w:val="hu-HU"/>
              </w:rPr>
              <w:t>10</w:t>
            </w:r>
            <w:r w:rsidRPr="00B7003D">
              <w:rPr>
                <w:vertAlign w:val="superscript"/>
                <w:lang w:val="hu-HU"/>
              </w:rPr>
              <w:t>9</w:t>
            </w:r>
            <w:r w:rsidRPr="00A269A8">
              <w:rPr>
                <w:lang w:val="hu-HU"/>
              </w:rPr>
              <w:t xml:space="preserve">/l, és/vagy a vérlemezkeszám </w:t>
            </w:r>
            <w:r w:rsidR="00FD4988" w:rsidRPr="00A269A8">
              <w:rPr>
                <w:lang w:val="hu-HU"/>
              </w:rPr>
              <w:t>&gt;</w:t>
            </w:r>
            <w:r w:rsidR="00FD4988">
              <w:rPr>
                <w:lang w:val="hu-HU"/>
              </w:rPr>
              <w:t> </w:t>
            </w:r>
            <w:r w:rsidR="00FD4988" w:rsidRPr="00A269A8">
              <w:rPr>
                <w:lang w:val="hu-HU"/>
              </w:rPr>
              <w:t>20</w:t>
            </w:r>
            <w:r w:rsidR="00FD4988">
              <w:rPr>
                <w:lang w:val="hu-HU"/>
              </w:rPr>
              <w:t> </w:t>
            </w:r>
            <w:r w:rsidR="00FD4988" w:rsidRPr="00A269A8">
              <w:rPr>
                <w:lang w:val="hu-HU"/>
              </w:rPr>
              <w:t>×</w:t>
            </w:r>
            <w:r w:rsidR="00FD4988">
              <w:rPr>
                <w:lang w:val="hu-HU"/>
              </w:rPr>
              <w:t> </w:t>
            </w:r>
            <w:r w:rsidRPr="00A269A8">
              <w:rPr>
                <w:lang w:val="hu-HU"/>
              </w:rPr>
              <w:t>10</w:t>
            </w:r>
            <w:r w:rsidRPr="00B7003D">
              <w:rPr>
                <w:vertAlign w:val="superscript"/>
                <w:lang w:val="hu-HU"/>
              </w:rPr>
              <w:t>9</w:t>
            </w:r>
            <w:r w:rsidRPr="00A269A8">
              <w:rPr>
                <w:lang w:val="hu-HU"/>
              </w:rPr>
              <w:t xml:space="preserve">/l. </w:t>
            </w:r>
          </w:p>
          <w:p w14:paraId="7839E9F6" w14:textId="63675968" w:rsidR="00C617F5" w:rsidRPr="00A269A8" w:rsidRDefault="00A269A8" w:rsidP="008E68D3">
            <w:pPr>
              <w:pStyle w:val="TableParagraph"/>
              <w:numPr>
                <w:ilvl w:val="0"/>
                <w:numId w:val="2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A269A8">
              <w:rPr>
                <w:lang w:val="hu-HU"/>
              </w:rPr>
              <w:t>Ha a vérképeredmények alacsonyak maradnak, naponta egyszer 400</w:t>
            </w:r>
            <w:r w:rsidR="00B7003D">
              <w:rPr>
                <w:lang w:val="hu-HU"/>
              </w:rPr>
              <w:t> </w:t>
            </w:r>
            <w:r w:rsidRPr="00A269A8">
              <w:rPr>
                <w:lang w:val="hu-HU"/>
              </w:rPr>
              <w:t>mg-ra való dóziscsökkentésre lehet szükség.</w:t>
            </w:r>
          </w:p>
        </w:tc>
      </w:tr>
      <w:tr w:rsidR="00C617F5" w:rsidRPr="00054B09" w14:paraId="630F4F45" w14:textId="77777777" w:rsidTr="00027697">
        <w:trPr>
          <w:cantSplit/>
          <w:trHeight w:val="2545"/>
        </w:trPr>
        <w:tc>
          <w:tcPr>
            <w:tcW w:w="2405" w:type="dxa"/>
          </w:tcPr>
          <w:p w14:paraId="0EBBE938" w14:textId="414011CF" w:rsidR="00566368" w:rsidRPr="00D27DBB" w:rsidRDefault="00566368" w:rsidP="008E68D3">
            <w:pPr>
              <w:pStyle w:val="TableParagraph"/>
              <w:ind w:right="48"/>
              <w:rPr>
                <w:lang w:val="hu-HU"/>
              </w:rPr>
            </w:pPr>
            <w:r w:rsidRPr="00D27DBB">
              <w:rPr>
                <w:lang w:val="hu-HU"/>
              </w:rPr>
              <w:t>Gyermekkori, újonnan</w:t>
            </w:r>
            <w:r w:rsidR="00113935" w:rsidRPr="00D27DBB">
              <w:rPr>
                <w:lang w:val="hu-HU"/>
              </w:rPr>
              <w:t xml:space="preserve"> </w:t>
            </w:r>
            <w:r w:rsidRPr="00D27DBB">
              <w:rPr>
                <w:lang w:val="hu-HU"/>
              </w:rPr>
              <w:t>diagnosztizált, krónikus fázisú CML, naponta kétszer 230 mg/m</w:t>
            </w:r>
            <w:r w:rsidRPr="00D27DBB">
              <w:rPr>
                <w:vertAlign w:val="superscript"/>
                <w:lang w:val="hu-HU"/>
              </w:rPr>
              <w:t>2</w:t>
            </w:r>
            <w:r w:rsidRPr="00D27DBB">
              <w:rPr>
                <w:lang w:val="hu-HU"/>
              </w:rPr>
              <w:t xml:space="preserve"> dózisnál</w:t>
            </w:r>
            <w:r w:rsidR="00FD4988" w:rsidRPr="00D27DBB">
              <w:rPr>
                <w:lang w:val="hu-HU"/>
              </w:rPr>
              <w:t xml:space="preserve"> </w:t>
            </w:r>
            <w:r w:rsidRPr="00D27DBB">
              <w:rPr>
                <w:lang w:val="hu-HU"/>
              </w:rPr>
              <w:t>és imatinib-rezisztens vagy imatinibre intoleráns, krónikus fázisú CML, naponta kétszer 230 mg/m</w:t>
            </w:r>
            <w:r w:rsidRPr="00D27DBB">
              <w:rPr>
                <w:vertAlign w:val="superscript"/>
                <w:lang w:val="hu-HU"/>
              </w:rPr>
              <w:t>2</w:t>
            </w:r>
          </w:p>
          <w:p w14:paraId="5D1B545C" w14:textId="59EEBED7" w:rsidR="00C617F5" w:rsidRPr="00053329" w:rsidRDefault="00566368" w:rsidP="008E68D3">
            <w:pPr>
              <w:pStyle w:val="TableParagraph"/>
              <w:ind w:right="48"/>
              <w:rPr>
                <w:b/>
                <w:bCs/>
                <w:lang w:val="hu-HU"/>
              </w:rPr>
            </w:pPr>
            <w:r w:rsidRPr="00D27DBB">
              <w:rPr>
                <w:lang w:val="hu-HU"/>
              </w:rPr>
              <w:t>dózisnál</w:t>
            </w:r>
          </w:p>
        </w:tc>
        <w:tc>
          <w:tcPr>
            <w:tcW w:w="2492" w:type="dxa"/>
          </w:tcPr>
          <w:p w14:paraId="7C8028D5" w14:textId="10D5EC74" w:rsidR="00C617F5" w:rsidRPr="00053329" w:rsidRDefault="002A409A" w:rsidP="00027697">
            <w:pPr>
              <w:pStyle w:val="TableParagraph"/>
              <w:ind w:left="138" w:firstLine="9"/>
              <w:rPr>
                <w:lang w:val="hu-HU"/>
              </w:rPr>
            </w:pPr>
            <w:r w:rsidRPr="00053329">
              <w:rPr>
                <w:lang w:val="hu-HU"/>
              </w:rPr>
              <w:t xml:space="preserve">ANC* </w:t>
            </w:r>
            <w:proofErr w:type="gramStart"/>
            <w:r w:rsidRPr="00053329">
              <w:rPr>
                <w:lang w:val="hu-HU"/>
              </w:rPr>
              <w:t>&lt;</w:t>
            </w:r>
            <w:r w:rsidR="001D559B">
              <w:rPr>
                <w:lang w:val="hu-HU"/>
              </w:rPr>
              <w:t> </w:t>
            </w:r>
            <w:r w:rsidRPr="00053329">
              <w:rPr>
                <w:lang w:val="hu-HU"/>
              </w:rPr>
              <w:t>1</w:t>
            </w:r>
            <w:proofErr w:type="gramEnd"/>
            <w:r w:rsidRPr="00053329">
              <w:rPr>
                <w:lang w:val="hu-HU"/>
              </w:rPr>
              <w:t>,</w:t>
            </w:r>
            <w:r w:rsidR="001D559B" w:rsidRPr="00053329">
              <w:rPr>
                <w:lang w:val="hu-HU"/>
              </w:rPr>
              <w:t>0</w:t>
            </w:r>
            <w:r w:rsidR="001D559B">
              <w:rPr>
                <w:lang w:val="hu-HU"/>
              </w:rPr>
              <w:t> </w:t>
            </w:r>
            <w:r w:rsidR="001D559B" w:rsidRPr="00053329">
              <w:rPr>
                <w:lang w:val="hu-HU"/>
              </w:rPr>
              <w:t>×</w:t>
            </w:r>
            <w:r w:rsidR="001D559B">
              <w:rPr>
                <w:lang w:val="hu-HU"/>
              </w:rPr>
              <w:t> </w:t>
            </w:r>
            <w:r w:rsidRPr="00053329">
              <w:rPr>
                <w:lang w:val="hu-HU"/>
              </w:rPr>
              <w:t>10</w:t>
            </w:r>
            <w:r w:rsidRPr="00053329">
              <w:rPr>
                <w:vertAlign w:val="superscript"/>
                <w:lang w:val="hu-HU"/>
              </w:rPr>
              <w:t>9</w:t>
            </w:r>
            <w:r w:rsidRPr="00053329">
              <w:rPr>
                <w:lang w:val="hu-HU"/>
              </w:rPr>
              <w:t>/l és/vagy a vérlemezkeszám</w:t>
            </w:r>
            <w:r w:rsidR="001D559B">
              <w:rPr>
                <w:lang w:val="hu-HU"/>
              </w:rPr>
              <w:t xml:space="preserve"> </w:t>
            </w:r>
            <w:r w:rsidRPr="00053329">
              <w:rPr>
                <w:lang w:val="hu-HU"/>
              </w:rPr>
              <w:t>&lt;</w:t>
            </w:r>
            <w:r w:rsidR="001D559B">
              <w:rPr>
                <w:lang w:val="hu-HU"/>
              </w:rPr>
              <w:t> </w:t>
            </w:r>
            <w:r w:rsidRPr="00053329">
              <w:rPr>
                <w:lang w:val="hu-HU"/>
              </w:rPr>
              <w:t>50</w:t>
            </w:r>
            <w:r w:rsidR="001D559B">
              <w:rPr>
                <w:lang w:val="hu-HU"/>
              </w:rPr>
              <w:t> </w:t>
            </w:r>
            <w:r w:rsidRPr="00053329">
              <w:rPr>
                <w:lang w:val="hu-HU"/>
              </w:rPr>
              <w:t>×</w:t>
            </w:r>
            <w:r w:rsidR="001D559B">
              <w:rPr>
                <w:lang w:val="hu-HU"/>
              </w:rPr>
              <w:t> </w:t>
            </w:r>
            <w:r w:rsidRPr="00053329">
              <w:rPr>
                <w:lang w:val="hu-HU"/>
              </w:rPr>
              <w:t>10</w:t>
            </w:r>
            <w:r w:rsidRPr="00053329">
              <w:rPr>
                <w:vertAlign w:val="superscript"/>
                <w:lang w:val="hu-HU"/>
              </w:rPr>
              <w:t>9</w:t>
            </w:r>
            <w:r w:rsidRPr="00053329">
              <w:rPr>
                <w:lang w:val="hu-HU"/>
              </w:rPr>
              <w:t>/l</w:t>
            </w:r>
          </w:p>
        </w:tc>
        <w:tc>
          <w:tcPr>
            <w:tcW w:w="3787" w:type="dxa"/>
          </w:tcPr>
          <w:p w14:paraId="33144DD1" w14:textId="79DCD4E9" w:rsidR="00053329" w:rsidRPr="00053329" w:rsidRDefault="00053329" w:rsidP="008E68D3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053329">
              <w:rPr>
                <w:lang w:val="hu-HU"/>
              </w:rPr>
              <w:t xml:space="preserve">A nilotinib </w:t>
            </w:r>
            <w:r w:rsidR="008A1CE6">
              <w:rPr>
                <w:lang w:val="hu-HU"/>
              </w:rPr>
              <w:t>alkalmazását</w:t>
            </w:r>
            <w:r w:rsidRPr="00053329">
              <w:rPr>
                <w:lang w:val="hu-HU"/>
              </w:rPr>
              <w:t xml:space="preserve"> le kell állítani és a vérképet ellenőrizni kell.</w:t>
            </w:r>
          </w:p>
          <w:p w14:paraId="24237E48" w14:textId="5D2C49DC" w:rsidR="00053329" w:rsidRPr="00053329" w:rsidRDefault="00053329" w:rsidP="008E68D3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053329">
              <w:rPr>
                <w:lang w:val="hu-HU"/>
              </w:rPr>
              <w:t>A kezelést 2</w:t>
            </w:r>
            <w:r w:rsidR="00B7003D">
              <w:rPr>
                <w:lang w:val="hu-HU"/>
              </w:rPr>
              <w:t> </w:t>
            </w:r>
            <w:r w:rsidRPr="00053329">
              <w:rPr>
                <w:lang w:val="hu-HU"/>
              </w:rPr>
              <w:t xml:space="preserve">héten belül újra kell indítani az előző dózissal, ha az ANC </w:t>
            </w:r>
            <w:r w:rsidR="00FD4988" w:rsidRPr="00053329">
              <w:rPr>
                <w:lang w:val="hu-HU"/>
              </w:rPr>
              <w:t>&gt;</w:t>
            </w:r>
            <w:r w:rsidR="00FD4988">
              <w:rPr>
                <w:lang w:val="hu-HU"/>
              </w:rPr>
              <w:t> </w:t>
            </w:r>
            <w:r w:rsidRPr="00053329">
              <w:rPr>
                <w:lang w:val="hu-HU"/>
              </w:rPr>
              <w:t>1,</w:t>
            </w:r>
            <w:r w:rsidR="00FD4988" w:rsidRPr="00053329">
              <w:rPr>
                <w:lang w:val="hu-HU"/>
              </w:rPr>
              <w:t>5</w:t>
            </w:r>
            <w:r w:rsidR="00FD4988">
              <w:rPr>
                <w:lang w:val="hu-HU"/>
              </w:rPr>
              <w:t> </w:t>
            </w:r>
            <w:r w:rsidR="00FD4988" w:rsidRPr="00053329">
              <w:rPr>
                <w:lang w:val="hu-HU"/>
              </w:rPr>
              <w:t>×</w:t>
            </w:r>
            <w:r w:rsidR="00FD4988">
              <w:rPr>
                <w:lang w:val="hu-HU"/>
              </w:rPr>
              <w:t> </w:t>
            </w:r>
            <w:r w:rsidRPr="00053329">
              <w:rPr>
                <w:lang w:val="hu-HU"/>
              </w:rPr>
              <w:t>10</w:t>
            </w:r>
            <w:r w:rsidRPr="00053329">
              <w:rPr>
                <w:vertAlign w:val="superscript"/>
                <w:lang w:val="hu-HU"/>
              </w:rPr>
              <w:t>9</w:t>
            </w:r>
            <w:r w:rsidRPr="00053329">
              <w:rPr>
                <w:lang w:val="hu-HU"/>
              </w:rPr>
              <w:t>/l</w:t>
            </w:r>
            <w:r w:rsidR="00E058CC">
              <w:rPr>
                <w:lang w:val="hu-HU"/>
              </w:rPr>
              <w:t xml:space="preserve"> </w:t>
            </w:r>
            <w:r w:rsidRPr="00053329">
              <w:rPr>
                <w:lang w:val="hu-HU"/>
              </w:rPr>
              <w:t xml:space="preserve">és/vagy a vérlemezkeszám </w:t>
            </w:r>
            <w:r w:rsidR="00FD4988" w:rsidRPr="00053329">
              <w:rPr>
                <w:lang w:val="hu-HU"/>
              </w:rPr>
              <w:t>&gt;</w:t>
            </w:r>
            <w:r w:rsidR="00FD4988">
              <w:rPr>
                <w:lang w:val="hu-HU"/>
              </w:rPr>
              <w:t> </w:t>
            </w:r>
            <w:r w:rsidR="00FD4988" w:rsidRPr="00053329">
              <w:rPr>
                <w:lang w:val="hu-HU"/>
              </w:rPr>
              <w:t>75</w:t>
            </w:r>
            <w:r w:rsidR="00FD4988">
              <w:rPr>
                <w:lang w:val="hu-HU"/>
              </w:rPr>
              <w:t> </w:t>
            </w:r>
            <w:r w:rsidR="00FD4988" w:rsidRPr="00053329">
              <w:rPr>
                <w:lang w:val="hu-HU"/>
              </w:rPr>
              <w:t>×</w:t>
            </w:r>
            <w:r w:rsidR="00FD4988">
              <w:rPr>
                <w:lang w:val="hu-HU"/>
              </w:rPr>
              <w:t> </w:t>
            </w:r>
            <w:r w:rsidRPr="00053329">
              <w:rPr>
                <w:lang w:val="hu-HU"/>
              </w:rPr>
              <w:t>10</w:t>
            </w:r>
            <w:r w:rsidRPr="00053329">
              <w:rPr>
                <w:vertAlign w:val="superscript"/>
                <w:lang w:val="hu-HU"/>
              </w:rPr>
              <w:t>9</w:t>
            </w:r>
            <w:r w:rsidRPr="00053329">
              <w:rPr>
                <w:lang w:val="hu-HU"/>
              </w:rPr>
              <w:t>/l.</w:t>
            </w:r>
          </w:p>
          <w:p w14:paraId="662BE9B2" w14:textId="0EDDC812" w:rsidR="00053329" w:rsidRPr="00053329" w:rsidRDefault="00053329" w:rsidP="008E68D3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053329">
              <w:rPr>
                <w:lang w:val="hu-HU"/>
              </w:rPr>
              <w:t>Ha a vérképeredmények alacsonyak maradnak, naponta egyszer 230</w:t>
            </w:r>
            <w:r w:rsidR="00E058CC">
              <w:rPr>
                <w:lang w:val="hu-HU"/>
              </w:rPr>
              <w:t> </w:t>
            </w:r>
            <w:r w:rsidRPr="00053329">
              <w:rPr>
                <w:lang w:val="hu-HU"/>
              </w:rPr>
              <w:t>mg/m</w:t>
            </w:r>
            <w:r w:rsidRPr="00053329">
              <w:rPr>
                <w:vertAlign w:val="superscript"/>
                <w:lang w:val="hu-HU"/>
              </w:rPr>
              <w:t>2</w:t>
            </w:r>
            <w:r w:rsidRPr="00053329">
              <w:rPr>
                <w:lang w:val="hu-HU"/>
              </w:rPr>
              <w:t>-re való dóziscsökkentésre lehet szükség.</w:t>
            </w:r>
          </w:p>
          <w:p w14:paraId="2018660A" w14:textId="6E4F9CBE" w:rsidR="00C617F5" w:rsidRPr="00053329" w:rsidRDefault="00053329" w:rsidP="008E68D3">
            <w:pPr>
              <w:pStyle w:val="TableParagraph"/>
              <w:numPr>
                <w:ilvl w:val="0"/>
                <w:numId w:val="1"/>
              </w:numPr>
              <w:tabs>
                <w:tab w:val="left" w:pos="425"/>
              </w:tabs>
              <w:ind w:right="220"/>
              <w:rPr>
                <w:lang w:val="hu-HU"/>
              </w:rPr>
            </w:pPr>
            <w:r w:rsidRPr="00053329">
              <w:rPr>
                <w:lang w:val="hu-HU"/>
              </w:rPr>
              <w:t>Ha dóziscsökkentés után következik be esemény, mérlegelni kell a kezelés abbahagyását.</w:t>
            </w:r>
          </w:p>
        </w:tc>
      </w:tr>
    </w:tbl>
    <w:p w14:paraId="0CF7B3E9" w14:textId="2505D2FF" w:rsidR="00C617F5" w:rsidRDefault="00E058CC" w:rsidP="000276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*ANC = abszolút neutrofil</w:t>
      </w:r>
      <w:r w:rsidR="00113935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szám</w:t>
      </w:r>
    </w:p>
    <w:p w14:paraId="66E545B9" w14:textId="77777777" w:rsidR="001A0D90" w:rsidRDefault="001A0D90" w:rsidP="00FA04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86EC898" w14:textId="79C76059" w:rsidR="00174D67" w:rsidRDefault="001A0D90" w:rsidP="00174D67">
      <w:pPr>
        <w:autoSpaceDE w:val="0"/>
        <w:autoSpaceDN w:val="0"/>
        <w:adjustRightInd w:val="0"/>
        <w:spacing w:after="0" w:line="240" w:lineRule="auto"/>
      </w:pPr>
      <w:r w:rsidRPr="00FA0419">
        <w:rPr>
          <w:rFonts w:ascii="Times New Roman" w:hAnsi="Times New Roman" w:cs="Times New Roman"/>
          <w:kern w:val="0"/>
        </w:rPr>
        <w:t>Ha klinikailag jelentős köz</w:t>
      </w:r>
      <w:r w:rsidR="00CC3CC1">
        <w:rPr>
          <w:rFonts w:ascii="Times New Roman" w:hAnsi="Times New Roman" w:cs="Times New Roman"/>
          <w:kern w:val="0"/>
        </w:rPr>
        <w:t>e</w:t>
      </w:r>
      <w:r w:rsidRPr="00FA0419">
        <w:rPr>
          <w:rFonts w:ascii="Times New Roman" w:hAnsi="Times New Roman" w:cs="Times New Roman"/>
          <w:kern w:val="0"/>
        </w:rPr>
        <w:t>p</w:t>
      </w:r>
      <w:r w:rsidR="00CC3CC1">
        <w:rPr>
          <w:rFonts w:ascii="Times New Roman" w:hAnsi="Times New Roman" w:cs="Times New Roman"/>
          <w:kern w:val="0"/>
        </w:rPr>
        <w:t xml:space="preserve">esen </w:t>
      </w:r>
      <w:r w:rsidRPr="00FA0419">
        <w:rPr>
          <w:rFonts w:ascii="Times New Roman" w:hAnsi="Times New Roman" w:cs="Times New Roman"/>
          <w:kern w:val="0"/>
        </w:rPr>
        <w:t>súlyos vagy súlyos nem hematológiai toxicitás alakul ki, az adagolást fel kell függeszteni, a beteg állapotát rendszeresen ellenőrizni kell és megfelelő kezelést kell alkalmazni.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Ha a korábbi dózis felnőttkori, újonnan diagnosztizált, krónikus fázisú CML-ben naponta kétszer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300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 xml:space="preserve">mg, illetve felnőttkori, imatinib-rezisztens vagy imatinibre intoleráns CML </w:t>
      </w:r>
      <w:r w:rsidR="007F5B7B" w:rsidRPr="00FA0419">
        <w:rPr>
          <w:rFonts w:ascii="Times New Roman" w:hAnsi="Times New Roman" w:cs="Times New Roman"/>
          <w:kern w:val="0"/>
        </w:rPr>
        <w:t>krónikus,</w:t>
      </w:r>
      <w:r w:rsidRPr="00FA0419">
        <w:rPr>
          <w:rFonts w:ascii="Times New Roman" w:hAnsi="Times New Roman" w:cs="Times New Roman"/>
          <w:kern w:val="0"/>
        </w:rPr>
        <w:t xml:space="preserve"> vagy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akcelerált fázisában naponta kétszer 400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mg, illetve gyermekgyógyászati betegeknél naponta kétszer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230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mg/m</w:t>
      </w:r>
      <w:r w:rsidRPr="00FA0419">
        <w:rPr>
          <w:rFonts w:ascii="Times New Roman" w:hAnsi="Times New Roman" w:cs="Times New Roman"/>
          <w:kern w:val="0"/>
          <w:vertAlign w:val="superscript"/>
        </w:rPr>
        <w:t>2</w:t>
      </w:r>
      <w:r w:rsidRPr="00FA0419">
        <w:rPr>
          <w:rFonts w:ascii="Times New Roman" w:hAnsi="Times New Roman" w:cs="Times New Roman"/>
          <w:kern w:val="0"/>
        </w:rPr>
        <w:t xml:space="preserve"> volt, a kezelést felnőtt betegeknél naponta egyszer 400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mg, míg gyermekgyógyászati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betegeknél naponta egyszer 230</w:t>
      </w:r>
      <w:r w:rsidR="004F40EB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mg/m</w:t>
      </w:r>
      <w:r w:rsidRPr="00FA0419">
        <w:rPr>
          <w:rFonts w:ascii="Times New Roman" w:hAnsi="Times New Roman" w:cs="Times New Roman"/>
          <w:kern w:val="0"/>
          <w:vertAlign w:val="superscript"/>
        </w:rPr>
        <w:t>2</w:t>
      </w:r>
      <w:r w:rsidRPr="00FA0419">
        <w:rPr>
          <w:rFonts w:ascii="Times New Roman" w:hAnsi="Times New Roman" w:cs="Times New Roman"/>
          <w:kern w:val="0"/>
        </w:rPr>
        <w:t xml:space="preserve"> dózissal lehet folytatni, </w:t>
      </w:r>
      <w:r w:rsidR="00690565">
        <w:rPr>
          <w:rFonts w:ascii="Times New Roman" w:hAnsi="Times New Roman" w:cs="Times New Roman"/>
          <w:kern w:val="0"/>
        </w:rPr>
        <w:t>amint</w:t>
      </w:r>
      <w:r w:rsidR="00690565" w:rsidRP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 xml:space="preserve">a toxicitás </w:t>
      </w:r>
      <w:r w:rsidR="009A0331">
        <w:rPr>
          <w:rFonts w:ascii="Times New Roman" w:hAnsi="Times New Roman" w:cs="Times New Roman"/>
          <w:kern w:val="0"/>
        </w:rPr>
        <w:t>megszűn</w:t>
      </w:r>
      <w:r w:rsidRPr="00FA0419">
        <w:rPr>
          <w:rFonts w:ascii="Times New Roman" w:hAnsi="Times New Roman" w:cs="Times New Roman"/>
          <w:kern w:val="0"/>
        </w:rPr>
        <w:t>ik. Ha a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korábbi dózis felnőtt betegeknél naponta egyszer 400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mg, gyermekgyógyászati betegeknél pedig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naponta egyszer 230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mg/m</w:t>
      </w:r>
      <w:r w:rsidRPr="00FA0419">
        <w:rPr>
          <w:rFonts w:ascii="Times New Roman" w:hAnsi="Times New Roman" w:cs="Times New Roman"/>
          <w:kern w:val="0"/>
          <w:vertAlign w:val="superscript"/>
        </w:rPr>
        <w:t>2</w:t>
      </w:r>
      <w:r w:rsidRPr="00FA0419">
        <w:rPr>
          <w:rFonts w:ascii="Times New Roman" w:hAnsi="Times New Roman" w:cs="Times New Roman"/>
          <w:kern w:val="0"/>
        </w:rPr>
        <w:t xml:space="preserve"> volt, a kezelést fel kell függeszteni. Ha klinikailag megfelelő, az újonnan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diagnosztizált, a CML krónikus fázisában lévő felnőtt betegeknél a dózisnak a naponta kétszer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300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 xml:space="preserve">mg-os kezdő adagra, </w:t>
      </w:r>
      <w:r w:rsidR="00ED0C56">
        <w:rPr>
          <w:rFonts w:ascii="Times New Roman" w:hAnsi="Times New Roman" w:cs="Times New Roman"/>
          <w:kern w:val="0"/>
        </w:rPr>
        <w:t>valamint</w:t>
      </w:r>
      <w:r w:rsidR="00ED0C56" w:rsidRP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az imatinib-rezisztens vagy intoleráns, a CML krónikus vagy akcelerált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fázisában lévő felnőtt betegeknél a dózisnak a naponta kétszer 400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mg-ra, illetve gyermekgyógyászati</w:t>
      </w:r>
      <w:r w:rsidR="00FA0419">
        <w:rPr>
          <w:rFonts w:ascii="Times New Roman" w:hAnsi="Times New Roman" w:cs="Times New Roman"/>
          <w:kern w:val="0"/>
        </w:rPr>
        <w:t xml:space="preserve"> </w:t>
      </w:r>
      <w:r w:rsidRPr="00FA0419">
        <w:rPr>
          <w:rFonts w:ascii="Times New Roman" w:hAnsi="Times New Roman" w:cs="Times New Roman"/>
          <w:kern w:val="0"/>
        </w:rPr>
        <w:t>betegeknél naponta kétszer 230</w:t>
      </w:r>
      <w:r w:rsidR="00FA0419">
        <w:rPr>
          <w:rFonts w:ascii="Times New Roman" w:hAnsi="Times New Roman" w:cs="Times New Roman"/>
          <w:kern w:val="0"/>
        </w:rPr>
        <w:t> </w:t>
      </w:r>
      <w:r w:rsidRPr="00FA0419">
        <w:rPr>
          <w:rFonts w:ascii="Times New Roman" w:hAnsi="Times New Roman" w:cs="Times New Roman"/>
          <w:kern w:val="0"/>
        </w:rPr>
        <w:t>mg/m</w:t>
      </w:r>
      <w:r w:rsidRPr="00FA0419">
        <w:rPr>
          <w:rFonts w:ascii="Times New Roman" w:hAnsi="Times New Roman" w:cs="Times New Roman"/>
          <w:kern w:val="0"/>
          <w:vertAlign w:val="superscript"/>
        </w:rPr>
        <w:t>2</w:t>
      </w:r>
      <w:r w:rsidRPr="00FA0419">
        <w:rPr>
          <w:rFonts w:ascii="Times New Roman" w:hAnsi="Times New Roman" w:cs="Times New Roman"/>
          <w:kern w:val="0"/>
        </w:rPr>
        <w:t>-re való újbóli növelését mérlegelni kell.</w:t>
      </w:r>
      <w:r w:rsidR="00174D67" w:rsidRPr="00174D67">
        <w:t xml:space="preserve"> </w:t>
      </w:r>
    </w:p>
    <w:p w14:paraId="32C5C7E5" w14:textId="77777777" w:rsidR="00174D67" w:rsidRDefault="00174D67" w:rsidP="00174D67">
      <w:pPr>
        <w:autoSpaceDE w:val="0"/>
        <w:autoSpaceDN w:val="0"/>
        <w:adjustRightInd w:val="0"/>
        <w:spacing w:after="0" w:line="240" w:lineRule="auto"/>
      </w:pPr>
    </w:p>
    <w:p w14:paraId="0CB0F710" w14:textId="2EBB6D72" w:rsidR="001A0D90" w:rsidRDefault="00174D67" w:rsidP="00174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74D67">
        <w:rPr>
          <w:rFonts w:ascii="Times New Roman" w:hAnsi="Times New Roman" w:cs="Times New Roman"/>
          <w:kern w:val="0"/>
        </w:rPr>
        <w:t>Szérum lipázszint-emelkedés: 3-4.</w:t>
      </w:r>
      <w:r w:rsidR="00C856BB"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fokú lipázszint-emelkedések esetében a dózist naponta egyszer</w:t>
      </w:r>
      <w:r>
        <w:rPr>
          <w:rFonts w:ascii="Times New Roman" w:hAnsi="Times New Roman" w:cs="Times New Roman"/>
          <w:kern w:val="0"/>
        </w:rPr>
        <w:t xml:space="preserve"> </w:t>
      </w:r>
      <w:r w:rsidRPr="00174D67">
        <w:rPr>
          <w:rFonts w:ascii="Times New Roman" w:hAnsi="Times New Roman" w:cs="Times New Roman"/>
          <w:kern w:val="0"/>
        </w:rPr>
        <w:t>400</w:t>
      </w:r>
      <w:r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mg-ra kell csökkenteni vagy az adagolást abba kell hagyni. Gyermekgyógyászati betegeknél a</w:t>
      </w:r>
      <w:r>
        <w:rPr>
          <w:rFonts w:ascii="Times New Roman" w:hAnsi="Times New Roman" w:cs="Times New Roman"/>
          <w:kern w:val="0"/>
        </w:rPr>
        <w:t xml:space="preserve"> </w:t>
      </w:r>
      <w:r w:rsidRPr="00174D67">
        <w:rPr>
          <w:rFonts w:ascii="Times New Roman" w:hAnsi="Times New Roman" w:cs="Times New Roman"/>
          <w:kern w:val="0"/>
        </w:rPr>
        <w:t>kezelést meg kell szakítani mindaddig, amíg az esemény súlyossága 1.</w:t>
      </w:r>
      <w:r w:rsidR="00C856BB"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fokúra vagy az alá csökken. Ezt</w:t>
      </w:r>
      <w:r>
        <w:rPr>
          <w:rFonts w:ascii="Times New Roman" w:hAnsi="Times New Roman" w:cs="Times New Roman"/>
          <w:kern w:val="0"/>
        </w:rPr>
        <w:t xml:space="preserve"> </w:t>
      </w:r>
      <w:r w:rsidRPr="00174D67">
        <w:rPr>
          <w:rFonts w:ascii="Times New Roman" w:hAnsi="Times New Roman" w:cs="Times New Roman"/>
          <w:kern w:val="0"/>
        </w:rPr>
        <w:lastRenderedPageBreak/>
        <w:t>követően, ha a korábbi dózis naponta kétszer 230</w:t>
      </w:r>
      <w:r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mg/m</w:t>
      </w:r>
      <w:r w:rsidRPr="00174D67">
        <w:rPr>
          <w:rFonts w:ascii="Times New Roman" w:hAnsi="Times New Roman" w:cs="Times New Roman"/>
          <w:kern w:val="0"/>
          <w:vertAlign w:val="superscript"/>
        </w:rPr>
        <w:t>2</w:t>
      </w:r>
      <w:r w:rsidRPr="00174D67">
        <w:rPr>
          <w:rFonts w:ascii="Times New Roman" w:hAnsi="Times New Roman" w:cs="Times New Roman"/>
          <w:kern w:val="0"/>
        </w:rPr>
        <w:t xml:space="preserve"> volt, a kezelés naponta egyszer</w:t>
      </w:r>
      <w:r>
        <w:rPr>
          <w:rFonts w:ascii="Times New Roman" w:hAnsi="Times New Roman" w:cs="Times New Roman"/>
          <w:kern w:val="0"/>
        </w:rPr>
        <w:t xml:space="preserve"> </w:t>
      </w:r>
      <w:r w:rsidRPr="00174D67">
        <w:rPr>
          <w:rFonts w:ascii="Times New Roman" w:hAnsi="Times New Roman" w:cs="Times New Roman"/>
          <w:kern w:val="0"/>
        </w:rPr>
        <w:t>230</w:t>
      </w:r>
      <w:r w:rsidR="00EB54F4"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mg/m</w:t>
      </w:r>
      <w:r w:rsidRPr="00174D67">
        <w:rPr>
          <w:rFonts w:ascii="Times New Roman" w:hAnsi="Times New Roman" w:cs="Times New Roman"/>
          <w:kern w:val="0"/>
          <w:vertAlign w:val="superscript"/>
        </w:rPr>
        <w:t>2</w:t>
      </w:r>
      <w:r w:rsidR="006401D1">
        <w:rPr>
          <w:rFonts w:ascii="Times New Roman" w:hAnsi="Times New Roman" w:cs="Times New Roman"/>
          <w:kern w:val="0"/>
        </w:rPr>
        <w:noBreakHyphen/>
      </w:r>
      <w:r w:rsidRPr="00174D67">
        <w:rPr>
          <w:rFonts w:ascii="Times New Roman" w:hAnsi="Times New Roman" w:cs="Times New Roman"/>
          <w:kern w:val="0"/>
        </w:rPr>
        <w:t>rel folytatható. Ha a korábbi dózis naponta egyszer 230</w:t>
      </w:r>
      <w:r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mg/m</w:t>
      </w:r>
      <w:r w:rsidRPr="00174D67">
        <w:rPr>
          <w:rFonts w:ascii="Times New Roman" w:hAnsi="Times New Roman" w:cs="Times New Roman"/>
          <w:kern w:val="0"/>
          <w:vertAlign w:val="superscript"/>
        </w:rPr>
        <w:t>2</w:t>
      </w:r>
      <w:r w:rsidRPr="00174D67">
        <w:rPr>
          <w:rFonts w:ascii="Times New Roman" w:hAnsi="Times New Roman" w:cs="Times New Roman"/>
          <w:kern w:val="0"/>
        </w:rPr>
        <w:t xml:space="preserve"> volt, a kezelést abba kell</w:t>
      </w:r>
      <w:r>
        <w:rPr>
          <w:rFonts w:ascii="Times New Roman" w:hAnsi="Times New Roman" w:cs="Times New Roman"/>
          <w:kern w:val="0"/>
        </w:rPr>
        <w:t xml:space="preserve"> </w:t>
      </w:r>
      <w:r w:rsidRPr="00174D67">
        <w:rPr>
          <w:rFonts w:ascii="Times New Roman" w:hAnsi="Times New Roman" w:cs="Times New Roman"/>
          <w:kern w:val="0"/>
        </w:rPr>
        <w:t>hagyni. A szérum lipázszintet havonta vagy a klinikum által indokolt gyakorisággal ellenőrizni kell</w:t>
      </w:r>
      <w:r>
        <w:rPr>
          <w:rFonts w:ascii="Times New Roman" w:hAnsi="Times New Roman" w:cs="Times New Roman"/>
          <w:kern w:val="0"/>
        </w:rPr>
        <w:t xml:space="preserve"> </w:t>
      </w:r>
      <w:r w:rsidRPr="00174D67">
        <w:rPr>
          <w:rFonts w:ascii="Times New Roman" w:hAnsi="Times New Roman" w:cs="Times New Roman"/>
          <w:kern w:val="0"/>
        </w:rPr>
        <w:t>(lásd 4.4</w:t>
      </w:r>
      <w:r>
        <w:rPr>
          <w:rFonts w:ascii="Times New Roman" w:hAnsi="Times New Roman" w:cs="Times New Roman"/>
          <w:kern w:val="0"/>
        </w:rPr>
        <w:t> </w:t>
      </w:r>
      <w:r w:rsidRPr="00174D67">
        <w:rPr>
          <w:rFonts w:ascii="Times New Roman" w:hAnsi="Times New Roman" w:cs="Times New Roman"/>
          <w:kern w:val="0"/>
        </w:rPr>
        <w:t>pont).</w:t>
      </w:r>
    </w:p>
    <w:p w14:paraId="2DF9A44E" w14:textId="77777777" w:rsidR="00C856BB" w:rsidRDefault="00C856BB" w:rsidP="00174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0D44DD2" w14:textId="522BBE90" w:rsidR="00C856BB" w:rsidRDefault="00C856BB" w:rsidP="00C856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856BB">
        <w:rPr>
          <w:rFonts w:ascii="Times New Roman" w:hAnsi="Times New Roman" w:cs="Times New Roman"/>
          <w:kern w:val="0"/>
        </w:rPr>
        <w:t>Bilirubin- és máj transzaminázszint-emelkedés: 3-4. fokú bilirubin- és hepati</w:t>
      </w:r>
      <w:r w:rsidR="003C7DC3">
        <w:rPr>
          <w:rFonts w:ascii="Times New Roman" w:hAnsi="Times New Roman" w:cs="Times New Roman"/>
          <w:kern w:val="0"/>
        </w:rPr>
        <w:t>k</w:t>
      </w:r>
      <w:r w:rsidRPr="00C856BB">
        <w:rPr>
          <w:rFonts w:ascii="Times New Roman" w:hAnsi="Times New Roman" w:cs="Times New Roman"/>
          <w:kern w:val="0"/>
        </w:rPr>
        <w:t>us</w:t>
      </w:r>
      <w:r w:rsidR="00513AC3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transzaminázszint-emelkedések esetében felnőtt betegeknél a dózist naponta egyszer 400</w:t>
      </w:r>
      <w:r w:rsidR="00FD2A3E">
        <w:rPr>
          <w:rFonts w:ascii="Times New Roman" w:hAnsi="Times New Roman" w:cs="Times New Roman"/>
          <w:kern w:val="0"/>
        </w:rPr>
        <w:t> </w:t>
      </w:r>
      <w:r w:rsidRPr="00C856BB">
        <w:rPr>
          <w:rFonts w:ascii="Times New Roman" w:hAnsi="Times New Roman" w:cs="Times New Roman"/>
          <w:kern w:val="0"/>
        </w:rPr>
        <w:t>mg-ra kell</w:t>
      </w:r>
      <w:r w:rsidR="00513AC3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csökkenteni vagy az adagolást abba kell hagyni. A gyermekgyógyászati betegeknél jelentkező 2.</w:t>
      </w:r>
      <w:r w:rsidR="00FD2A3E">
        <w:rPr>
          <w:rFonts w:ascii="Times New Roman" w:hAnsi="Times New Roman" w:cs="Times New Roman"/>
          <w:kern w:val="0"/>
        </w:rPr>
        <w:t> </w:t>
      </w:r>
      <w:r w:rsidRPr="00C856BB">
        <w:rPr>
          <w:rFonts w:ascii="Times New Roman" w:hAnsi="Times New Roman" w:cs="Times New Roman"/>
          <w:kern w:val="0"/>
        </w:rPr>
        <w:t>fokú</w:t>
      </w:r>
      <w:r w:rsidR="00513AC3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vagy nagyobb mértékű bilirubinszint-emelkedés, illetve a 3. fokú vagy nagyobb mértékű hepati</w:t>
      </w:r>
      <w:r w:rsidR="003C7DC3">
        <w:rPr>
          <w:rFonts w:ascii="Times New Roman" w:hAnsi="Times New Roman" w:cs="Times New Roman"/>
          <w:kern w:val="0"/>
        </w:rPr>
        <w:t>k</w:t>
      </w:r>
      <w:r w:rsidRPr="00C856BB">
        <w:rPr>
          <w:rFonts w:ascii="Times New Roman" w:hAnsi="Times New Roman" w:cs="Times New Roman"/>
          <w:kern w:val="0"/>
        </w:rPr>
        <w:t>us</w:t>
      </w:r>
      <w:r w:rsidR="00513AC3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transzaminázszint-emelkedés esetén a kezeléseket fel kell függeszteni mindaddig, amíg az értékek</w:t>
      </w:r>
      <w:r w:rsidR="00513AC3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1.</w:t>
      </w:r>
      <w:r w:rsidR="00F869D3">
        <w:rPr>
          <w:rFonts w:ascii="Times New Roman" w:hAnsi="Times New Roman" w:cs="Times New Roman"/>
          <w:kern w:val="0"/>
        </w:rPr>
        <w:t> </w:t>
      </w:r>
      <w:r w:rsidRPr="00C856BB">
        <w:rPr>
          <w:rFonts w:ascii="Times New Roman" w:hAnsi="Times New Roman" w:cs="Times New Roman"/>
          <w:kern w:val="0"/>
        </w:rPr>
        <w:t>fokúra vagy az alá nem csökkennek. Ezt követően, ha a korábbi dózis naponta kétszer 230</w:t>
      </w:r>
      <w:r w:rsidR="00F869D3">
        <w:rPr>
          <w:rFonts w:ascii="Times New Roman" w:hAnsi="Times New Roman" w:cs="Times New Roman"/>
          <w:kern w:val="0"/>
        </w:rPr>
        <w:t> </w:t>
      </w:r>
      <w:r w:rsidRPr="00C856BB">
        <w:rPr>
          <w:rFonts w:ascii="Times New Roman" w:hAnsi="Times New Roman" w:cs="Times New Roman"/>
          <w:kern w:val="0"/>
        </w:rPr>
        <w:t>mg/m</w:t>
      </w:r>
      <w:r w:rsidRPr="00F869D3">
        <w:rPr>
          <w:rFonts w:ascii="Times New Roman" w:hAnsi="Times New Roman" w:cs="Times New Roman"/>
          <w:kern w:val="0"/>
          <w:vertAlign w:val="superscript"/>
        </w:rPr>
        <w:t>2</w:t>
      </w:r>
      <w:r w:rsidR="00513AC3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volt, a kezelés naponta egyszer 230</w:t>
      </w:r>
      <w:r w:rsidR="00760E3B">
        <w:rPr>
          <w:rFonts w:ascii="Times New Roman" w:hAnsi="Times New Roman" w:cs="Times New Roman"/>
          <w:kern w:val="0"/>
        </w:rPr>
        <w:t> </w:t>
      </w:r>
      <w:r w:rsidRPr="00C856BB">
        <w:rPr>
          <w:rFonts w:ascii="Times New Roman" w:hAnsi="Times New Roman" w:cs="Times New Roman"/>
          <w:kern w:val="0"/>
        </w:rPr>
        <w:t>mg/m</w:t>
      </w:r>
      <w:r w:rsidRPr="00760E3B">
        <w:rPr>
          <w:rFonts w:ascii="Times New Roman" w:hAnsi="Times New Roman" w:cs="Times New Roman"/>
          <w:kern w:val="0"/>
          <w:vertAlign w:val="superscript"/>
        </w:rPr>
        <w:t>2</w:t>
      </w:r>
      <w:r w:rsidRPr="00C856BB">
        <w:rPr>
          <w:rFonts w:ascii="Times New Roman" w:hAnsi="Times New Roman" w:cs="Times New Roman"/>
          <w:kern w:val="0"/>
        </w:rPr>
        <w:t xml:space="preserve"> dózissal folytatható. Ha a korábbi dózis naponta egyszer</w:t>
      </w:r>
      <w:r w:rsidR="006401D1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230</w:t>
      </w:r>
      <w:r w:rsidR="00F869D3">
        <w:rPr>
          <w:rFonts w:ascii="Times New Roman" w:hAnsi="Times New Roman" w:cs="Times New Roman"/>
          <w:kern w:val="0"/>
        </w:rPr>
        <w:t> </w:t>
      </w:r>
      <w:r w:rsidRPr="00C856BB">
        <w:rPr>
          <w:rFonts w:ascii="Times New Roman" w:hAnsi="Times New Roman" w:cs="Times New Roman"/>
          <w:kern w:val="0"/>
        </w:rPr>
        <w:t>mg/m</w:t>
      </w:r>
      <w:r w:rsidRPr="00F869D3">
        <w:rPr>
          <w:rFonts w:ascii="Times New Roman" w:hAnsi="Times New Roman" w:cs="Times New Roman"/>
          <w:kern w:val="0"/>
          <w:vertAlign w:val="superscript"/>
        </w:rPr>
        <w:t>2</w:t>
      </w:r>
      <w:r w:rsidRPr="00C856BB">
        <w:rPr>
          <w:rFonts w:ascii="Times New Roman" w:hAnsi="Times New Roman" w:cs="Times New Roman"/>
          <w:kern w:val="0"/>
        </w:rPr>
        <w:t xml:space="preserve"> volt, a kezelést abba kell hagyni. A bilirubin- és </w:t>
      </w:r>
      <w:r w:rsidR="001321DC">
        <w:rPr>
          <w:rFonts w:ascii="Times New Roman" w:hAnsi="Times New Roman" w:cs="Times New Roman"/>
          <w:kern w:val="0"/>
        </w:rPr>
        <w:t>hepatikus</w:t>
      </w:r>
      <w:r w:rsidRPr="00C856BB">
        <w:rPr>
          <w:rFonts w:ascii="Times New Roman" w:hAnsi="Times New Roman" w:cs="Times New Roman"/>
          <w:kern w:val="0"/>
        </w:rPr>
        <w:t xml:space="preserve"> transzaminázszintet havonta vagy a</w:t>
      </w:r>
      <w:r w:rsidR="006401D1">
        <w:rPr>
          <w:rFonts w:ascii="Times New Roman" w:hAnsi="Times New Roman" w:cs="Times New Roman"/>
          <w:kern w:val="0"/>
        </w:rPr>
        <w:t xml:space="preserve"> </w:t>
      </w:r>
      <w:r w:rsidRPr="00C856BB">
        <w:rPr>
          <w:rFonts w:ascii="Times New Roman" w:hAnsi="Times New Roman" w:cs="Times New Roman"/>
          <w:kern w:val="0"/>
        </w:rPr>
        <w:t>klinikum által indokolt gyakorisággal ellenőrizni kell.</w:t>
      </w:r>
    </w:p>
    <w:p w14:paraId="6F915FD4" w14:textId="77777777" w:rsidR="00C856BB" w:rsidRPr="00AC5719" w:rsidRDefault="00C856BB" w:rsidP="00174D6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AD8906B" w14:textId="77777777" w:rsidR="00AC5719" w:rsidRPr="00EA505B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EA505B">
        <w:rPr>
          <w:rFonts w:ascii="Times New Roman" w:hAnsi="Times New Roman" w:cs="Times New Roman"/>
          <w:i/>
          <w:iCs/>
          <w:kern w:val="0"/>
          <w:u w:val="single"/>
        </w:rPr>
        <w:t>Különleges betegcsoportok</w:t>
      </w:r>
    </w:p>
    <w:p w14:paraId="31290CB9" w14:textId="77777777" w:rsidR="00AC5719" w:rsidRP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AC5719">
        <w:rPr>
          <w:rFonts w:ascii="Times New Roman" w:hAnsi="Times New Roman" w:cs="Times New Roman"/>
          <w:i/>
          <w:iCs/>
          <w:kern w:val="0"/>
        </w:rPr>
        <w:t>Idősek</w:t>
      </w:r>
    </w:p>
    <w:p w14:paraId="6CEB0DEE" w14:textId="24A38C8C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5719">
        <w:rPr>
          <w:rFonts w:ascii="Times New Roman" w:hAnsi="Times New Roman" w:cs="Times New Roman"/>
          <w:kern w:val="0"/>
        </w:rPr>
        <w:t xml:space="preserve">Az újonnan diagnosztizált, a CML krónikus fázisában </w:t>
      </w:r>
      <w:r w:rsidRPr="00AC5719">
        <w:rPr>
          <w:rFonts w:ascii="Times New Roman" w:eastAsia="TimesNewRomanPSMT" w:hAnsi="Times New Roman" w:cs="Times New Roman"/>
          <w:kern w:val="0"/>
        </w:rPr>
        <w:t xml:space="preserve">lévő betegekkel végzett </w:t>
      </w:r>
      <w:r w:rsidRPr="00AC5719">
        <w:rPr>
          <w:rFonts w:ascii="Times New Roman" w:hAnsi="Times New Roman" w:cs="Times New Roman"/>
          <w:kern w:val="0"/>
        </w:rPr>
        <w:t>III. fázisú vizsgálatban</w:t>
      </w:r>
      <w:r w:rsidR="009F06F1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a betegek kb. 12%-a és az imatinib-rezisztens vagy intoleráns, a CML krónikus vagy akcelerált</w:t>
      </w:r>
      <w:r w:rsidR="009F06F1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 xml:space="preserve">fázisában lévő </w:t>
      </w:r>
      <w:r w:rsidRPr="00AC5719">
        <w:rPr>
          <w:rFonts w:ascii="Times New Roman" w:hAnsi="Times New Roman" w:cs="Times New Roman"/>
          <w:kern w:val="0"/>
        </w:rPr>
        <w:t xml:space="preserve">betegekkel végzett II. fázisú vizsgálatban a betegek kb. 30%-a volt </w:t>
      </w:r>
      <w:proofErr w:type="gramStart"/>
      <w:r w:rsidRPr="00AC5719">
        <w:rPr>
          <w:rFonts w:ascii="Times New Roman" w:hAnsi="Times New Roman" w:cs="Times New Roman"/>
          <w:kern w:val="0"/>
        </w:rPr>
        <w:t>65</w:t>
      </w:r>
      <w:r w:rsidR="00DE0B0B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éves</w:t>
      </w:r>
      <w:proofErr w:type="gramEnd"/>
      <w:r w:rsidRPr="00AC5719">
        <w:rPr>
          <w:rFonts w:ascii="Times New Roman" w:hAnsi="Times New Roman" w:cs="Times New Roman"/>
          <w:kern w:val="0"/>
        </w:rPr>
        <w:t xml:space="preserve"> vagy</w:t>
      </w:r>
      <w:r w:rsidR="009F06F1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 xml:space="preserve">idősebb. A </w:t>
      </w:r>
      <w:r w:rsidR="009326BB" w:rsidRPr="009326BB">
        <w:rPr>
          <w:rFonts w:ascii="Times New Roman" w:hAnsi="Times New Roman" w:cs="Times New Roman"/>
        </w:rPr>
        <w:t>≥</w:t>
      </w:r>
      <w:r w:rsidR="0099029A">
        <w:rPr>
          <w:rFonts w:ascii="Times New Roman" w:hAnsi="Times New Roman" w:cs="Times New Roman"/>
        </w:rPr>
        <w:t> </w:t>
      </w:r>
      <w:r w:rsidRPr="00AC5719">
        <w:rPr>
          <w:rFonts w:ascii="Times New Roman" w:hAnsi="Times New Roman" w:cs="Times New Roman"/>
          <w:kern w:val="0"/>
        </w:rPr>
        <w:t>65</w:t>
      </w:r>
      <w:r w:rsidR="00DE0B0B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éves betegek körében a 18</w:t>
      </w:r>
      <w:r w:rsidR="0099029A">
        <w:rPr>
          <w:rFonts w:ascii="Times New Roman" w:hAnsi="Times New Roman" w:cs="Times New Roman"/>
          <w:kern w:val="0"/>
        </w:rPr>
        <w:noBreakHyphen/>
      </w:r>
      <w:r w:rsidRPr="00AC5719">
        <w:rPr>
          <w:rFonts w:ascii="Times New Roman" w:hAnsi="Times New Roman" w:cs="Times New Roman"/>
          <w:kern w:val="0"/>
        </w:rPr>
        <w:t>65</w:t>
      </w:r>
      <w:r w:rsidR="00DE0B0B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>évesekhez képest nem figyeltek meg jelentős eltéréseket</w:t>
      </w:r>
      <w:r w:rsidR="009F06F1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 xml:space="preserve">a biztonságosság és a </w:t>
      </w:r>
      <w:r w:rsidR="006F4B40" w:rsidRPr="00AC5719">
        <w:rPr>
          <w:rFonts w:ascii="Times New Roman" w:hAnsi="Times New Roman" w:cs="Times New Roman"/>
          <w:kern w:val="0"/>
        </w:rPr>
        <w:t>hat</w:t>
      </w:r>
      <w:r w:rsidR="006F4B40">
        <w:rPr>
          <w:rFonts w:ascii="Times New Roman" w:hAnsi="Times New Roman" w:cs="Times New Roman"/>
          <w:kern w:val="0"/>
        </w:rPr>
        <w:t>ásos</w:t>
      </w:r>
      <w:r w:rsidR="006F4B40" w:rsidRPr="00AC5719">
        <w:rPr>
          <w:rFonts w:ascii="Times New Roman" w:hAnsi="Times New Roman" w:cs="Times New Roman"/>
          <w:kern w:val="0"/>
        </w:rPr>
        <w:t xml:space="preserve">ság </w:t>
      </w:r>
      <w:r w:rsidRPr="00AC5719">
        <w:rPr>
          <w:rFonts w:ascii="Times New Roman" w:hAnsi="Times New Roman" w:cs="Times New Roman"/>
          <w:kern w:val="0"/>
        </w:rPr>
        <w:t>vonatkozásában.</w:t>
      </w:r>
    </w:p>
    <w:p w14:paraId="777CAD80" w14:textId="77777777" w:rsidR="009F06F1" w:rsidRPr="00AC5719" w:rsidRDefault="009F06F1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0824DCA" w14:textId="542F3A7A" w:rsidR="00AC5719" w:rsidRP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AC5719">
        <w:rPr>
          <w:rFonts w:ascii="Times New Roman" w:hAnsi="Times New Roman" w:cs="Times New Roman"/>
          <w:i/>
          <w:iCs/>
          <w:kern w:val="0"/>
        </w:rPr>
        <w:t>Vesekáro</w:t>
      </w:r>
      <w:r w:rsidR="009326BB">
        <w:rPr>
          <w:rFonts w:ascii="Times New Roman" w:hAnsi="Times New Roman" w:cs="Times New Roman"/>
          <w:i/>
          <w:iCs/>
          <w:kern w:val="0"/>
        </w:rPr>
        <w:t>sodás</w:t>
      </w:r>
    </w:p>
    <w:p w14:paraId="71EEE844" w14:textId="77777777" w:rsidR="00AC5719" w:rsidRP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5719">
        <w:rPr>
          <w:rFonts w:ascii="Times New Roman" w:hAnsi="Times New Roman" w:cs="Times New Roman"/>
          <w:kern w:val="0"/>
        </w:rPr>
        <w:t>Károsodott vesefunkciójú betegek körében nem végeztek klinikai vizsgálatokat.</w:t>
      </w:r>
    </w:p>
    <w:p w14:paraId="4EEEECC1" w14:textId="4AE402E6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5719">
        <w:rPr>
          <w:rFonts w:ascii="Times New Roman" w:hAnsi="Times New Roman" w:cs="Times New Roman"/>
          <w:kern w:val="0"/>
        </w:rPr>
        <w:t>Mivel a nilotinib és metabolitjai nem a vesén át választódnak ki, vesekárosodás esetén nem várható a</w:t>
      </w:r>
      <w:r w:rsidR="00586B03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teljestest</w:t>
      </w:r>
      <w:r w:rsidR="009F341E">
        <w:rPr>
          <w:rFonts w:ascii="Times New Roman" w:hAnsi="Times New Roman" w:cs="Times New Roman"/>
          <w:kern w:val="0"/>
        </w:rPr>
        <w:t>-</w:t>
      </w:r>
      <w:r w:rsidRPr="00AC5719">
        <w:rPr>
          <w:rFonts w:ascii="Times New Roman" w:hAnsi="Times New Roman" w:cs="Times New Roman"/>
          <w:kern w:val="0"/>
        </w:rPr>
        <w:t>clearance csökkenése.</w:t>
      </w:r>
    </w:p>
    <w:p w14:paraId="443F07F0" w14:textId="77777777" w:rsidR="00DE0B0B" w:rsidRPr="00AC5719" w:rsidRDefault="00DE0B0B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EFD7AC2" w14:textId="77777777" w:rsidR="00AC5719" w:rsidRP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AC5719">
        <w:rPr>
          <w:rFonts w:ascii="Times New Roman" w:hAnsi="Times New Roman" w:cs="Times New Roman"/>
          <w:i/>
          <w:iCs/>
          <w:kern w:val="0"/>
        </w:rPr>
        <w:t>Májkárosodás</w:t>
      </w:r>
    </w:p>
    <w:p w14:paraId="6E2551E6" w14:textId="59419EE0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5719">
        <w:rPr>
          <w:rFonts w:ascii="Times New Roman" w:eastAsia="TimesNewRomanPSMT" w:hAnsi="Times New Roman" w:cs="Times New Roman"/>
          <w:kern w:val="0"/>
        </w:rPr>
        <w:t>A májkárosodásnak mérsékelt hatása van a nilotinib farmakokinetikájára. Májkárosodásban szenvedő</w:t>
      </w:r>
      <w:r w:rsidR="00DE0B0B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 xml:space="preserve">betegeknél nem tartják szükségesnek a dózis módosítását. Azonban a </w:t>
      </w:r>
      <w:r w:rsidRPr="00AC5719">
        <w:rPr>
          <w:rFonts w:ascii="Times New Roman" w:eastAsia="TimesNewRomanPSMT" w:hAnsi="Times New Roman" w:cs="Times New Roman"/>
          <w:kern w:val="0"/>
        </w:rPr>
        <w:t>májkárosodásban szenvedő</w:t>
      </w:r>
      <w:r w:rsidR="00DE0B0B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betegeket óvatosan kell kezelni (lásd 4.4</w:t>
      </w:r>
      <w:r w:rsidR="00DE0B0B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pont).</w:t>
      </w:r>
    </w:p>
    <w:p w14:paraId="4540CE47" w14:textId="77777777" w:rsidR="00DE0B0B" w:rsidRPr="00AC5719" w:rsidRDefault="00DE0B0B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8C3CF7B" w14:textId="77777777" w:rsidR="00AC5719" w:rsidRP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AC5719">
        <w:rPr>
          <w:rFonts w:ascii="Times New Roman" w:hAnsi="Times New Roman" w:cs="Times New Roman"/>
          <w:i/>
          <w:iCs/>
          <w:kern w:val="0"/>
        </w:rPr>
        <w:t>Szívbetegségek</w:t>
      </w:r>
    </w:p>
    <w:p w14:paraId="0B6F423C" w14:textId="1FAA0C32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5719">
        <w:rPr>
          <w:rFonts w:ascii="Times New Roman" w:eastAsia="TimesNewRomanPSMT" w:hAnsi="Times New Roman" w:cs="Times New Roman"/>
          <w:kern w:val="0"/>
        </w:rPr>
        <w:t>A klinikai vizsgálatokból a nem megfelelően kezelt vagy jelentős szívbetegségben (p</w:t>
      </w:r>
      <w:r w:rsidR="00817916">
        <w:rPr>
          <w:rFonts w:ascii="Times New Roman" w:eastAsia="TimesNewRomanPSMT" w:hAnsi="Times New Roman" w:cs="Times New Roman"/>
          <w:kern w:val="0"/>
        </w:rPr>
        <w:t>éldául</w:t>
      </w:r>
      <w:r w:rsidRPr="00AC5719">
        <w:rPr>
          <w:rFonts w:ascii="Times New Roman" w:eastAsia="TimesNewRomanPSMT" w:hAnsi="Times New Roman" w:cs="Times New Roman"/>
          <w:kern w:val="0"/>
        </w:rPr>
        <w:t xml:space="preserve"> nemrég</w:t>
      </w:r>
      <w:r w:rsidR="006160C9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lezajlott szívinfarktus, pangásos szívelégtelenség, instabil angina vag</w:t>
      </w:r>
      <w:r w:rsidRPr="00AC5719">
        <w:rPr>
          <w:rFonts w:ascii="Times New Roman" w:eastAsia="TimesNewRomanPSMT" w:hAnsi="Times New Roman" w:cs="Times New Roman"/>
          <w:kern w:val="0"/>
        </w:rPr>
        <w:t>y klinikailag jelentős</w:t>
      </w:r>
      <w:r w:rsidR="006160C9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 xml:space="preserve">bradycardia) szenvedő betegeket kizárták. Óvatosságra van szükség a </w:t>
      </w:r>
      <w:r w:rsidR="00491219">
        <w:rPr>
          <w:rFonts w:ascii="Times New Roman" w:eastAsia="TimesNewRomanPSMT" w:hAnsi="Times New Roman" w:cs="Times New Roman"/>
          <w:kern w:val="0"/>
        </w:rPr>
        <w:t>releváns</w:t>
      </w:r>
      <w:r w:rsidR="00491219" w:rsidRPr="00AC5719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>szívbetegségekben</w:t>
      </w:r>
      <w:r w:rsidR="006160C9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>szenvedő betegek esetében (lásd 4.4</w:t>
      </w:r>
      <w:r w:rsidR="006160C9">
        <w:rPr>
          <w:rFonts w:ascii="Times New Roman" w:eastAsia="TimesNewRomanPSMT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pont).</w:t>
      </w:r>
    </w:p>
    <w:p w14:paraId="58EAD222" w14:textId="77777777" w:rsidR="001F1E3D" w:rsidRPr="00AC5719" w:rsidRDefault="001F1E3D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B8C680D" w14:textId="59A2A52B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C5719">
        <w:rPr>
          <w:rFonts w:ascii="Times New Roman" w:hAnsi="Times New Roman" w:cs="Times New Roman"/>
          <w:kern w:val="0"/>
        </w:rPr>
        <w:t>Nilotinib-kezelés során a szérum összkoleszterinszintek emelkedését jelentették (lásd 4.4</w:t>
      </w:r>
      <w:r w:rsidR="006160C9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pont). A</w:t>
      </w:r>
      <w:r w:rsidR="006160C9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lipid profilt meg kell határozni a nilotinib-</w:t>
      </w:r>
      <w:r w:rsidRPr="00AC5719">
        <w:rPr>
          <w:rFonts w:ascii="Times New Roman" w:eastAsia="TimesNewRomanPSMT" w:hAnsi="Times New Roman" w:cs="Times New Roman"/>
          <w:kern w:val="0"/>
        </w:rPr>
        <w:t xml:space="preserve">kezelés megkezdése előtt, </w:t>
      </w:r>
      <w:r w:rsidR="00491219">
        <w:rPr>
          <w:rFonts w:ascii="Times New Roman" w:eastAsia="TimesNewRomanPSMT" w:hAnsi="Times New Roman" w:cs="Times New Roman"/>
          <w:kern w:val="0"/>
        </w:rPr>
        <w:t xml:space="preserve">és </w:t>
      </w:r>
      <w:r w:rsidR="00491219" w:rsidRPr="00AC5719">
        <w:rPr>
          <w:rFonts w:ascii="Times New Roman" w:eastAsia="TimesNewRomanPSMT" w:hAnsi="Times New Roman" w:cs="Times New Roman"/>
          <w:kern w:val="0"/>
        </w:rPr>
        <w:t xml:space="preserve">ellenőrizni kell </w:t>
      </w:r>
      <w:r w:rsidRPr="00AC5719">
        <w:rPr>
          <w:rFonts w:ascii="Times New Roman" w:eastAsia="TimesNewRomanPSMT" w:hAnsi="Times New Roman" w:cs="Times New Roman"/>
          <w:kern w:val="0"/>
        </w:rPr>
        <w:t>a terápia megkezdése után 3 és</w:t>
      </w:r>
      <w:r w:rsidR="006160C9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6</w:t>
      </w:r>
      <w:r w:rsidR="006160C9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eastAsia="TimesNewRomanPSMT" w:hAnsi="Times New Roman" w:cs="Times New Roman"/>
          <w:kern w:val="0"/>
        </w:rPr>
        <w:t xml:space="preserve">hónappal, majd a </w:t>
      </w:r>
      <w:r w:rsidR="004E715D">
        <w:rPr>
          <w:rFonts w:ascii="Times New Roman" w:eastAsia="TimesNewRomanPSMT" w:hAnsi="Times New Roman" w:cs="Times New Roman"/>
          <w:kern w:val="0"/>
        </w:rPr>
        <w:t>hosszan</w:t>
      </w:r>
      <w:r w:rsidR="009F341E">
        <w:rPr>
          <w:rFonts w:ascii="Times New Roman" w:eastAsia="TimesNewRomanPSMT" w:hAnsi="Times New Roman" w:cs="Times New Roman"/>
          <w:kern w:val="0"/>
        </w:rPr>
        <w:t xml:space="preserve"> </w:t>
      </w:r>
      <w:r w:rsidR="004E715D">
        <w:rPr>
          <w:rFonts w:ascii="Times New Roman" w:eastAsia="TimesNewRomanPSMT" w:hAnsi="Times New Roman" w:cs="Times New Roman"/>
          <w:kern w:val="0"/>
        </w:rPr>
        <w:t>tartó</w:t>
      </w:r>
      <w:r w:rsidR="004E715D" w:rsidRPr="00AC5719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>kezelés során legalább évente.</w:t>
      </w:r>
    </w:p>
    <w:p w14:paraId="72A3B2BA" w14:textId="77777777" w:rsidR="006160C9" w:rsidRPr="00AC5719" w:rsidRDefault="006160C9" w:rsidP="00AC571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41DC67E" w14:textId="3309F825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C5719">
        <w:rPr>
          <w:rFonts w:ascii="Times New Roman" w:hAnsi="Times New Roman" w:cs="Times New Roman"/>
          <w:kern w:val="0"/>
        </w:rPr>
        <w:t>Nilotinib-kezelés mellett a vércukorszint emelkedését jelentették (lásd 4.4</w:t>
      </w:r>
      <w:r w:rsidR="006160C9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 xml:space="preserve">pont). A vércukorszintet </w:t>
      </w:r>
      <w:r w:rsidR="00491219">
        <w:rPr>
          <w:rFonts w:ascii="Times New Roman" w:hAnsi="Times New Roman" w:cs="Times New Roman"/>
          <w:kern w:val="0"/>
        </w:rPr>
        <w:t xml:space="preserve">meg kell mérni </w:t>
      </w:r>
      <w:r w:rsidRPr="00AC5719">
        <w:rPr>
          <w:rFonts w:ascii="Times New Roman" w:hAnsi="Times New Roman" w:cs="Times New Roman"/>
          <w:kern w:val="0"/>
        </w:rPr>
        <w:t>a</w:t>
      </w:r>
      <w:r w:rsidR="006160C9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nilotinib-</w:t>
      </w:r>
      <w:r w:rsidRPr="00AC5719">
        <w:rPr>
          <w:rFonts w:ascii="Times New Roman" w:eastAsia="TimesNewRomanPSMT" w:hAnsi="Times New Roman" w:cs="Times New Roman"/>
          <w:kern w:val="0"/>
        </w:rPr>
        <w:t>kezelés megkezdése előtt és a kezelés alatt monitorozni kell.</w:t>
      </w:r>
    </w:p>
    <w:p w14:paraId="34284D06" w14:textId="77777777" w:rsidR="006160C9" w:rsidRPr="00AC5719" w:rsidRDefault="006160C9" w:rsidP="00AC571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554ACFC" w14:textId="77777777" w:rsidR="00AC5719" w:rsidRP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AC5719">
        <w:rPr>
          <w:rFonts w:ascii="Times New Roman" w:hAnsi="Times New Roman" w:cs="Times New Roman"/>
          <w:i/>
          <w:iCs/>
          <w:kern w:val="0"/>
        </w:rPr>
        <w:t>Gyermekek és serdülők</w:t>
      </w:r>
    </w:p>
    <w:p w14:paraId="5D6DD736" w14:textId="06F6E8BB" w:rsidR="00AC5719" w:rsidRDefault="00AC5719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5719">
        <w:rPr>
          <w:rFonts w:ascii="Times New Roman" w:hAnsi="Times New Roman" w:cs="Times New Roman"/>
          <w:kern w:val="0"/>
        </w:rPr>
        <w:t xml:space="preserve">A </w:t>
      </w:r>
      <w:r w:rsidR="0057283C">
        <w:rPr>
          <w:rFonts w:ascii="Times New Roman" w:hAnsi="Times New Roman" w:cs="Times New Roman"/>
          <w:kern w:val="0"/>
        </w:rPr>
        <w:t>nilotinib</w:t>
      </w:r>
      <w:r w:rsidRPr="00AC5719">
        <w:rPr>
          <w:rFonts w:ascii="Times New Roman" w:hAnsi="Times New Roman" w:cs="Times New Roman"/>
          <w:kern w:val="0"/>
        </w:rPr>
        <w:t xml:space="preserve"> biztonságosságát és hatásosságát igazolták Philadelphia kromoszóma-pozitív, krónikus</w:t>
      </w:r>
      <w:r w:rsidR="006F76B2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 xml:space="preserve">CML krónikus fázisában </w:t>
      </w:r>
      <w:r w:rsidRPr="00AC5719">
        <w:rPr>
          <w:rFonts w:ascii="Times New Roman" w:eastAsia="TimesNewRomanPSMT" w:hAnsi="Times New Roman" w:cs="Times New Roman"/>
          <w:kern w:val="0"/>
        </w:rPr>
        <w:t>lévő, 2</w:t>
      </w:r>
      <w:r w:rsidR="0023534E">
        <w:rPr>
          <w:rFonts w:ascii="Times New Roman" w:eastAsia="TimesNewRomanPSMT" w:hAnsi="Times New Roman" w:cs="Times New Roman"/>
          <w:kern w:val="0"/>
        </w:rPr>
        <w:t> </w:t>
      </w:r>
      <w:r w:rsidR="00FE4633">
        <w:rPr>
          <w:rFonts w:ascii="Times New Roman" w:eastAsia="TimesNewRomanPSMT" w:hAnsi="Times New Roman" w:cs="Times New Roman"/>
          <w:kern w:val="0"/>
        </w:rPr>
        <w:t>éves kor</w:t>
      </w:r>
      <w:r w:rsidR="006A137C">
        <w:rPr>
          <w:rFonts w:ascii="Times New Roman" w:eastAsia="TimesNewRomanPSMT" w:hAnsi="Times New Roman" w:cs="Times New Roman"/>
          <w:kern w:val="0"/>
        </w:rPr>
        <w:t>t</w:t>
      </w:r>
      <w:r w:rsidR="00FE4633">
        <w:rPr>
          <w:rFonts w:ascii="Times New Roman" w:eastAsia="TimesNewRomanPSMT" w:hAnsi="Times New Roman" w:cs="Times New Roman"/>
          <w:kern w:val="0"/>
        </w:rPr>
        <w:t>ó</w:t>
      </w:r>
      <w:r w:rsidR="006A137C">
        <w:rPr>
          <w:rFonts w:ascii="Times New Roman" w:eastAsia="TimesNewRomanPSMT" w:hAnsi="Times New Roman" w:cs="Times New Roman"/>
          <w:kern w:val="0"/>
        </w:rPr>
        <w:t>l és a betöltött</w:t>
      </w:r>
      <w:r w:rsidRPr="00AC5719">
        <w:rPr>
          <w:rFonts w:ascii="Times New Roman" w:hAnsi="Times New Roman" w:cs="Times New Roman"/>
          <w:kern w:val="0"/>
        </w:rPr>
        <w:t xml:space="preserve"> 18</w:t>
      </w:r>
      <w:r w:rsidR="0023534E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éves</w:t>
      </w:r>
      <w:r w:rsidR="006A137C">
        <w:rPr>
          <w:rFonts w:ascii="Times New Roman" w:hAnsi="Times New Roman" w:cs="Times New Roman"/>
          <w:kern w:val="0"/>
        </w:rPr>
        <w:t xml:space="preserve"> kor alatt</w:t>
      </w:r>
      <w:r w:rsidR="000023C6">
        <w:rPr>
          <w:rFonts w:ascii="Times New Roman" w:hAnsi="Times New Roman" w:cs="Times New Roman"/>
          <w:kern w:val="0"/>
        </w:rPr>
        <w:t>i életkorig</w:t>
      </w:r>
      <w:r w:rsidRPr="00AC5719">
        <w:rPr>
          <w:rFonts w:ascii="Times New Roman" w:hAnsi="Times New Roman" w:cs="Times New Roman"/>
          <w:kern w:val="0"/>
        </w:rPr>
        <w:t xml:space="preserve"> gyermekgyógyászati betegeknél (lásd 4.8, 5.1 és 5.2</w:t>
      </w:r>
      <w:r w:rsidR="006F76B2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pont).</w:t>
      </w:r>
      <w:r w:rsidR="006F76B2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Nincs tapasztalat a 2</w:t>
      </w:r>
      <w:r w:rsidR="0023534E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évesnél fiatalabb, illetve Philadelphia kromoszóma-pozitív CML akcelerált</w:t>
      </w:r>
      <w:r w:rsidR="006F76B2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>fázisában vagy blasztos krízisében lévő gyermek</w:t>
      </w:r>
      <w:r w:rsidRPr="00AC5719">
        <w:rPr>
          <w:rFonts w:ascii="Times New Roman" w:hAnsi="Times New Roman" w:cs="Times New Roman"/>
          <w:kern w:val="0"/>
        </w:rPr>
        <w:t>gyógyászati betegekkel. Nincsenek adatok a</w:t>
      </w:r>
      <w:r w:rsidR="006F76B2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10</w:t>
      </w:r>
      <w:r w:rsidR="006F76B2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 xml:space="preserve">évesnél fiatalabb, újonnan diagnosztizált gyermekgyógyászati </w:t>
      </w:r>
      <w:r w:rsidRPr="00AC5719">
        <w:rPr>
          <w:rFonts w:ascii="Times New Roman" w:eastAsia="TimesNewRomanPSMT" w:hAnsi="Times New Roman" w:cs="Times New Roman"/>
          <w:kern w:val="0"/>
        </w:rPr>
        <w:t>betegekr</w:t>
      </w:r>
      <w:r w:rsidR="0083303A">
        <w:rPr>
          <w:rFonts w:ascii="Times New Roman" w:eastAsia="TimesNewRomanPSMT" w:hAnsi="Times New Roman" w:cs="Times New Roman"/>
          <w:kern w:val="0"/>
        </w:rPr>
        <w:t>e vonatkozóan</w:t>
      </w:r>
      <w:r w:rsidRPr="00AC5719">
        <w:rPr>
          <w:rFonts w:ascii="Times New Roman" w:eastAsia="TimesNewRomanPSMT" w:hAnsi="Times New Roman" w:cs="Times New Roman"/>
          <w:kern w:val="0"/>
        </w:rPr>
        <w:t>, illetve korlátozott</w:t>
      </w:r>
      <w:r w:rsidR="006F76B2">
        <w:rPr>
          <w:rFonts w:ascii="Times New Roman" w:eastAsia="TimesNewRomanPSMT" w:hAnsi="Times New Roman" w:cs="Times New Roman"/>
          <w:kern w:val="0"/>
        </w:rPr>
        <w:t xml:space="preserve"> </w:t>
      </w:r>
      <w:r w:rsidRPr="00AC5719">
        <w:rPr>
          <w:rFonts w:ascii="Times New Roman" w:eastAsia="TimesNewRomanPSMT" w:hAnsi="Times New Roman" w:cs="Times New Roman"/>
          <w:kern w:val="0"/>
        </w:rPr>
        <w:t xml:space="preserve">mennyiségű </w:t>
      </w:r>
      <w:r w:rsidRPr="00AC5719">
        <w:rPr>
          <w:rFonts w:ascii="Times New Roman" w:hAnsi="Times New Roman" w:cs="Times New Roman"/>
          <w:kern w:val="0"/>
        </w:rPr>
        <w:t>adat áll rendelkezésre a 6</w:t>
      </w:r>
      <w:r w:rsidR="00FE4633">
        <w:rPr>
          <w:rFonts w:ascii="Times New Roman" w:hAnsi="Times New Roman" w:cs="Times New Roman"/>
          <w:kern w:val="0"/>
        </w:rPr>
        <w:t> </w:t>
      </w:r>
      <w:r w:rsidRPr="00AC5719">
        <w:rPr>
          <w:rFonts w:ascii="Times New Roman" w:hAnsi="Times New Roman" w:cs="Times New Roman"/>
          <w:kern w:val="0"/>
        </w:rPr>
        <w:t>évesnél fiatalabb, imatinib-rezisztens, illetve imatinibre</w:t>
      </w:r>
      <w:r w:rsidR="006F76B2">
        <w:rPr>
          <w:rFonts w:ascii="Times New Roman" w:hAnsi="Times New Roman" w:cs="Times New Roman"/>
          <w:kern w:val="0"/>
        </w:rPr>
        <w:t xml:space="preserve"> </w:t>
      </w:r>
      <w:r w:rsidRPr="00AC5719">
        <w:rPr>
          <w:rFonts w:ascii="Times New Roman" w:hAnsi="Times New Roman" w:cs="Times New Roman"/>
          <w:kern w:val="0"/>
        </w:rPr>
        <w:t>intolerá</w:t>
      </w:r>
      <w:r w:rsidR="00125FC3">
        <w:rPr>
          <w:rFonts w:ascii="Times New Roman" w:hAnsi="Times New Roman" w:cs="Times New Roman"/>
          <w:kern w:val="0"/>
        </w:rPr>
        <w:t>n</w:t>
      </w:r>
      <w:r w:rsidRPr="00AC5719">
        <w:rPr>
          <w:rFonts w:ascii="Times New Roman" w:hAnsi="Times New Roman" w:cs="Times New Roman"/>
          <w:kern w:val="0"/>
        </w:rPr>
        <w:t xml:space="preserve">s gyermekgyógyászati </w:t>
      </w:r>
      <w:r w:rsidR="0083303A" w:rsidRPr="00AC5719">
        <w:rPr>
          <w:rFonts w:ascii="Times New Roman" w:eastAsia="TimesNewRomanPSMT" w:hAnsi="Times New Roman" w:cs="Times New Roman"/>
          <w:kern w:val="0"/>
        </w:rPr>
        <w:t>betegekr</w:t>
      </w:r>
      <w:r w:rsidR="0083303A">
        <w:rPr>
          <w:rFonts w:ascii="Times New Roman" w:eastAsia="TimesNewRomanPSMT" w:hAnsi="Times New Roman" w:cs="Times New Roman"/>
          <w:kern w:val="0"/>
        </w:rPr>
        <w:t>e vonatkozóan</w:t>
      </w:r>
      <w:r w:rsidRPr="00AC5719">
        <w:rPr>
          <w:rFonts w:ascii="Times New Roman" w:eastAsia="TimesNewRomanPSMT" w:hAnsi="Times New Roman" w:cs="Times New Roman"/>
          <w:kern w:val="0"/>
        </w:rPr>
        <w:t>.</w:t>
      </w:r>
    </w:p>
    <w:p w14:paraId="4C924AFF" w14:textId="77777777" w:rsidR="005D5CB4" w:rsidRDefault="005D5CB4" w:rsidP="00AC57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73D93A2" w14:textId="77777777" w:rsidR="005D5CB4" w:rsidRPr="00FC3BA5" w:rsidRDefault="005D5CB4" w:rsidP="00FC3BA5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FC3BA5">
        <w:rPr>
          <w:rFonts w:ascii="Times New Roman" w:hAnsi="Times New Roman" w:cs="Times New Roman"/>
          <w:kern w:val="0"/>
          <w:u w:val="single"/>
        </w:rPr>
        <w:lastRenderedPageBreak/>
        <w:t>Az alkalmazás módja</w:t>
      </w:r>
    </w:p>
    <w:p w14:paraId="14E1B3E4" w14:textId="77777777" w:rsidR="00FC3BA5" w:rsidRPr="005D5CB4" w:rsidRDefault="00FC3BA5" w:rsidP="00FC3BA5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6E658E4" w14:textId="4FA735A4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5D5CB4">
        <w:rPr>
          <w:rFonts w:ascii="Times New Roman" w:hAnsi="Times New Roman" w:cs="Times New Roman"/>
          <w:kern w:val="0"/>
        </w:rPr>
        <w:t xml:space="preserve">A </w:t>
      </w:r>
      <w:r w:rsidR="00DE7C90">
        <w:rPr>
          <w:rFonts w:ascii="Times New Roman" w:hAnsi="Times New Roman" w:cs="Times New Roman"/>
          <w:kern w:val="0"/>
        </w:rPr>
        <w:t>Krufton</w:t>
      </w:r>
      <w:r w:rsidRPr="005D5CB4">
        <w:rPr>
          <w:rFonts w:ascii="Times New Roman" w:hAnsi="Times New Roman" w:cs="Times New Roman"/>
          <w:kern w:val="0"/>
        </w:rPr>
        <w:t xml:space="preserve">-t naponta kétszer kell szedni, </w:t>
      </w:r>
      <w:r w:rsidR="002E473B">
        <w:rPr>
          <w:rFonts w:ascii="Times New Roman" w:hAnsi="Times New Roman" w:cs="Times New Roman"/>
          <w:kern w:val="0"/>
        </w:rPr>
        <w:t>nagyjából</w:t>
      </w:r>
      <w:r w:rsidRPr="005D5CB4">
        <w:rPr>
          <w:rFonts w:ascii="Times New Roman" w:hAnsi="Times New Roman" w:cs="Times New Roman"/>
          <w:kern w:val="0"/>
        </w:rPr>
        <w:t xml:space="preserve"> 12</w:t>
      </w:r>
      <w:r w:rsidR="00FC3BA5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eastAsia="TimesNewRomanPSMT" w:hAnsi="Times New Roman" w:cs="Times New Roman"/>
          <w:kern w:val="0"/>
        </w:rPr>
        <w:t xml:space="preserve">órás időközönként, és nem szabad </w:t>
      </w:r>
      <w:r w:rsidR="006E087E">
        <w:rPr>
          <w:rFonts w:ascii="Times New Roman" w:eastAsia="TimesNewRomanPSMT" w:hAnsi="Times New Roman" w:cs="Times New Roman"/>
          <w:kern w:val="0"/>
        </w:rPr>
        <w:t>étkezéssel</w:t>
      </w:r>
      <w:r w:rsidRPr="005D5CB4">
        <w:rPr>
          <w:rFonts w:ascii="Times New Roman" w:eastAsia="TimesNewRomanPSMT" w:hAnsi="Times New Roman" w:cs="Times New Roman"/>
          <w:kern w:val="0"/>
        </w:rPr>
        <w:t xml:space="preserve"> együtt</w:t>
      </w:r>
      <w:r w:rsidR="00FC3BA5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 xml:space="preserve">bevenni. A kemény kapszulákat egészben, vízzel kell lenyelni. Nem szabad </w:t>
      </w:r>
      <w:r w:rsidR="009F341E">
        <w:rPr>
          <w:rFonts w:ascii="Times New Roman" w:hAnsi="Times New Roman" w:cs="Times New Roman"/>
          <w:kern w:val="0"/>
        </w:rPr>
        <w:t>ételt</w:t>
      </w:r>
      <w:r w:rsidR="00651527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fogyasztani a</w:t>
      </w:r>
      <w:r w:rsidR="00FC3BA5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eastAsia="TimesNewRomanPSMT" w:hAnsi="Times New Roman" w:cs="Times New Roman"/>
          <w:kern w:val="0"/>
        </w:rPr>
        <w:t xml:space="preserve">dózis bevétele előtti 2 </w:t>
      </w:r>
      <w:r w:rsidRPr="005D5CB4">
        <w:rPr>
          <w:rFonts w:ascii="Times New Roman" w:hAnsi="Times New Roman" w:cs="Times New Roman"/>
          <w:kern w:val="0"/>
        </w:rPr>
        <w:t xml:space="preserve">órában és a dózis bevételét </w:t>
      </w:r>
      <w:r w:rsidRPr="005D5CB4">
        <w:rPr>
          <w:rFonts w:ascii="Times New Roman" w:eastAsia="TimesNewRomanPSMT" w:hAnsi="Times New Roman" w:cs="Times New Roman"/>
          <w:kern w:val="0"/>
        </w:rPr>
        <w:t>követő legalább egy órában.</w:t>
      </w:r>
    </w:p>
    <w:p w14:paraId="5B2ED780" w14:textId="77777777" w:rsidR="004148D3" w:rsidRDefault="004148D3" w:rsidP="005D5C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50691DF" w14:textId="47130497" w:rsidR="00551E8B" w:rsidRDefault="001C75CE" w:rsidP="005D5C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bookmarkStart w:id="0" w:name="_Hlk167968183"/>
      <w:r>
        <w:rPr>
          <w:rFonts w:ascii="Times New Roman" w:eastAsia="TimesNewRomanPSMT" w:hAnsi="Times New Roman" w:cs="Times New Roman"/>
          <w:kern w:val="0"/>
        </w:rPr>
        <w:t>Olyan betegek esetében, akiknél nyelési nehézség áll fent</w:t>
      </w:r>
      <w:r w:rsidR="00551E8B" w:rsidRPr="00551E8B">
        <w:rPr>
          <w:rFonts w:ascii="Times New Roman" w:eastAsia="TimesNewRomanPSMT" w:hAnsi="Times New Roman" w:cs="Times New Roman"/>
          <w:kern w:val="0"/>
        </w:rPr>
        <w:t>, beleértve a</w:t>
      </w:r>
      <w:r w:rsidR="00A55C53">
        <w:rPr>
          <w:rFonts w:ascii="Times New Roman" w:eastAsia="TimesNewRomanPSMT" w:hAnsi="Times New Roman" w:cs="Times New Roman"/>
          <w:kern w:val="0"/>
        </w:rPr>
        <w:t>zokat a</w:t>
      </w:r>
      <w:r w:rsidR="00551E8B" w:rsidRPr="00551E8B">
        <w:rPr>
          <w:rFonts w:ascii="Times New Roman" w:eastAsia="TimesNewRomanPSMT" w:hAnsi="Times New Roman" w:cs="Times New Roman"/>
          <w:kern w:val="0"/>
        </w:rPr>
        <w:t xml:space="preserve"> gyermek</w:t>
      </w:r>
      <w:r w:rsidR="00551E8B">
        <w:rPr>
          <w:rFonts w:ascii="Times New Roman" w:eastAsia="TimesNewRomanPSMT" w:hAnsi="Times New Roman" w:cs="Times New Roman"/>
          <w:kern w:val="0"/>
        </w:rPr>
        <w:t xml:space="preserve">gyógyászati </w:t>
      </w:r>
      <w:r w:rsidR="00551E8B" w:rsidRPr="00551E8B">
        <w:rPr>
          <w:rFonts w:ascii="Times New Roman" w:eastAsia="TimesNewRomanPSMT" w:hAnsi="Times New Roman" w:cs="Times New Roman"/>
          <w:kern w:val="0"/>
        </w:rPr>
        <w:t xml:space="preserve">betegeket, akik nem képesek lenyelni a kemény kapszulát, a </w:t>
      </w:r>
      <w:r w:rsidR="00DE7C90">
        <w:rPr>
          <w:rFonts w:ascii="Times New Roman" w:eastAsia="TimesNewRomanPSMT" w:hAnsi="Times New Roman" w:cs="Times New Roman"/>
          <w:kern w:val="0"/>
        </w:rPr>
        <w:t>Krufton</w:t>
      </w:r>
      <w:r w:rsidR="00551E8B" w:rsidRPr="00551E8B">
        <w:rPr>
          <w:rFonts w:ascii="Times New Roman" w:eastAsia="TimesNewRomanPSMT" w:hAnsi="Times New Roman" w:cs="Times New Roman"/>
          <w:kern w:val="0"/>
        </w:rPr>
        <w:t xml:space="preserve"> helyett </w:t>
      </w:r>
      <w:r w:rsidR="00551E8B" w:rsidRPr="00530EB1">
        <w:rPr>
          <w:rFonts w:ascii="Times New Roman" w:eastAsia="TimesNewRomanPSMT" w:hAnsi="Times New Roman" w:cs="Times New Roman"/>
          <w:b/>
          <w:bCs/>
          <w:kern w:val="0"/>
        </w:rPr>
        <w:t>más, nilotinibet tartalmazó gyógyszert kell alkalmazni.</w:t>
      </w:r>
      <w:bookmarkEnd w:id="0"/>
    </w:p>
    <w:p w14:paraId="16D27B90" w14:textId="77777777" w:rsidR="006E087E" w:rsidRPr="005D5CB4" w:rsidRDefault="006E087E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A1F615B" w14:textId="7BEC0E3A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D5CB4">
        <w:rPr>
          <w:rFonts w:ascii="Times New Roman" w:hAnsi="Times New Roman" w:cs="Times New Roman"/>
          <w:b/>
          <w:bCs/>
          <w:kern w:val="0"/>
        </w:rPr>
        <w:t>4.3</w:t>
      </w:r>
      <w:r w:rsidR="00B2313F">
        <w:rPr>
          <w:rFonts w:ascii="Times New Roman" w:hAnsi="Times New Roman" w:cs="Times New Roman"/>
          <w:b/>
          <w:bCs/>
          <w:kern w:val="0"/>
        </w:rPr>
        <w:tab/>
      </w:r>
      <w:r w:rsidRPr="005D5CB4">
        <w:rPr>
          <w:rFonts w:ascii="Times New Roman" w:hAnsi="Times New Roman" w:cs="Times New Roman"/>
          <w:b/>
          <w:bCs/>
          <w:kern w:val="0"/>
        </w:rPr>
        <w:t>Ellenjavallatok</w:t>
      </w:r>
    </w:p>
    <w:p w14:paraId="2872FA5D" w14:textId="77777777" w:rsidR="00772AC9" w:rsidRPr="005D5CB4" w:rsidRDefault="00772AC9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71B56F3" w14:textId="1FED327C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D5CB4">
        <w:rPr>
          <w:rFonts w:ascii="Times New Roman" w:hAnsi="Times New Roman" w:cs="Times New Roman"/>
          <w:kern w:val="0"/>
        </w:rPr>
        <w:t>A készítmény hatóanyagával vagy a 6.1</w:t>
      </w:r>
      <w:r w:rsidR="00B2313F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>pontban felsorolt bármely segédanyagával szembeni</w:t>
      </w:r>
      <w:r w:rsidR="00DF79B1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túlérzékenység.</w:t>
      </w:r>
    </w:p>
    <w:p w14:paraId="26B331D2" w14:textId="77777777" w:rsidR="00B2313F" w:rsidRPr="005D5CB4" w:rsidRDefault="00B2313F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EE394D9" w14:textId="4B4A4955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D5CB4">
        <w:rPr>
          <w:rFonts w:ascii="Times New Roman" w:hAnsi="Times New Roman" w:cs="Times New Roman"/>
          <w:b/>
          <w:bCs/>
          <w:kern w:val="0"/>
        </w:rPr>
        <w:t>4.4</w:t>
      </w:r>
      <w:r w:rsidR="00B2313F">
        <w:rPr>
          <w:rFonts w:ascii="Times New Roman" w:hAnsi="Times New Roman" w:cs="Times New Roman"/>
          <w:b/>
          <w:bCs/>
          <w:kern w:val="0"/>
        </w:rPr>
        <w:tab/>
      </w:r>
      <w:r w:rsidRPr="005D5CB4">
        <w:rPr>
          <w:rFonts w:ascii="Times New Roman" w:hAnsi="Times New Roman" w:cs="Times New Roman"/>
          <w:b/>
          <w:bCs/>
          <w:kern w:val="0"/>
        </w:rPr>
        <w:t>Különleges figyelmeztetések és az alkalmazással kapcsolatos óvintézkedések</w:t>
      </w:r>
    </w:p>
    <w:p w14:paraId="3DAAA284" w14:textId="77777777" w:rsidR="00BD252E" w:rsidRPr="005D5CB4" w:rsidRDefault="00BD252E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0BD22A3E" w14:textId="77777777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D252E">
        <w:rPr>
          <w:rFonts w:ascii="Times New Roman" w:hAnsi="Times New Roman" w:cs="Times New Roman"/>
          <w:kern w:val="0"/>
          <w:u w:val="single"/>
        </w:rPr>
        <w:t>Myelosuppressio</w:t>
      </w:r>
    </w:p>
    <w:p w14:paraId="2C6954DA" w14:textId="77777777" w:rsidR="00772AC9" w:rsidRPr="00BD252E" w:rsidRDefault="00772AC9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D5BA307" w14:textId="336BDA43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E68D3">
        <w:rPr>
          <w:rFonts w:ascii="Times New Roman" w:eastAsia="TimesNewRomanPSMT" w:hAnsi="Times New Roman" w:cs="Times New Roman"/>
          <w:kern w:val="0"/>
        </w:rPr>
        <w:t>A nilotinib-kezelés (National Cancer Institute Common Toxicity Criteria</w:t>
      </w:r>
      <w:r w:rsidR="00491219">
        <w:rPr>
          <w:rFonts w:ascii="Times New Roman" w:eastAsia="TimesNewRomanPSMT" w:hAnsi="Times New Roman" w:cs="Times New Roman"/>
          <w:kern w:val="0"/>
        </w:rPr>
        <w:t xml:space="preserve"> -</w:t>
      </w:r>
      <w:r w:rsidR="00491219" w:rsidRPr="008E68D3">
        <w:rPr>
          <w:rFonts w:ascii="Times New Roman" w:eastAsia="TimesNewRomanPSMT" w:hAnsi="Times New Roman" w:cs="Times New Roman"/>
          <w:kern w:val="0"/>
        </w:rPr>
        <w:t xml:space="preserve"> Nemzeti Onkológiai Intézet Általános Toxicitási Kritériumai</w:t>
      </w:r>
      <w:r w:rsidRPr="008E68D3">
        <w:rPr>
          <w:rFonts w:ascii="Times New Roman" w:eastAsia="TimesNewRomanPSMT" w:hAnsi="Times New Roman" w:cs="Times New Roman"/>
          <w:kern w:val="0"/>
        </w:rPr>
        <w:t xml:space="preserve"> </w:t>
      </w:r>
      <w:r w:rsidR="00491219">
        <w:rPr>
          <w:rFonts w:ascii="Times New Roman" w:eastAsia="TimesNewRomanPSMT" w:hAnsi="Times New Roman" w:cs="Times New Roman"/>
          <w:kern w:val="0"/>
        </w:rPr>
        <w:t xml:space="preserve">szerinti </w:t>
      </w:r>
      <w:r w:rsidRPr="008E68D3">
        <w:rPr>
          <w:rFonts w:ascii="Times New Roman" w:eastAsia="TimesNewRomanPSMT" w:hAnsi="Times New Roman" w:cs="Times New Roman"/>
          <w:kern w:val="0"/>
        </w:rPr>
        <w:t>3. és 4.</w:t>
      </w:r>
      <w:r w:rsidR="00C23E02" w:rsidRPr="008E68D3">
        <w:rPr>
          <w:rFonts w:ascii="Times New Roman" w:eastAsia="TimesNewRomanPSMT" w:hAnsi="Times New Roman" w:cs="Times New Roman"/>
          <w:kern w:val="0"/>
        </w:rPr>
        <w:t> </w:t>
      </w:r>
      <w:r w:rsidRPr="008E68D3">
        <w:rPr>
          <w:rFonts w:ascii="Times New Roman" w:eastAsia="TimesNewRomanPSMT" w:hAnsi="Times New Roman" w:cs="Times New Roman"/>
          <w:kern w:val="0"/>
        </w:rPr>
        <w:t>fokú)</w:t>
      </w:r>
      <w:r w:rsidR="00587B10" w:rsidRPr="008E68D3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eastAsia="TimesNewRomanPSMT" w:hAnsi="Times New Roman" w:cs="Times New Roman"/>
          <w:kern w:val="0"/>
        </w:rPr>
        <w:t>thrombocytopenia, neutropenia és anaemia kialakulásával jár. Ezek előfordulása gyakoribb az</w:t>
      </w:r>
      <w:r w:rsidR="002E0257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imatinib-rezisztens vagy intoleráns CML-</w:t>
      </w:r>
      <w:r w:rsidR="00C01842">
        <w:rPr>
          <w:rFonts w:ascii="Times New Roman" w:eastAsia="TimesNewRomanPSMT" w:hAnsi="Times New Roman" w:cs="Times New Roman"/>
          <w:kern w:val="0"/>
        </w:rPr>
        <w:t>e</w:t>
      </w:r>
      <w:r w:rsidRPr="005D5CB4">
        <w:rPr>
          <w:rFonts w:ascii="Times New Roman" w:eastAsia="TimesNewRomanPSMT" w:hAnsi="Times New Roman" w:cs="Times New Roman"/>
          <w:kern w:val="0"/>
        </w:rPr>
        <w:t>s, és főként az akcelerált fázisú CML</w:t>
      </w:r>
      <w:r w:rsidRPr="005D5CB4">
        <w:rPr>
          <w:rFonts w:ascii="Times New Roman" w:hAnsi="Times New Roman" w:cs="Times New Roman"/>
          <w:kern w:val="0"/>
        </w:rPr>
        <w:t>-</w:t>
      </w:r>
      <w:r w:rsidR="00C01842">
        <w:rPr>
          <w:rFonts w:ascii="Times New Roman" w:hAnsi="Times New Roman" w:cs="Times New Roman"/>
          <w:kern w:val="0"/>
        </w:rPr>
        <w:t>e</w:t>
      </w:r>
      <w:r w:rsidRPr="005D5CB4">
        <w:rPr>
          <w:rFonts w:ascii="Times New Roman" w:hAnsi="Times New Roman" w:cs="Times New Roman"/>
          <w:kern w:val="0"/>
        </w:rPr>
        <w:t>s betegek körében.</w:t>
      </w:r>
      <w:r w:rsidR="002E0257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eastAsia="TimesNewRomanPSMT" w:hAnsi="Times New Roman" w:cs="Times New Roman"/>
          <w:kern w:val="0"/>
        </w:rPr>
        <w:t xml:space="preserve">Az első két hónapban minden második héten, majd azt követően havonta vagy a </w:t>
      </w:r>
      <w:r w:rsidR="00C01842" w:rsidRPr="00C01842">
        <w:rPr>
          <w:rFonts w:ascii="Times New Roman" w:eastAsia="TimesNewRomanPSMT" w:hAnsi="Times New Roman" w:cs="Times New Roman"/>
          <w:kern w:val="0"/>
        </w:rPr>
        <w:t>klinikum által indokolt</w:t>
      </w:r>
      <w:r w:rsidRPr="005D5CB4">
        <w:rPr>
          <w:rFonts w:ascii="Times New Roman" w:eastAsia="TimesNewRomanPSMT" w:hAnsi="Times New Roman" w:cs="Times New Roman"/>
          <w:kern w:val="0"/>
        </w:rPr>
        <w:t xml:space="preserve"> gyakorisággal teljes vérképvizsgálatot kell végezni. A myelosuppressio általában</w:t>
      </w:r>
      <w:r w:rsidR="002E0257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 xml:space="preserve">reverzíbilis és rendszerint </w:t>
      </w:r>
      <w:r w:rsidR="005E7336">
        <w:rPr>
          <w:rFonts w:ascii="Times New Roman" w:hAnsi="Times New Roman" w:cs="Times New Roman"/>
          <w:kern w:val="0"/>
        </w:rPr>
        <w:t>kezelhető</w:t>
      </w:r>
      <w:r w:rsidRPr="005D5CB4">
        <w:rPr>
          <w:rFonts w:ascii="Times New Roman" w:hAnsi="Times New Roman" w:cs="Times New Roman"/>
          <w:kern w:val="0"/>
        </w:rPr>
        <w:t xml:space="preserve"> volt a </w:t>
      </w:r>
      <w:r w:rsidR="000931C4">
        <w:rPr>
          <w:rFonts w:ascii="Times New Roman" w:hAnsi="Times New Roman" w:cs="Times New Roman"/>
          <w:kern w:val="0"/>
        </w:rPr>
        <w:t>nilotinib</w:t>
      </w:r>
      <w:r w:rsidRPr="005D5CB4">
        <w:rPr>
          <w:rFonts w:ascii="Times New Roman" w:hAnsi="Times New Roman" w:cs="Times New Roman"/>
          <w:kern w:val="0"/>
        </w:rPr>
        <w:t>-</w:t>
      </w:r>
      <w:r w:rsidRPr="005D5CB4">
        <w:rPr>
          <w:rFonts w:ascii="Times New Roman" w:eastAsia="TimesNewRomanPSMT" w:hAnsi="Times New Roman" w:cs="Times New Roman"/>
          <w:kern w:val="0"/>
        </w:rPr>
        <w:t>kezelés időleges felfüggesztésével vagy</w:t>
      </w:r>
      <w:r w:rsidR="002E0257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dóziscsökkentéssel (lásd 4.2</w:t>
      </w:r>
      <w:r w:rsidR="002E0257">
        <w:rPr>
          <w:rFonts w:ascii="Times New Roman" w:hAnsi="Times New Roman" w:cs="Times New Roman"/>
          <w:kern w:val="0"/>
        </w:rPr>
        <w:t> </w:t>
      </w:r>
      <w:r w:rsidR="0004749C">
        <w:rPr>
          <w:rFonts w:ascii="Times New Roman" w:hAnsi="Times New Roman" w:cs="Times New Roman"/>
          <w:kern w:val="0"/>
        </w:rPr>
        <w:t>p</w:t>
      </w:r>
      <w:r w:rsidRPr="005D5CB4">
        <w:rPr>
          <w:rFonts w:ascii="Times New Roman" w:hAnsi="Times New Roman" w:cs="Times New Roman"/>
          <w:kern w:val="0"/>
        </w:rPr>
        <w:t>ont).</w:t>
      </w:r>
    </w:p>
    <w:p w14:paraId="7DDC2672" w14:textId="77777777" w:rsidR="002E0257" w:rsidRPr="005D5CB4" w:rsidRDefault="002E0257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F8A136B" w14:textId="77777777" w:rsidR="005D5CB4" w:rsidRPr="002E0257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2E0257">
        <w:rPr>
          <w:rFonts w:ascii="Times New Roman" w:hAnsi="Times New Roman" w:cs="Times New Roman"/>
          <w:kern w:val="0"/>
          <w:u w:val="single"/>
        </w:rPr>
        <w:t>QT-megnyúlás</w:t>
      </w:r>
    </w:p>
    <w:p w14:paraId="1F883C9D" w14:textId="77777777" w:rsidR="002E0257" w:rsidRDefault="002E0257" w:rsidP="005D5CB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B373BC6" w14:textId="3D6FCDC3" w:rsidR="0004749C" w:rsidRPr="005D5CB4" w:rsidRDefault="005D5CB4" w:rsidP="008E68D3">
      <w:pPr>
        <w:rPr>
          <w:rFonts w:ascii="Times New Roman" w:hAnsi="Times New Roman" w:cs="Times New Roman"/>
          <w:kern w:val="0"/>
        </w:rPr>
      </w:pPr>
      <w:r w:rsidRPr="005D5CB4">
        <w:rPr>
          <w:rFonts w:ascii="Times New Roman" w:eastAsia="TimesNewRomanPSMT" w:hAnsi="Times New Roman" w:cs="Times New Roman"/>
          <w:kern w:val="0"/>
        </w:rPr>
        <w:t>Testfelszíni elvezetésű EKG</w:t>
      </w:r>
      <w:r w:rsidRPr="005D5CB4">
        <w:rPr>
          <w:rFonts w:ascii="Times New Roman" w:hAnsi="Times New Roman" w:cs="Times New Roman"/>
          <w:kern w:val="0"/>
        </w:rPr>
        <w:t>-val a QT-távolság mérésével kimutatták, hogy a nilotinib koncentráció-</w:t>
      </w:r>
      <w:r w:rsidRPr="005D5CB4">
        <w:rPr>
          <w:rFonts w:ascii="Times New Roman" w:eastAsia="TimesNewRomanPSMT" w:hAnsi="Times New Roman" w:cs="Times New Roman"/>
          <w:kern w:val="0"/>
        </w:rPr>
        <w:t>függő módon megnyújtja a kamrai</w:t>
      </w:r>
      <w:r w:rsidR="0004749C">
        <w:rPr>
          <w:rFonts w:ascii="Times New Roman" w:eastAsia="TimesNewRomanPSMT" w:hAnsi="Times New Roman" w:cs="Times New Roman"/>
          <w:kern w:val="0"/>
        </w:rPr>
        <w:t xml:space="preserve"> </w:t>
      </w:r>
      <w:r w:rsidRPr="008E68D3">
        <w:rPr>
          <w:rFonts w:ascii="Times New Roman" w:eastAsia="TimesNewRomanPSMT" w:hAnsi="Times New Roman" w:cs="Times New Roman"/>
          <w:kern w:val="0"/>
        </w:rPr>
        <w:t>repolarizációt</w:t>
      </w:r>
      <w:r w:rsidR="00491219" w:rsidRPr="008E68D3">
        <w:rPr>
          <w:rFonts w:ascii="Times New Roman" w:eastAsia="TimesNewRomanPSMT" w:hAnsi="Times New Roman" w:cs="Times New Roman"/>
          <w:kern w:val="0"/>
        </w:rPr>
        <w:t xml:space="preserve"> a felnőtt és gyermekgyógyászati betegeknél.</w:t>
      </w:r>
    </w:p>
    <w:p w14:paraId="4330FDAC" w14:textId="1AC5B692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D5CB4">
        <w:rPr>
          <w:rFonts w:ascii="Times New Roman" w:hAnsi="Times New Roman" w:cs="Times New Roman"/>
          <w:kern w:val="0"/>
        </w:rPr>
        <w:t xml:space="preserve">Az újonnan diagnosztizált, a CML krónikus fázisában </w:t>
      </w:r>
      <w:r w:rsidRPr="005D5CB4">
        <w:rPr>
          <w:rFonts w:ascii="Times New Roman" w:eastAsia="TimesNewRomanPSMT" w:hAnsi="Times New Roman" w:cs="Times New Roman"/>
          <w:kern w:val="0"/>
        </w:rPr>
        <w:t>lévő, naponta kétszer 300</w:t>
      </w:r>
      <w:r w:rsidR="00E4451B">
        <w:rPr>
          <w:rFonts w:ascii="Times New Roman" w:eastAsia="TimesNewRomanPSMT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>mg nilotinibet kapó</w:t>
      </w:r>
      <w:r w:rsidR="0004749C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 xml:space="preserve">betegekkel végzett III. fázisú vizsgálatban </w:t>
      </w:r>
      <w:r w:rsidRPr="005D5CB4">
        <w:rPr>
          <w:rFonts w:ascii="Times New Roman" w:eastAsia="TimesNewRomanPSMT" w:hAnsi="Times New Roman" w:cs="Times New Roman"/>
          <w:kern w:val="0"/>
        </w:rPr>
        <w:t>az időátlagolt QTcF</w:t>
      </w:r>
      <w:r w:rsidRPr="005D5CB4">
        <w:rPr>
          <w:rFonts w:ascii="Times New Roman" w:hAnsi="Times New Roman" w:cs="Times New Roman"/>
          <w:kern w:val="0"/>
        </w:rPr>
        <w:t>-intervallum kiindulási értékhez képest</w:t>
      </w:r>
      <w:r w:rsidR="0004749C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eastAsia="TimesNewRomanPSMT" w:hAnsi="Times New Roman" w:cs="Times New Roman"/>
          <w:kern w:val="0"/>
        </w:rPr>
        <w:t>bekövetkező változásának átlagértéke steady</w:t>
      </w:r>
      <w:r w:rsidRPr="005D5CB4">
        <w:rPr>
          <w:rFonts w:ascii="Times New Roman" w:hAnsi="Times New Roman" w:cs="Times New Roman"/>
          <w:kern w:val="0"/>
        </w:rPr>
        <w:t>-state állapotban 6</w:t>
      </w:r>
      <w:r w:rsidR="0004749C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>ms volt. Egyetlen betegnél sem volt a</w:t>
      </w:r>
      <w:r w:rsidR="0004749C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QTcF &gt; 480</w:t>
      </w:r>
      <w:r w:rsidR="00E4451B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 xml:space="preserve">ms. </w:t>
      </w:r>
      <w:r w:rsidR="001D3332">
        <w:rPr>
          <w:rFonts w:ascii="Times New Roman" w:hAnsi="Times New Roman" w:cs="Times New Roman"/>
          <w:i/>
          <w:iCs/>
          <w:kern w:val="0"/>
        </w:rPr>
        <w:t>t</w:t>
      </w:r>
      <w:r w:rsidRPr="00E4451B">
        <w:rPr>
          <w:rFonts w:ascii="Times New Roman" w:hAnsi="Times New Roman" w:cs="Times New Roman"/>
          <w:i/>
          <w:iCs/>
          <w:kern w:val="0"/>
        </w:rPr>
        <w:t>orsade de pointes</w:t>
      </w:r>
      <w:r w:rsidRPr="005D5CB4">
        <w:rPr>
          <w:rFonts w:ascii="Times New Roman" w:hAnsi="Times New Roman" w:cs="Times New Roman"/>
          <w:kern w:val="0"/>
        </w:rPr>
        <w:t xml:space="preserve"> epizódokat nem észleltek.</w:t>
      </w:r>
    </w:p>
    <w:p w14:paraId="164145A7" w14:textId="77777777" w:rsidR="00E4451B" w:rsidRPr="005D5CB4" w:rsidRDefault="00E4451B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40319BE" w14:textId="334B01C1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D5CB4">
        <w:rPr>
          <w:rFonts w:ascii="Times New Roman" w:hAnsi="Times New Roman" w:cs="Times New Roman"/>
          <w:kern w:val="0"/>
        </w:rPr>
        <w:t>Az imatinibre rezisztens és intoleráns, krónikus, illetve akcelerált fázisú CML-</w:t>
      </w:r>
      <w:r w:rsidR="001D3332">
        <w:rPr>
          <w:rFonts w:ascii="Times New Roman" w:hAnsi="Times New Roman" w:cs="Times New Roman"/>
          <w:kern w:val="0"/>
        </w:rPr>
        <w:t>e</w:t>
      </w:r>
      <w:r w:rsidRPr="005D5CB4">
        <w:rPr>
          <w:rFonts w:ascii="Times New Roman" w:hAnsi="Times New Roman" w:cs="Times New Roman"/>
          <w:kern w:val="0"/>
        </w:rPr>
        <w:t>s betegek körében</w:t>
      </w:r>
      <w:r w:rsidR="00E82F1A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naponta kétszer 400</w:t>
      </w:r>
      <w:r w:rsidR="001D3332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 xml:space="preserve">mg nilotinibbel végzett II. fázisú </w:t>
      </w:r>
      <w:r w:rsidRPr="005D5CB4">
        <w:rPr>
          <w:rFonts w:ascii="Times New Roman" w:eastAsia="TimesNewRomanPSMT" w:hAnsi="Times New Roman" w:cs="Times New Roman"/>
          <w:kern w:val="0"/>
        </w:rPr>
        <w:t>vizsgálatban az időátlagolt QTcF</w:t>
      </w:r>
      <w:r w:rsidRPr="005D5CB4">
        <w:rPr>
          <w:rFonts w:ascii="Times New Roman" w:hAnsi="Times New Roman" w:cs="Times New Roman"/>
          <w:kern w:val="0"/>
        </w:rPr>
        <w:t>-intervallum</w:t>
      </w:r>
      <w:r w:rsidR="00E82F1A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eastAsia="TimesNewRomanPSMT" w:hAnsi="Times New Roman" w:cs="Times New Roman"/>
          <w:kern w:val="0"/>
        </w:rPr>
        <w:t>kiindulási értékhez képest bekövetkező változásának átlagértéke steady</w:t>
      </w:r>
      <w:r w:rsidRPr="005D5CB4">
        <w:rPr>
          <w:rFonts w:ascii="Times New Roman" w:hAnsi="Times New Roman" w:cs="Times New Roman"/>
          <w:kern w:val="0"/>
        </w:rPr>
        <w:t>-state állapotban 5, illetve 8</w:t>
      </w:r>
      <w:r w:rsidR="00E82F1A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>ms</w:t>
      </w:r>
      <w:r w:rsidR="00E82F1A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volt a megadott sorrendben. QTcF &gt; 500</w:t>
      </w:r>
      <w:r w:rsidR="00621BE4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>ms értékeket e</w:t>
      </w:r>
      <w:r w:rsidR="004B0FF8">
        <w:rPr>
          <w:rFonts w:ascii="Times New Roman" w:hAnsi="Times New Roman" w:cs="Times New Roman"/>
          <w:kern w:val="0"/>
        </w:rPr>
        <w:t>zen</w:t>
      </w:r>
      <w:r w:rsidRPr="005D5CB4">
        <w:rPr>
          <w:rFonts w:ascii="Times New Roman" w:hAnsi="Times New Roman" w:cs="Times New Roman"/>
          <w:kern w:val="0"/>
        </w:rPr>
        <w:t xml:space="preserve"> betegek </w:t>
      </w:r>
      <w:proofErr w:type="gramStart"/>
      <w:r w:rsidRPr="005D5CB4">
        <w:rPr>
          <w:rFonts w:ascii="Times New Roman" w:hAnsi="Times New Roman" w:cs="Times New Roman"/>
          <w:kern w:val="0"/>
        </w:rPr>
        <w:t>&lt; 1</w:t>
      </w:r>
      <w:proofErr w:type="gramEnd"/>
      <w:r w:rsidRPr="005D5CB4">
        <w:rPr>
          <w:rFonts w:ascii="Times New Roman" w:hAnsi="Times New Roman" w:cs="Times New Roman"/>
          <w:kern w:val="0"/>
        </w:rPr>
        <w:t>%-a esetében figyeltek meg. A</w:t>
      </w:r>
      <w:r w:rsidR="00E82F1A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 xml:space="preserve">klinikai vizsgálatok során </w:t>
      </w:r>
      <w:r w:rsidR="001D3332">
        <w:rPr>
          <w:rFonts w:ascii="Times New Roman" w:hAnsi="Times New Roman" w:cs="Times New Roman"/>
          <w:i/>
          <w:iCs/>
          <w:kern w:val="0"/>
        </w:rPr>
        <w:t>t</w:t>
      </w:r>
      <w:r w:rsidR="001D3332" w:rsidRPr="00E4451B">
        <w:rPr>
          <w:rFonts w:ascii="Times New Roman" w:hAnsi="Times New Roman" w:cs="Times New Roman"/>
          <w:i/>
          <w:iCs/>
          <w:kern w:val="0"/>
        </w:rPr>
        <w:t>orsade de pointes</w:t>
      </w:r>
      <w:r w:rsidR="001D3332" w:rsidRPr="005D5CB4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epizódokat nem észleltek.</w:t>
      </w:r>
    </w:p>
    <w:p w14:paraId="29834F7E" w14:textId="77777777" w:rsidR="00621BE4" w:rsidRPr="005D5CB4" w:rsidRDefault="00621BE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635EB19" w14:textId="053581CB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D5CB4">
        <w:rPr>
          <w:rFonts w:ascii="Times New Roman" w:hAnsi="Times New Roman" w:cs="Times New Roman"/>
          <w:kern w:val="0"/>
        </w:rPr>
        <w:t>Egy egészséges önkéntesek bevonásával végzett vizsgálatban, amelyben az expozíció értéke</w:t>
      </w:r>
      <w:r w:rsidR="009D657F">
        <w:rPr>
          <w:rFonts w:ascii="Times New Roman" w:hAnsi="Times New Roman" w:cs="Times New Roman"/>
          <w:kern w:val="0"/>
        </w:rPr>
        <w:t>i</w:t>
      </w:r>
      <w:r w:rsidRPr="005D5CB4">
        <w:rPr>
          <w:rFonts w:ascii="Times New Roman" w:hAnsi="Times New Roman" w:cs="Times New Roman"/>
          <w:kern w:val="0"/>
        </w:rPr>
        <w:t xml:space="preserve"> a</w:t>
      </w:r>
      <w:r w:rsidR="00621BE4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eastAsia="TimesNewRomanPSMT" w:hAnsi="Times New Roman" w:cs="Times New Roman"/>
          <w:kern w:val="0"/>
        </w:rPr>
        <w:t>betegek körében megfigyeltekhez hasonlóak voltak, a QTcF időátlagolt, placebóhoz képest megfigyelt</w:t>
      </w:r>
      <w:r w:rsidR="00621BE4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átlagértékének változása a kiindulási értékhez képest 7</w:t>
      </w:r>
      <w:r w:rsidR="003D2D6D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 xml:space="preserve">ms (CI </w:t>
      </w:r>
      <w:r w:rsidR="005409CC">
        <w:rPr>
          <w:rFonts w:ascii="Times New Roman" w:eastAsia="SymbolMT" w:hAnsi="Times New Roman" w:cs="Times New Roman"/>
          <w:kern w:val="0"/>
        </w:rPr>
        <w:t>±</w:t>
      </w:r>
      <w:r w:rsidRPr="005D5CB4">
        <w:rPr>
          <w:rFonts w:ascii="Times New Roman" w:eastAsia="Symbol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4 ms) volt. Egyetlen személy</w:t>
      </w:r>
      <w:r w:rsidR="00621BE4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esetében sem figyeltek meg &gt; 450</w:t>
      </w:r>
      <w:r w:rsidR="00855DFD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 xml:space="preserve">ms QTcF </w:t>
      </w:r>
      <w:r w:rsidRPr="005D5CB4">
        <w:rPr>
          <w:rFonts w:ascii="Times New Roman" w:eastAsia="TimesNewRomanPSMT" w:hAnsi="Times New Roman" w:cs="Times New Roman"/>
          <w:kern w:val="0"/>
        </w:rPr>
        <w:t>értéket. Ezen felül nem találtak klinikailag jelentős</w:t>
      </w:r>
      <w:r w:rsidR="00621BE4">
        <w:rPr>
          <w:rFonts w:ascii="Times New Roman" w:eastAsia="TimesNewRomanPSMT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 xml:space="preserve">arrhythmiát a vizsgálat során. Egyebek között nem figyeltek meg (átmeneti vagy tartós) </w:t>
      </w:r>
      <w:r w:rsidRPr="00621BE4">
        <w:rPr>
          <w:rFonts w:ascii="Times New Roman" w:hAnsi="Times New Roman" w:cs="Times New Roman"/>
          <w:i/>
          <w:iCs/>
          <w:kern w:val="0"/>
        </w:rPr>
        <w:t>torsade de</w:t>
      </w:r>
      <w:r w:rsidR="00621BE4" w:rsidRPr="00621BE4">
        <w:rPr>
          <w:rFonts w:ascii="Times New Roman" w:hAnsi="Times New Roman" w:cs="Times New Roman"/>
          <w:i/>
          <w:iCs/>
          <w:kern w:val="0"/>
        </w:rPr>
        <w:t xml:space="preserve"> </w:t>
      </w:r>
      <w:r w:rsidRPr="00621BE4">
        <w:rPr>
          <w:rFonts w:ascii="Times New Roman" w:hAnsi="Times New Roman" w:cs="Times New Roman"/>
          <w:i/>
          <w:iCs/>
          <w:kern w:val="0"/>
        </w:rPr>
        <w:t>pointes</w:t>
      </w:r>
      <w:r w:rsidRPr="005D5CB4">
        <w:rPr>
          <w:rFonts w:ascii="Times New Roman" w:hAnsi="Times New Roman" w:cs="Times New Roman"/>
          <w:kern w:val="0"/>
        </w:rPr>
        <w:t xml:space="preserve"> epizódokat.</w:t>
      </w:r>
    </w:p>
    <w:p w14:paraId="3A8A16AF" w14:textId="77777777" w:rsidR="00621BE4" w:rsidRPr="005D5CB4" w:rsidRDefault="00621BE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79DF793" w14:textId="3A51F755" w:rsidR="005D5CB4" w:rsidRDefault="005D5CB4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5D5CB4">
        <w:rPr>
          <w:rFonts w:ascii="Times New Roman" w:hAnsi="Times New Roman" w:cs="Times New Roman"/>
          <w:kern w:val="0"/>
        </w:rPr>
        <w:t>A QT-</w:t>
      </w:r>
      <w:r w:rsidRPr="005D5CB4">
        <w:rPr>
          <w:rFonts w:ascii="Times New Roman" w:eastAsia="TimesNewRomanPSMT" w:hAnsi="Times New Roman" w:cs="Times New Roman"/>
          <w:kern w:val="0"/>
        </w:rPr>
        <w:t xml:space="preserve">távolság jelentős megnyúlása következhet be, ha a nilotinibet nem megfelelő módon </w:t>
      </w:r>
      <w:r w:rsidR="009D657F" w:rsidRPr="008E68D3">
        <w:rPr>
          <w:rFonts w:ascii="Times New Roman" w:hAnsi="Times New Roman" w:cs="Times New Roman"/>
          <w:kern w:val="0"/>
        </w:rPr>
        <w:t xml:space="preserve">alkalmazzák együtt </w:t>
      </w:r>
      <w:r w:rsidRPr="008E68D3">
        <w:rPr>
          <w:rFonts w:ascii="Times New Roman" w:hAnsi="Times New Roman" w:cs="Times New Roman"/>
          <w:kern w:val="0"/>
        </w:rPr>
        <w:t>erős</w:t>
      </w:r>
      <w:r w:rsidR="00621BE4" w:rsidRPr="008E68D3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 xml:space="preserve">CYP3A4 inhibitorokkal </w:t>
      </w:r>
      <w:r w:rsidR="009D657F" w:rsidRPr="008E68D3">
        <w:rPr>
          <w:rFonts w:ascii="Times New Roman" w:hAnsi="Times New Roman" w:cs="Times New Roman"/>
          <w:kern w:val="0"/>
        </w:rPr>
        <w:t>és/vagy a QT</w:t>
      </w:r>
      <w:r w:rsidR="009D657F" w:rsidRPr="008E68D3">
        <w:rPr>
          <w:rFonts w:ascii="Times New Roman" w:hAnsi="Times New Roman" w:cs="Times New Roman"/>
          <w:kern w:val="0"/>
        </w:rPr>
        <w:noBreakHyphen/>
        <w:t xml:space="preserve">távolságot igazoltan megnyújtó tulajdonsággal rendelkező gyógyszerekkel és/vagy ételekkel </w:t>
      </w:r>
      <w:r w:rsidRPr="005D5CB4">
        <w:rPr>
          <w:rFonts w:ascii="Times New Roman" w:hAnsi="Times New Roman" w:cs="Times New Roman"/>
          <w:kern w:val="0"/>
        </w:rPr>
        <w:t>(lásd 4.5</w:t>
      </w:r>
      <w:r w:rsidR="0077205D">
        <w:rPr>
          <w:rFonts w:ascii="Times New Roman" w:hAnsi="Times New Roman" w:cs="Times New Roman"/>
          <w:kern w:val="0"/>
        </w:rPr>
        <w:t> </w:t>
      </w:r>
      <w:r w:rsidRPr="005D5CB4">
        <w:rPr>
          <w:rFonts w:ascii="Times New Roman" w:hAnsi="Times New Roman" w:cs="Times New Roman"/>
          <w:kern w:val="0"/>
        </w:rPr>
        <w:t>pont). Hypokalaemia és</w:t>
      </w:r>
      <w:r w:rsidR="00621BE4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hypomagnesaemia jelenléte tovább fokozhatja ezt a hatást. A QT-távolság megnyúlása halálos</w:t>
      </w:r>
      <w:r w:rsidR="00621BE4">
        <w:rPr>
          <w:rFonts w:ascii="Times New Roman" w:hAnsi="Times New Roman" w:cs="Times New Roman"/>
          <w:kern w:val="0"/>
        </w:rPr>
        <w:t xml:space="preserve"> </w:t>
      </w:r>
      <w:r w:rsidRPr="005D5CB4">
        <w:rPr>
          <w:rFonts w:ascii="Times New Roman" w:hAnsi="Times New Roman" w:cs="Times New Roman"/>
          <w:kern w:val="0"/>
        </w:rPr>
        <w:t>kimenetel kockázatának teheti ki a betegeket.</w:t>
      </w:r>
    </w:p>
    <w:p w14:paraId="2600F9DE" w14:textId="77777777" w:rsidR="007511F1" w:rsidRDefault="007511F1" w:rsidP="005D5C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D066884" w14:textId="28C75A16" w:rsidR="007511F1" w:rsidRP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lastRenderedPageBreak/>
        <w:t xml:space="preserve">A </w:t>
      </w:r>
      <w:r w:rsidR="002652B0">
        <w:rPr>
          <w:rFonts w:ascii="Times New Roman" w:hAnsi="Times New Roman" w:cs="Times New Roman"/>
          <w:kern w:val="0"/>
        </w:rPr>
        <w:t>nilotinib</w:t>
      </w:r>
      <w:r w:rsidRPr="007511F1">
        <w:rPr>
          <w:rFonts w:ascii="Times New Roman" w:hAnsi="Times New Roman" w:cs="Times New Roman"/>
          <w:kern w:val="0"/>
        </w:rPr>
        <w:t xml:space="preserve"> óvatosan alkalmazandó olyan betegek esetében, akiknél QT-megnyúlás áll fenn vagy</w:t>
      </w:r>
      <w:r w:rsidR="002652B0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akiknél jelentős ennek kialakulásának kockázata, ilyenek például:</w:t>
      </w:r>
    </w:p>
    <w:p w14:paraId="29E486B7" w14:textId="758A480D" w:rsidR="007511F1" w:rsidRP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>-</w:t>
      </w:r>
      <w:r w:rsidR="002652B0">
        <w:rPr>
          <w:rFonts w:ascii="Times New Roman" w:hAnsi="Times New Roman" w:cs="Times New Roman"/>
          <w:kern w:val="0"/>
        </w:rPr>
        <w:tab/>
      </w:r>
      <w:r w:rsidRPr="007511F1">
        <w:rPr>
          <w:rFonts w:ascii="Times New Roman" w:hAnsi="Times New Roman" w:cs="Times New Roman"/>
          <w:kern w:val="0"/>
        </w:rPr>
        <w:t>a veleszületett hosszú QT-megnyúlás</w:t>
      </w:r>
      <w:r w:rsidR="009D657F">
        <w:rPr>
          <w:rFonts w:ascii="Times New Roman" w:hAnsi="Times New Roman" w:cs="Times New Roman"/>
          <w:kern w:val="0"/>
        </w:rPr>
        <w:t>ban szenvedő</w:t>
      </w:r>
      <w:r w:rsidRPr="007511F1">
        <w:rPr>
          <w:rFonts w:ascii="Times New Roman" w:hAnsi="Times New Roman" w:cs="Times New Roman"/>
          <w:kern w:val="0"/>
        </w:rPr>
        <w:t xml:space="preserve"> betegek.</w:t>
      </w:r>
    </w:p>
    <w:p w14:paraId="37F23CB9" w14:textId="61328F53" w:rsidR="007511F1" w:rsidRP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>-</w:t>
      </w:r>
      <w:r w:rsidR="002652B0">
        <w:rPr>
          <w:rFonts w:ascii="Times New Roman" w:hAnsi="Times New Roman" w:cs="Times New Roman"/>
          <w:kern w:val="0"/>
        </w:rPr>
        <w:tab/>
      </w:r>
      <w:r w:rsidRPr="007511F1">
        <w:rPr>
          <w:rFonts w:ascii="Times New Roman" w:eastAsia="TimesNewRomanPSMT" w:hAnsi="Times New Roman" w:cs="Times New Roman"/>
          <w:kern w:val="0"/>
        </w:rPr>
        <w:t xml:space="preserve">a nem megfelelően kezelt vagy jelentős szívbetegségben, így </w:t>
      </w:r>
      <w:r w:rsidRPr="007511F1">
        <w:rPr>
          <w:rFonts w:ascii="Times New Roman" w:hAnsi="Times New Roman" w:cs="Times New Roman"/>
          <w:kern w:val="0"/>
        </w:rPr>
        <w:t>nemrégen lezajlott</w:t>
      </w:r>
      <w:r w:rsidR="002652B0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szívinfarktusban, pangásos szívelégtelenségben, instabil anginában vagy klinikailag jelentős</w:t>
      </w:r>
      <w:r w:rsidR="002652B0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bradycardiában szenvedő betegek</w:t>
      </w:r>
      <w:r w:rsidRPr="007511F1">
        <w:rPr>
          <w:rFonts w:ascii="Times New Roman" w:hAnsi="Times New Roman" w:cs="Times New Roman"/>
          <w:kern w:val="0"/>
        </w:rPr>
        <w:t>.</w:t>
      </w:r>
    </w:p>
    <w:p w14:paraId="074EB332" w14:textId="60C60BFC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>-</w:t>
      </w:r>
      <w:r w:rsidR="002652B0">
        <w:rPr>
          <w:rFonts w:ascii="Times New Roman" w:hAnsi="Times New Roman" w:cs="Times New Roman"/>
          <w:kern w:val="0"/>
        </w:rPr>
        <w:tab/>
      </w:r>
      <w:r w:rsidRPr="007511F1">
        <w:rPr>
          <w:rFonts w:ascii="Times New Roman" w:hAnsi="Times New Roman" w:cs="Times New Roman"/>
          <w:kern w:val="0"/>
        </w:rPr>
        <w:t>az antiarrhythmiás gyógyszereket vagy a QT-</w:t>
      </w:r>
      <w:r w:rsidRPr="007511F1">
        <w:rPr>
          <w:rFonts w:ascii="Times New Roman" w:eastAsia="TimesNewRomanPSMT" w:hAnsi="Times New Roman" w:cs="Times New Roman"/>
          <w:kern w:val="0"/>
        </w:rPr>
        <w:t>távolság megnyúlásához vezető egyéb szereket</w:t>
      </w:r>
      <w:r w:rsidR="002652B0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szedő betegek.</w:t>
      </w:r>
    </w:p>
    <w:p w14:paraId="2DCFE392" w14:textId="77777777" w:rsidR="002652B0" w:rsidRPr="007511F1" w:rsidRDefault="002652B0" w:rsidP="007511F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023999FA" w14:textId="1239824D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>Ajánlatos a QTc-</w:t>
      </w:r>
      <w:r w:rsidRPr="007511F1">
        <w:rPr>
          <w:rFonts w:ascii="Times New Roman" w:eastAsia="TimesNewRomanPSMT" w:hAnsi="Times New Roman" w:cs="Times New Roman"/>
          <w:kern w:val="0"/>
        </w:rPr>
        <w:t xml:space="preserve">távolságra gyakorolt hatást gondosan ellenőrizni, és javallt a </w:t>
      </w:r>
      <w:r w:rsidRPr="007511F1">
        <w:rPr>
          <w:rFonts w:ascii="Times New Roman" w:hAnsi="Times New Roman" w:cs="Times New Roman"/>
          <w:kern w:val="0"/>
        </w:rPr>
        <w:t>nilotinib-kezelés</w:t>
      </w:r>
      <w:r w:rsidR="00B321F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megkezdése előtt kiindulási EKG</w:t>
      </w:r>
      <w:r w:rsidRPr="007511F1">
        <w:rPr>
          <w:rFonts w:ascii="Times New Roman" w:hAnsi="Times New Roman" w:cs="Times New Roman"/>
          <w:kern w:val="0"/>
        </w:rPr>
        <w:t>-t készíteni, csakúgy, mint amikor az klinikailag indokolt. A</w:t>
      </w:r>
      <w:r w:rsidR="00B321F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 xml:space="preserve">hypokalaemiát, illetve a hypomagnesaemiát a </w:t>
      </w:r>
      <w:r w:rsidR="00B321F4">
        <w:rPr>
          <w:rFonts w:ascii="Times New Roman" w:hAnsi="Times New Roman" w:cs="Times New Roman"/>
          <w:kern w:val="0"/>
        </w:rPr>
        <w:t>nilotinib</w:t>
      </w:r>
      <w:r w:rsidRPr="007511F1">
        <w:rPr>
          <w:rFonts w:ascii="Times New Roman" w:hAnsi="Times New Roman" w:cs="Times New Roman"/>
          <w:kern w:val="0"/>
        </w:rPr>
        <w:t xml:space="preserve"> alkalmazásának me</w:t>
      </w:r>
      <w:r w:rsidRPr="007511F1">
        <w:rPr>
          <w:rFonts w:ascii="Times New Roman" w:eastAsia="TimesNewRomanPSMT" w:hAnsi="Times New Roman" w:cs="Times New Roman"/>
          <w:kern w:val="0"/>
        </w:rPr>
        <w:t>gkezdése előtt korrigálni,</w:t>
      </w:r>
      <w:r w:rsidR="00B321F4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majd a kezelés alatt rendszeresen ellenőrizni kell.</w:t>
      </w:r>
    </w:p>
    <w:p w14:paraId="32B038C0" w14:textId="77777777" w:rsidR="00B321F4" w:rsidRPr="007511F1" w:rsidRDefault="00B321F4" w:rsidP="007511F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6D4CAD5" w14:textId="77777777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321F4">
        <w:rPr>
          <w:rFonts w:ascii="Times New Roman" w:hAnsi="Times New Roman" w:cs="Times New Roman"/>
          <w:kern w:val="0"/>
          <w:u w:val="single"/>
        </w:rPr>
        <w:t>Hirtelen halál</w:t>
      </w:r>
    </w:p>
    <w:p w14:paraId="55174773" w14:textId="77777777" w:rsidR="00B321F4" w:rsidRPr="00B321F4" w:rsidRDefault="00B321F4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18822C1B" w14:textId="1E7E9DAA" w:rsidR="007511F1" w:rsidRDefault="009D657F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N</w:t>
      </w:r>
      <w:r w:rsidRPr="007511F1">
        <w:rPr>
          <w:rFonts w:ascii="Times New Roman" w:hAnsi="Times New Roman" w:cs="Times New Roman"/>
          <w:kern w:val="0"/>
        </w:rPr>
        <w:t>em gyakran</w:t>
      </w:r>
      <w:r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(0,1-</w:t>
      </w:r>
      <w:r w:rsidRPr="007511F1">
        <w:rPr>
          <w:rFonts w:ascii="Times New Roman" w:eastAsia="TimesNewRomanPSMT" w:hAnsi="Times New Roman" w:cs="Times New Roman"/>
          <w:kern w:val="0"/>
        </w:rPr>
        <w:t>1%)</w:t>
      </w:r>
      <w:r>
        <w:rPr>
          <w:rFonts w:ascii="Times New Roman" w:eastAsia="TimesNewRomanPSMT" w:hAnsi="Times New Roman" w:cs="Times New Roman"/>
          <w:kern w:val="0"/>
        </w:rPr>
        <w:t>,</w:t>
      </w:r>
      <w:r w:rsidRPr="007511F1">
        <w:rPr>
          <w:rFonts w:ascii="Times New Roman" w:eastAsia="TimesNewRomanPSMT" w:hAnsi="Times New Roman" w:cs="Times New Roman"/>
          <w:kern w:val="0"/>
        </w:rPr>
        <w:t xml:space="preserve"> hirtelen halálról számoltak be</w:t>
      </w:r>
      <w:r w:rsidRPr="007511F1">
        <w:rPr>
          <w:rFonts w:ascii="Times New Roman" w:hAnsi="Times New Roman" w:cs="Times New Roman"/>
          <w:kern w:val="0"/>
        </w:rPr>
        <w:t xml:space="preserve"> </w:t>
      </w:r>
      <w:r>
        <w:rPr>
          <w:rFonts w:ascii="Times New Roman" w:hAnsi="Times New Roman" w:cs="Times New Roman"/>
          <w:kern w:val="0"/>
        </w:rPr>
        <w:t>o</w:t>
      </w:r>
      <w:r w:rsidR="007511F1" w:rsidRPr="007511F1">
        <w:rPr>
          <w:rFonts w:ascii="Times New Roman" w:hAnsi="Times New Roman" w:cs="Times New Roman"/>
          <w:kern w:val="0"/>
        </w:rPr>
        <w:t xml:space="preserve">lyan imatinib-rezisztens vagy intoleráns, a CML </w:t>
      </w:r>
      <w:r w:rsidR="007511F1" w:rsidRPr="007511F1">
        <w:rPr>
          <w:rFonts w:ascii="Times New Roman" w:eastAsia="TimesNewRomanPSMT" w:hAnsi="Times New Roman" w:cs="Times New Roman"/>
          <w:kern w:val="0"/>
        </w:rPr>
        <w:t xml:space="preserve">krónikus vagy akcelerált fázisában lévő </w:t>
      </w:r>
      <w:r w:rsidR="007511F1" w:rsidRPr="007511F1">
        <w:rPr>
          <w:rFonts w:ascii="Times New Roman" w:hAnsi="Times New Roman" w:cs="Times New Roman"/>
          <w:kern w:val="0"/>
        </w:rPr>
        <w:t>betegeknél,</w:t>
      </w:r>
      <w:r w:rsidR="006E2272">
        <w:rPr>
          <w:rFonts w:ascii="Times New Roman" w:hAnsi="Times New Roman" w:cs="Times New Roman"/>
          <w:kern w:val="0"/>
        </w:rPr>
        <w:t xml:space="preserve"> </w:t>
      </w:r>
      <w:r w:rsidR="007511F1" w:rsidRPr="007511F1">
        <w:rPr>
          <w:rFonts w:ascii="Times New Roman" w:eastAsia="TimesNewRomanPSMT" w:hAnsi="Times New Roman" w:cs="Times New Roman"/>
          <w:kern w:val="0"/>
        </w:rPr>
        <w:t>akiknek az anamnézisében szívbetegség vagy jelentős kardiá</w:t>
      </w:r>
      <w:r w:rsidR="007511F1" w:rsidRPr="007511F1">
        <w:rPr>
          <w:rFonts w:ascii="Times New Roman" w:hAnsi="Times New Roman" w:cs="Times New Roman"/>
          <w:kern w:val="0"/>
        </w:rPr>
        <w:t xml:space="preserve">lis rizikófaktor </w:t>
      </w:r>
      <w:proofErr w:type="gramStart"/>
      <w:r w:rsidR="007511F1" w:rsidRPr="007511F1">
        <w:rPr>
          <w:rFonts w:ascii="Times New Roman" w:hAnsi="Times New Roman" w:cs="Times New Roman"/>
          <w:kern w:val="0"/>
        </w:rPr>
        <w:t>szerepel,</w:t>
      </w:r>
      <w:r w:rsidR="007511F1" w:rsidRPr="007511F1">
        <w:rPr>
          <w:rFonts w:ascii="Times New Roman" w:eastAsia="TimesNewRomanPSMT" w:hAnsi="Times New Roman" w:cs="Times New Roman"/>
          <w:kern w:val="0"/>
        </w:rPr>
        <w:t>.</w:t>
      </w:r>
      <w:proofErr w:type="gramEnd"/>
      <w:r w:rsidR="007511F1" w:rsidRPr="007511F1">
        <w:rPr>
          <w:rFonts w:ascii="Times New Roman" w:eastAsia="TimesNewRomanPSMT" w:hAnsi="Times New Roman" w:cs="Times New Roman"/>
          <w:kern w:val="0"/>
        </w:rPr>
        <w:t xml:space="preserve"> A malignus alapbetegség mellett gyakran kísérőbetegségek és</w:t>
      </w:r>
      <w:r w:rsidR="006E2272">
        <w:rPr>
          <w:rFonts w:ascii="Times New Roman" w:eastAsia="TimesNewRomanPSMT" w:hAnsi="Times New Roman" w:cs="Times New Roman"/>
          <w:kern w:val="0"/>
        </w:rPr>
        <w:t xml:space="preserve"> </w:t>
      </w:r>
      <w:r w:rsidR="007511F1" w:rsidRPr="007511F1">
        <w:rPr>
          <w:rFonts w:ascii="Times New Roman" w:eastAsia="TimesNewRomanPSMT" w:hAnsi="Times New Roman" w:cs="Times New Roman"/>
          <w:kern w:val="0"/>
        </w:rPr>
        <w:t>egyidejű gyógyszerkészítmény is jelen volt. A ventricularis repolarizációs zavarok szintén szerepet</w:t>
      </w:r>
      <w:r w:rsidR="006E2272">
        <w:rPr>
          <w:rFonts w:ascii="Times New Roman" w:eastAsia="TimesNewRomanPSMT" w:hAnsi="Times New Roman" w:cs="Times New Roman"/>
          <w:kern w:val="0"/>
        </w:rPr>
        <w:t xml:space="preserve"> </w:t>
      </w:r>
      <w:r w:rsidR="007511F1" w:rsidRPr="007511F1">
        <w:rPr>
          <w:rFonts w:ascii="Times New Roman" w:hAnsi="Times New Roman" w:cs="Times New Roman"/>
          <w:kern w:val="0"/>
        </w:rPr>
        <w:t xml:space="preserve">játszhattak. Az újonnan diagnosztizált, a CML krónikus fázisában </w:t>
      </w:r>
      <w:r w:rsidR="007511F1" w:rsidRPr="007511F1">
        <w:rPr>
          <w:rFonts w:ascii="Times New Roman" w:eastAsia="TimesNewRomanPSMT" w:hAnsi="Times New Roman" w:cs="Times New Roman"/>
          <w:kern w:val="0"/>
        </w:rPr>
        <w:t xml:space="preserve">lévő </w:t>
      </w:r>
      <w:r w:rsidR="007511F1" w:rsidRPr="007511F1">
        <w:rPr>
          <w:rFonts w:ascii="Times New Roman" w:hAnsi="Times New Roman" w:cs="Times New Roman"/>
          <w:kern w:val="0"/>
        </w:rPr>
        <w:t>betegekkel végzett III. fázisú</w:t>
      </w:r>
      <w:r w:rsidR="006E2272">
        <w:rPr>
          <w:rFonts w:ascii="Times New Roman" w:hAnsi="Times New Roman" w:cs="Times New Roman"/>
          <w:kern w:val="0"/>
        </w:rPr>
        <w:t xml:space="preserve"> </w:t>
      </w:r>
      <w:r w:rsidR="007511F1" w:rsidRPr="007511F1">
        <w:rPr>
          <w:rFonts w:ascii="Times New Roman" w:hAnsi="Times New Roman" w:cs="Times New Roman"/>
          <w:kern w:val="0"/>
        </w:rPr>
        <w:t>vizsgálatban nem számoltak be hirtelen halálról.</w:t>
      </w:r>
    </w:p>
    <w:p w14:paraId="4317759B" w14:textId="77777777" w:rsidR="006E2272" w:rsidRPr="007511F1" w:rsidRDefault="006E2272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4E2D80E" w14:textId="77777777" w:rsidR="007511F1" w:rsidRPr="006E2272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6E2272">
        <w:rPr>
          <w:rFonts w:ascii="Times New Roman" w:hAnsi="Times New Roman" w:cs="Times New Roman"/>
          <w:kern w:val="0"/>
          <w:u w:val="single"/>
        </w:rPr>
        <w:t>Folyadékretenció és oedema</w:t>
      </w:r>
    </w:p>
    <w:p w14:paraId="1CEBB93A" w14:textId="77777777" w:rsidR="006E2272" w:rsidRPr="007511F1" w:rsidRDefault="006E2272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55E339C" w14:textId="67242428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 xml:space="preserve">A </w:t>
      </w:r>
      <w:r w:rsidRPr="007511F1">
        <w:rPr>
          <w:rFonts w:ascii="Times New Roman" w:eastAsia="TimesNewRomanPSMT" w:hAnsi="Times New Roman" w:cs="Times New Roman"/>
          <w:kern w:val="0"/>
        </w:rPr>
        <w:t xml:space="preserve">gyógyszerrel összefüggő </w:t>
      </w:r>
      <w:r w:rsidRPr="007511F1">
        <w:rPr>
          <w:rFonts w:ascii="Times New Roman" w:hAnsi="Times New Roman" w:cs="Times New Roman"/>
          <w:kern w:val="0"/>
        </w:rPr>
        <w:t>folyadékretenció súlyos formáit, például pleuralis folyadékgyülemet,</w:t>
      </w:r>
      <w:r w:rsidR="00BF027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pulmonalis oedemát és pericardialis folyadékgyülemet nem gyakran figyeltek meg (0,1-1%) egy</w:t>
      </w:r>
      <w:r w:rsidR="00BF027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újonnan diagnosztizált CML-es betegekkel végzett III. fázisú vizsgálatban. A forgalomba hozatalt</w:t>
      </w:r>
      <w:r w:rsidR="00BF027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követő jelentésekben hasonló eseményeket figyeltek meg. A váratlan, gyors testtömeg</w:t>
      </w:r>
      <w:r w:rsidRPr="007511F1">
        <w:rPr>
          <w:rFonts w:ascii="Times New Roman" w:hAnsi="Times New Roman" w:cs="Times New Roman"/>
          <w:kern w:val="0"/>
        </w:rPr>
        <w:t>-növekedést</w:t>
      </w:r>
      <w:r w:rsidR="00BF027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körültekintően ki kell vizsgálni. Ha a nilotinib</w:t>
      </w:r>
      <w:r w:rsidRPr="007511F1">
        <w:rPr>
          <w:rFonts w:ascii="Times New Roman" w:hAnsi="Times New Roman" w:cs="Times New Roman"/>
          <w:kern w:val="0"/>
        </w:rPr>
        <w:t>-kezelés alatt a súlyos folyadékretenció tünetei</w:t>
      </w:r>
      <w:r w:rsidR="00BF027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jelentkeznek, az etiológiát értékelni, és a betegeket ennek m</w:t>
      </w:r>
      <w:r w:rsidRPr="007511F1">
        <w:rPr>
          <w:rFonts w:ascii="Times New Roman" w:eastAsia="TimesNewRomanPSMT" w:hAnsi="Times New Roman" w:cs="Times New Roman"/>
          <w:kern w:val="0"/>
        </w:rPr>
        <w:t>egfelelően kezelni kell (lásd 4.2</w:t>
      </w:r>
      <w:r w:rsidR="00DA6E71">
        <w:rPr>
          <w:rFonts w:ascii="Times New Roman" w:eastAsia="TimesNewRomanPSMT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pont, a</w:t>
      </w:r>
      <w:r w:rsidR="00BF0274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nem hematológiai toxicitások kezelésére vonatkozó utasítások).</w:t>
      </w:r>
    </w:p>
    <w:p w14:paraId="4E8D2720" w14:textId="77777777" w:rsidR="00BF0274" w:rsidRPr="007511F1" w:rsidRDefault="00BF0274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9EEAB7B" w14:textId="77777777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F0274">
        <w:rPr>
          <w:rFonts w:ascii="Times New Roman" w:hAnsi="Times New Roman" w:cs="Times New Roman"/>
          <w:kern w:val="0"/>
          <w:u w:val="single"/>
        </w:rPr>
        <w:t>Cardiovascularis események</w:t>
      </w:r>
    </w:p>
    <w:p w14:paraId="1F1328CD" w14:textId="77777777" w:rsidR="00BF0274" w:rsidRPr="00BF0274" w:rsidRDefault="00BF0274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6B1E5AD9" w14:textId="25E74D84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>Egy újonnan diagnosztizált CML-</w:t>
      </w:r>
      <w:r w:rsidRPr="007511F1">
        <w:rPr>
          <w:rFonts w:ascii="Times New Roman" w:eastAsia="TimesNewRomanPSMT" w:hAnsi="Times New Roman" w:cs="Times New Roman"/>
          <w:kern w:val="0"/>
        </w:rPr>
        <w:t xml:space="preserve">ben szenvedő betegekkel végzett, randomizált, </w:t>
      </w:r>
      <w:r w:rsidRPr="007511F1">
        <w:rPr>
          <w:rFonts w:ascii="Times New Roman" w:hAnsi="Times New Roman" w:cs="Times New Roman"/>
          <w:kern w:val="0"/>
        </w:rPr>
        <w:t>III. fázisú</w:t>
      </w:r>
      <w:r w:rsidR="0086719F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vizsgálatban cardiovascularis ese</w:t>
      </w:r>
      <w:r w:rsidRPr="007511F1">
        <w:rPr>
          <w:rFonts w:ascii="Times New Roman" w:eastAsia="TimesNewRomanPSMT" w:hAnsi="Times New Roman" w:cs="Times New Roman"/>
          <w:kern w:val="0"/>
        </w:rPr>
        <w:t xml:space="preserve">ményekről számoltak be, </w:t>
      </w:r>
      <w:r w:rsidR="006330B4">
        <w:rPr>
          <w:rFonts w:ascii="Times New Roman" w:eastAsia="TimesNewRomanPSMT" w:hAnsi="Times New Roman" w:cs="Times New Roman"/>
          <w:kern w:val="0"/>
        </w:rPr>
        <w:t>amelyeket</w:t>
      </w:r>
      <w:r w:rsidR="006330B4" w:rsidRPr="007511F1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a forgalomba hozatalt követő</w:t>
      </w:r>
      <w:r w:rsidR="0086719F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jelentések</w:t>
      </w:r>
      <w:r w:rsidR="006330B4">
        <w:rPr>
          <w:rFonts w:ascii="Times New Roman" w:hAnsi="Times New Roman" w:cs="Times New Roman"/>
          <w:kern w:val="0"/>
        </w:rPr>
        <w:t xml:space="preserve"> szerint is megfigyeltek</w:t>
      </w:r>
      <w:r w:rsidRPr="007511F1">
        <w:rPr>
          <w:rFonts w:ascii="Times New Roman" w:hAnsi="Times New Roman" w:cs="Times New Roman"/>
          <w:kern w:val="0"/>
        </w:rPr>
        <w:t>. Ebben a 60,5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eastAsia="TimesNewRomanPSMT" w:hAnsi="Times New Roman" w:cs="Times New Roman"/>
          <w:kern w:val="0"/>
        </w:rPr>
        <w:t>hónapos medián időtartamú kezeléssel végzett</w:t>
      </w:r>
      <w:r w:rsidR="0086719F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klinikai vizsgálatban a 3-4.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fokozatú cardiovascularis események közé tartozott a perifériás</w:t>
      </w:r>
      <w:r w:rsidR="0086719F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verőérszű</w:t>
      </w:r>
      <w:r w:rsidRPr="007511F1">
        <w:rPr>
          <w:rFonts w:ascii="Times New Roman" w:hAnsi="Times New Roman" w:cs="Times New Roman"/>
          <w:kern w:val="0"/>
        </w:rPr>
        <w:t>kület (sorrendben 1,4% és 1,1% a naponta kétszer 300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mg és 400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mg</w:t>
      </w:r>
      <w:r w:rsidR="00F5379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nilotinib mellett), az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ischaemiás szívbetegség (sorrendben 2,2% és 6,1% a naponta kétszer 300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mg és 400</w:t>
      </w:r>
      <w:r w:rsidR="0086719F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mg nilotinib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mellett) és az ischaemiás cerebrovascularis események (sorrendben 1,1% és 2,2% a naponta kétszer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300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mg és 400</w:t>
      </w:r>
      <w:r w:rsidR="00F5379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mg nilotinib mellett). A betegeknek azt kell tanácsolni, hogy azonnal kérjenek orvosi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segítséget, ha cardiovascularis eseményekre utaló akut panaszokat vagy tüneteket észlelnek. A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nilotinib-kezelés alatt a betegek cardiovascularis státuszát értékelni,</w:t>
      </w:r>
      <w:r w:rsidR="00A72D24">
        <w:rPr>
          <w:rFonts w:ascii="Times New Roman" w:hAnsi="Times New Roman" w:cs="Times New Roman"/>
          <w:kern w:val="0"/>
        </w:rPr>
        <w:t xml:space="preserve"> továbbá</w:t>
      </w:r>
      <w:r w:rsidRPr="007511F1">
        <w:rPr>
          <w:rFonts w:ascii="Times New Roman" w:hAnsi="Times New Roman" w:cs="Times New Roman"/>
          <w:kern w:val="0"/>
        </w:rPr>
        <w:t xml:space="preserve"> a szív- és érrendszeri kockázati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tényezőket monitorozni és aktívan kezelni kell, mindezt a standard ajánlások szerint. A szív</w:t>
      </w:r>
      <w:r w:rsidRPr="007511F1">
        <w:rPr>
          <w:rFonts w:ascii="Times New Roman" w:hAnsi="Times New Roman" w:cs="Times New Roman"/>
          <w:kern w:val="0"/>
        </w:rPr>
        <w:t>- és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eastAsia="TimesNewRomanPSMT" w:hAnsi="Times New Roman" w:cs="Times New Roman"/>
          <w:kern w:val="0"/>
        </w:rPr>
        <w:t>érrendszeri kockázati tényező kezelése érdekében megfelelő kezelést kell felírni (lásd 4.</w:t>
      </w:r>
      <w:r w:rsidRPr="007511F1">
        <w:rPr>
          <w:rFonts w:ascii="Times New Roman" w:hAnsi="Times New Roman" w:cs="Times New Roman"/>
          <w:kern w:val="0"/>
        </w:rPr>
        <w:t>2</w:t>
      </w:r>
      <w:r w:rsidR="00D50DE7">
        <w:rPr>
          <w:rFonts w:ascii="Times New Roman" w:hAnsi="Times New Roman" w:cs="Times New Roman"/>
          <w:kern w:val="0"/>
        </w:rPr>
        <w:t> </w:t>
      </w:r>
      <w:r w:rsidRPr="007511F1">
        <w:rPr>
          <w:rFonts w:ascii="Times New Roman" w:hAnsi="Times New Roman" w:cs="Times New Roman"/>
          <w:kern w:val="0"/>
        </w:rPr>
        <w:t>pont, a nem</w:t>
      </w:r>
      <w:r w:rsidR="00D50DE7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hematológiai toxicitások kezelésére vonatkozó utasítások).</w:t>
      </w:r>
    </w:p>
    <w:p w14:paraId="0C4FA650" w14:textId="77777777" w:rsidR="00D50DE7" w:rsidRPr="007511F1" w:rsidRDefault="00D50DE7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6901911" w14:textId="35958956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D50DE7">
        <w:rPr>
          <w:rFonts w:ascii="Times New Roman" w:hAnsi="Times New Roman" w:cs="Times New Roman"/>
          <w:kern w:val="0"/>
          <w:u w:val="single"/>
        </w:rPr>
        <w:t>Hepatitis B</w:t>
      </w:r>
      <w:r w:rsidR="00CC02D9">
        <w:rPr>
          <w:rFonts w:ascii="Times New Roman" w:hAnsi="Times New Roman" w:cs="Times New Roman"/>
          <w:kern w:val="0"/>
          <w:u w:val="single"/>
        </w:rPr>
        <w:t>-</w:t>
      </w:r>
      <w:r w:rsidRPr="00D50DE7">
        <w:rPr>
          <w:rFonts w:ascii="Times New Roman" w:hAnsi="Times New Roman" w:cs="Times New Roman"/>
          <w:kern w:val="0"/>
          <w:u w:val="single"/>
        </w:rPr>
        <w:t>reaktiváció</w:t>
      </w:r>
    </w:p>
    <w:p w14:paraId="720E263F" w14:textId="77777777" w:rsidR="00D50DE7" w:rsidRPr="00D50DE7" w:rsidRDefault="00D50DE7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418EBB2" w14:textId="44C26D8D" w:rsidR="007511F1" w:rsidRDefault="007511F1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511F1">
        <w:rPr>
          <w:rFonts w:ascii="Times New Roman" w:hAnsi="Times New Roman" w:cs="Times New Roman"/>
          <w:kern w:val="0"/>
        </w:rPr>
        <w:t xml:space="preserve">A hepatitis </w:t>
      </w:r>
      <w:r w:rsidRPr="007511F1">
        <w:rPr>
          <w:rFonts w:ascii="Times New Roman" w:eastAsia="TimesNewRomanPSMT" w:hAnsi="Times New Roman" w:cs="Times New Roman"/>
          <w:kern w:val="0"/>
        </w:rPr>
        <w:t>B</w:t>
      </w:r>
      <w:r w:rsidR="00CC02D9">
        <w:rPr>
          <w:rFonts w:ascii="Times New Roman" w:eastAsia="TimesNewRomanPSMT" w:hAnsi="Times New Roman" w:cs="Times New Roman"/>
          <w:kern w:val="0"/>
        </w:rPr>
        <w:t>-</w:t>
      </w:r>
      <w:r w:rsidRPr="007511F1">
        <w:rPr>
          <w:rFonts w:ascii="Times New Roman" w:eastAsia="TimesNewRomanPSMT" w:hAnsi="Times New Roman" w:cs="Times New Roman"/>
          <w:kern w:val="0"/>
        </w:rPr>
        <w:t xml:space="preserve">reaktivációja fordult elő </w:t>
      </w:r>
      <w:r w:rsidR="0067417C">
        <w:rPr>
          <w:rFonts w:ascii="Times New Roman" w:eastAsia="TimesNewRomanPSMT" w:hAnsi="Times New Roman" w:cs="Times New Roman"/>
          <w:kern w:val="0"/>
        </w:rPr>
        <w:t xml:space="preserve">hepatitis B </w:t>
      </w:r>
      <w:r w:rsidRPr="007511F1">
        <w:rPr>
          <w:rFonts w:ascii="Times New Roman" w:eastAsia="TimesNewRomanPSMT" w:hAnsi="Times New Roman" w:cs="Times New Roman"/>
          <w:kern w:val="0"/>
        </w:rPr>
        <w:t>krónikus vírushordozó betegeknél, miután ezek a betegek</w:t>
      </w:r>
      <w:r w:rsidR="00B7728E">
        <w:rPr>
          <w:rFonts w:ascii="Times New Roman" w:eastAsia="TimesNewRomanPSMT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BCR-ABL tirozin-kináz inhibitorokat kaptak. Egyes esetekben akut májelégtelenség vagy fulmináns</w:t>
      </w:r>
      <w:r w:rsidR="00A953AE">
        <w:rPr>
          <w:rFonts w:ascii="Times New Roman" w:hAnsi="Times New Roman" w:cs="Times New Roman"/>
          <w:kern w:val="0"/>
        </w:rPr>
        <w:t xml:space="preserve"> </w:t>
      </w:r>
      <w:r w:rsidRPr="007511F1">
        <w:rPr>
          <w:rFonts w:ascii="Times New Roman" w:hAnsi="Times New Roman" w:cs="Times New Roman"/>
          <w:kern w:val="0"/>
        </w:rPr>
        <w:t>hepatitis alakult ki, amely májtranszplantációhoz vagy a beteg halálához vezetett.</w:t>
      </w:r>
    </w:p>
    <w:p w14:paraId="30D39874" w14:textId="77777777" w:rsidR="008C7179" w:rsidRDefault="008C7179" w:rsidP="007511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AA2074E" w14:textId="0D0E9BFA" w:rsidR="006C4519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91D94">
        <w:rPr>
          <w:rFonts w:ascii="Times New Roman" w:hAnsi="Times New Roman" w:cs="Times New Roman"/>
          <w:kern w:val="0"/>
        </w:rPr>
        <w:t>A nilotinib-</w:t>
      </w:r>
      <w:r w:rsidRPr="00C91D94">
        <w:rPr>
          <w:rFonts w:ascii="Times New Roman" w:eastAsia="TimesNewRomanPSMT" w:hAnsi="Times New Roman" w:cs="Times New Roman"/>
          <w:kern w:val="0"/>
        </w:rPr>
        <w:t>kezelés megkezdése előtt a betegeknél a HBV</w:t>
      </w:r>
      <w:r w:rsidR="00CC02D9">
        <w:rPr>
          <w:rFonts w:ascii="Times New Roman" w:eastAsia="TimesNewRomanPSMT" w:hAnsi="Times New Roman" w:cs="Times New Roman"/>
          <w:kern w:val="0"/>
        </w:rPr>
        <w:t>-</w:t>
      </w:r>
      <w:r w:rsidRPr="00C91D94">
        <w:rPr>
          <w:rFonts w:ascii="Times New Roman" w:eastAsia="TimesNewRomanPSMT" w:hAnsi="Times New Roman" w:cs="Times New Roman"/>
          <w:kern w:val="0"/>
        </w:rPr>
        <w:t>fertőzöttség kivizsgálására van szükség. A</w:t>
      </w:r>
      <w:r w:rsidR="008C7179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 xml:space="preserve">májbetegségek és a hepatitis </w:t>
      </w:r>
      <w:r w:rsidRPr="00C91D94">
        <w:rPr>
          <w:rFonts w:ascii="Times New Roman" w:eastAsia="TimesNewRomanPSMT" w:hAnsi="Times New Roman" w:cs="Times New Roman"/>
          <w:kern w:val="0"/>
        </w:rPr>
        <w:t>B</w:t>
      </w:r>
      <w:r w:rsidR="00CC02D9">
        <w:rPr>
          <w:rFonts w:ascii="Times New Roman" w:eastAsia="TimesNewRomanPSMT" w:hAnsi="Times New Roman" w:cs="Times New Roman"/>
          <w:kern w:val="0"/>
        </w:rPr>
        <w:t>-</w:t>
      </w:r>
      <w:r w:rsidRPr="00C91D94">
        <w:rPr>
          <w:rFonts w:ascii="Times New Roman" w:eastAsia="TimesNewRomanPSMT" w:hAnsi="Times New Roman" w:cs="Times New Roman"/>
          <w:kern w:val="0"/>
        </w:rPr>
        <w:t>kezelés szakértőivel kell konzultálni a kezelés megkezdése előtt a</w:t>
      </w:r>
      <w:r w:rsidR="00964A8A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lastRenderedPageBreak/>
        <w:t>pozitív hepatitis B szerológiájú betegeknél (beleértve az aktív betegséget is), valamint olyan betegek</w:t>
      </w:r>
      <w:r w:rsidR="008C7179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esetében, akiknél a kezelés közben derül ki a HBV</w:t>
      </w:r>
      <w:r w:rsidR="00CC02D9">
        <w:rPr>
          <w:rFonts w:ascii="Times New Roman" w:eastAsia="TimesNewRomanPSMT" w:hAnsi="Times New Roman" w:cs="Times New Roman"/>
          <w:kern w:val="0"/>
        </w:rPr>
        <w:t>-</w:t>
      </w:r>
      <w:r w:rsidRPr="00C91D94">
        <w:rPr>
          <w:rFonts w:ascii="Times New Roman" w:eastAsia="TimesNewRomanPSMT" w:hAnsi="Times New Roman" w:cs="Times New Roman"/>
          <w:kern w:val="0"/>
        </w:rPr>
        <w:t xml:space="preserve">fertőzés. A </w:t>
      </w:r>
      <w:r w:rsidRPr="00C91D94">
        <w:rPr>
          <w:rFonts w:ascii="Times New Roman" w:hAnsi="Times New Roman" w:cs="Times New Roman"/>
          <w:kern w:val="0"/>
        </w:rPr>
        <w:t>nilotinib-kezelést i</w:t>
      </w:r>
      <w:r w:rsidRPr="00C91D94">
        <w:rPr>
          <w:rFonts w:ascii="Times New Roman" w:eastAsia="TimesNewRomanPSMT" w:hAnsi="Times New Roman" w:cs="Times New Roman"/>
          <w:kern w:val="0"/>
        </w:rPr>
        <w:t>génylő HBV</w:t>
      </w:r>
      <w:r w:rsidR="00CC02D9">
        <w:rPr>
          <w:rFonts w:ascii="Times New Roman" w:eastAsia="TimesNewRomanPSMT" w:hAnsi="Times New Roman" w:cs="Times New Roman"/>
          <w:kern w:val="0"/>
        </w:rPr>
        <w:t>-</w:t>
      </w:r>
      <w:r w:rsidRPr="00C91D94">
        <w:rPr>
          <w:rFonts w:ascii="Times New Roman" w:eastAsia="TimesNewRomanPSMT" w:hAnsi="Times New Roman" w:cs="Times New Roman"/>
          <w:kern w:val="0"/>
        </w:rPr>
        <w:t>hordozókat szorosan ellenőrizni kell a kezelés közben, valamint a kezelés befejezését követően több</w:t>
      </w:r>
      <w:r w:rsidR="008C7179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hónapon keresztül, hogy nem alakulnak-</w:t>
      </w:r>
      <w:r w:rsidRPr="00C91D94">
        <w:rPr>
          <w:rFonts w:ascii="Times New Roman" w:eastAsia="TimesNewRomanPSMT" w:hAnsi="Times New Roman" w:cs="Times New Roman"/>
          <w:kern w:val="0"/>
        </w:rPr>
        <w:t>e ki az aktív HBV</w:t>
      </w:r>
      <w:r w:rsidR="00CC02D9">
        <w:rPr>
          <w:rFonts w:ascii="Times New Roman" w:eastAsia="TimesNewRomanPSMT" w:hAnsi="Times New Roman" w:cs="Times New Roman"/>
          <w:kern w:val="0"/>
        </w:rPr>
        <w:t>-</w:t>
      </w:r>
      <w:r w:rsidRPr="00C91D94">
        <w:rPr>
          <w:rFonts w:ascii="Times New Roman" w:eastAsia="TimesNewRomanPSMT" w:hAnsi="Times New Roman" w:cs="Times New Roman"/>
          <w:kern w:val="0"/>
        </w:rPr>
        <w:t>fertőzés jelei és tünetei (lásd 4.8</w:t>
      </w:r>
      <w:r w:rsidR="008C7179">
        <w:rPr>
          <w:rFonts w:ascii="Times New Roman" w:eastAsia="TimesNewRomanPSMT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pont).</w:t>
      </w:r>
      <w:r w:rsidR="008C7179">
        <w:rPr>
          <w:rFonts w:ascii="Times New Roman" w:hAnsi="Times New Roman" w:cs="Times New Roman"/>
          <w:kern w:val="0"/>
        </w:rPr>
        <w:t xml:space="preserve"> </w:t>
      </w:r>
    </w:p>
    <w:p w14:paraId="758F170A" w14:textId="77777777" w:rsidR="006C4519" w:rsidRDefault="006C4519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1B1A2DE" w14:textId="0D73CA5B" w:rsidR="00C91D94" w:rsidRPr="00244628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244628">
        <w:rPr>
          <w:rFonts w:ascii="Times New Roman" w:hAnsi="Times New Roman" w:cs="Times New Roman"/>
          <w:kern w:val="0"/>
          <w:u w:val="single"/>
        </w:rPr>
        <w:t xml:space="preserve">A Ph+, krónikus fázisú CML-es, tartós mély molekuláris választ elért </w:t>
      </w:r>
      <w:r w:rsidRPr="00244628">
        <w:rPr>
          <w:rFonts w:ascii="Times New Roman" w:eastAsia="TimesNewRomanPSMT" w:hAnsi="Times New Roman" w:cs="Times New Roman"/>
          <w:kern w:val="0"/>
          <w:u w:val="single"/>
        </w:rPr>
        <w:t xml:space="preserve">felnőtt </w:t>
      </w:r>
      <w:r w:rsidRPr="00244628">
        <w:rPr>
          <w:rFonts w:ascii="Times New Roman" w:hAnsi="Times New Roman" w:cs="Times New Roman"/>
          <w:kern w:val="0"/>
          <w:u w:val="single"/>
        </w:rPr>
        <w:t>betegek speciális</w:t>
      </w:r>
      <w:r w:rsidR="008C7179" w:rsidRPr="00244628">
        <w:rPr>
          <w:rFonts w:ascii="Times New Roman" w:hAnsi="Times New Roman" w:cs="Times New Roman"/>
          <w:kern w:val="0"/>
          <w:u w:val="single"/>
        </w:rPr>
        <w:t xml:space="preserve"> </w:t>
      </w:r>
      <w:r w:rsidRPr="00244628">
        <w:rPr>
          <w:rFonts w:ascii="Times New Roman" w:hAnsi="Times New Roman" w:cs="Times New Roman"/>
          <w:kern w:val="0"/>
          <w:u w:val="single"/>
        </w:rPr>
        <w:t>monitorozása</w:t>
      </w:r>
    </w:p>
    <w:p w14:paraId="5366EA60" w14:textId="77777777" w:rsidR="008C7179" w:rsidRPr="00C91D94" w:rsidRDefault="008C7179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6C1E2D6" w14:textId="77777777" w:rsidR="00C91D94" w:rsidRPr="00027697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027697">
        <w:rPr>
          <w:rFonts w:ascii="Times New Roman" w:hAnsi="Times New Roman" w:cs="Times New Roman"/>
          <w:i/>
          <w:iCs/>
          <w:kern w:val="0"/>
          <w:u w:val="single"/>
        </w:rPr>
        <w:t>Alkalmasság a kezelés abbahagyására</w:t>
      </w:r>
    </w:p>
    <w:p w14:paraId="3C737304" w14:textId="2965DB3F" w:rsidR="00C91D94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C91D94">
        <w:rPr>
          <w:rFonts w:ascii="Times New Roman" w:hAnsi="Times New Roman" w:cs="Times New Roman"/>
          <w:kern w:val="0"/>
        </w:rPr>
        <w:t>Az alkalmas betegeknél, akiknél bizonyított az e13a2/b2a2 vagy e14a2/b3a2, típusos BCR-ABL</w:t>
      </w:r>
      <w:r w:rsidR="00097436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transzkriptek expressziója, mérlegelni lehet a kezelés abbahagyását. Fontos, hogy a betegeknek típusos</w:t>
      </w:r>
      <w:r w:rsidR="00097436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BCR-</w:t>
      </w:r>
      <w:r w:rsidRPr="00C91D94">
        <w:rPr>
          <w:rFonts w:ascii="Times New Roman" w:eastAsia="TimesNewRomanPSMT" w:hAnsi="Times New Roman" w:cs="Times New Roman"/>
          <w:kern w:val="0"/>
        </w:rPr>
        <w:t>ABL transzkriptjeik legyenek, ami lehetővé teszi a BCR</w:t>
      </w:r>
      <w:r w:rsidRPr="00C91D94">
        <w:rPr>
          <w:rFonts w:ascii="Times New Roman" w:hAnsi="Times New Roman" w:cs="Times New Roman"/>
          <w:kern w:val="0"/>
        </w:rPr>
        <w:t>-ABL-ek mennyiségi meghatározását, a</w:t>
      </w:r>
      <w:r w:rsidR="00097436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molekuláris válasz mélységének értékelését, valamint a nilotinib-kezelés abbahagyása után a</w:t>
      </w:r>
      <w:r w:rsidR="00097436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 xml:space="preserve">molekuláris remisszió </w:t>
      </w:r>
      <w:r w:rsidRPr="00C91D94">
        <w:rPr>
          <w:rFonts w:ascii="Times New Roman" w:eastAsia="TimesNewRomanPSMT" w:hAnsi="Times New Roman" w:cs="Times New Roman"/>
          <w:kern w:val="0"/>
        </w:rPr>
        <w:t>lehetséges megszűnésének meghatározását.</w:t>
      </w:r>
    </w:p>
    <w:p w14:paraId="5924EEE8" w14:textId="77777777" w:rsidR="00097436" w:rsidRPr="00C91D94" w:rsidRDefault="00097436" w:rsidP="00C91D9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34103619" w14:textId="77777777" w:rsidR="00C91D94" w:rsidRPr="00097436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097436">
        <w:rPr>
          <w:rFonts w:ascii="Times New Roman" w:hAnsi="Times New Roman" w:cs="Times New Roman"/>
          <w:i/>
          <w:iCs/>
          <w:kern w:val="0"/>
          <w:u w:val="single"/>
        </w:rPr>
        <w:t>A kezelést abbahagyó betegek monitorozása</w:t>
      </w:r>
    </w:p>
    <w:p w14:paraId="6532ACE1" w14:textId="59BF1A10" w:rsidR="005F6832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91D94">
        <w:rPr>
          <w:rFonts w:ascii="Times New Roman" w:hAnsi="Times New Roman" w:cs="Times New Roman"/>
          <w:kern w:val="0"/>
        </w:rPr>
        <w:t>A kezelés abbahagyására alkalmas betegeknél a BCR-ABL transzkript-szint gyakori monitorozása</w:t>
      </w:r>
      <w:r w:rsidR="00F84E1D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 xml:space="preserve">szükséges </w:t>
      </w:r>
      <w:r w:rsidR="00CC02D9">
        <w:rPr>
          <w:rFonts w:ascii="Times New Roman" w:hAnsi="Times New Roman" w:cs="Times New Roman"/>
          <w:kern w:val="0"/>
        </w:rPr>
        <w:t xml:space="preserve">egy </w:t>
      </w:r>
      <w:r w:rsidRPr="00C91D94">
        <w:rPr>
          <w:rFonts w:ascii="Times New Roman" w:hAnsi="Times New Roman" w:cs="Times New Roman"/>
          <w:kern w:val="0"/>
        </w:rPr>
        <w:t>erre alkalmas, legalább MR4,5 szenzitivitású (BCR-</w:t>
      </w:r>
      <w:r w:rsidRPr="00C91D94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C91D94">
        <w:rPr>
          <w:rFonts w:ascii="Times New Roman" w:hAnsi="Times New Roman" w:cs="Times New Roman"/>
          <w:kern w:val="0"/>
        </w:rPr>
        <w:t>0,0032% IS), a</w:t>
      </w:r>
      <w:r w:rsidR="00F84E1D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molekuláris válaszreakció szintjét mérő, validált kvantitatív diagnosztikai vizsgálattal. A BCR</w:t>
      </w:r>
      <w:r w:rsidRPr="00C91D94">
        <w:rPr>
          <w:rFonts w:ascii="Times New Roman" w:hAnsi="Times New Roman" w:cs="Times New Roman"/>
          <w:kern w:val="0"/>
        </w:rPr>
        <w:t>-ABL</w:t>
      </w:r>
      <w:r w:rsidR="00F84E1D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transzkript-</w:t>
      </w:r>
      <w:r w:rsidRPr="00C91D94">
        <w:rPr>
          <w:rFonts w:ascii="Times New Roman" w:eastAsia="TimesNewRomanPSMT" w:hAnsi="Times New Roman" w:cs="Times New Roman"/>
          <w:kern w:val="0"/>
        </w:rPr>
        <w:t>szinteket a kezelés abbahagyása előtt és az alatt is mérni kell (lásd 4.2 és 5.1</w:t>
      </w:r>
      <w:r w:rsidR="00F84E1D">
        <w:rPr>
          <w:rFonts w:ascii="Times New Roman" w:eastAsia="TimesNewRomanPSMT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pont).</w:t>
      </w:r>
      <w:r w:rsidR="00F84E1D">
        <w:rPr>
          <w:rFonts w:ascii="Times New Roman" w:hAnsi="Times New Roman" w:cs="Times New Roman"/>
          <w:kern w:val="0"/>
        </w:rPr>
        <w:t xml:space="preserve"> </w:t>
      </w:r>
    </w:p>
    <w:p w14:paraId="18893F39" w14:textId="77777777" w:rsidR="005F6832" w:rsidRDefault="005F6832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C97A8ED" w14:textId="436599EF" w:rsidR="00C91D94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91D94">
        <w:rPr>
          <w:rFonts w:ascii="Times New Roman" w:eastAsia="TimesNewRomanPSMT" w:hAnsi="Times New Roman" w:cs="Times New Roman"/>
          <w:kern w:val="0"/>
        </w:rPr>
        <w:t xml:space="preserve">A major molekuláris válasz megszűnése </w:t>
      </w:r>
      <w:r w:rsidRPr="00C91D94">
        <w:rPr>
          <w:rFonts w:ascii="Times New Roman" w:hAnsi="Times New Roman" w:cs="Times New Roman"/>
          <w:kern w:val="0"/>
        </w:rPr>
        <w:t>(MMR = BCR-</w:t>
      </w:r>
      <w:r w:rsidRPr="00C91D94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C91D94">
        <w:rPr>
          <w:rFonts w:ascii="Times New Roman" w:hAnsi="Times New Roman" w:cs="Times New Roman"/>
          <w:kern w:val="0"/>
        </w:rPr>
        <w:t xml:space="preserve">0,1% IS) </w:t>
      </w:r>
      <w:r w:rsidR="00CC02D9">
        <w:rPr>
          <w:rFonts w:ascii="Times New Roman" w:hAnsi="Times New Roman" w:cs="Times New Roman"/>
          <w:kern w:val="0"/>
        </w:rPr>
        <w:t xml:space="preserve">azoknál a </w:t>
      </w:r>
      <w:r w:rsidRPr="00C91D94">
        <w:rPr>
          <w:rFonts w:ascii="Times New Roman" w:hAnsi="Times New Roman" w:cs="Times New Roman"/>
          <w:kern w:val="0"/>
        </w:rPr>
        <w:t>CML-es betegeknél,</w:t>
      </w:r>
      <w:r w:rsidR="005F6832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akik első</w:t>
      </w:r>
      <w:r w:rsidRPr="00C91D94">
        <w:rPr>
          <w:rFonts w:ascii="Times New Roman" w:hAnsi="Times New Roman" w:cs="Times New Roman"/>
          <w:kern w:val="0"/>
        </w:rPr>
        <w:t xml:space="preserve">- vagy második vonalbeli </w:t>
      </w:r>
      <w:r w:rsidR="00CC02D9">
        <w:rPr>
          <w:rFonts w:ascii="Times New Roman" w:hAnsi="Times New Roman" w:cs="Times New Roman"/>
          <w:kern w:val="0"/>
        </w:rPr>
        <w:t xml:space="preserve">terápiaként </w:t>
      </w:r>
      <w:r w:rsidRPr="00C91D94">
        <w:rPr>
          <w:rFonts w:ascii="Times New Roman" w:hAnsi="Times New Roman" w:cs="Times New Roman"/>
          <w:kern w:val="0"/>
        </w:rPr>
        <w:t xml:space="preserve">nilotinibet kaptak, </w:t>
      </w:r>
      <w:r w:rsidRPr="00C91D94">
        <w:rPr>
          <w:rFonts w:ascii="Times New Roman" w:eastAsia="TimesNewRomanPSMT" w:hAnsi="Times New Roman" w:cs="Times New Roman"/>
          <w:kern w:val="0"/>
        </w:rPr>
        <w:t>vagy a MR4 megerősített elvesztése</w:t>
      </w:r>
      <w:r w:rsidR="005F6832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(MR4 = BCR-</w:t>
      </w:r>
      <w:r w:rsidRPr="00C91D94">
        <w:rPr>
          <w:rFonts w:ascii="Times New Roman" w:eastAsia="TimesNewRomanPSMT" w:hAnsi="Times New Roman" w:cs="Times New Roman"/>
          <w:kern w:val="0"/>
        </w:rPr>
        <w:t xml:space="preserve">ABL/ABL ≤ </w:t>
      </w:r>
      <w:r w:rsidRPr="00C91D94">
        <w:rPr>
          <w:rFonts w:ascii="Times New Roman" w:hAnsi="Times New Roman" w:cs="Times New Roman"/>
          <w:kern w:val="0"/>
        </w:rPr>
        <w:t xml:space="preserve">0,01% </w:t>
      </w:r>
      <w:r w:rsidRPr="00C91D94">
        <w:rPr>
          <w:rFonts w:ascii="Times New Roman" w:eastAsia="TimesNewRomanPSMT" w:hAnsi="Times New Roman" w:cs="Times New Roman"/>
          <w:kern w:val="0"/>
        </w:rPr>
        <w:t xml:space="preserve">IS) (két, egymást követő, legalább 4 </w:t>
      </w:r>
      <w:r w:rsidRPr="00C91D94">
        <w:rPr>
          <w:rFonts w:ascii="Times New Roman" w:hAnsi="Times New Roman" w:cs="Times New Roman"/>
          <w:kern w:val="0"/>
        </w:rPr>
        <w:t>hét különbséggel végzett</w:t>
      </w:r>
      <w:r w:rsidR="005F6832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mérés mutatja a</w:t>
      </w:r>
      <w:r w:rsidR="00CC02D9">
        <w:rPr>
          <w:rFonts w:ascii="Times New Roman" w:eastAsia="TimesNewRomanPSMT" w:hAnsi="Times New Roman" w:cs="Times New Roman"/>
          <w:kern w:val="0"/>
        </w:rPr>
        <w:t>z</w:t>
      </w:r>
      <w:r w:rsidRPr="00C91D94">
        <w:rPr>
          <w:rFonts w:ascii="Times New Roman" w:eastAsia="TimesNewRomanPSMT" w:hAnsi="Times New Roman" w:cs="Times New Roman"/>
          <w:kern w:val="0"/>
        </w:rPr>
        <w:t xml:space="preserve"> MR4 megszűnését)</w:t>
      </w:r>
      <w:r w:rsidR="00CC02D9">
        <w:rPr>
          <w:rFonts w:ascii="Times New Roman" w:eastAsia="TimesNewRomanPSMT" w:hAnsi="Times New Roman" w:cs="Times New Roman"/>
          <w:kern w:val="0"/>
        </w:rPr>
        <w:t xml:space="preserve"> olyan</w:t>
      </w:r>
      <w:r w:rsidRPr="00C91D94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 xml:space="preserve">CML-es betegeknél, akik második vonalbeli </w:t>
      </w:r>
      <w:r w:rsidR="00CC02D9">
        <w:rPr>
          <w:rFonts w:ascii="Times New Roman" w:hAnsi="Times New Roman" w:cs="Times New Roman"/>
          <w:kern w:val="0"/>
        </w:rPr>
        <w:t xml:space="preserve">terápiaként </w:t>
      </w:r>
      <w:r w:rsidRPr="00C91D94">
        <w:rPr>
          <w:rFonts w:ascii="Times New Roman" w:hAnsi="Times New Roman" w:cs="Times New Roman"/>
          <w:kern w:val="0"/>
        </w:rPr>
        <w:t>nilotinibet kaptak</w:t>
      </w:r>
      <w:r w:rsidR="00CC02D9">
        <w:rPr>
          <w:rFonts w:ascii="Times New Roman" w:hAnsi="Times New Roman" w:cs="Times New Roman"/>
          <w:kern w:val="0"/>
        </w:rPr>
        <w:t>,</w:t>
      </w:r>
      <w:r w:rsidRPr="00C91D94">
        <w:rPr>
          <w:rFonts w:ascii="Times New Roman" w:hAnsi="Times New Roman" w:cs="Times New Roman"/>
          <w:kern w:val="0"/>
        </w:rPr>
        <w:t xml:space="preserve"> </w:t>
      </w:r>
      <w:r w:rsidRPr="008E68D3">
        <w:rPr>
          <w:rFonts w:ascii="Times New Roman" w:hAnsi="Times New Roman" w:cs="Times New Roman"/>
          <w:kern w:val="0"/>
        </w:rPr>
        <w:t xml:space="preserve">a kezelés újrakezdésének </w:t>
      </w:r>
      <w:r w:rsidR="00CC02D9" w:rsidRPr="008E68D3">
        <w:rPr>
          <w:rFonts w:ascii="Times New Roman" w:hAnsi="Times New Roman" w:cs="Times New Roman"/>
          <w:kern w:val="0"/>
        </w:rPr>
        <w:t xml:space="preserve">indikációját jelenti </w:t>
      </w:r>
      <w:r w:rsidRPr="008E68D3">
        <w:rPr>
          <w:rFonts w:ascii="Times New Roman" w:hAnsi="Times New Roman" w:cs="Times New Roman"/>
          <w:kern w:val="0"/>
        </w:rPr>
        <w:t>a molekuláris remisszió</w:t>
      </w:r>
      <w:r w:rsidRPr="00C91D94">
        <w:rPr>
          <w:rFonts w:ascii="Times New Roman" w:eastAsia="TimesNewRomanPSMT" w:hAnsi="Times New Roman" w:cs="Times New Roman"/>
          <w:kern w:val="0"/>
        </w:rPr>
        <w:t xml:space="preserve"> megszűnésének felismerése utáni</w:t>
      </w:r>
      <w:r w:rsidR="005F6832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4</w:t>
      </w:r>
      <w:r w:rsidR="005F6832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héten belül. A kezelésmentes fázis során molekuláris relapszus történhet, és a hosszú távú kimenetel</w:t>
      </w:r>
      <w:r w:rsidR="005F6832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ad</w:t>
      </w:r>
      <w:r w:rsidRPr="00C91D94">
        <w:rPr>
          <w:rFonts w:ascii="Times New Roman" w:eastAsia="TimesNewRomanPSMT" w:hAnsi="Times New Roman" w:cs="Times New Roman"/>
          <w:kern w:val="0"/>
        </w:rPr>
        <w:t>atai még nem elérhetőek. Ezért, a remisszió esetleges elvesztésének kimutatása érdekében,</w:t>
      </w:r>
      <w:r w:rsidR="005F6832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feltétlenül szükséges a BCR-ABL-szint és a teljes (kvantitatív és kvalitatív) vérkép gyakori</w:t>
      </w:r>
      <w:r w:rsidR="005F6832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monitorozása (lásd 4.2</w:t>
      </w:r>
      <w:r w:rsidR="005F6832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pont). Azoknál a betegeknél, akiknél a</w:t>
      </w:r>
      <w:r w:rsidR="003A4767">
        <w:rPr>
          <w:rFonts w:ascii="Times New Roman" w:hAnsi="Times New Roman" w:cs="Times New Roman"/>
          <w:kern w:val="0"/>
        </w:rPr>
        <w:t>z</w:t>
      </w:r>
      <w:r w:rsidRPr="00C91D94">
        <w:rPr>
          <w:rFonts w:ascii="Times New Roman" w:hAnsi="Times New Roman" w:cs="Times New Roman"/>
          <w:kern w:val="0"/>
        </w:rPr>
        <w:t xml:space="preserve"> MMR elérése három hónapos kezelés</w:t>
      </w:r>
      <w:r w:rsidR="005F6832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után is sikertelen volt, BCR-ABL kináz domain mutáció tesztet kell végezni.</w:t>
      </w:r>
    </w:p>
    <w:p w14:paraId="2BCCC3EF" w14:textId="77777777" w:rsidR="00D6001D" w:rsidRPr="00C91D94" w:rsidRDefault="00D6001D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1388C01" w14:textId="77777777" w:rsidR="00C91D94" w:rsidRPr="00027697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  <w:r w:rsidRPr="00027697">
        <w:rPr>
          <w:rFonts w:ascii="Times New Roman" w:eastAsia="TimesNewRomanPSMT" w:hAnsi="Times New Roman" w:cs="Times New Roman"/>
          <w:kern w:val="0"/>
          <w:u w:val="single"/>
        </w:rPr>
        <w:t>Laboratóriumi vizsgálatok és ellenőrzés</w:t>
      </w:r>
    </w:p>
    <w:p w14:paraId="234A8BA8" w14:textId="77777777" w:rsidR="00A447BC" w:rsidRPr="00C91D94" w:rsidRDefault="00A447BC" w:rsidP="00C91D9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15FB83D" w14:textId="77777777" w:rsidR="00C91D94" w:rsidRPr="00A447BC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A447BC">
        <w:rPr>
          <w:rFonts w:ascii="Times New Roman" w:hAnsi="Times New Roman" w:cs="Times New Roman"/>
          <w:i/>
          <w:iCs/>
          <w:kern w:val="0"/>
          <w:u w:val="single"/>
        </w:rPr>
        <w:t>Vérzsírok</w:t>
      </w:r>
    </w:p>
    <w:p w14:paraId="1905422C" w14:textId="2BCF36D3" w:rsidR="00C91D94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91D94">
        <w:rPr>
          <w:rFonts w:ascii="Times New Roman" w:hAnsi="Times New Roman" w:cs="Times New Roman"/>
          <w:kern w:val="0"/>
        </w:rPr>
        <w:t>Egy</w:t>
      </w:r>
      <w:r w:rsidR="00CC02D9">
        <w:rPr>
          <w:rFonts w:ascii="Times New Roman" w:hAnsi="Times New Roman" w:cs="Times New Roman"/>
          <w:kern w:val="0"/>
        </w:rPr>
        <w:t>,</w:t>
      </w:r>
      <w:r w:rsidRPr="00C91D94">
        <w:rPr>
          <w:rFonts w:ascii="Times New Roman" w:hAnsi="Times New Roman" w:cs="Times New Roman"/>
          <w:kern w:val="0"/>
        </w:rPr>
        <w:t xml:space="preserve"> újonnan diagnosztizált CML-es betegeken végzett, III. fázisú vizsgálatban a naponta kétszer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400</w:t>
      </w:r>
      <w:r w:rsidR="00A447BC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mg nilotinibbel kezelt betegek 1,1%-ánál tapasztalták az összkoleszterinszint 3-4. fokozatú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emelkedését. A naponta kétszer 300</w:t>
      </w:r>
      <w:r w:rsidR="00A447BC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mg-mal kezelt csoportban azonban nem tapasztaltak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koleszterinszint emelkedést (lásd 4.8</w:t>
      </w:r>
      <w:r w:rsidR="00A447BC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pont). Javasolt a lipidprofilok meghatározása a nilotinib-kezelés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megkezdése előtt, illetve ellenőrzése 3 és 6</w:t>
      </w:r>
      <w:r w:rsidR="00A447BC">
        <w:rPr>
          <w:rFonts w:ascii="Times New Roman" w:eastAsia="TimesNewRomanPSMT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hónappal a kezelés megkezdése után, majd a tartós kezelés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alatt legalább évente egyszer (lásd 4.2</w:t>
      </w:r>
      <w:r w:rsidR="00A447BC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pont). Amennyiben HMG-CoA-reduktáz gátló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(lipidszint-</w:t>
      </w:r>
      <w:r w:rsidRPr="00C91D94">
        <w:rPr>
          <w:rFonts w:ascii="Times New Roman" w:eastAsia="TimesNewRomanPSMT" w:hAnsi="Times New Roman" w:cs="Times New Roman"/>
          <w:kern w:val="0"/>
        </w:rPr>
        <w:t>csökkentő szer) adása szükséges, kérjük, a kezelés megkezdése előtt olvassa el a 4.5</w:t>
      </w:r>
      <w:r w:rsidR="00A447BC">
        <w:rPr>
          <w:rFonts w:ascii="Times New Roman" w:eastAsia="TimesNewRomanPSMT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pontot,</w:t>
      </w:r>
      <w:r w:rsidR="00A447B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mivel bizonyos HMG-CoA reduktáz gátlók szintén a CYP3A4 úton metabolizálódnak.</w:t>
      </w:r>
    </w:p>
    <w:p w14:paraId="2EE1329A" w14:textId="77777777" w:rsidR="00D6001D" w:rsidRPr="00C91D94" w:rsidRDefault="00D6001D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9C8617B" w14:textId="77777777" w:rsidR="00C91D94" w:rsidRPr="00A447BC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A447BC">
        <w:rPr>
          <w:rFonts w:ascii="Times New Roman" w:hAnsi="Times New Roman" w:cs="Times New Roman"/>
          <w:i/>
          <w:iCs/>
          <w:kern w:val="0"/>
          <w:u w:val="single"/>
        </w:rPr>
        <w:t>Vércukor</w:t>
      </w:r>
    </w:p>
    <w:p w14:paraId="10949960" w14:textId="036B9936" w:rsidR="00C91D94" w:rsidRDefault="00C91D94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91D94">
        <w:rPr>
          <w:rFonts w:ascii="Times New Roman" w:hAnsi="Times New Roman" w:cs="Times New Roman"/>
          <w:kern w:val="0"/>
        </w:rPr>
        <w:t>Egy újonnan diagnosztizált CML-es betegekkel végzett, III. fázisú vizsgálatban a naponta kétszer</w:t>
      </w:r>
      <w:r w:rsidR="002C348D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400</w:t>
      </w:r>
      <w:r w:rsidR="002C348D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mg, illetve 300</w:t>
      </w:r>
      <w:r w:rsidR="00E6382C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mg nilotinibbel kezelt betegek 6,9%, illetve 7,2%-ánál tapasztalták a vércukorszint</w:t>
      </w:r>
      <w:r w:rsidR="002C348D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 xml:space="preserve">3-4. fokozatú emelkedését. Javasolt a vércukorszint meghatározása a </w:t>
      </w:r>
      <w:r w:rsidR="00F275CA">
        <w:rPr>
          <w:rFonts w:ascii="Times New Roman" w:hAnsi="Times New Roman" w:cs="Times New Roman"/>
          <w:kern w:val="0"/>
        </w:rPr>
        <w:t>nilotinib</w:t>
      </w:r>
      <w:r w:rsidRPr="00C91D94">
        <w:rPr>
          <w:rFonts w:ascii="Times New Roman" w:hAnsi="Times New Roman" w:cs="Times New Roman"/>
          <w:kern w:val="0"/>
        </w:rPr>
        <w:t>-kezelés megkezdése</w:t>
      </w:r>
      <w:r w:rsidR="00E6382C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előtt, illetve ellenőrzése a ke</w:t>
      </w:r>
      <w:r w:rsidRPr="00C91D94">
        <w:rPr>
          <w:rFonts w:ascii="Times New Roman" w:hAnsi="Times New Roman" w:cs="Times New Roman"/>
          <w:kern w:val="0"/>
        </w:rPr>
        <w:t>zelés alatt, amikor az klinikailag indokolt (lásd 4.2</w:t>
      </w:r>
      <w:r w:rsidR="00F26EDE">
        <w:rPr>
          <w:rFonts w:ascii="Times New Roman" w:hAnsi="Times New Roman" w:cs="Times New Roman"/>
          <w:kern w:val="0"/>
        </w:rPr>
        <w:t> </w:t>
      </w:r>
      <w:r w:rsidRPr="00C91D94">
        <w:rPr>
          <w:rFonts w:ascii="Times New Roman" w:hAnsi="Times New Roman" w:cs="Times New Roman"/>
          <w:kern w:val="0"/>
        </w:rPr>
        <w:t>pont). Amennyiben a</w:t>
      </w:r>
      <w:r w:rsidR="002C348D">
        <w:rPr>
          <w:rFonts w:ascii="Times New Roman" w:hAnsi="Times New Roman" w:cs="Times New Roman"/>
          <w:kern w:val="0"/>
        </w:rPr>
        <w:t xml:space="preserve"> </w:t>
      </w:r>
      <w:r w:rsidRPr="00C91D94">
        <w:rPr>
          <w:rFonts w:ascii="Times New Roman" w:eastAsia="TimesNewRomanPSMT" w:hAnsi="Times New Roman" w:cs="Times New Roman"/>
          <w:kern w:val="0"/>
        </w:rPr>
        <w:t>vizsgálati eredmények indokolják a kezelést, a kezelőorvosoknak a szokásos helyi gyakorlatot és</w:t>
      </w:r>
      <w:r w:rsidR="00E6382C">
        <w:rPr>
          <w:rFonts w:ascii="Times New Roman" w:eastAsia="TimesNewRomanPSMT" w:hAnsi="Times New Roman" w:cs="Times New Roman"/>
          <w:kern w:val="0"/>
        </w:rPr>
        <w:t xml:space="preserve"> </w:t>
      </w:r>
      <w:r w:rsidRPr="00C91D94">
        <w:rPr>
          <w:rFonts w:ascii="Times New Roman" w:hAnsi="Times New Roman" w:cs="Times New Roman"/>
          <w:kern w:val="0"/>
        </w:rPr>
        <w:t>kezelési irányelveket kell követniük.</w:t>
      </w:r>
    </w:p>
    <w:p w14:paraId="2E6B6ABC" w14:textId="77777777" w:rsidR="00923E90" w:rsidRDefault="00923E90" w:rsidP="00C91D9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F367515" w14:textId="77777777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923E90">
        <w:rPr>
          <w:rFonts w:ascii="Times New Roman" w:hAnsi="Times New Roman" w:cs="Times New Roman"/>
          <w:kern w:val="0"/>
          <w:u w:val="single"/>
        </w:rPr>
        <w:t>Kölcsönhatások egyéb gyógyszerekkel</w:t>
      </w:r>
    </w:p>
    <w:p w14:paraId="121E0646" w14:textId="77777777" w:rsidR="00923E90" w:rsidRP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6584D871" w14:textId="4776FDB1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 xml:space="preserve">A </w:t>
      </w:r>
      <w:r>
        <w:rPr>
          <w:rFonts w:ascii="Times New Roman" w:eastAsia="TimesNewRomanPSMT" w:hAnsi="Times New Roman" w:cs="Times New Roman"/>
          <w:kern w:val="0"/>
        </w:rPr>
        <w:t>nilotinib</w:t>
      </w:r>
      <w:r w:rsidRPr="00923E90">
        <w:rPr>
          <w:rFonts w:ascii="Times New Roman" w:eastAsia="TimesNewRomanPSMT" w:hAnsi="Times New Roman" w:cs="Times New Roman"/>
          <w:kern w:val="0"/>
        </w:rPr>
        <w:t xml:space="preserve"> erős CYP3A4</w:t>
      </w:r>
      <w:r w:rsidRPr="00923E90">
        <w:rPr>
          <w:rFonts w:ascii="Times New Roman" w:hAnsi="Times New Roman" w:cs="Times New Roman"/>
          <w:kern w:val="0"/>
        </w:rPr>
        <w:t>-gátlókkal (köztük a teljesség igénye nélkül a ketokonazollal, itrakonazollal,</w:t>
      </w:r>
      <w:r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>vorikonazollal, klaritromicinnel, telitromicinnel, ritonavirrel) való egyidejű alkalmazását kerülni kell.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lastRenderedPageBreak/>
        <w:t>Amennyiben az e hatóanyagok bármelyikével végzett kezelésre van szükség, a nilotinib-terápia</w:t>
      </w:r>
      <w:r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 xml:space="preserve">megszakítása ajánlott, ha lehetséges (lásd 4.5 </w:t>
      </w:r>
      <w:r w:rsidRPr="00923E90">
        <w:rPr>
          <w:rFonts w:ascii="Times New Roman" w:eastAsia="TimesNewRomanPSMT" w:hAnsi="Times New Roman" w:cs="Times New Roman"/>
          <w:kern w:val="0"/>
        </w:rPr>
        <w:t>pont). Ha nincs lehetőség a kezelés átmeneti</w:t>
      </w:r>
      <w:r w:rsidR="00AD1E6D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 xml:space="preserve">megszakítására, az </w:t>
      </w:r>
      <w:r w:rsidR="00CC02D9">
        <w:rPr>
          <w:rFonts w:ascii="Times New Roman" w:eastAsia="TimesNewRomanPSMT" w:hAnsi="Times New Roman" w:cs="Times New Roman"/>
          <w:kern w:val="0"/>
        </w:rPr>
        <w:t>érintett</w:t>
      </w:r>
      <w:r w:rsidR="00CC02D9" w:rsidRPr="00923E90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>személyeknél a QT</w:t>
      </w:r>
      <w:r w:rsidRPr="00923E90">
        <w:rPr>
          <w:rFonts w:ascii="Times New Roman" w:hAnsi="Times New Roman" w:cs="Times New Roman"/>
          <w:kern w:val="0"/>
        </w:rPr>
        <w:t>-</w:t>
      </w:r>
      <w:r w:rsidRPr="00923E90">
        <w:rPr>
          <w:rFonts w:ascii="Times New Roman" w:eastAsia="TimesNewRomanPSMT" w:hAnsi="Times New Roman" w:cs="Times New Roman"/>
          <w:kern w:val="0"/>
        </w:rPr>
        <w:t>intervallum megnyúlásának szoros ellenőrzése szükséges</w:t>
      </w:r>
      <w:r w:rsidR="00AD1E6D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(lásd 4.2, 4.5 és 5.2 pont).</w:t>
      </w:r>
    </w:p>
    <w:p w14:paraId="41CDBF03" w14:textId="77777777" w:rsidR="00AD1E6D" w:rsidRPr="00923E90" w:rsidRDefault="00AD1E6D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6382A79" w14:textId="0678B018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 xml:space="preserve">A nilotinib </w:t>
      </w:r>
      <w:r w:rsidRPr="00923E90">
        <w:rPr>
          <w:rFonts w:ascii="Times New Roman" w:eastAsia="TimesNewRomanPSMT" w:hAnsi="Times New Roman" w:cs="Times New Roman"/>
          <w:kern w:val="0"/>
        </w:rPr>
        <w:t>erős CYP3A4 induktorokkal (pl. fenitoin, rifampicin, karbamazepin, fenobarbitál és</w:t>
      </w:r>
      <w:r w:rsidR="00AD1E6D">
        <w:rPr>
          <w:rFonts w:ascii="Times New Roman" w:eastAsia="TimesNewRomanPSMT" w:hAnsi="Times New Roman" w:cs="Times New Roman"/>
          <w:kern w:val="0"/>
        </w:rPr>
        <w:t xml:space="preserve"> közönséges</w:t>
      </w:r>
      <w:r w:rsidRPr="00923E90">
        <w:rPr>
          <w:rFonts w:ascii="Times New Roman" w:eastAsia="TimesNewRomanPSMT" w:hAnsi="Times New Roman" w:cs="Times New Roman"/>
          <w:kern w:val="0"/>
        </w:rPr>
        <w:t xml:space="preserve"> orbáncfű) történő egyidejű alkalmazása valószínűleg klinikailag jelentős mértékben</w:t>
      </w:r>
      <w:r w:rsidR="00B0695E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 xml:space="preserve">csökkenti a nilotinib-expozíciót. Ezért a nilotinibet </w:t>
      </w:r>
      <w:r w:rsidRPr="00923E90">
        <w:rPr>
          <w:rFonts w:ascii="Times New Roman" w:eastAsia="TimesNewRomanPSMT" w:hAnsi="Times New Roman" w:cs="Times New Roman"/>
          <w:kern w:val="0"/>
        </w:rPr>
        <w:t xml:space="preserve">szedő </w:t>
      </w:r>
      <w:r w:rsidRPr="00923E90">
        <w:rPr>
          <w:rFonts w:ascii="Times New Roman" w:hAnsi="Times New Roman" w:cs="Times New Roman"/>
          <w:kern w:val="0"/>
        </w:rPr>
        <w:t>betegek esetében kisebb CYP3A4 indukciós</w:t>
      </w:r>
      <w:r w:rsidR="00B0695E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>potenciállal rendelkező alternatív terápiás szereket kell egyidejű alkalmazás esetére választani (lásd</w:t>
      </w:r>
      <w:r w:rsidR="00B0695E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4.5</w:t>
      </w:r>
      <w:r w:rsidR="00B0695E">
        <w:rPr>
          <w:rFonts w:ascii="Times New Roman" w:hAnsi="Times New Roman" w:cs="Times New Roman"/>
          <w:kern w:val="0"/>
        </w:rPr>
        <w:t> </w:t>
      </w:r>
      <w:r w:rsidRPr="00923E90">
        <w:rPr>
          <w:rFonts w:ascii="Times New Roman" w:hAnsi="Times New Roman" w:cs="Times New Roman"/>
          <w:kern w:val="0"/>
        </w:rPr>
        <w:t>pont).</w:t>
      </w:r>
    </w:p>
    <w:p w14:paraId="7E0FEB94" w14:textId="77777777" w:rsidR="00AD1E6D" w:rsidRPr="00923E90" w:rsidRDefault="00AD1E6D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3C208D3" w14:textId="3AEF3C41" w:rsidR="00923E90" w:rsidRDefault="00CC02D9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Étellel</w:t>
      </w:r>
      <w:r w:rsidRPr="00CA45F2">
        <w:rPr>
          <w:rFonts w:ascii="Times New Roman" w:hAnsi="Times New Roman" w:cs="Times New Roman"/>
          <w:kern w:val="0"/>
          <w:u w:val="single"/>
        </w:rPr>
        <w:t xml:space="preserve"> </w:t>
      </w:r>
      <w:r w:rsidR="00923E90" w:rsidRPr="00CA45F2">
        <w:rPr>
          <w:rFonts w:ascii="Times New Roman" w:hAnsi="Times New Roman" w:cs="Times New Roman"/>
          <w:kern w:val="0"/>
          <w:u w:val="single"/>
        </w:rPr>
        <w:t>kapcsolatos hatások</w:t>
      </w:r>
    </w:p>
    <w:p w14:paraId="7F8EB01D" w14:textId="77777777" w:rsidR="00862485" w:rsidRPr="00CA45F2" w:rsidRDefault="00862485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F1ABB00" w14:textId="5C5C276C" w:rsidR="009940F1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 xml:space="preserve">A nilotinib biohasznosulását a táplálék növeli. A </w:t>
      </w:r>
      <w:r w:rsidR="00DE7C90">
        <w:rPr>
          <w:rFonts w:ascii="Times New Roman" w:hAnsi="Times New Roman" w:cs="Times New Roman"/>
          <w:kern w:val="0"/>
        </w:rPr>
        <w:t>Krufton</w:t>
      </w:r>
      <w:r w:rsidRPr="00923E90">
        <w:rPr>
          <w:rFonts w:ascii="Times New Roman" w:hAnsi="Times New Roman" w:cs="Times New Roman"/>
          <w:kern w:val="0"/>
        </w:rPr>
        <w:t xml:space="preserve">-t tilos </w:t>
      </w:r>
      <w:r w:rsidR="00CC02D9">
        <w:rPr>
          <w:rFonts w:ascii="Times New Roman" w:hAnsi="Times New Roman" w:cs="Times New Roman"/>
          <w:kern w:val="0"/>
        </w:rPr>
        <w:t>étellel</w:t>
      </w:r>
      <w:r w:rsidR="00CC02D9" w:rsidRPr="00923E90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együtt bevenni (lásd 4.2 és</w:t>
      </w:r>
      <w:r w:rsidR="00DA536B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4.5</w:t>
      </w:r>
      <w:r w:rsidR="00DA536B">
        <w:rPr>
          <w:rFonts w:ascii="Times New Roman" w:hAnsi="Times New Roman" w:cs="Times New Roman"/>
          <w:kern w:val="0"/>
        </w:rPr>
        <w:t> </w:t>
      </w:r>
      <w:r w:rsidRPr="00923E90">
        <w:rPr>
          <w:rFonts w:ascii="Times New Roman" w:hAnsi="Times New Roman" w:cs="Times New Roman"/>
          <w:kern w:val="0"/>
        </w:rPr>
        <w:t xml:space="preserve">pont), </w:t>
      </w:r>
      <w:r w:rsidR="00D6748E">
        <w:rPr>
          <w:rFonts w:ascii="Times New Roman" w:hAnsi="Times New Roman" w:cs="Times New Roman"/>
          <w:kern w:val="0"/>
        </w:rPr>
        <w:t xml:space="preserve">a gyógyszert </w:t>
      </w:r>
      <w:r w:rsidRPr="00923E90">
        <w:rPr>
          <w:rFonts w:ascii="Times New Roman" w:hAnsi="Times New Roman" w:cs="Times New Roman"/>
          <w:kern w:val="0"/>
        </w:rPr>
        <w:t xml:space="preserve">2 </w:t>
      </w:r>
      <w:r w:rsidRPr="00923E90">
        <w:rPr>
          <w:rFonts w:ascii="Times New Roman" w:eastAsia="TimesNewRomanPSMT" w:hAnsi="Times New Roman" w:cs="Times New Roman"/>
          <w:kern w:val="0"/>
        </w:rPr>
        <w:t xml:space="preserve">órával az étkezést követően kell bevenni. </w:t>
      </w:r>
      <w:r w:rsidR="00CC02D9">
        <w:rPr>
          <w:rFonts w:ascii="Times New Roman" w:eastAsia="TimesNewRomanPSMT" w:hAnsi="Times New Roman" w:cs="Times New Roman"/>
          <w:kern w:val="0"/>
        </w:rPr>
        <w:t>A</w:t>
      </w:r>
      <w:r w:rsidR="00CC02D9" w:rsidRPr="00923E90">
        <w:rPr>
          <w:rFonts w:ascii="Times New Roman" w:eastAsia="TimesNewRomanPSMT" w:hAnsi="Times New Roman" w:cs="Times New Roman"/>
          <w:kern w:val="0"/>
        </w:rPr>
        <w:t xml:space="preserve"> dózis bevételét</w:t>
      </w:r>
      <w:r w:rsidR="00CC02D9">
        <w:rPr>
          <w:rFonts w:ascii="Times New Roman" w:eastAsia="TimesNewRomanPSMT" w:hAnsi="Times New Roman" w:cs="Times New Roman"/>
          <w:kern w:val="0"/>
        </w:rPr>
        <w:t xml:space="preserve"> </w:t>
      </w:r>
      <w:r w:rsidR="00CC02D9" w:rsidRPr="00923E90">
        <w:rPr>
          <w:rFonts w:ascii="Times New Roman" w:eastAsia="TimesNewRomanPSMT" w:hAnsi="Times New Roman" w:cs="Times New Roman"/>
          <w:kern w:val="0"/>
        </w:rPr>
        <w:t xml:space="preserve">követően </w:t>
      </w:r>
      <w:r w:rsidR="00CC02D9">
        <w:rPr>
          <w:rFonts w:ascii="Times New Roman" w:eastAsia="TimesNewRomanPSMT" w:hAnsi="Times New Roman" w:cs="Times New Roman"/>
          <w:kern w:val="0"/>
        </w:rPr>
        <w:t>l</w:t>
      </w:r>
      <w:r w:rsidRPr="00923E90">
        <w:rPr>
          <w:rFonts w:ascii="Times New Roman" w:eastAsia="TimesNewRomanPSMT" w:hAnsi="Times New Roman" w:cs="Times New Roman"/>
          <w:kern w:val="0"/>
        </w:rPr>
        <w:t>egalább egy órán át nem fogyasztható élelmiszer. Kerülni kell a grépfrútlé és más olyan élelmiszerek</w:t>
      </w:r>
      <w:r w:rsidR="00E7792D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>fogyasztását, amelyekről i</w:t>
      </w:r>
      <w:r w:rsidRPr="00923E90">
        <w:rPr>
          <w:rFonts w:ascii="Times New Roman" w:hAnsi="Times New Roman" w:cs="Times New Roman"/>
          <w:kern w:val="0"/>
        </w:rPr>
        <w:t xml:space="preserve">smert, hogy gátolják a CYP3A4 enzimet. </w:t>
      </w:r>
    </w:p>
    <w:p w14:paraId="71597176" w14:textId="77777777" w:rsidR="009940F1" w:rsidRDefault="009940F1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A434DD9" w14:textId="1D7295E5" w:rsidR="001C75CE" w:rsidRDefault="001C75CE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eastAsia="TimesNewRomanPSMT" w:hAnsi="Times New Roman" w:cs="Times New Roman"/>
          <w:kern w:val="0"/>
        </w:rPr>
        <w:t>Olyan betegek esetében, akiknél nyelési nehézség áll fent</w:t>
      </w:r>
      <w:r w:rsidRPr="00551E8B">
        <w:rPr>
          <w:rFonts w:ascii="Times New Roman" w:eastAsia="TimesNewRomanPSMT" w:hAnsi="Times New Roman" w:cs="Times New Roman"/>
          <w:kern w:val="0"/>
        </w:rPr>
        <w:t>, beleértve a</w:t>
      </w:r>
      <w:r w:rsidR="00A55C53">
        <w:rPr>
          <w:rFonts w:ascii="Times New Roman" w:eastAsia="TimesNewRomanPSMT" w:hAnsi="Times New Roman" w:cs="Times New Roman"/>
          <w:kern w:val="0"/>
        </w:rPr>
        <w:t>zokat a</w:t>
      </w:r>
      <w:r w:rsidRPr="00551E8B">
        <w:rPr>
          <w:rFonts w:ascii="Times New Roman" w:eastAsia="TimesNewRomanPSMT" w:hAnsi="Times New Roman" w:cs="Times New Roman"/>
          <w:kern w:val="0"/>
        </w:rPr>
        <w:t xml:space="preserve"> gyermek</w:t>
      </w:r>
      <w:r>
        <w:rPr>
          <w:rFonts w:ascii="Times New Roman" w:eastAsia="TimesNewRomanPSMT" w:hAnsi="Times New Roman" w:cs="Times New Roman"/>
          <w:kern w:val="0"/>
        </w:rPr>
        <w:t xml:space="preserve">gyógyászati </w:t>
      </w:r>
      <w:r w:rsidRPr="00551E8B">
        <w:rPr>
          <w:rFonts w:ascii="Times New Roman" w:eastAsia="TimesNewRomanPSMT" w:hAnsi="Times New Roman" w:cs="Times New Roman"/>
          <w:kern w:val="0"/>
        </w:rPr>
        <w:t xml:space="preserve">betegeket, akik nem képesek lenyelni a kemény kapszulát, a </w:t>
      </w:r>
      <w:r w:rsidR="00DE7C90">
        <w:rPr>
          <w:rFonts w:ascii="Times New Roman" w:eastAsia="TimesNewRomanPSMT" w:hAnsi="Times New Roman" w:cs="Times New Roman"/>
          <w:kern w:val="0"/>
        </w:rPr>
        <w:t>Krufton</w:t>
      </w:r>
      <w:r w:rsidRPr="00551E8B">
        <w:rPr>
          <w:rFonts w:ascii="Times New Roman" w:eastAsia="TimesNewRomanPSMT" w:hAnsi="Times New Roman" w:cs="Times New Roman"/>
          <w:kern w:val="0"/>
        </w:rPr>
        <w:t xml:space="preserve"> helyett </w:t>
      </w:r>
      <w:r w:rsidRPr="003A601B">
        <w:rPr>
          <w:rFonts w:ascii="Times New Roman" w:eastAsia="TimesNewRomanPSMT" w:hAnsi="Times New Roman" w:cs="Times New Roman"/>
          <w:b/>
          <w:bCs/>
          <w:kern w:val="0"/>
        </w:rPr>
        <w:t>más, nilotinibet tartalmazó gyógyszert kell alkalmazni.</w:t>
      </w:r>
    </w:p>
    <w:p w14:paraId="7DFFCFB1" w14:textId="77777777" w:rsidR="00E7792D" w:rsidRPr="00923E90" w:rsidRDefault="00E7792D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EE8B01E" w14:textId="77777777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E7792D">
        <w:rPr>
          <w:rFonts w:ascii="Times New Roman" w:hAnsi="Times New Roman" w:cs="Times New Roman"/>
          <w:kern w:val="0"/>
          <w:u w:val="single"/>
        </w:rPr>
        <w:t>Májkárosodás</w:t>
      </w:r>
    </w:p>
    <w:p w14:paraId="0B710056" w14:textId="77777777" w:rsidR="00862485" w:rsidRPr="00E7792D" w:rsidRDefault="00862485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33287DD" w14:textId="09F5D06E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>A májkárosodásnak mérsékelt hatása van a nilotinib farmakokinetikájára. Egyetlen adag (200</w:t>
      </w:r>
      <w:r w:rsidR="00E7792D">
        <w:rPr>
          <w:rFonts w:ascii="Times New Roman" w:hAnsi="Times New Roman" w:cs="Times New Roman"/>
          <w:kern w:val="0"/>
        </w:rPr>
        <w:t> </w:t>
      </w:r>
      <w:r w:rsidRPr="00923E90">
        <w:rPr>
          <w:rFonts w:ascii="Times New Roman" w:hAnsi="Times New Roman" w:cs="Times New Roman"/>
          <w:kern w:val="0"/>
        </w:rPr>
        <w:t>mg)</w:t>
      </w:r>
      <w:r w:rsidR="00A16210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 xml:space="preserve">nilotinib adása az enyhe, közepesen súlyos és súlyos májkárosodásban </w:t>
      </w:r>
      <w:r w:rsidRPr="00923E90">
        <w:rPr>
          <w:rFonts w:ascii="Times New Roman" w:eastAsia="TimesNewRomanPSMT" w:hAnsi="Times New Roman" w:cs="Times New Roman"/>
          <w:kern w:val="0"/>
        </w:rPr>
        <w:t>szenvedő betegeknél a normális</w:t>
      </w:r>
      <w:r w:rsidR="00A16210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>májműködésű egyénekből álló kontroll</w:t>
      </w:r>
      <w:r w:rsidRPr="00923E90">
        <w:rPr>
          <w:rFonts w:ascii="Times New Roman" w:hAnsi="Times New Roman" w:cs="Times New Roman"/>
          <w:kern w:val="0"/>
        </w:rPr>
        <w:t>-csoporthoz viszonyítva az AUC sorrendben 35%-os, 35%-os</w:t>
      </w:r>
      <w:r w:rsidR="00A16210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és 19%-</w:t>
      </w:r>
      <w:r w:rsidRPr="00923E90">
        <w:rPr>
          <w:rFonts w:ascii="Times New Roman" w:eastAsia="TimesNewRomanPSMT" w:hAnsi="Times New Roman" w:cs="Times New Roman"/>
          <w:kern w:val="0"/>
        </w:rPr>
        <w:t>os növekedését eredményezte. A nilotinib előzetesen várható, dinamikus egyensúlyi</w:t>
      </w:r>
      <w:r w:rsidR="00AC2313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állapotban mért C</w:t>
      </w:r>
      <w:r w:rsidRPr="00A16210">
        <w:rPr>
          <w:rFonts w:ascii="Times New Roman" w:hAnsi="Times New Roman" w:cs="Times New Roman"/>
          <w:kern w:val="0"/>
          <w:vertAlign w:val="subscript"/>
        </w:rPr>
        <w:t>max</w:t>
      </w:r>
      <w:r w:rsidRPr="00923E90">
        <w:rPr>
          <w:rFonts w:ascii="Times New Roman" w:hAnsi="Times New Roman" w:cs="Times New Roman"/>
          <w:kern w:val="0"/>
        </w:rPr>
        <w:t xml:space="preserve"> értéke sorrendben 29%-kal, 18%-kal és 22%-kal növekedett. A klinikai</w:t>
      </w:r>
      <w:r w:rsidR="00AC2313">
        <w:rPr>
          <w:rFonts w:ascii="Times New Roman" w:hAnsi="Times New Roman" w:cs="Times New Roman"/>
          <w:kern w:val="0"/>
        </w:rPr>
        <w:t xml:space="preserve"> </w:t>
      </w:r>
      <w:r w:rsidRPr="008E68D3">
        <w:rPr>
          <w:rFonts w:ascii="Times New Roman" w:hAnsi="Times New Roman" w:cs="Times New Roman"/>
          <w:kern w:val="0"/>
        </w:rPr>
        <w:t xml:space="preserve">vizsgálatokból kizárták </w:t>
      </w:r>
      <w:r w:rsidR="00CC02D9" w:rsidRPr="008E68D3">
        <w:rPr>
          <w:rFonts w:ascii="Times New Roman" w:hAnsi="Times New Roman" w:cs="Times New Roman"/>
          <w:kern w:val="0"/>
        </w:rPr>
        <w:t>azokat a betegeket, akiknél a glutamát</w:t>
      </w:r>
      <w:r w:rsidR="00CC02D9" w:rsidRPr="008E68D3">
        <w:rPr>
          <w:rFonts w:ascii="Times New Roman" w:hAnsi="Times New Roman" w:cs="Times New Roman"/>
          <w:kern w:val="0"/>
        </w:rPr>
        <w:noBreakHyphen/>
        <w:t>piruvát</w:t>
      </w:r>
      <w:r w:rsidR="00CC02D9" w:rsidRPr="008E68D3">
        <w:rPr>
          <w:rFonts w:ascii="Times New Roman" w:hAnsi="Times New Roman" w:cs="Times New Roman"/>
          <w:kern w:val="0"/>
        </w:rPr>
        <w:noBreakHyphen/>
        <w:t xml:space="preserve">transzamináz </w:t>
      </w:r>
      <w:bookmarkStart w:id="1" w:name="_Hlk170798608"/>
      <w:r w:rsidR="00CC02D9" w:rsidRPr="008E68D3">
        <w:rPr>
          <w:rFonts w:ascii="Times New Roman" w:hAnsi="Times New Roman" w:cs="Times New Roman"/>
          <w:kern w:val="0"/>
        </w:rPr>
        <w:t xml:space="preserve">(GPT [ALAT]) </w:t>
      </w:r>
      <w:bookmarkEnd w:id="1"/>
      <w:r w:rsidR="00CC02D9" w:rsidRPr="008E68D3">
        <w:rPr>
          <w:rFonts w:ascii="Times New Roman" w:hAnsi="Times New Roman" w:cs="Times New Roman"/>
          <w:kern w:val="0"/>
        </w:rPr>
        <w:t xml:space="preserve">és/vagy a </w:t>
      </w:r>
      <w:bookmarkStart w:id="2" w:name="_Hlk170798629"/>
      <w:r w:rsidR="00CC02D9" w:rsidRPr="008E68D3">
        <w:rPr>
          <w:rFonts w:ascii="Times New Roman" w:hAnsi="Times New Roman" w:cs="Times New Roman"/>
          <w:kern w:val="0"/>
        </w:rPr>
        <w:t>glutamát</w:t>
      </w:r>
      <w:r w:rsidR="00CC02D9" w:rsidRPr="008E68D3">
        <w:rPr>
          <w:rFonts w:ascii="Times New Roman" w:hAnsi="Times New Roman" w:cs="Times New Roman"/>
          <w:kern w:val="0"/>
        </w:rPr>
        <w:noBreakHyphen/>
        <w:t>oxálacetát</w:t>
      </w:r>
      <w:r w:rsidR="00CC02D9" w:rsidRPr="008E68D3">
        <w:rPr>
          <w:rFonts w:ascii="Times New Roman" w:hAnsi="Times New Roman" w:cs="Times New Roman"/>
          <w:kern w:val="0"/>
        </w:rPr>
        <w:noBreakHyphen/>
        <w:t xml:space="preserve">transzamináz (GOT [ASAT]) </w:t>
      </w:r>
      <w:bookmarkEnd w:id="2"/>
      <w:r w:rsidR="00CC02D9" w:rsidRPr="008E68D3">
        <w:rPr>
          <w:rFonts w:ascii="Times New Roman" w:hAnsi="Times New Roman" w:cs="Times New Roman"/>
          <w:kern w:val="0"/>
        </w:rPr>
        <w:t>szintje a normálérték felső határának &gt; 2,5</w:t>
      </w:r>
      <w:r w:rsidR="00CC02D9" w:rsidRPr="008E68D3">
        <w:rPr>
          <w:rFonts w:ascii="Times New Roman" w:hAnsi="Times New Roman" w:cs="Times New Roman"/>
          <w:kern w:val="0"/>
        </w:rPr>
        <w:noBreakHyphen/>
        <w:t>szerese (vagy &gt; 5</w:t>
      </w:r>
      <w:r w:rsidR="00CC02D9" w:rsidRPr="008E68D3">
        <w:rPr>
          <w:rFonts w:ascii="Times New Roman" w:hAnsi="Times New Roman" w:cs="Times New Roman"/>
          <w:kern w:val="0"/>
        </w:rPr>
        <w:noBreakHyphen/>
        <w:t>szöröse, ha betegséggel állt kapcsolatban) volt és/vagy azokat a betegeket, akiknél az összbilirubinszint &gt; 1,5</w:t>
      </w:r>
      <w:r w:rsidR="00CC02D9" w:rsidRPr="008E68D3">
        <w:rPr>
          <w:rFonts w:ascii="Times New Roman" w:hAnsi="Times New Roman" w:cs="Times New Roman"/>
          <w:kern w:val="0"/>
        </w:rPr>
        <w:noBreakHyphen/>
        <w:t>szeres mértékben meghaladta a normálérték felső határát.</w:t>
      </w:r>
      <w:r w:rsidRPr="008E68D3">
        <w:rPr>
          <w:rFonts w:ascii="Times New Roman" w:hAnsi="Times New Roman" w:cs="Times New Roman"/>
          <w:kern w:val="0"/>
        </w:rPr>
        <w:t xml:space="preserve"> A</w:t>
      </w:r>
      <w:r w:rsidRPr="00923E90">
        <w:rPr>
          <w:rFonts w:ascii="Times New Roman" w:eastAsia="TimesNewRomanPSMT" w:hAnsi="Times New Roman" w:cs="Times New Roman"/>
          <w:kern w:val="0"/>
        </w:rPr>
        <w:t xml:space="preserve"> nilotinib metabolizmusa főként a májban zajlik. Májkárosodott betegeknél ezért</w:t>
      </w:r>
      <w:r w:rsidR="00821C3E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 xml:space="preserve">növekedhet a nilotinib-expozíció, </w:t>
      </w:r>
      <w:r w:rsidR="00CC02D9">
        <w:rPr>
          <w:rFonts w:ascii="Times New Roman" w:eastAsia="TimesNewRomanPSMT" w:hAnsi="Times New Roman" w:cs="Times New Roman"/>
          <w:kern w:val="0"/>
        </w:rPr>
        <w:t>így</w:t>
      </w:r>
      <w:r w:rsidRPr="00923E90">
        <w:rPr>
          <w:rFonts w:ascii="Times New Roman" w:eastAsia="TimesNewRomanPSMT" w:hAnsi="Times New Roman" w:cs="Times New Roman"/>
          <w:kern w:val="0"/>
        </w:rPr>
        <w:t xml:space="preserve"> őket </w:t>
      </w:r>
      <w:r w:rsidR="00CC02D9">
        <w:rPr>
          <w:rFonts w:ascii="Times New Roman" w:eastAsia="TimesNewRomanPSMT" w:hAnsi="Times New Roman" w:cs="Times New Roman"/>
          <w:kern w:val="0"/>
        </w:rPr>
        <w:t>kellő körültekintéssel</w:t>
      </w:r>
      <w:r w:rsidR="00CC02D9" w:rsidRPr="00923E90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eastAsia="TimesNewRomanPSMT" w:hAnsi="Times New Roman" w:cs="Times New Roman"/>
          <w:kern w:val="0"/>
        </w:rPr>
        <w:t>kell kezelni (lásd 4.2</w:t>
      </w:r>
      <w:r w:rsidR="00821C3E">
        <w:rPr>
          <w:rFonts w:ascii="Times New Roman" w:eastAsia="TimesNewRomanPSMT" w:hAnsi="Times New Roman" w:cs="Times New Roman"/>
          <w:kern w:val="0"/>
        </w:rPr>
        <w:t> </w:t>
      </w:r>
      <w:r w:rsidRPr="00923E90">
        <w:rPr>
          <w:rFonts w:ascii="Times New Roman" w:hAnsi="Times New Roman" w:cs="Times New Roman"/>
          <w:kern w:val="0"/>
        </w:rPr>
        <w:t>pont).</w:t>
      </w:r>
    </w:p>
    <w:p w14:paraId="0C1B8B1D" w14:textId="77777777" w:rsidR="00AC5B83" w:rsidRPr="00923E90" w:rsidRDefault="00AC5B83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492E048" w14:textId="77777777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AC5B83">
        <w:rPr>
          <w:rFonts w:ascii="Times New Roman" w:hAnsi="Times New Roman" w:cs="Times New Roman"/>
          <w:kern w:val="0"/>
          <w:u w:val="single"/>
        </w:rPr>
        <w:t>Szérum lipázszint</w:t>
      </w:r>
    </w:p>
    <w:p w14:paraId="1A95732D" w14:textId="77777777" w:rsidR="00AD4214" w:rsidRPr="00AC5B83" w:rsidRDefault="00AD4214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6AE585AC" w14:textId="25634154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>Szérum lipázszint-emelkedést figyeltek meg. Óvatosság ajánlott olyan betegek esetében, akiknél a</w:t>
      </w:r>
      <w:r w:rsidR="00A432F7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kórtörténetben pancreatitis szerepel. Hasi tünetekkel járó lipázszint-emelkedés esetén a</w:t>
      </w:r>
      <w:r w:rsidR="00A432F7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 xml:space="preserve">nilotinib-kezelést abba kell hagyni, és a </w:t>
      </w:r>
      <w:r w:rsidRPr="00923E90">
        <w:rPr>
          <w:rFonts w:ascii="Times New Roman" w:eastAsia="TimesNewRomanPSMT" w:hAnsi="Times New Roman" w:cs="Times New Roman"/>
          <w:kern w:val="0"/>
        </w:rPr>
        <w:t>pancreatitis kizárása érdekében megfelelő diagnosztikus</w:t>
      </w:r>
      <w:r w:rsidR="00A432F7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vizsgálatok elvégzését kell mérlegelni.</w:t>
      </w:r>
    </w:p>
    <w:p w14:paraId="5A33D59E" w14:textId="77777777" w:rsidR="00A432F7" w:rsidRPr="00923E90" w:rsidRDefault="00A432F7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2460063" w14:textId="77777777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A432F7">
        <w:rPr>
          <w:rFonts w:ascii="Times New Roman" w:hAnsi="Times New Roman" w:cs="Times New Roman"/>
          <w:kern w:val="0"/>
          <w:u w:val="single"/>
        </w:rPr>
        <w:t>Total gastrectomia</w:t>
      </w:r>
    </w:p>
    <w:p w14:paraId="6FA1ED30" w14:textId="77777777" w:rsidR="00AD4214" w:rsidRPr="00A432F7" w:rsidRDefault="00AD4214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31F7212" w14:textId="428D4FF1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 xml:space="preserve">A nilotinib biohasznosulása a </w:t>
      </w:r>
      <w:r w:rsidR="004572E7">
        <w:rPr>
          <w:rFonts w:ascii="Times New Roman" w:hAnsi="Times New Roman" w:cs="Times New Roman"/>
          <w:kern w:val="0"/>
        </w:rPr>
        <w:t>teljes</w:t>
      </w:r>
      <w:r w:rsidR="004572E7" w:rsidRPr="00923E90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gastrectomián átesett betegeknél csökkenhet (lásd 5.2</w:t>
      </w:r>
      <w:r w:rsidR="0069729D">
        <w:rPr>
          <w:rFonts w:ascii="Times New Roman" w:hAnsi="Times New Roman" w:cs="Times New Roman"/>
          <w:kern w:val="0"/>
        </w:rPr>
        <w:t> </w:t>
      </w:r>
      <w:r w:rsidRPr="00923E90">
        <w:rPr>
          <w:rFonts w:ascii="Times New Roman" w:hAnsi="Times New Roman" w:cs="Times New Roman"/>
          <w:kern w:val="0"/>
        </w:rPr>
        <w:t>pont).</w:t>
      </w:r>
      <w:r w:rsidR="0069729D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 xml:space="preserve">Ezeknek a betegeknek a </w:t>
      </w:r>
      <w:r w:rsidRPr="00923E90">
        <w:rPr>
          <w:rFonts w:ascii="Times New Roman" w:eastAsia="TimesNewRomanPSMT" w:hAnsi="Times New Roman" w:cs="Times New Roman"/>
          <w:kern w:val="0"/>
        </w:rPr>
        <w:t>szokottnál gyakoribb ellenőrzése mérlegelendő.</w:t>
      </w:r>
    </w:p>
    <w:p w14:paraId="0F3E6569" w14:textId="77777777" w:rsidR="0069729D" w:rsidRPr="00923E90" w:rsidRDefault="0069729D" w:rsidP="00923E90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6867D9FA" w14:textId="77777777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69729D">
        <w:rPr>
          <w:rFonts w:ascii="Times New Roman" w:hAnsi="Times New Roman" w:cs="Times New Roman"/>
          <w:kern w:val="0"/>
          <w:u w:val="single"/>
        </w:rPr>
        <w:t>Tumorlízis-szindróma</w:t>
      </w:r>
    </w:p>
    <w:p w14:paraId="6FC67620" w14:textId="77777777" w:rsidR="00AD4214" w:rsidRPr="0069729D" w:rsidRDefault="00AD4214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65C03506" w14:textId="294BFE7F" w:rsidR="00923E90" w:rsidRDefault="00923E90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3E90">
        <w:rPr>
          <w:rFonts w:ascii="Times New Roman" w:hAnsi="Times New Roman" w:cs="Times New Roman"/>
          <w:kern w:val="0"/>
        </w:rPr>
        <w:t xml:space="preserve">A tumorlízis-szindróma (tumour lysis syndrome, </w:t>
      </w:r>
      <w:r w:rsidRPr="00923E90">
        <w:rPr>
          <w:rFonts w:ascii="Times New Roman" w:eastAsia="TimesNewRomanPSMT" w:hAnsi="Times New Roman" w:cs="Times New Roman"/>
          <w:kern w:val="0"/>
        </w:rPr>
        <w:t>TLS) lehetséges előfordulása miatt a</w:t>
      </w:r>
      <w:r w:rsidR="00550C6D">
        <w:rPr>
          <w:rFonts w:ascii="Times New Roman" w:eastAsia="TimesNewRomanPSMT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nilotinib-</w:t>
      </w:r>
      <w:r w:rsidRPr="00923E90">
        <w:rPr>
          <w:rFonts w:ascii="Times New Roman" w:eastAsia="TimesNewRomanPSMT" w:hAnsi="Times New Roman" w:cs="Times New Roman"/>
          <w:kern w:val="0"/>
        </w:rPr>
        <w:t xml:space="preserve">kezelés megkezdése előtt javasolt a klinikailag jelentős mértékű dehidrációt </w:t>
      </w:r>
      <w:r w:rsidRPr="00923E90">
        <w:rPr>
          <w:rFonts w:ascii="Times New Roman" w:hAnsi="Times New Roman" w:cs="Times New Roman"/>
          <w:kern w:val="0"/>
        </w:rPr>
        <w:t>korrigálni,</w:t>
      </w:r>
      <w:r w:rsidR="00550C6D">
        <w:rPr>
          <w:rFonts w:ascii="Times New Roman" w:hAnsi="Times New Roman" w:cs="Times New Roman"/>
          <w:kern w:val="0"/>
        </w:rPr>
        <w:t xml:space="preserve"> </w:t>
      </w:r>
      <w:r w:rsidRPr="00923E90">
        <w:rPr>
          <w:rFonts w:ascii="Times New Roman" w:hAnsi="Times New Roman" w:cs="Times New Roman"/>
          <w:kern w:val="0"/>
        </w:rPr>
        <w:t>illetve a magas húgysavszintet kezelni (lásd 4.8</w:t>
      </w:r>
      <w:r w:rsidR="00550C6D">
        <w:rPr>
          <w:rFonts w:ascii="Times New Roman" w:hAnsi="Times New Roman" w:cs="Times New Roman"/>
          <w:kern w:val="0"/>
        </w:rPr>
        <w:t> </w:t>
      </w:r>
      <w:r w:rsidRPr="00923E90">
        <w:rPr>
          <w:rFonts w:ascii="Times New Roman" w:hAnsi="Times New Roman" w:cs="Times New Roman"/>
          <w:kern w:val="0"/>
        </w:rPr>
        <w:t>pont).</w:t>
      </w:r>
    </w:p>
    <w:p w14:paraId="407FA356" w14:textId="77777777" w:rsidR="00FF7BA9" w:rsidRDefault="00FF7BA9" w:rsidP="00923E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FC32645" w14:textId="77777777" w:rsidR="00FF7BA9" w:rsidRDefault="00FF7BA9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  <w:r w:rsidRPr="00FF7BA9">
        <w:rPr>
          <w:rFonts w:ascii="Times New Roman" w:hAnsi="Times New Roman" w:cs="Times New Roman"/>
          <w:kern w:val="0"/>
          <w:u w:val="single"/>
        </w:rPr>
        <w:lastRenderedPageBreak/>
        <w:t xml:space="preserve">Gyermekek </w:t>
      </w:r>
      <w:r w:rsidRPr="00FF7BA9">
        <w:rPr>
          <w:rFonts w:ascii="Times New Roman" w:eastAsia="TimesNewRomanPSMT" w:hAnsi="Times New Roman" w:cs="Times New Roman"/>
          <w:kern w:val="0"/>
          <w:u w:val="single"/>
        </w:rPr>
        <w:t>és serdülők</w:t>
      </w:r>
    </w:p>
    <w:p w14:paraId="385680FF" w14:textId="77777777" w:rsidR="00AD4214" w:rsidRPr="00FF7BA9" w:rsidRDefault="00AD4214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</w:p>
    <w:p w14:paraId="0EE39B79" w14:textId="72492F79" w:rsidR="00FF7BA9" w:rsidRDefault="00FF7BA9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F7BA9">
        <w:rPr>
          <w:rFonts w:ascii="Times New Roman" w:hAnsi="Times New Roman" w:cs="Times New Roman"/>
          <w:kern w:val="0"/>
        </w:rPr>
        <w:t xml:space="preserve">Laboratóriumi eltérésként a gyermekeknél </w:t>
      </w:r>
      <w:r w:rsidRPr="00FF7BA9">
        <w:rPr>
          <w:rFonts w:ascii="Times New Roman" w:eastAsia="TimesNewRomanPSMT" w:hAnsi="Times New Roman" w:cs="Times New Roman"/>
          <w:kern w:val="0"/>
        </w:rPr>
        <w:t>a felnőttekhez képest nagyobb gyakorisággal figyelték meg</w:t>
      </w:r>
      <w:r w:rsidR="0042614C">
        <w:rPr>
          <w:rFonts w:ascii="Times New Roman" w:eastAsia="TimesNewRomanPSMT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 xml:space="preserve">az aminotranszferázok és az összbilirubinszint enyhe, illetve közepes </w:t>
      </w:r>
      <w:r w:rsidRPr="00FF7BA9">
        <w:rPr>
          <w:rFonts w:ascii="Times New Roman" w:eastAsia="TimesNewRomanPSMT" w:hAnsi="Times New Roman" w:cs="Times New Roman"/>
          <w:kern w:val="0"/>
        </w:rPr>
        <w:t>mértékű</w:t>
      </w:r>
      <w:r w:rsidRPr="00FF7BA9">
        <w:rPr>
          <w:rFonts w:ascii="Times New Roman" w:hAnsi="Times New Roman" w:cs="Times New Roman"/>
          <w:kern w:val="0"/>
        </w:rPr>
        <w:t>, átmeneti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 xml:space="preserve">megemelkedését, ami </w:t>
      </w:r>
      <w:r w:rsidR="00CC02D9" w:rsidRPr="00FF7BA9">
        <w:rPr>
          <w:rFonts w:ascii="Times New Roman" w:hAnsi="Times New Roman" w:cs="Times New Roman"/>
          <w:kern w:val="0"/>
        </w:rPr>
        <w:t xml:space="preserve">gyermekeknél </w:t>
      </w:r>
      <w:r w:rsidR="00CC02D9" w:rsidRPr="00FF7BA9">
        <w:rPr>
          <w:rFonts w:ascii="Times New Roman" w:eastAsia="TimesNewRomanPSMT" w:hAnsi="Times New Roman" w:cs="Times New Roman"/>
          <w:kern w:val="0"/>
        </w:rPr>
        <w:t>és serdülőknél</w:t>
      </w:r>
      <w:r w:rsidR="00CC02D9">
        <w:rPr>
          <w:rFonts w:ascii="Times New Roman" w:eastAsia="TimesNewRomanPSMT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a hepatotoxicitás nagyobb kockázatára utal (lásd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4.8 pont). A májfunkciót (bilirubin- és májtranszamináz</w:t>
      </w:r>
      <w:r w:rsidR="00CC02D9">
        <w:rPr>
          <w:rFonts w:ascii="Times New Roman" w:hAnsi="Times New Roman" w:cs="Times New Roman"/>
          <w:kern w:val="0"/>
        </w:rPr>
        <w:t>-</w:t>
      </w:r>
      <w:r w:rsidRPr="00FF7BA9">
        <w:rPr>
          <w:rFonts w:ascii="Times New Roman" w:hAnsi="Times New Roman" w:cs="Times New Roman"/>
          <w:kern w:val="0"/>
        </w:rPr>
        <w:t>szinteket) havonta, vagy a klinikai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eastAsia="TimesNewRomanPSMT" w:hAnsi="Times New Roman" w:cs="Times New Roman"/>
          <w:kern w:val="0"/>
        </w:rPr>
        <w:t xml:space="preserve">szükségletnek megfelelően kell ellenőrizni. </w:t>
      </w:r>
      <w:r w:rsidRPr="00FF7BA9">
        <w:rPr>
          <w:rFonts w:ascii="Times New Roman" w:hAnsi="Times New Roman" w:cs="Times New Roman"/>
          <w:kern w:val="0"/>
        </w:rPr>
        <w:t>A bilirubin- és a májtranszamináz</w:t>
      </w:r>
      <w:r w:rsidR="00CC02D9">
        <w:rPr>
          <w:rFonts w:ascii="Times New Roman" w:hAnsi="Times New Roman" w:cs="Times New Roman"/>
          <w:kern w:val="0"/>
        </w:rPr>
        <w:t>-</w:t>
      </w:r>
      <w:r w:rsidRPr="00FF7BA9">
        <w:rPr>
          <w:rFonts w:ascii="Times New Roman" w:hAnsi="Times New Roman" w:cs="Times New Roman"/>
          <w:kern w:val="0"/>
        </w:rPr>
        <w:t>szintek emelkedését a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nilotinib alkalmazásának átmeneti felfüggesztésével, dóziscsökkentéssel és/vagy a nilotinib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 xml:space="preserve">alkalmazásának </w:t>
      </w:r>
      <w:r w:rsidR="00CC02D9">
        <w:rPr>
          <w:rFonts w:ascii="Times New Roman" w:hAnsi="Times New Roman" w:cs="Times New Roman"/>
          <w:kern w:val="0"/>
        </w:rPr>
        <w:t>leállításával</w:t>
      </w:r>
      <w:r w:rsidR="00CC02D9" w:rsidRPr="00FF7BA9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kell kezelni (lásd 4.2</w:t>
      </w:r>
      <w:r w:rsidR="0042614C">
        <w:rPr>
          <w:rFonts w:ascii="Times New Roman" w:hAnsi="Times New Roman" w:cs="Times New Roman"/>
          <w:kern w:val="0"/>
        </w:rPr>
        <w:t> </w:t>
      </w:r>
      <w:r w:rsidRPr="00FF7BA9">
        <w:rPr>
          <w:rFonts w:ascii="Times New Roman" w:hAnsi="Times New Roman" w:cs="Times New Roman"/>
          <w:kern w:val="0"/>
        </w:rPr>
        <w:t>pont). Egy vizsgálatban, amelyet CML-es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gyermek</w:t>
      </w:r>
      <w:r w:rsidRPr="00FF7BA9">
        <w:rPr>
          <w:rFonts w:ascii="Times New Roman" w:eastAsia="TimesNewRomanPSMT" w:hAnsi="Times New Roman" w:cs="Times New Roman"/>
          <w:kern w:val="0"/>
        </w:rPr>
        <w:t xml:space="preserve">eknél és serdülőknél </w:t>
      </w:r>
      <w:r w:rsidRPr="00FF7BA9">
        <w:rPr>
          <w:rFonts w:ascii="Times New Roman" w:hAnsi="Times New Roman" w:cs="Times New Roman"/>
          <w:kern w:val="0"/>
        </w:rPr>
        <w:t>végeztek, a növekedés visszamaradását dokumentálták nilotinibbel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kezelt betegeknél (lásd 4.8</w:t>
      </w:r>
      <w:r w:rsidR="004A524D">
        <w:rPr>
          <w:rFonts w:ascii="Times New Roman" w:hAnsi="Times New Roman" w:cs="Times New Roman"/>
          <w:kern w:val="0"/>
        </w:rPr>
        <w:t> </w:t>
      </w:r>
      <w:r w:rsidRPr="00FF7BA9">
        <w:rPr>
          <w:rFonts w:ascii="Times New Roman" w:hAnsi="Times New Roman" w:cs="Times New Roman"/>
          <w:kern w:val="0"/>
        </w:rPr>
        <w:t>pont). Ajánlott szorosan monitorozni a nilotinibbel kezelt gyermek- és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eastAsia="TimesNewRomanPSMT" w:hAnsi="Times New Roman" w:cs="Times New Roman"/>
          <w:kern w:val="0"/>
        </w:rPr>
        <w:t xml:space="preserve">serdülőkorú </w:t>
      </w:r>
      <w:r w:rsidRPr="00FF7BA9">
        <w:rPr>
          <w:rFonts w:ascii="Times New Roman" w:hAnsi="Times New Roman" w:cs="Times New Roman"/>
          <w:kern w:val="0"/>
        </w:rPr>
        <w:t>betegek növekedését.</w:t>
      </w:r>
    </w:p>
    <w:p w14:paraId="1376111C" w14:textId="77777777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010EC8C" w14:textId="77777777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A05B5">
        <w:rPr>
          <w:rFonts w:ascii="Times New Roman" w:hAnsi="Times New Roman" w:cs="Times New Roman"/>
          <w:kern w:val="0"/>
          <w:u w:val="single"/>
        </w:rPr>
        <w:t>Laktóz</w:t>
      </w:r>
    </w:p>
    <w:p w14:paraId="74997393" w14:textId="77777777" w:rsidR="00AD4214" w:rsidRPr="00BA05B5" w:rsidRDefault="00AD4214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144F7F2B" w14:textId="4FED38FF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FF7BA9">
        <w:rPr>
          <w:rFonts w:ascii="Times New Roman" w:hAnsi="Times New Roman" w:cs="Times New Roman"/>
          <w:kern w:val="0"/>
        </w:rPr>
        <w:t xml:space="preserve">A </w:t>
      </w:r>
      <w:r w:rsidR="00DE7C90">
        <w:rPr>
          <w:rFonts w:ascii="Times New Roman" w:hAnsi="Times New Roman" w:cs="Times New Roman"/>
          <w:kern w:val="0"/>
        </w:rPr>
        <w:t>Krufton</w:t>
      </w:r>
      <w:r w:rsidRPr="00FF7BA9">
        <w:rPr>
          <w:rFonts w:ascii="Times New Roman" w:hAnsi="Times New Roman" w:cs="Times New Roman"/>
          <w:kern w:val="0"/>
        </w:rPr>
        <w:t xml:space="preserve"> kemény kapszulák laktózt tartalmaznak. </w:t>
      </w:r>
      <w:r w:rsidRPr="00FF7BA9">
        <w:rPr>
          <w:rFonts w:ascii="Times New Roman" w:eastAsia="TimesNewRomanPSMT" w:hAnsi="Times New Roman" w:cs="Times New Roman"/>
          <w:kern w:val="0"/>
        </w:rPr>
        <w:t>Ritkán előforduló, örökletes galaktóz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 xml:space="preserve">intoleranciában, </w:t>
      </w:r>
      <w:r w:rsidR="007B032C" w:rsidRPr="007B032C">
        <w:rPr>
          <w:rFonts w:ascii="Times New Roman" w:hAnsi="Times New Roman" w:cs="Times New Roman"/>
          <w:kern w:val="0"/>
        </w:rPr>
        <w:t xml:space="preserve">teljes laktáz-hiányban </w:t>
      </w:r>
      <w:r w:rsidRPr="00FF7BA9">
        <w:rPr>
          <w:rFonts w:ascii="Times New Roman" w:hAnsi="Times New Roman" w:cs="Times New Roman"/>
          <w:kern w:val="0"/>
        </w:rPr>
        <w:t>vagy glükóz-galaktóz malabszorpcióban a készítmény nem</w:t>
      </w:r>
      <w:r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eastAsia="TimesNewRomanPSMT" w:hAnsi="Times New Roman" w:cs="Times New Roman"/>
          <w:kern w:val="0"/>
        </w:rPr>
        <w:t>szedhető.</w:t>
      </w:r>
    </w:p>
    <w:p w14:paraId="3F34F5D8" w14:textId="77777777" w:rsidR="007B032C" w:rsidRDefault="007B032C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879369D" w14:textId="3A147E10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A05B5">
        <w:rPr>
          <w:rFonts w:ascii="Times New Roman" w:hAnsi="Times New Roman" w:cs="Times New Roman"/>
          <w:kern w:val="0"/>
          <w:u w:val="single"/>
        </w:rPr>
        <w:t>Nátrium</w:t>
      </w:r>
    </w:p>
    <w:p w14:paraId="378BAD74" w14:textId="77777777" w:rsidR="00AD4214" w:rsidRPr="00BA05B5" w:rsidRDefault="00AD4214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582F0346" w14:textId="7CAF2B0A" w:rsidR="00FF7BA9" w:rsidRDefault="007E4D22" w:rsidP="004261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E4D22">
        <w:rPr>
          <w:rFonts w:ascii="Times New Roman" w:hAnsi="Times New Roman" w:cs="Times New Roman"/>
          <w:kern w:val="0"/>
        </w:rPr>
        <w:t>A készítmény kevesebb, mint 1</w:t>
      </w:r>
      <w:r w:rsidR="00236E0A">
        <w:rPr>
          <w:rFonts w:ascii="Times New Roman" w:hAnsi="Times New Roman" w:cs="Times New Roman"/>
          <w:kern w:val="0"/>
        </w:rPr>
        <w:t> </w:t>
      </w:r>
      <w:r w:rsidRPr="007E4D22">
        <w:rPr>
          <w:rFonts w:ascii="Times New Roman" w:hAnsi="Times New Roman" w:cs="Times New Roman"/>
          <w:kern w:val="0"/>
        </w:rPr>
        <w:t>mmol (23</w:t>
      </w:r>
      <w:r w:rsidR="00236E0A">
        <w:rPr>
          <w:rFonts w:ascii="Times New Roman" w:hAnsi="Times New Roman" w:cs="Times New Roman"/>
          <w:kern w:val="0"/>
        </w:rPr>
        <w:t> </w:t>
      </w:r>
      <w:r w:rsidRPr="007E4D22">
        <w:rPr>
          <w:rFonts w:ascii="Times New Roman" w:hAnsi="Times New Roman" w:cs="Times New Roman"/>
          <w:kern w:val="0"/>
        </w:rPr>
        <w:t>mg)</w:t>
      </w:r>
      <w:r>
        <w:rPr>
          <w:rFonts w:ascii="Times New Roman" w:hAnsi="Times New Roman" w:cs="Times New Roman"/>
          <w:kern w:val="0"/>
        </w:rPr>
        <w:t xml:space="preserve"> </w:t>
      </w:r>
      <w:r w:rsidRPr="007E4D22">
        <w:rPr>
          <w:rFonts w:ascii="Times New Roman" w:hAnsi="Times New Roman" w:cs="Times New Roman"/>
          <w:kern w:val="0"/>
        </w:rPr>
        <w:t>nátriumot tartalmaz</w:t>
      </w:r>
      <w:r>
        <w:rPr>
          <w:rFonts w:ascii="Times New Roman" w:hAnsi="Times New Roman" w:cs="Times New Roman"/>
          <w:kern w:val="0"/>
        </w:rPr>
        <w:t xml:space="preserve"> kapszulánként, </w:t>
      </w:r>
      <w:r w:rsidR="0042614C" w:rsidRPr="0042614C">
        <w:rPr>
          <w:rFonts w:ascii="Times New Roman" w:hAnsi="Times New Roman" w:cs="Times New Roman"/>
          <w:kern w:val="0"/>
        </w:rPr>
        <w:t>azaz gyakorlatilag</w:t>
      </w:r>
      <w:r w:rsidR="0042614C">
        <w:rPr>
          <w:rFonts w:ascii="Times New Roman" w:hAnsi="Times New Roman" w:cs="Times New Roman"/>
          <w:kern w:val="0"/>
        </w:rPr>
        <w:t xml:space="preserve"> </w:t>
      </w:r>
      <w:r w:rsidR="0042614C" w:rsidRPr="0042614C">
        <w:rPr>
          <w:rFonts w:ascii="Times New Roman" w:hAnsi="Times New Roman" w:cs="Times New Roman"/>
          <w:kern w:val="0"/>
        </w:rPr>
        <w:t>„nátriummentes”.</w:t>
      </w:r>
    </w:p>
    <w:p w14:paraId="1ADB04E0" w14:textId="77777777" w:rsidR="00FF7BA9" w:rsidRP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CD01F56" w14:textId="5946B5F5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FF7BA9">
        <w:rPr>
          <w:rFonts w:ascii="Times New Roman" w:hAnsi="Times New Roman" w:cs="Times New Roman"/>
          <w:b/>
          <w:bCs/>
          <w:kern w:val="0"/>
        </w:rPr>
        <w:t>4.5</w:t>
      </w:r>
      <w:r w:rsidR="002109D9">
        <w:rPr>
          <w:rFonts w:ascii="Times New Roman" w:hAnsi="Times New Roman" w:cs="Times New Roman"/>
          <w:b/>
          <w:bCs/>
          <w:kern w:val="0"/>
        </w:rPr>
        <w:tab/>
      </w:r>
      <w:r w:rsidRPr="00FF7BA9">
        <w:rPr>
          <w:rFonts w:ascii="Times New Roman" w:hAnsi="Times New Roman" w:cs="Times New Roman"/>
          <w:b/>
          <w:bCs/>
          <w:kern w:val="0"/>
        </w:rPr>
        <w:t>Gyógyszerkölcsönhatások és egyéb interakciók</w:t>
      </w:r>
    </w:p>
    <w:p w14:paraId="327177FE" w14:textId="77777777" w:rsidR="00691AE8" w:rsidRPr="00FF7BA9" w:rsidRDefault="00691AE8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4DEC5BFB" w14:textId="150C3861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F7BA9">
        <w:rPr>
          <w:rFonts w:ascii="Times New Roman" w:hAnsi="Times New Roman" w:cs="Times New Roman"/>
          <w:kern w:val="0"/>
        </w:rPr>
        <w:t xml:space="preserve">A </w:t>
      </w:r>
      <w:r w:rsidR="00B62004">
        <w:rPr>
          <w:rFonts w:ascii="Times New Roman" w:hAnsi="Times New Roman" w:cs="Times New Roman"/>
          <w:kern w:val="0"/>
        </w:rPr>
        <w:t>nilotinib</w:t>
      </w:r>
      <w:r w:rsidRPr="00FF7BA9">
        <w:rPr>
          <w:rFonts w:ascii="Times New Roman" w:hAnsi="Times New Roman" w:cs="Times New Roman"/>
          <w:kern w:val="0"/>
        </w:rPr>
        <w:t xml:space="preserve"> haemopoetikus növekedési faktorokkal, így eritropoetinnel vagy granulocyta</w:t>
      </w:r>
      <w:r w:rsidR="00B62004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kolónia-stimuláló faktorral (G-CSF) kombinációban adható, ha klinikailag indokolt. Együtt adható</w:t>
      </w:r>
      <w:r w:rsidR="00B62004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hidroxiureával vagy anagreliddel, ha klinikailag indokolt.</w:t>
      </w:r>
    </w:p>
    <w:p w14:paraId="7B5A3DB9" w14:textId="77777777" w:rsidR="002936C0" w:rsidRPr="00FF7BA9" w:rsidRDefault="002936C0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09D3C7B" w14:textId="0E34B7A7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F7BA9">
        <w:rPr>
          <w:rFonts w:ascii="Times New Roman" w:eastAsia="TimesNewRomanPSMT" w:hAnsi="Times New Roman" w:cs="Times New Roman"/>
          <w:kern w:val="0"/>
        </w:rPr>
        <w:t xml:space="preserve">A nilotinib főként a </w:t>
      </w:r>
      <w:r w:rsidRPr="00FF7BA9">
        <w:rPr>
          <w:rFonts w:ascii="Times New Roman" w:hAnsi="Times New Roman" w:cs="Times New Roman"/>
          <w:kern w:val="0"/>
        </w:rPr>
        <w:t>májban metabolizálódik</w:t>
      </w:r>
      <w:r w:rsidRPr="00FF7BA9">
        <w:rPr>
          <w:rFonts w:ascii="Times New Roman" w:eastAsia="TimesNewRomanPSMT" w:hAnsi="Times New Roman" w:cs="Times New Roman"/>
          <w:kern w:val="0"/>
        </w:rPr>
        <w:t>, az oxidatív metabolizmus főként a CYP3A4</w:t>
      </w:r>
      <w:r w:rsidRPr="00FF7BA9">
        <w:rPr>
          <w:rFonts w:ascii="Times New Roman" w:hAnsi="Times New Roman" w:cs="Times New Roman"/>
          <w:kern w:val="0"/>
        </w:rPr>
        <w:t>-gyel</w:t>
      </w:r>
      <w:r w:rsidR="00B62004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 xml:space="preserve">történik. A nilotinib a P-glikoprotein (P-gp) </w:t>
      </w:r>
      <w:proofErr w:type="gramStart"/>
      <w:r w:rsidRPr="00FF7BA9">
        <w:rPr>
          <w:rFonts w:ascii="Times New Roman" w:hAnsi="Times New Roman" w:cs="Times New Roman"/>
          <w:kern w:val="0"/>
        </w:rPr>
        <w:t>multi-drug</w:t>
      </w:r>
      <w:proofErr w:type="gramEnd"/>
      <w:r w:rsidRPr="00FF7BA9">
        <w:rPr>
          <w:rFonts w:ascii="Times New Roman" w:hAnsi="Times New Roman" w:cs="Times New Roman"/>
          <w:kern w:val="0"/>
        </w:rPr>
        <w:t xml:space="preserve"> efflux pumpa szubsztrátja is. Ezért a</w:t>
      </w:r>
      <w:r w:rsidR="00B62004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eastAsia="TimesNewRomanPSMT" w:hAnsi="Times New Roman" w:cs="Times New Roman"/>
          <w:kern w:val="0"/>
        </w:rPr>
        <w:t>szisztémásan felszívódó nilotinib felszívódását és azt követő eliminációját a CYP3A4</w:t>
      </w:r>
      <w:r w:rsidRPr="00FF7BA9">
        <w:rPr>
          <w:rFonts w:ascii="Times New Roman" w:hAnsi="Times New Roman" w:cs="Times New Roman"/>
          <w:kern w:val="0"/>
        </w:rPr>
        <w:t>-t és/vagy P-gp-t</w:t>
      </w:r>
      <w:r w:rsidR="0023654D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befolyásoló anyagok módosíthatják.</w:t>
      </w:r>
    </w:p>
    <w:p w14:paraId="0AF604D5" w14:textId="77777777" w:rsidR="002657B0" w:rsidRPr="00FF7BA9" w:rsidRDefault="002657B0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B261FE9" w14:textId="6519B7E6" w:rsidR="00FF7BA9" w:rsidRPr="002657B0" w:rsidRDefault="00434083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Ható</w:t>
      </w:r>
      <w:r w:rsidR="008951B7">
        <w:rPr>
          <w:rFonts w:ascii="Times New Roman" w:hAnsi="Times New Roman" w:cs="Times New Roman"/>
          <w:kern w:val="0"/>
          <w:u w:val="single"/>
        </w:rPr>
        <w:t>a</w:t>
      </w:r>
      <w:r w:rsidR="00FF7BA9" w:rsidRPr="002657B0">
        <w:rPr>
          <w:rFonts w:ascii="Times New Roman" w:hAnsi="Times New Roman" w:cs="Times New Roman"/>
          <w:kern w:val="0"/>
          <w:u w:val="single"/>
        </w:rPr>
        <w:t>nyagok, amelyek növelhetik a nilotinib szérumkoncentrációját</w:t>
      </w:r>
    </w:p>
    <w:p w14:paraId="593D0A27" w14:textId="77777777" w:rsidR="002657B0" w:rsidRPr="00FF7BA9" w:rsidRDefault="002657B0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3392A76" w14:textId="543D693D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F7BA9">
        <w:rPr>
          <w:rFonts w:ascii="Times New Roman" w:hAnsi="Times New Roman" w:cs="Times New Roman"/>
          <w:kern w:val="0"/>
        </w:rPr>
        <w:t>A nilotinib és az imatinib (P-gp és CYP3A4 szubsztrát és moderátor) együttes alkalmazása csekély</w:t>
      </w:r>
      <w:r w:rsidR="002657B0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gátló hatást gyakorolt a CYP3A4-re és/vagy a P-gp-re. Az imatinib AUC-je 18-39%-</w:t>
      </w:r>
      <w:r w:rsidRPr="00FF7BA9">
        <w:rPr>
          <w:rFonts w:ascii="Times New Roman" w:eastAsia="TimesNewRomanPSMT" w:hAnsi="Times New Roman" w:cs="Times New Roman"/>
          <w:kern w:val="0"/>
        </w:rPr>
        <w:t>kal nőtt, míg a</w:t>
      </w:r>
      <w:r w:rsidR="002657B0">
        <w:rPr>
          <w:rFonts w:ascii="Times New Roman" w:eastAsia="TimesNewRomanPSMT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nilotinib AUC-je 18-40%-</w:t>
      </w:r>
      <w:r w:rsidRPr="00FF7BA9">
        <w:rPr>
          <w:rFonts w:ascii="Times New Roman" w:eastAsia="TimesNewRomanPSMT" w:hAnsi="Times New Roman" w:cs="Times New Roman"/>
          <w:kern w:val="0"/>
        </w:rPr>
        <w:t>kal nőtt. Nem valószínű, hogy ezeknek a változásoknak klinikai jelentősége</w:t>
      </w:r>
      <w:r w:rsidR="002657B0">
        <w:rPr>
          <w:rFonts w:ascii="Times New Roman" w:eastAsia="TimesNewRomanPSMT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lenne.</w:t>
      </w:r>
    </w:p>
    <w:p w14:paraId="14491035" w14:textId="77777777" w:rsidR="003221EF" w:rsidRPr="00FF7BA9" w:rsidRDefault="003221EF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C209045" w14:textId="6AD70B3F" w:rsidR="00FF7BA9" w:rsidRDefault="00140D4A" w:rsidP="00FF7BA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>
        <w:rPr>
          <w:rFonts w:ascii="Times New Roman" w:eastAsia="TimesNewRomanPSMT" w:hAnsi="Times New Roman" w:cs="Times New Roman"/>
          <w:kern w:val="0"/>
        </w:rPr>
        <w:t>E</w:t>
      </w:r>
      <w:r w:rsidRPr="00FF7BA9">
        <w:rPr>
          <w:rFonts w:ascii="Times New Roman" w:eastAsia="TimesNewRomanPSMT" w:hAnsi="Times New Roman" w:cs="Times New Roman"/>
          <w:kern w:val="0"/>
        </w:rPr>
        <w:t>gészséges önkéntesek</w:t>
      </w:r>
      <w:r>
        <w:rPr>
          <w:rFonts w:ascii="Times New Roman" w:eastAsia="TimesNewRomanPSMT" w:hAnsi="Times New Roman" w:cs="Times New Roman"/>
          <w:kern w:val="0"/>
        </w:rPr>
        <w:t>nél</w:t>
      </w:r>
      <w:r w:rsidRPr="00FF7BA9">
        <w:rPr>
          <w:rFonts w:ascii="Times New Roman" w:eastAsia="TimesNewRomanPSMT" w:hAnsi="Times New Roman" w:cs="Times New Roman"/>
          <w:kern w:val="0"/>
        </w:rPr>
        <w:t xml:space="preserve"> </w:t>
      </w:r>
      <w:r>
        <w:rPr>
          <w:rFonts w:ascii="Times New Roman" w:eastAsia="TimesNewRomanPSMT" w:hAnsi="Times New Roman" w:cs="Times New Roman"/>
          <w:kern w:val="0"/>
        </w:rPr>
        <w:t>a</w:t>
      </w:r>
      <w:r w:rsidR="00FF7BA9" w:rsidRPr="00FF7BA9">
        <w:rPr>
          <w:rFonts w:ascii="Times New Roman" w:eastAsia="TimesNewRomanPSMT" w:hAnsi="Times New Roman" w:cs="Times New Roman"/>
          <w:kern w:val="0"/>
        </w:rPr>
        <w:t xml:space="preserve"> nilotinib expozíciója háromszorosára nőtt, amikor az erős CYP3A4</w:t>
      </w:r>
      <w:r w:rsidR="00FF7BA9" w:rsidRPr="00FF7BA9">
        <w:rPr>
          <w:rFonts w:ascii="Times New Roman" w:hAnsi="Times New Roman" w:cs="Times New Roman"/>
          <w:kern w:val="0"/>
        </w:rPr>
        <w:t>-gátló</w:t>
      </w:r>
      <w:r w:rsidR="003221EF">
        <w:rPr>
          <w:rFonts w:ascii="Times New Roman" w:hAnsi="Times New Roman" w:cs="Times New Roman"/>
          <w:kern w:val="0"/>
        </w:rPr>
        <w:t xml:space="preserve"> </w:t>
      </w:r>
      <w:r w:rsidR="00FF7BA9" w:rsidRPr="00FF7BA9">
        <w:rPr>
          <w:rFonts w:ascii="Times New Roman" w:eastAsia="TimesNewRomanPSMT" w:hAnsi="Times New Roman" w:cs="Times New Roman"/>
          <w:kern w:val="0"/>
        </w:rPr>
        <w:t>ketokonazollal egyidejűleg alkalmazták. Az erős CYP3A4</w:t>
      </w:r>
      <w:r w:rsidR="00FF7BA9" w:rsidRPr="00FF7BA9">
        <w:rPr>
          <w:rFonts w:ascii="Times New Roman" w:hAnsi="Times New Roman" w:cs="Times New Roman"/>
          <w:kern w:val="0"/>
        </w:rPr>
        <w:t>-gátlókkal, köztük ketokonazollal,</w:t>
      </w:r>
      <w:r w:rsidR="004C032E">
        <w:rPr>
          <w:rFonts w:ascii="Times New Roman" w:hAnsi="Times New Roman" w:cs="Times New Roman"/>
          <w:kern w:val="0"/>
        </w:rPr>
        <w:t xml:space="preserve"> </w:t>
      </w:r>
      <w:r w:rsidR="00FF7BA9" w:rsidRPr="00FF7BA9">
        <w:rPr>
          <w:rFonts w:ascii="Times New Roman" w:eastAsia="TimesNewRomanPSMT" w:hAnsi="Times New Roman" w:cs="Times New Roman"/>
          <w:kern w:val="0"/>
        </w:rPr>
        <w:t>itrakonazollal, vorikonazollal, ritonavirrel, klaritromicinnel és telitromicinnel való egyidejű</w:t>
      </w:r>
      <w:r w:rsidR="004C032E">
        <w:rPr>
          <w:rFonts w:ascii="Times New Roman" w:eastAsia="TimesNewRomanPSMT" w:hAnsi="Times New Roman" w:cs="Times New Roman"/>
          <w:kern w:val="0"/>
        </w:rPr>
        <w:t xml:space="preserve"> </w:t>
      </w:r>
      <w:r w:rsidR="00FF7BA9" w:rsidRPr="00FF7BA9">
        <w:rPr>
          <w:rFonts w:ascii="Times New Roman" w:hAnsi="Times New Roman" w:cs="Times New Roman"/>
          <w:kern w:val="0"/>
        </w:rPr>
        <w:t>alkalmazást ezért kerülni kell (lásd 4.4</w:t>
      </w:r>
      <w:r w:rsidR="004C032E">
        <w:rPr>
          <w:rFonts w:ascii="Times New Roman" w:hAnsi="Times New Roman" w:cs="Times New Roman"/>
          <w:kern w:val="0"/>
        </w:rPr>
        <w:t> </w:t>
      </w:r>
      <w:r w:rsidR="00FF7BA9" w:rsidRPr="00FF7BA9">
        <w:rPr>
          <w:rFonts w:ascii="Times New Roman" w:hAnsi="Times New Roman" w:cs="Times New Roman"/>
          <w:kern w:val="0"/>
        </w:rPr>
        <w:t>pont). A nilotinib fokozott expozíciója várható továbbá</w:t>
      </w:r>
      <w:r w:rsidR="00A30274">
        <w:rPr>
          <w:rFonts w:ascii="Times New Roman" w:hAnsi="Times New Roman" w:cs="Times New Roman"/>
          <w:kern w:val="0"/>
        </w:rPr>
        <w:t xml:space="preserve"> </w:t>
      </w:r>
      <w:r w:rsidR="00FF7BA9" w:rsidRPr="00FF7BA9">
        <w:rPr>
          <w:rFonts w:ascii="Times New Roman" w:hAnsi="Times New Roman" w:cs="Times New Roman"/>
          <w:kern w:val="0"/>
        </w:rPr>
        <w:t xml:space="preserve">közepes fokú CYP3A4 inhibitorok esetén is. Mérlegelni kell CYP3A4-gátló aktivitással </w:t>
      </w:r>
      <w:r w:rsidR="001208AD" w:rsidRPr="00FF7BA9">
        <w:rPr>
          <w:rFonts w:ascii="Times New Roman" w:hAnsi="Times New Roman" w:cs="Times New Roman"/>
          <w:kern w:val="0"/>
        </w:rPr>
        <w:t>nem,</w:t>
      </w:r>
      <w:r w:rsidR="00FF7BA9" w:rsidRPr="00FF7BA9">
        <w:rPr>
          <w:rFonts w:ascii="Times New Roman" w:hAnsi="Times New Roman" w:cs="Times New Roman"/>
          <w:kern w:val="0"/>
        </w:rPr>
        <w:t xml:space="preserve"> vagy</w:t>
      </w:r>
      <w:r w:rsidR="00A30274">
        <w:rPr>
          <w:rFonts w:ascii="Times New Roman" w:hAnsi="Times New Roman" w:cs="Times New Roman"/>
          <w:kern w:val="0"/>
        </w:rPr>
        <w:t xml:space="preserve"> </w:t>
      </w:r>
      <w:r w:rsidR="00FF7BA9" w:rsidRPr="00FF7BA9">
        <w:rPr>
          <w:rFonts w:ascii="Times New Roman" w:eastAsia="TimesNewRomanPSMT" w:hAnsi="Times New Roman" w:cs="Times New Roman"/>
          <w:kern w:val="0"/>
        </w:rPr>
        <w:t>csak minimális mértékben rendelkező, alternatív gyógyszerkészítmények egyidejű alkalmazását.</w:t>
      </w:r>
    </w:p>
    <w:p w14:paraId="2A42F771" w14:textId="77777777" w:rsidR="00515AC3" w:rsidRPr="00FF7BA9" w:rsidRDefault="00515AC3" w:rsidP="00FF7BA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84B6B06" w14:textId="1D1D0BC5" w:rsidR="00FF7BA9" w:rsidRDefault="00434083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Ható</w:t>
      </w:r>
      <w:r w:rsidR="008951B7">
        <w:rPr>
          <w:rFonts w:ascii="Times New Roman" w:hAnsi="Times New Roman" w:cs="Times New Roman"/>
          <w:kern w:val="0"/>
          <w:u w:val="single"/>
        </w:rPr>
        <w:t>a</w:t>
      </w:r>
      <w:r w:rsidR="00FF7BA9" w:rsidRPr="00515AC3">
        <w:rPr>
          <w:rFonts w:ascii="Times New Roman" w:hAnsi="Times New Roman" w:cs="Times New Roman"/>
          <w:kern w:val="0"/>
          <w:u w:val="single"/>
        </w:rPr>
        <w:t>nyagok, amelyek csökkenthetik a nilotinib szérumkoncentrációját</w:t>
      </w:r>
    </w:p>
    <w:p w14:paraId="4712E559" w14:textId="77777777" w:rsidR="00515AC3" w:rsidRPr="00515AC3" w:rsidRDefault="00515AC3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540F42F5" w14:textId="41E57A83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FF7BA9">
        <w:rPr>
          <w:rFonts w:ascii="Times New Roman" w:eastAsia="TimesNewRomanPSMT" w:hAnsi="Times New Roman" w:cs="Times New Roman"/>
          <w:kern w:val="0"/>
        </w:rPr>
        <w:t>Az erős CYP3A4</w:t>
      </w:r>
      <w:r w:rsidRPr="00FF7BA9">
        <w:rPr>
          <w:rFonts w:ascii="Times New Roman" w:hAnsi="Times New Roman" w:cs="Times New Roman"/>
          <w:kern w:val="0"/>
        </w:rPr>
        <w:t>-induktor rifampicin a nilotinib C</w:t>
      </w:r>
      <w:r w:rsidRPr="00410956">
        <w:rPr>
          <w:rFonts w:ascii="Times New Roman" w:hAnsi="Times New Roman" w:cs="Times New Roman"/>
          <w:kern w:val="0"/>
          <w:vertAlign w:val="subscript"/>
        </w:rPr>
        <w:t>max</w:t>
      </w:r>
      <w:r w:rsidR="00140D4A">
        <w:rPr>
          <w:rFonts w:ascii="Times New Roman" w:hAnsi="Times New Roman" w:cs="Times New Roman"/>
          <w:kern w:val="0"/>
        </w:rPr>
        <w:t xml:space="preserve"> értéké</w:t>
      </w:r>
      <w:r w:rsidRPr="00FF7BA9">
        <w:rPr>
          <w:rFonts w:ascii="Times New Roman" w:hAnsi="Times New Roman" w:cs="Times New Roman"/>
          <w:kern w:val="0"/>
        </w:rPr>
        <w:t>t 64%-kal, a nilotinib AUC</w:t>
      </w:r>
      <w:r w:rsidR="008951B7">
        <w:rPr>
          <w:rFonts w:ascii="Times New Roman" w:hAnsi="Times New Roman" w:cs="Times New Roman"/>
          <w:kern w:val="0"/>
        </w:rPr>
        <w:t xml:space="preserve"> </w:t>
      </w:r>
      <w:r w:rsidR="00140D4A">
        <w:rPr>
          <w:rFonts w:ascii="Times New Roman" w:hAnsi="Times New Roman" w:cs="Times New Roman"/>
          <w:kern w:val="0"/>
        </w:rPr>
        <w:t>értékét</w:t>
      </w:r>
      <w:r w:rsidRPr="00FF7BA9">
        <w:rPr>
          <w:rFonts w:ascii="Times New Roman" w:hAnsi="Times New Roman" w:cs="Times New Roman"/>
          <w:kern w:val="0"/>
        </w:rPr>
        <w:t xml:space="preserve"> 80%-kal</w:t>
      </w:r>
      <w:r w:rsidR="00515AC3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eastAsia="TimesNewRomanPSMT" w:hAnsi="Times New Roman" w:cs="Times New Roman"/>
          <w:kern w:val="0"/>
        </w:rPr>
        <w:t>csökkenti. A rifampicint és a nilotinibet nem szabad egyidejűleg alkalmazni.</w:t>
      </w:r>
    </w:p>
    <w:p w14:paraId="4848C225" w14:textId="77777777" w:rsidR="00B27443" w:rsidRPr="00FF7BA9" w:rsidRDefault="00B27443" w:rsidP="00FF7BA9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161C2AC" w14:textId="3C53BFF8" w:rsidR="00FF7BA9" w:rsidRDefault="00FF7BA9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FF7BA9">
        <w:rPr>
          <w:rFonts w:ascii="Times New Roman" w:hAnsi="Times New Roman" w:cs="Times New Roman"/>
          <w:kern w:val="0"/>
        </w:rPr>
        <w:t xml:space="preserve">Egyéb CYP3A4-induktor gyógyszerek (pl. </w:t>
      </w:r>
      <w:r w:rsidRPr="00FF7BA9">
        <w:rPr>
          <w:rFonts w:ascii="Times New Roman" w:eastAsia="TimesNewRomanPSMT" w:hAnsi="Times New Roman" w:cs="Times New Roman"/>
          <w:kern w:val="0"/>
        </w:rPr>
        <w:t xml:space="preserve">fenitoin, karbamazepin, fenobarbitál és </w:t>
      </w:r>
      <w:r w:rsidR="00515AC3">
        <w:rPr>
          <w:rFonts w:ascii="Times New Roman" w:eastAsia="TimesNewRomanPSMT" w:hAnsi="Times New Roman" w:cs="Times New Roman"/>
          <w:kern w:val="0"/>
        </w:rPr>
        <w:t xml:space="preserve">közönséges </w:t>
      </w:r>
      <w:r w:rsidRPr="00FF7BA9">
        <w:rPr>
          <w:rFonts w:ascii="Times New Roman" w:eastAsia="TimesNewRomanPSMT" w:hAnsi="Times New Roman" w:cs="Times New Roman"/>
          <w:kern w:val="0"/>
        </w:rPr>
        <w:t>orbáncfű) egyidejű alkalmazása valószínűleg szintén klinikailag jelentős mértékben csökkenti a</w:t>
      </w:r>
      <w:r w:rsidR="00515AC3">
        <w:rPr>
          <w:rFonts w:ascii="Times New Roman" w:eastAsia="TimesNewRomanPSMT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lastRenderedPageBreak/>
        <w:t>nilotinib-expozíciót. Olyan betegek esetében, akiknél CYP3</w:t>
      </w:r>
      <w:r w:rsidR="000E0B55">
        <w:rPr>
          <w:rFonts w:ascii="Times New Roman" w:hAnsi="Times New Roman" w:cs="Times New Roman"/>
          <w:kern w:val="0"/>
        </w:rPr>
        <w:t>A</w:t>
      </w:r>
      <w:r w:rsidRPr="00FF7BA9">
        <w:rPr>
          <w:rFonts w:ascii="Times New Roman" w:hAnsi="Times New Roman" w:cs="Times New Roman"/>
          <w:kern w:val="0"/>
        </w:rPr>
        <w:t>4-induktorok alkalmazása javallott, kisebb</w:t>
      </w:r>
      <w:r w:rsidR="00515AC3">
        <w:rPr>
          <w:rFonts w:ascii="Times New Roman" w:hAnsi="Times New Roman" w:cs="Times New Roman"/>
          <w:kern w:val="0"/>
        </w:rPr>
        <w:t xml:space="preserve"> </w:t>
      </w:r>
      <w:r w:rsidRPr="00FF7BA9">
        <w:rPr>
          <w:rFonts w:ascii="Times New Roman" w:hAnsi="Times New Roman" w:cs="Times New Roman"/>
          <w:kern w:val="0"/>
        </w:rPr>
        <w:t>enzimindukciós potenciálú alternatív gyógyszereket kell választan</w:t>
      </w:r>
      <w:r w:rsidR="007B0154">
        <w:rPr>
          <w:rFonts w:ascii="Times New Roman" w:hAnsi="Times New Roman" w:cs="Times New Roman"/>
          <w:kern w:val="0"/>
        </w:rPr>
        <w:t>i.</w:t>
      </w:r>
    </w:p>
    <w:p w14:paraId="08E87B85" w14:textId="77777777" w:rsidR="007B0154" w:rsidRDefault="007B0154" w:rsidP="00FF7B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9C5C025" w14:textId="37A29E9C" w:rsidR="007B015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kern w:val="0"/>
        </w:rPr>
        <w:t>A nilotinib oldhatósága pH-</w:t>
      </w:r>
      <w:r w:rsidRPr="007B0154">
        <w:rPr>
          <w:rFonts w:ascii="Times New Roman" w:eastAsia="TimesNewRomanPSMT" w:hAnsi="Times New Roman" w:cs="Times New Roman"/>
          <w:kern w:val="0"/>
        </w:rPr>
        <w:t xml:space="preserve">függő, </w:t>
      </w:r>
      <w:r w:rsidRPr="007B0154">
        <w:rPr>
          <w:rFonts w:ascii="Times New Roman" w:hAnsi="Times New Roman" w:cs="Times New Roman"/>
          <w:kern w:val="0"/>
        </w:rPr>
        <w:t xml:space="preserve">oldhatósága magasabb pH-n kisebb. </w:t>
      </w:r>
      <w:r w:rsidR="003024EB">
        <w:rPr>
          <w:rFonts w:ascii="Times New Roman" w:hAnsi="Times New Roman" w:cs="Times New Roman"/>
          <w:kern w:val="0"/>
        </w:rPr>
        <w:t>5</w:t>
      </w:r>
      <w:r w:rsidRPr="007B0154">
        <w:rPr>
          <w:rFonts w:ascii="Times New Roman" w:hAnsi="Times New Roman" w:cs="Times New Roman"/>
          <w:kern w:val="0"/>
        </w:rPr>
        <w:t xml:space="preserve"> napon át naponta egyszer</w:t>
      </w:r>
      <w:r w:rsidR="003024EB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40</w:t>
      </w:r>
      <w:r w:rsidR="003024EB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mg ezomeprazolt kapó egészséges alanyoknál a gyomor-</w:t>
      </w:r>
      <w:r w:rsidRPr="007B0154">
        <w:rPr>
          <w:rFonts w:ascii="Times New Roman" w:eastAsia="TimesNewRomanPSMT" w:hAnsi="Times New Roman" w:cs="Times New Roman"/>
          <w:kern w:val="0"/>
        </w:rPr>
        <w:t>pH jelentősen emelkedett, de a nilotinib</w:t>
      </w:r>
      <w:r w:rsidR="003024EB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felszívódása csak csekély mértékben csökkent (a C</w:t>
      </w:r>
      <w:r w:rsidRPr="003024EB">
        <w:rPr>
          <w:rFonts w:ascii="Times New Roman" w:hAnsi="Times New Roman" w:cs="Times New Roman"/>
          <w:kern w:val="0"/>
          <w:vertAlign w:val="subscript"/>
        </w:rPr>
        <w:t>max</w:t>
      </w:r>
      <w:r w:rsidRPr="007B0154">
        <w:rPr>
          <w:rFonts w:ascii="Times New Roman" w:hAnsi="Times New Roman" w:cs="Times New Roman"/>
          <w:kern w:val="0"/>
        </w:rPr>
        <w:t xml:space="preserve"> 27%-os csökkenése és az AUC</w:t>
      </w:r>
      <w:r w:rsidRPr="003024EB">
        <w:rPr>
          <w:rFonts w:ascii="Times New Roman" w:hAnsi="Times New Roman" w:cs="Times New Roman"/>
          <w:kern w:val="0"/>
          <w:vertAlign w:val="subscript"/>
        </w:rPr>
        <w:t>0-</w:t>
      </w:r>
      <w:r w:rsidRPr="003024EB">
        <w:rPr>
          <w:rFonts w:ascii="Times New Roman" w:eastAsia="TimesNewRomanPSMT" w:hAnsi="Times New Roman" w:cs="Times New Roman"/>
          <w:kern w:val="0"/>
          <w:vertAlign w:val="subscript"/>
        </w:rPr>
        <w:t>∞</w:t>
      </w:r>
      <w:r w:rsidRPr="007B0154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34%-os</w:t>
      </w:r>
      <w:r w:rsidR="003024EB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>csökkenése). A nilotinib szükség szerint alkalmazható egyidejűleg e</w:t>
      </w:r>
      <w:r w:rsidR="000E0B55">
        <w:rPr>
          <w:rFonts w:ascii="Times New Roman" w:eastAsia="TimesNewRomanPSMT" w:hAnsi="Times New Roman" w:cs="Times New Roman"/>
          <w:kern w:val="0"/>
        </w:rPr>
        <w:t>z</w:t>
      </w:r>
      <w:r w:rsidRPr="007B0154">
        <w:rPr>
          <w:rFonts w:ascii="Times New Roman" w:eastAsia="TimesNewRomanPSMT" w:hAnsi="Times New Roman" w:cs="Times New Roman"/>
          <w:kern w:val="0"/>
        </w:rPr>
        <w:t>omeprazollal vagy más</w:t>
      </w:r>
      <w:r w:rsidR="00526A09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protonpumpa-inhibitorral.</w:t>
      </w:r>
    </w:p>
    <w:p w14:paraId="78CFD3F1" w14:textId="77777777" w:rsidR="00526A09" w:rsidRPr="007B0154" w:rsidRDefault="00526A09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7595D29" w14:textId="1B99D97F" w:rsidR="007B015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kern w:val="0"/>
        </w:rPr>
        <w:t>Egy egészségeseken végzett vizsgálatban egyszeri 400</w:t>
      </w:r>
      <w:r w:rsidR="00526A09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mg nilotinibet adtak 10</w:t>
      </w:r>
      <w:r w:rsidR="00D773C3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órával famotidin után,</w:t>
      </w:r>
      <w:r w:rsidR="00526A09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illetve 2</w:t>
      </w:r>
      <w:r w:rsidR="00526A09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eastAsia="TimesNewRomanPSMT" w:hAnsi="Times New Roman" w:cs="Times New Roman"/>
          <w:kern w:val="0"/>
        </w:rPr>
        <w:t xml:space="preserve">órával </w:t>
      </w:r>
      <w:r w:rsidR="00140D4A">
        <w:rPr>
          <w:rFonts w:ascii="Times New Roman" w:eastAsia="TimesNewRomanPSMT" w:hAnsi="Times New Roman" w:cs="Times New Roman"/>
          <w:kern w:val="0"/>
        </w:rPr>
        <w:t>azt megelőzően</w:t>
      </w:r>
      <w:r w:rsidRPr="007B0154">
        <w:rPr>
          <w:rFonts w:ascii="Times New Roman" w:eastAsia="TimesNewRomanPSMT" w:hAnsi="Times New Roman" w:cs="Times New Roman"/>
          <w:kern w:val="0"/>
        </w:rPr>
        <w:t>, és nem tapasztalták a nilotinib farmakokinetikájának jelentős változását. Ezért,</w:t>
      </w:r>
      <w:r w:rsidR="00526A09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>amennyiben egy H</w:t>
      </w:r>
      <w:r w:rsidRPr="00526A09">
        <w:rPr>
          <w:rFonts w:ascii="Times New Roman" w:eastAsia="TimesNewRomanPSMT" w:hAnsi="Times New Roman" w:cs="Times New Roman"/>
          <w:kern w:val="0"/>
          <w:vertAlign w:val="subscript"/>
        </w:rPr>
        <w:t>2</w:t>
      </w:r>
      <w:r w:rsidRPr="007B0154">
        <w:rPr>
          <w:rFonts w:ascii="Times New Roman" w:eastAsia="TimesNewRomanPSMT" w:hAnsi="Times New Roman" w:cs="Times New Roman"/>
          <w:kern w:val="0"/>
        </w:rPr>
        <w:t xml:space="preserve"> blokkoló egyidejű adása szükséges, az körülbelül 10</w:t>
      </w:r>
      <w:r w:rsidR="00D773C3">
        <w:rPr>
          <w:rFonts w:ascii="Times New Roman" w:eastAsia="TimesNewRomanPSMT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 xml:space="preserve">órával a </w:t>
      </w:r>
      <w:r w:rsidR="00526A09">
        <w:rPr>
          <w:rFonts w:ascii="Times New Roman" w:hAnsi="Times New Roman" w:cs="Times New Roman"/>
          <w:kern w:val="0"/>
        </w:rPr>
        <w:t>nilotinib</w:t>
      </w:r>
      <w:r w:rsidRPr="007B0154">
        <w:rPr>
          <w:rFonts w:ascii="Times New Roman" w:hAnsi="Times New Roman" w:cs="Times New Roman"/>
          <w:kern w:val="0"/>
        </w:rPr>
        <w:t xml:space="preserve"> </w:t>
      </w:r>
      <w:r w:rsidR="00526A09">
        <w:rPr>
          <w:rFonts w:ascii="Times New Roman" w:hAnsi="Times New Roman" w:cs="Times New Roman"/>
          <w:kern w:val="0"/>
        </w:rPr>
        <w:t xml:space="preserve">dózisa </w:t>
      </w:r>
      <w:r w:rsidRPr="007B0154">
        <w:rPr>
          <w:rFonts w:ascii="Times New Roman" w:eastAsia="TimesNewRomanPSMT" w:hAnsi="Times New Roman" w:cs="Times New Roman"/>
          <w:kern w:val="0"/>
        </w:rPr>
        <w:t>előtt, illetve 2</w:t>
      </w:r>
      <w:r w:rsidR="00526A09">
        <w:rPr>
          <w:rFonts w:ascii="Times New Roman" w:eastAsia="TimesNewRomanPSMT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órával az után adható.</w:t>
      </w:r>
    </w:p>
    <w:p w14:paraId="7AD60DCB" w14:textId="77777777" w:rsidR="00526A09" w:rsidRPr="007B0154" w:rsidRDefault="00526A09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B8050BD" w14:textId="783991CF" w:rsidR="007B0154" w:rsidRDefault="00140D4A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Ugyanezen fent említett</w:t>
      </w:r>
      <w:r w:rsidR="007B0154" w:rsidRPr="007B0154">
        <w:rPr>
          <w:rFonts w:ascii="Times New Roman" w:hAnsi="Times New Roman" w:cs="Times New Roman"/>
          <w:kern w:val="0"/>
        </w:rPr>
        <w:t xml:space="preserve"> vizsgálatban egy antacid (alumínium-hidroxid/magnézium-hidroxid/szimetikon) 2</w:t>
      </w:r>
      <w:r w:rsidR="00526A09">
        <w:rPr>
          <w:rFonts w:ascii="Times New Roman" w:hAnsi="Times New Roman" w:cs="Times New Roman"/>
          <w:kern w:val="0"/>
        </w:rPr>
        <w:t> </w:t>
      </w:r>
      <w:r w:rsidR="007B0154" w:rsidRPr="007B0154">
        <w:rPr>
          <w:rFonts w:ascii="Times New Roman" w:hAnsi="Times New Roman" w:cs="Times New Roman"/>
          <w:kern w:val="0"/>
        </w:rPr>
        <w:t>órával egy</w:t>
      </w:r>
      <w:r w:rsidR="00526A09">
        <w:rPr>
          <w:rFonts w:ascii="Times New Roman" w:hAnsi="Times New Roman" w:cs="Times New Roman"/>
          <w:kern w:val="0"/>
        </w:rPr>
        <w:t xml:space="preserve"> </w:t>
      </w:r>
      <w:r w:rsidR="007B0154" w:rsidRPr="007B0154">
        <w:rPr>
          <w:rFonts w:ascii="Times New Roman" w:hAnsi="Times New Roman" w:cs="Times New Roman"/>
          <w:kern w:val="0"/>
        </w:rPr>
        <w:t>egyszeri 400</w:t>
      </w:r>
      <w:r w:rsidR="00DF18C5">
        <w:rPr>
          <w:rFonts w:ascii="Times New Roman" w:hAnsi="Times New Roman" w:cs="Times New Roman"/>
          <w:kern w:val="0"/>
        </w:rPr>
        <w:t> </w:t>
      </w:r>
      <w:r w:rsidR="007B0154" w:rsidRPr="007B0154">
        <w:rPr>
          <w:rFonts w:ascii="Times New Roman" w:hAnsi="Times New Roman" w:cs="Times New Roman"/>
          <w:kern w:val="0"/>
        </w:rPr>
        <w:t xml:space="preserve">mg-os nilotinib </w:t>
      </w:r>
      <w:r w:rsidR="007B0154" w:rsidRPr="007B0154">
        <w:rPr>
          <w:rFonts w:ascii="Times New Roman" w:eastAsia="TimesNewRomanPSMT" w:hAnsi="Times New Roman" w:cs="Times New Roman"/>
          <w:kern w:val="0"/>
        </w:rPr>
        <w:t xml:space="preserve">adag előtt, illetve </w:t>
      </w:r>
      <w:r w:rsidR="00434083">
        <w:rPr>
          <w:rFonts w:ascii="Times New Roman" w:eastAsia="TimesNewRomanPSMT" w:hAnsi="Times New Roman" w:cs="Times New Roman"/>
          <w:kern w:val="0"/>
        </w:rPr>
        <w:t xml:space="preserve">az </w:t>
      </w:r>
      <w:r w:rsidR="007B0154" w:rsidRPr="007B0154">
        <w:rPr>
          <w:rFonts w:ascii="Times New Roman" w:eastAsia="TimesNewRomanPSMT" w:hAnsi="Times New Roman" w:cs="Times New Roman"/>
          <w:kern w:val="0"/>
        </w:rPr>
        <w:t>után való adása</w:t>
      </w:r>
      <w:r w:rsidR="00434083">
        <w:rPr>
          <w:rFonts w:ascii="Times New Roman" w:eastAsia="TimesNewRomanPSMT" w:hAnsi="Times New Roman" w:cs="Times New Roman"/>
          <w:kern w:val="0"/>
        </w:rPr>
        <w:t xml:space="preserve"> során</w:t>
      </w:r>
      <w:r w:rsidR="007B0154" w:rsidRPr="007B0154">
        <w:rPr>
          <w:rFonts w:ascii="Times New Roman" w:eastAsia="TimesNewRomanPSMT" w:hAnsi="Times New Roman" w:cs="Times New Roman"/>
          <w:kern w:val="0"/>
        </w:rPr>
        <w:t xml:space="preserve"> szintén nem befolyásolta a nilotinib</w:t>
      </w:r>
      <w:r w:rsidR="008F08EB">
        <w:rPr>
          <w:rFonts w:ascii="Times New Roman" w:eastAsia="TimesNewRomanPSMT" w:hAnsi="Times New Roman" w:cs="Times New Roman"/>
          <w:kern w:val="0"/>
        </w:rPr>
        <w:t xml:space="preserve"> </w:t>
      </w:r>
      <w:r w:rsidR="007B0154" w:rsidRPr="007B0154">
        <w:rPr>
          <w:rFonts w:ascii="Times New Roman" w:hAnsi="Times New Roman" w:cs="Times New Roman"/>
          <w:kern w:val="0"/>
        </w:rPr>
        <w:t xml:space="preserve">farmakokinetikáját. Ezért, amennyiben szükséges, egy antacid körülbelül 2 órával a </w:t>
      </w:r>
      <w:r w:rsidR="000931C4">
        <w:rPr>
          <w:rFonts w:ascii="Times New Roman" w:hAnsi="Times New Roman" w:cs="Times New Roman"/>
          <w:kern w:val="0"/>
        </w:rPr>
        <w:t>nilotinib</w:t>
      </w:r>
      <w:r w:rsidR="007B0154" w:rsidRPr="007B0154">
        <w:rPr>
          <w:rFonts w:ascii="Times New Roman" w:hAnsi="Times New Roman" w:cs="Times New Roman"/>
          <w:kern w:val="0"/>
        </w:rPr>
        <w:t xml:space="preserve"> </w:t>
      </w:r>
      <w:r w:rsidR="00DF18C5">
        <w:rPr>
          <w:rFonts w:ascii="Times New Roman" w:hAnsi="Times New Roman" w:cs="Times New Roman"/>
          <w:kern w:val="0"/>
        </w:rPr>
        <w:t>dózis</w:t>
      </w:r>
      <w:r w:rsidR="007B0154" w:rsidRPr="007B0154">
        <w:rPr>
          <w:rFonts w:ascii="Times New Roman" w:hAnsi="Times New Roman" w:cs="Times New Roman"/>
          <w:kern w:val="0"/>
        </w:rPr>
        <w:t>a</w:t>
      </w:r>
      <w:r w:rsidR="008F08EB">
        <w:rPr>
          <w:rFonts w:ascii="Times New Roman" w:hAnsi="Times New Roman" w:cs="Times New Roman"/>
          <w:kern w:val="0"/>
        </w:rPr>
        <w:t xml:space="preserve"> </w:t>
      </w:r>
      <w:r w:rsidR="007B0154" w:rsidRPr="007B0154">
        <w:rPr>
          <w:rFonts w:ascii="Times New Roman" w:eastAsia="TimesNewRomanPSMT" w:hAnsi="Times New Roman" w:cs="Times New Roman"/>
          <w:kern w:val="0"/>
        </w:rPr>
        <w:t>előtt, illetve 2</w:t>
      </w:r>
      <w:r w:rsidR="00DF18C5">
        <w:rPr>
          <w:rFonts w:ascii="Times New Roman" w:eastAsia="TimesNewRomanPSMT" w:hAnsi="Times New Roman" w:cs="Times New Roman"/>
          <w:kern w:val="0"/>
        </w:rPr>
        <w:t> </w:t>
      </w:r>
      <w:r w:rsidR="007B0154" w:rsidRPr="007B0154">
        <w:rPr>
          <w:rFonts w:ascii="Times New Roman" w:hAnsi="Times New Roman" w:cs="Times New Roman"/>
          <w:kern w:val="0"/>
        </w:rPr>
        <w:t>órával az után adható.</w:t>
      </w:r>
    </w:p>
    <w:p w14:paraId="4D3FC45D" w14:textId="77777777" w:rsidR="003C0022" w:rsidRPr="007B0154" w:rsidRDefault="003C0022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4A65AB2" w14:textId="513CD38F" w:rsidR="007B0154" w:rsidRPr="00434083" w:rsidRDefault="00434083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434083">
        <w:rPr>
          <w:rFonts w:ascii="Times New Roman" w:hAnsi="Times New Roman" w:cs="Times New Roman"/>
          <w:kern w:val="0"/>
          <w:u w:val="single"/>
        </w:rPr>
        <w:t>Ható</w:t>
      </w:r>
      <w:r w:rsidR="008951B7">
        <w:rPr>
          <w:rFonts w:ascii="Times New Roman" w:hAnsi="Times New Roman" w:cs="Times New Roman"/>
          <w:kern w:val="0"/>
          <w:u w:val="single"/>
        </w:rPr>
        <w:t>a</w:t>
      </w:r>
      <w:r w:rsidR="007B0154" w:rsidRPr="00434083">
        <w:rPr>
          <w:rFonts w:ascii="Times New Roman" w:hAnsi="Times New Roman" w:cs="Times New Roman"/>
          <w:kern w:val="0"/>
          <w:u w:val="single"/>
        </w:rPr>
        <w:t>nyagok, amelyek</w:t>
      </w:r>
      <w:r w:rsidRPr="008E68D3">
        <w:rPr>
          <w:rFonts w:ascii="Times New Roman" w:hAnsi="Times New Roman" w:cs="Times New Roman"/>
          <w:kern w:val="0"/>
          <w:u w:val="single"/>
        </w:rPr>
        <w:t xml:space="preserve"> </w:t>
      </w:r>
      <w:r w:rsidR="007B0154" w:rsidRPr="00434083">
        <w:rPr>
          <w:rFonts w:ascii="Times New Roman" w:hAnsi="Times New Roman" w:cs="Times New Roman"/>
          <w:kern w:val="0"/>
          <w:u w:val="single"/>
        </w:rPr>
        <w:t>szisztémás koncentrációját</w:t>
      </w:r>
      <w:r w:rsidR="008951B7">
        <w:rPr>
          <w:rFonts w:ascii="Times New Roman" w:hAnsi="Times New Roman" w:cs="Times New Roman"/>
          <w:kern w:val="0"/>
          <w:u w:val="single"/>
        </w:rPr>
        <w:t xml:space="preserve"> a nilotinib módosíthatja</w:t>
      </w:r>
    </w:p>
    <w:p w14:paraId="67B68F8D" w14:textId="77777777" w:rsidR="003C0022" w:rsidRPr="003C0022" w:rsidRDefault="003C0022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362FF0E" w14:textId="1285A40E" w:rsidR="007B015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i/>
          <w:iCs/>
          <w:kern w:val="0"/>
        </w:rPr>
        <w:t xml:space="preserve">In vitro </w:t>
      </w:r>
      <w:r w:rsidRPr="007B0154">
        <w:rPr>
          <w:rFonts w:ascii="Times New Roman" w:hAnsi="Times New Roman" w:cs="Times New Roman"/>
          <w:kern w:val="0"/>
        </w:rPr>
        <w:t>a nilotinib a CYP3A4, CYP2C8, CYP2C9, CYP2D6 és az UGT1A1 enzimek viszony</w:t>
      </w:r>
      <w:r w:rsidRPr="007B0154">
        <w:rPr>
          <w:rFonts w:ascii="Times New Roman" w:eastAsia="TimesNewRomanPSMT" w:hAnsi="Times New Roman" w:cs="Times New Roman"/>
          <w:kern w:val="0"/>
        </w:rPr>
        <w:t>lag erős</w:t>
      </w:r>
      <w:r w:rsidR="006935E3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inhibitora, a Ki érték a CYP2C9 esetében a legalacsonyabb (Ki=0,13 mikroM).</w:t>
      </w:r>
    </w:p>
    <w:p w14:paraId="26FDB72C" w14:textId="77777777" w:rsidR="006935E3" w:rsidRPr="007B0154" w:rsidRDefault="006935E3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FEBAB9C" w14:textId="2F90D1DE" w:rsidR="007B015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kern w:val="0"/>
        </w:rPr>
        <w:t>Egy egyszeri dózisú, gyógyszer-gyógyszer interakciós vizsgálat, melyet egészséges önkénteseken</w:t>
      </w:r>
      <w:r w:rsidR="006935E3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végeztek 25</w:t>
      </w:r>
      <w:r w:rsidR="00795C84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 xml:space="preserve">mg warfarinnal, </w:t>
      </w:r>
      <w:r w:rsidR="00434083">
        <w:rPr>
          <w:rFonts w:ascii="Times New Roman" w:hAnsi="Times New Roman" w:cs="Times New Roman"/>
          <w:kern w:val="0"/>
        </w:rPr>
        <w:t xml:space="preserve">ami </w:t>
      </w:r>
      <w:r w:rsidRPr="007B0154">
        <w:rPr>
          <w:rFonts w:ascii="Times New Roman" w:hAnsi="Times New Roman" w:cs="Times New Roman"/>
          <w:kern w:val="0"/>
        </w:rPr>
        <w:t>egy CYP2C9 szenzitív szubsztrát és 800</w:t>
      </w:r>
      <w:r w:rsidR="00795C84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mg nilotinibbel, semmilyen</w:t>
      </w:r>
      <w:r w:rsidR="006935E3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>változást nem eredményezett a warfarin farmakokinetikai paramétereiben és a protrombin időben (PT)</w:t>
      </w:r>
      <w:r w:rsidR="00CC59E9">
        <w:rPr>
          <w:rFonts w:ascii="Times New Roman" w:eastAsia="TimesNewRomanPSMT" w:hAnsi="Times New Roman" w:cs="Times New Roman"/>
          <w:kern w:val="0"/>
        </w:rPr>
        <w:t>,</w:t>
      </w:r>
      <w:r w:rsidR="006935E3">
        <w:rPr>
          <w:rFonts w:ascii="Times New Roman" w:eastAsia="TimesNewRomanPSMT" w:hAnsi="Times New Roman" w:cs="Times New Roman"/>
          <w:kern w:val="0"/>
        </w:rPr>
        <w:t xml:space="preserve"> </w:t>
      </w:r>
      <w:r w:rsidR="00AD631D">
        <w:rPr>
          <w:rFonts w:ascii="Times New Roman" w:hAnsi="Times New Roman" w:cs="Times New Roman"/>
          <w:kern w:val="0"/>
        </w:rPr>
        <w:t>illetve</w:t>
      </w:r>
      <w:r w:rsidRPr="007B0154">
        <w:rPr>
          <w:rFonts w:ascii="Times New Roman" w:hAnsi="Times New Roman" w:cs="Times New Roman"/>
          <w:kern w:val="0"/>
        </w:rPr>
        <w:t xml:space="preserve"> az INR-ben (nemzetközi normalizált arány) mért farmakodinámiájában. Steady-state adatok nem</w:t>
      </w:r>
      <w:r w:rsidR="006935E3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állnak rendelkezésre. Ez a vizs</w:t>
      </w:r>
      <w:r w:rsidRPr="007B0154">
        <w:rPr>
          <w:rFonts w:ascii="Times New Roman" w:eastAsia="TimesNewRomanPSMT" w:hAnsi="Times New Roman" w:cs="Times New Roman"/>
          <w:kern w:val="0"/>
        </w:rPr>
        <w:t xml:space="preserve">gálat </w:t>
      </w:r>
      <w:r w:rsidR="00434083">
        <w:rPr>
          <w:rFonts w:ascii="Times New Roman" w:eastAsia="TimesNewRomanPSMT" w:hAnsi="Times New Roman" w:cs="Times New Roman"/>
          <w:kern w:val="0"/>
        </w:rPr>
        <w:t>arra utal</w:t>
      </w:r>
      <w:r w:rsidRPr="007B0154">
        <w:rPr>
          <w:rFonts w:ascii="Times New Roman" w:eastAsia="TimesNewRomanPSMT" w:hAnsi="Times New Roman" w:cs="Times New Roman"/>
          <w:kern w:val="0"/>
        </w:rPr>
        <w:t>, hogy klinikai jelentőséggel bíró gyógyszer</w:t>
      </w:r>
      <w:r w:rsidRPr="007B0154">
        <w:rPr>
          <w:rFonts w:ascii="Times New Roman" w:hAnsi="Times New Roman" w:cs="Times New Roman"/>
          <w:kern w:val="0"/>
        </w:rPr>
        <w:t>-gyógyszer</w:t>
      </w:r>
      <w:r w:rsidR="00795C84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interakció a nilotinib és a warfarin között 25</w:t>
      </w:r>
      <w:r w:rsidR="009B4508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eastAsia="TimesNewRomanPSMT" w:hAnsi="Times New Roman" w:cs="Times New Roman"/>
          <w:kern w:val="0"/>
        </w:rPr>
        <w:t>mg warfarin dózisig nagyon valószínűtlen. A steady</w:t>
      </w:r>
      <w:r w:rsidRPr="007B0154">
        <w:rPr>
          <w:rFonts w:ascii="Times New Roman" w:hAnsi="Times New Roman" w:cs="Times New Roman"/>
          <w:kern w:val="0"/>
        </w:rPr>
        <w:t>-state</w:t>
      </w:r>
      <w:r w:rsidR="0045744D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 xml:space="preserve">adatok hiányában a warfarin farmakodinámiás markereinek (INR és PT) ellenőrzése </w:t>
      </w:r>
      <w:r w:rsidRPr="007B0154">
        <w:rPr>
          <w:rFonts w:ascii="Times New Roman" w:hAnsi="Times New Roman" w:cs="Times New Roman"/>
          <w:kern w:val="0"/>
        </w:rPr>
        <w:t>javasolt a</w:t>
      </w:r>
      <w:r w:rsidR="009B4508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nilotinib-</w:t>
      </w:r>
      <w:r w:rsidRPr="007B0154">
        <w:rPr>
          <w:rFonts w:ascii="Times New Roman" w:eastAsia="TimesNewRomanPSMT" w:hAnsi="Times New Roman" w:cs="Times New Roman"/>
          <w:kern w:val="0"/>
        </w:rPr>
        <w:t xml:space="preserve">kezelés megkezdését követően (legalább az első 2 </w:t>
      </w:r>
      <w:r w:rsidRPr="007B0154">
        <w:rPr>
          <w:rFonts w:ascii="Times New Roman" w:hAnsi="Times New Roman" w:cs="Times New Roman"/>
          <w:kern w:val="0"/>
        </w:rPr>
        <w:t>hét során).</w:t>
      </w:r>
    </w:p>
    <w:p w14:paraId="4FC798C7" w14:textId="77777777" w:rsidR="006935E3" w:rsidRPr="007B0154" w:rsidRDefault="006935E3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F816B38" w14:textId="61D00C3C" w:rsidR="007B015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kern w:val="0"/>
        </w:rPr>
        <w:t>A CML-</w:t>
      </w:r>
      <w:r w:rsidRPr="007B0154">
        <w:rPr>
          <w:rFonts w:ascii="Times New Roman" w:eastAsia="TimesNewRomanPSMT" w:hAnsi="Times New Roman" w:cs="Times New Roman"/>
          <w:kern w:val="0"/>
        </w:rPr>
        <w:t>ben szenvedő betegeknél a naponta kétszer 400</w:t>
      </w:r>
      <w:r w:rsidR="009B4508">
        <w:rPr>
          <w:rFonts w:ascii="Times New Roman" w:eastAsia="TimesNewRomanPSMT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mg-os adagban 12 napon át alkalmazott</w:t>
      </w:r>
      <w:r w:rsidR="00C10CAF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nilotinib sorrendben 2,6-szeresére és 2,0-szeresére növelte a szájon át alkalmazott midazolám</w:t>
      </w:r>
      <w:r w:rsidR="00C10CAF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(CYP3A4 szubsztrát) szisztémás expozícióját (AUC és C</w:t>
      </w:r>
      <w:r w:rsidRPr="00C90253">
        <w:rPr>
          <w:rFonts w:ascii="Times New Roman" w:hAnsi="Times New Roman" w:cs="Times New Roman"/>
          <w:kern w:val="0"/>
          <w:vertAlign w:val="subscript"/>
        </w:rPr>
        <w:t>max</w:t>
      </w:r>
      <w:r w:rsidRPr="007B0154">
        <w:rPr>
          <w:rFonts w:ascii="Times New Roman" w:eastAsia="TimesNewRomanPSMT" w:hAnsi="Times New Roman" w:cs="Times New Roman"/>
          <w:kern w:val="0"/>
        </w:rPr>
        <w:t>). A nilotinib a CYP3A4 közepesen erős</w:t>
      </w:r>
      <w:r w:rsidR="00C10CAF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>gátlója. Ennek eredményeként a nilotinibbel egyidejűleg alkalmazva megemelkedhet más olyan</w:t>
      </w:r>
      <w:r w:rsidR="00DA7965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 xml:space="preserve">gyógyszerek szintje, amelyek elsősorban a CYP3A4 izoenzim </w:t>
      </w:r>
      <w:r w:rsidRPr="007B0154">
        <w:rPr>
          <w:rFonts w:ascii="Times New Roman" w:hAnsi="Times New Roman" w:cs="Times New Roman"/>
          <w:kern w:val="0"/>
        </w:rPr>
        <w:t>útján metabolizálódnak (pl. bizonyos</w:t>
      </w:r>
      <w:r w:rsidR="00DA7965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HMG-</w:t>
      </w:r>
      <w:r w:rsidRPr="007B0154">
        <w:rPr>
          <w:rFonts w:ascii="Times New Roman" w:eastAsia="TimesNewRomanPSMT" w:hAnsi="Times New Roman" w:cs="Times New Roman"/>
          <w:kern w:val="0"/>
        </w:rPr>
        <w:t>CoA reduktáz</w:t>
      </w:r>
      <w:r w:rsidR="00CC59E9">
        <w:rPr>
          <w:rFonts w:ascii="Times New Roman" w:eastAsia="TimesNewRomanPSMT" w:hAnsi="Times New Roman" w:cs="Times New Roman"/>
          <w:kern w:val="0"/>
        </w:rPr>
        <w:t>-</w:t>
      </w:r>
      <w:r w:rsidRPr="007B0154">
        <w:rPr>
          <w:rFonts w:ascii="Times New Roman" w:eastAsia="TimesNewRomanPSMT" w:hAnsi="Times New Roman" w:cs="Times New Roman"/>
          <w:kern w:val="0"/>
        </w:rPr>
        <w:t>gátlók). A nilotinibbel való egyidejű alkalmazás esetén megfelelő monitorozás és</w:t>
      </w:r>
      <w:r w:rsidR="001B0FFF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adagmódosítás válhat szükségessé olyan gyógyszerek esetében, amelyek a CYP3A4 szubsztrátjai, és</w:t>
      </w:r>
      <w:r w:rsidR="001B0FFF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eastAsia="TimesNewRomanPSMT" w:hAnsi="Times New Roman" w:cs="Times New Roman"/>
          <w:kern w:val="0"/>
        </w:rPr>
        <w:t>szűk a terápiás indexük (</w:t>
      </w:r>
      <w:r w:rsidRPr="007B0154">
        <w:rPr>
          <w:rFonts w:ascii="Times New Roman" w:hAnsi="Times New Roman" w:cs="Times New Roman"/>
          <w:kern w:val="0"/>
        </w:rPr>
        <w:t>beleértve, de nem kizárólagosan: alfentanil, ciklosporin, dihidroergotamin,</w:t>
      </w:r>
      <w:r w:rsidR="001B0FFF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ergotamin, fentanil, szirolimusz és takrolimusz).</w:t>
      </w:r>
    </w:p>
    <w:p w14:paraId="5ABA2CAA" w14:textId="77777777" w:rsidR="008571E8" w:rsidRPr="007B0154" w:rsidRDefault="008571E8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88D466E" w14:textId="33506A7F" w:rsidR="00AD0275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kern w:val="0"/>
        </w:rPr>
        <w:t xml:space="preserve">A nilotinib olyan sztatinokkal kombinálva, </w:t>
      </w:r>
      <w:r w:rsidRPr="007B0154">
        <w:rPr>
          <w:rFonts w:ascii="Times New Roman" w:eastAsia="TimesNewRomanPSMT" w:hAnsi="Times New Roman" w:cs="Times New Roman"/>
          <w:kern w:val="0"/>
        </w:rPr>
        <w:t>amelyek elsősorban a CYP3A4 útján eliminálódnak</w:t>
      </w:r>
      <w:r w:rsidRPr="007B0154">
        <w:rPr>
          <w:rFonts w:ascii="Times New Roman" w:hAnsi="Times New Roman" w:cs="Times New Roman"/>
          <w:kern w:val="0"/>
        </w:rPr>
        <w:t>,</w:t>
      </w:r>
      <w:r w:rsidR="00A028F8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növelheti a sztatin indukálta myopathia, például a rhabdomyolysis bekövetkezésének kockázatát.</w:t>
      </w:r>
    </w:p>
    <w:p w14:paraId="6D789C3A" w14:textId="77777777" w:rsidR="00AD0275" w:rsidRDefault="00AD0275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7439C95" w14:textId="2F1263D4" w:rsidR="00F14874" w:rsidRPr="00F1487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F14874">
        <w:rPr>
          <w:rFonts w:ascii="Times New Roman" w:hAnsi="Times New Roman" w:cs="Times New Roman"/>
          <w:kern w:val="0"/>
          <w:u w:val="single"/>
        </w:rPr>
        <w:t>Antiarrhythmiás gyógyszerek és más hatóanyagok, amelyek megnyújthatják a QT-intervallumot</w:t>
      </w:r>
    </w:p>
    <w:p w14:paraId="5E95F70B" w14:textId="77777777" w:rsidR="00F14874" w:rsidRDefault="00F1487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568803A" w14:textId="05724ACB" w:rsidR="007B0154" w:rsidRDefault="007B0154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B0154">
        <w:rPr>
          <w:rFonts w:ascii="Times New Roman" w:hAnsi="Times New Roman" w:cs="Times New Roman"/>
          <w:kern w:val="0"/>
        </w:rPr>
        <w:t>A nilotinib óvatosan alkalmazandó olyan betegek esetében, akiknél QT-intervallum megnyúlás áll</w:t>
      </w:r>
      <w:r w:rsidR="00A71371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 xml:space="preserve">fenn vagy alakulhat ki, </w:t>
      </w:r>
      <w:r w:rsidR="00CC59E9">
        <w:rPr>
          <w:rFonts w:ascii="Times New Roman" w:hAnsi="Times New Roman" w:cs="Times New Roman"/>
          <w:kern w:val="0"/>
        </w:rPr>
        <w:t>azokat a betegeket is beleértve</w:t>
      </w:r>
      <w:r w:rsidRPr="007B0154">
        <w:rPr>
          <w:rFonts w:ascii="Times New Roman" w:hAnsi="Times New Roman" w:cs="Times New Roman"/>
          <w:kern w:val="0"/>
        </w:rPr>
        <w:t>, akik antiarrhythmiás gyógyszereket, így amiodaront,</w:t>
      </w:r>
      <w:r w:rsidR="00A71371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dizopiramidot, prokainamidot, kinidint és szotalolt vagy egyéb, esetlegesen QT-</w:t>
      </w:r>
      <w:r w:rsidRPr="007B0154">
        <w:rPr>
          <w:rFonts w:ascii="Times New Roman" w:eastAsia="TimesNewRomanPSMT" w:hAnsi="Times New Roman" w:cs="Times New Roman"/>
          <w:kern w:val="0"/>
        </w:rPr>
        <w:t>megnyúlást előidéző</w:t>
      </w:r>
      <w:r w:rsidR="00A71371">
        <w:rPr>
          <w:rFonts w:ascii="Times New Roman" w:eastAsia="TimesNewRomanPSMT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gyógyszereket szednek, mint amilyen a klorokin, halofantrin, klaritromicin, haloperidol, metadon és</w:t>
      </w:r>
      <w:r w:rsidR="00A71371">
        <w:rPr>
          <w:rFonts w:ascii="Times New Roman" w:hAnsi="Times New Roman" w:cs="Times New Roman"/>
          <w:kern w:val="0"/>
        </w:rPr>
        <w:t xml:space="preserve"> </w:t>
      </w:r>
      <w:r w:rsidRPr="007B0154">
        <w:rPr>
          <w:rFonts w:ascii="Times New Roman" w:hAnsi="Times New Roman" w:cs="Times New Roman"/>
          <w:kern w:val="0"/>
        </w:rPr>
        <w:t>moxifloxacin (lásd 4.4</w:t>
      </w:r>
      <w:r w:rsidR="00A71371">
        <w:rPr>
          <w:rFonts w:ascii="Times New Roman" w:hAnsi="Times New Roman" w:cs="Times New Roman"/>
          <w:kern w:val="0"/>
        </w:rPr>
        <w:t> </w:t>
      </w:r>
      <w:r w:rsidRPr="007B0154">
        <w:rPr>
          <w:rFonts w:ascii="Times New Roman" w:hAnsi="Times New Roman" w:cs="Times New Roman"/>
          <w:kern w:val="0"/>
        </w:rPr>
        <w:t>pont).</w:t>
      </w:r>
    </w:p>
    <w:p w14:paraId="05249BAA" w14:textId="77777777" w:rsidR="0092407D" w:rsidRDefault="0092407D" w:rsidP="007B01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8CAD787" w14:textId="77777777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D0FFE">
        <w:rPr>
          <w:rFonts w:ascii="Times New Roman" w:hAnsi="Times New Roman" w:cs="Times New Roman"/>
          <w:kern w:val="0"/>
          <w:u w:val="single"/>
        </w:rPr>
        <w:t>Ételinterakciók</w:t>
      </w:r>
    </w:p>
    <w:p w14:paraId="6B10C26E" w14:textId="77777777" w:rsidR="00BD0FFE" w:rsidRPr="00BD0FFE" w:rsidRDefault="00BD0FFE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3944B982" w14:textId="0CABFDEE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2407D">
        <w:rPr>
          <w:rFonts w:ascii="Times New Roman" w:hAnsi="Times New Roman" w:cs="Times New Roman"/>
          <w:kern w:val="0"/>
        </w:rPr>
        <w:lastRenderedPageBreak/>
        <w:t xml:space="preserve">A nilotinib </w:t>
      </w:r>
      <w:r w:rsidRPr="0092407D">
        <w:rPr>
          <w:rFonts w:ascii="Times New Roman" w:eastAsia="TimesNewRomanPSMT" w:hAnsi="Times New Roman" w:cs="Times New Roman"/>
          <w:kern w:val="0"/>
        </w:rPr>
        <w:t>felszívódása és biohasznosulása táplálékkal való egyidejű bevétel esetén fokozódik, ami</w:t>
      </w:r>
      <w:r w:rsidR="00BD0FFE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nagyobb szérumkoncentrációt eredményez (lásd 4.2, 4.4 és 5.2</w:t>
      </w:r>
      <w:r w:rsidR="00FC2748">
        <w:rPr>
          <w:rFonts w:ascii="Times New Roman" w:hAnsi="Times New Roman" w:cs="Times New Roman"/>
          <w:kern w:val="0"/>
        </w:rPr>
        <w:t> </w:t>
      </w:r>
      <w:r w:rsidRPr="0092407D">
        <w:rPr>
          <w:rFonts w:ascii="Times New Roman" w:hAnsi="Times New Roman" w:cs="Times New Roman"/>
          <w:kern w:val="0"/>
        </w:rPr>
        <w:t>pont). Kerülni kell a grépfrútlé és más</w:t>
      </w:r>
      <w:r w:rsidR="00BD0FFE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eastAsia="TimesNewRomanPSMT" w:hAnsi="Times New Roman" w:cs="Times New Roman"/>
          <w:kern w:val="0"/>
        </w:rPr>
        <w:t>olyan élelmiszerek fogyasztását, amelyekről ismert, hogy gátolják a CYP3A4 enzimet.</w:t>
      </w:r>
    </w:p>
    <w:p w14:paraId="3CE94CC0" w14:textId="77777777" w:rsidR="00BD0FFE" w:rsidRPr="0092407D" w:rsidRDefault="00BD0FFE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1C8D76F6" w14:textId="77777777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  <w:r w:rsidRPr="0042452B">
        <w:rPr>
          <w:rFonts w:ascii="Times New Roman" w:hAnsi="Times New Roman" w:cs="Times New Roman"/>
          <w:kern w:val="0"/>
          <w:u w:val="single"/>
        </w:rPr>
        <w:t xml:space="preserve">Gyermekek </w:t>
      </w:r>
      <w:r w:rsidRPr="0042452B">
        <w:rPr>
          <w:rFonts w:ascii="Times New Roman" w:eastAsia="TimesNewRomanPSMT" w:hAnsi="Times New Roman" w:cs="Times New Roman"/>
          <w:kern w:val="0"/>
          <w:u w:val="single"/>
        </w:rPr>
        <w:t>és serdülők</w:t>
      </w:r>
    </w:p>
    <w:p w14:paraId="6B00B7E8" w14:textId="77777777" w:rsidR="0042452B" w:rsidRPr="0042452B" w:rsidRDefault="0042452B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</w:p>
    <w:p w14:paraId="7A1980D3" w14:textId="77777777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2407D">
        <w:rPr>
          <w:rFonts w:ascii="Times New Roman" w:eastAsia="TimesNewRomanPSMT" w:hAnsi="Times New Roman" w:cs="Times New Roman"/>
          <w:kern w:val="0"/>
        </w:rPr>
        <w:t>Interakciós vizsgálatokat csak felnőttek körében végeztek.</w:t>
      </w:r>
    </w:p>
    <w:p w14:paraId="62EAE92E" w14:textId="77777777" w:rsidR="0092407D" w:rsidRP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3F70071A" w14:textId="453A8F46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92407D">
        <w:rPr>
          <w:rFonts w:ascii="Times New Roman" w:hAnsi="Times New Roman" w:cs="Times New Roman"/>
          <w:b/>
          <w:bCs/>
          <w:kern w:val="0"/>
        </w:rPr>
        <w:t>4.6</w:t>
      </w:r>
      <w:r w:rsidR="00FC2748">
        <w:rPr>
          <w:rFonts w:ascii="Times New Roman" w:hAnsi="Times New Roman" w:cs="Times New Roman"/>
          <w:b/>
          <w:bCs/>
          <w:kern w:val="0"/>
        </w:rPr>
        <w:tab/>
      </w:r>
      <w:r w:rsidRPr="0092407D">
        <w:rPr>
          <w:rFonts w:ascii="Times New Roman" w:hAnsi="Times New Roman" w:cs="Times New Roman"/>
          <w:b/>
          <w:bCs/>
          <w:kern w:val="0"/>
        </w:rPr>
        <w:t>Termékenység, terhesség és szoptatás</w:t>
      </w:r>
    </w:p>
    <w:p w14:paraId="042FAA9D" w14:textId="77777777" w:rsidR="00E463C9" w:rsidRPr="0092407D" w:rsidRDefault="00E463C9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47CD5260" w14:textId="3D393F12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E463C9">
        <w:rPr>
          <w:rFonts w:ascii="Times New Roman" w:eastAsia="TimesNewRomanPSMT" w:hAnsi="Times New Roman" w:cs="Times New Roman"/>
          <w:kern w:val="0"/>
          <w:u w:val="single"/>
        </w:rPr>
        <w:t>Fogamzóképes nők</w:t>
      </w:r>
      <w:r w:rsidRPr="00E463C9">
        <w:rPr>
          <w:rFonts w:ascii="Times New Roman" w:hAnsi="Times New Roman" w:cs="Times New Roman"/>
          <w:kern w:val="0"/>
          <w:u w:val="single"/>
        </w:rPr>
        <w:t>/</w:t>
      </w:r>
      <w:r w:rsidR="00CC59E9">
        <w:rPr>
          <w:rFonts w:ascii="Times New Roman" w:hAnsi="Times New Roman" w:cs="Times New Roman"/>
          <w:kern w:val="0"/>
          <w:u w:val="single"/>
        </w:rPr>
        <w:t>f</w:t>
      </w:r>
      <w:r w:rsidRPr="00E463C9">
        <w:rPr>
          <w:rFonts w:ascii="Times New Roman" w:hAnsi="Times New Roman" w:cs="Times New Roman"/>
          <w:kern w:val="0"/>
          <w:u w:val="single"/>
        </w:rPr>
        <w:t>ogamzásgátlás</w:t>
      </w:r>
    </w:p>
    <w:p w14:paraId="2A4F42AF" w14:textId="77777777" w:rsidR="00E463C9" w:rsidRPr="008E68D3" w:rsidRDefault="00E463C9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505F3FB" w14:textId="135B00CB" w:rsidR="00E90CDB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2407D">
        <w:rPr>
          <w:rFonts w:ascii="Times New Roman" w:eastAsia="TimesNewRomanPSMT" w:hAnsi="Times New Roman" w:cs="Times New Roman"/>
          <w:kern w:val="0"/>
        </w:rPr>
        <w:t xml:space="preserve">Fogamzóképes korban lévő nőknek </w:t>
      </w:r>
      <w:r w:rsidR="00A77F23" w:rsidRPr="008E68D3">
        <w:rPr>
          <w:rFonts w:ascii="Times New Roman" w:eastAsia="TimesNewRomanPSMT" w:hAnsi="Times New Roman" w:cs="Times New Roman"/>
          <w:kern w:val="0"/>
        </w:rPr>
        <w:t xml:space="preserve">magas hatékonyságú </w:t>
      </w:r>
      <w:r w:rsidRPr="0092407D">
        <w:rPr>
          <w:rFonts w:ascii="Times New Roman" w:eastAsia="TimesNewRomanPSMT" w:hAnsi="Times New Roman" w:cs="Times New Roman"/>
          <w:kern w:val="0"/>
        </w:rPr>
        <w:t>fogamzásgátlást kell alkalmazniuk a</w:t>
      </w:r>
      <w:r w:rsidR="00E90CDB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nilotinib-</w:t>
      </w:r>
      <w:r w:rsidRPr="0092407D">
        <w:rPr>
          <w:rFonts w:ascii="Times New Roman" w:eastAsia="TimesNewRomanPSMT" w:hAnsi="Times New Roman" w:cs="Times New Roman"/>
          <w:kern w:val="0"/>
        </w:rPr>
        <w:t>kezelés alatt, és a kezelést követően még két hétig.</w:t>
      </w:r>
      <w:r w:rsidR="00E90CDB">
        <w:rPr>
          <w:rFonts w:ascii="Times New Roman" w:eastAsia="TimesNewRomanPSMT" w:hAnsi="Times New Roman" w:cs="Times New Roman"/>
          <w:kern w:val="0"/>
        </w:rPr>
        <w:t xml:space="preserve"> </w:t>
      </w:r>
    </w:p>
    <w:p w14:paraId="12E83254" w14:textId="77777777" w:rsidR="00E90CDB" w:rsidRDefault="00E90CDB" w:rsidP="0092407D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9958CED" w14:textId="006DE49E" w:rsidR="0092407D" w:rsidRDefault="0092407D" w:rsidP="00E90CDB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E90CDB">
        <w:rPr>
          <w:rFonts w:ascii="Times New Roman" w:hAnsi="Times New Roman" w:cs="Times New Roman"/>
          <w:kern w:val="0"/>
          <w:u w:val="single"/>
        </w:rPr>
        <w:t>Terhesség</w:t>
      </w:r>
    </w:p>
    <w:p w14:paraId="563DDC6D" w14:textId="77777777" w:rsidR="006E2A90" w:rsidRPr="00E90CDB" w:rsidRDefault="006E2A90" w:rsidP="00E90CDB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3E660680" w14:textId="7E6741C4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407D">
        <w:rPr>
          <w:rFonts w:ascii="Times New Roman" w:eastAsia="TimesNewRomanPSMT" w:hAnsi="Times New Roman" w:cs="Times New Roman"/>
          <w:kern w:val="0"/>
        </w:rPr>
        <w:t xml:space="preserve">A nilotinib terhes nőknél történő </w:t>
      </w:r>
      <w:r w:rsidR="00705C32" w:rsidRPr="00705C32">
        <w:rPr>
          <w:rFonts w:ascii="Times New Roman" w:eastAsia="TimesNewRomanPSMT" w:hAnsi="Times New Roman" w:cs="Times New Roman"/>
          <w:kern w:val="0"/>
        </w:rPr>
        <w:t>alkalmazásáról nincsenek adatok, vagy</w:t>
      </w:r>
      <w:r w:rsidR="00705C32" w:rsidRPr="00705C32" w:rsidDel="00705C32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eastAsia="TimesNewRomanPSMT" w:hAnsi="Times New Roman" w:cs="Times New Roman"/>
          <w:kern w:val="0"/>
        </w:rPr>
        <w:t>korlátozott mennyiségű információ áll rendelkezésre</w:t>
      </w:r>
      <w:r w:rsidRPr="0092407D">
        <w:rPr>
          <w:rFonts w:ascii="Times New Roman" w:hAnsi="Times New Roman" w:cs="Times New Roman"/>
          <w:kern w:val="0"/>
        </w:rPr>
        <w:t>. Állatkísérletek során reproduktív toxicitást</w:t>
      </w:r>
      <w:r w:rsidR="00E837CC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igazoltak (lásd 5.3</w:t>
      </w:r>
      <w:r w:rsidR="00EB759E">
        <w:rPr>
          <w:rFonts w:ascii="Times New Roman" w:hAnsi="Times New Roman" w:cs="Times New Roman"/>
          <w:kern w:val="0"/>
        </w:rPr>
        <w:t> </w:t>
      </w:r>
      <w:r w:rsidRPr="0092407D">
        <w:rPr>
          <w:rFonts w:ascii="Times New Roman" w:hAnsi="Times New Roman" w:cs="Times New Roman"/>
          <w:kern w:val="0"/>
        </w:rPr>
        <w:t xml:space="preserve">pont). A </w:t>
      </w:r>
      <w:r w:rsidR="00E837CC">
        <w:rPr>
          <w:rFonts w:ascii="Times New Roman" w:hAnsi="Times New Roman" w:cs="Times New Roman"/>
          <w:kern w:val="0"/>
        </w:rPr>
        <w:t>nilotinibe</w:t>
      </w:r>
      <w:r w:rsidRPr="0092407D">
        <w:rPr>
          <w:rFonts w:ascii="Times New Roman" w:hAnsi="Times New Roman" w:cs="Times New Roman"/>
          <w:kern w:val="0"/>
        </w:rPr>
        <w:t>t a terhesség ideje alatt nem szabad alkalmazni, csak akkor, ha a</w:t>
      </w:r>
      <w:r w:rsidR="00E837CC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eastAsia="TimesNewRomanPSMT" w:hAnsi="Times New Roman" w:cs="Times New Roman"/>
          <w:kern w:val="0"/>
        </w:rPr>
        <w:t>nő klinikai állapota szükségessé teszi a nilotinibbel történő kezelést. Amennyiben sor kerül a terhesség</w:t>
      </w:r>
      <w:r w:rsidR="00E837CC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alatti alkalmazására, a beteget tájékoztatni kell a magzatra gyakorolt potenciális kockázatról.</w:t>
      </w:r>
    </w:p>
    <w:p w14:paraId="7529AE6F" w14:textId="77777777" w:rsidR="00E837CC" w:rsidRPr="0092407D" w:rsidRDefault="00E837CC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EB08FCB" w14:textId="45A972E4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407D">
        <w:rPr>
          <w:rFonts w:ascii="Times New Roman" w:eastAsia="TimesNewRomanPSMT" w:hAnsi="Times New Roman" w:cs="Times New Roman"/>
          <w:kern w:val="0"/>
        </w:rPr>
        <w:t>Amennyiben a nilot</w:t>
      </w:r>
      <w:r w:rsidR="00BE43D8">
        <w:rPr>
          <w:rFonts w:ascii="Times New Roman" w:eastAsia="TimesNewRomanPSMT" w:hAnsi="Times New Roman" w:cs="Times New Roman"/>
          <w:kern w:val="0"/>
        </w:rPr>
        <w:t>i</w:t>
      </w:r>
      <w:r w:rsidRPr="0092407D">
        <w:rPr>
          <w:rFonts w:ascii="Times New Roman" w:eastAsia="TimesNewRomanPSMT" w:hAnsi="Times New Roman" w:cs="Times New Roman"/>
          <w:kern w:val="0"/>
        </w:rPr>
        <w:t>nibb</w:t>
      </w:r>
      <w:r w:rsidR="00BE43D8">
        <w:rPr>
          <w:rFonts w:ascii="Times New Roman" w:eastAsia="TimesNewRomanPSMT" w:hAnsi="Times New Roman" w:cs="Times New Roman"/>
          <w:kern w:val="0"/>
        </w:rPr>
        <w:t>e</w:t>
      </w:r>
      <w:r w:rsidRPr="0092407D">
        <w:rPr>
          <w:rFonts w:ascii="Times New Roman" w:eastAsia="TimesNewRomanPSMT" w:hAnsi="Times New Roman" w:cs="Times New Roman"/>
          <w:kern w:val="0"/>
        </w:rPr>
        <w:t>l kezelt nő terhességet tervez, fonto</w:t>
      </w:r>
      <w:r w:rsidRPr="0092407D">
        <w:rPr>
          <w:rFonts w:ascii="Times New Roman" w:hAnsi="Times New Roman" w:cs="Times New Roman"/>
          <w:kern w:val="0"/>
        </w:rPr>
        <w:t>lóra kell venni a kezelés felfüggesztését,</w:t>
      </w:r>
      <w:r w:rsidR="006E2A90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a 4.2 és 4.4 pontokban leírt, a kezelés abbahagyására való alkalmasság kritériumai szerint. A</w:t>
      </w:r>
      <w:r w:rsidR="006E2A90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 xml:space="preserve">kezelésmentes remisszió (treatment-free remission </w:t>
      </w:r>
      <w:r w:rsidRPr="0092407D">
        <w:rPr>
          <w:rFonts w:ascii="Times New Roman" w:eastAsia="TimesNewRomanPSMT" w:hAnsi="Times New Roman" w:cs="Times New Roman"/>
          <w:kern w:val="0"/>
        </w:rPr>
        <w:t xml:space="preserve">– </w:t>
      </w:r>
      <w:r w:rsidRPr="0092407D">
        <w:rPr>
          <w:rFonts w:ascii="Times New Roman" w:hAnsi="Times New Roman" w:cs="Times New Roman"/>
          <w:kern w:val="0"/>
        </w:rPr>
        <w:t xml:space="preserve">TFR) </w:t>
      </w:r>
      <w:r w:rsidRPr="0092407D">
        <w:rPr>
          <w:rFonts w:ascii="Times New Roman" w:eastAsia="TimesNewRomanPSMT" w:hAnsi="Times New Roman" w:cs="Times New Roman"/>
          <w:kern w:val="0"/>
        </w:rPr>
        <w:t>alatti terhességről korlátozott mennyiségű</w:t>
      </w:r>
      <w:r w:rsidR="006E2A90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 xml:space="preserve">adat áll rendelkezésre. Amennyiben </w:t>
      </w:r>
      <w:r w:rsidR="00A77F23">
        <w:rPr>
          <w:rFonts w:ascii="Times New Roman" w:hAnsi="Times New Roman" w:cs="Times New Roman"/>
          <w:kern w:val="0"/>
        </w:rPr>
        <w:t>a beteg a</w:t>
      </w:r>
      <w:r w:rsidR="004A3753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TF</w:t>
      </w:r>
      <w:r w:rsidR="00CC32B9">
        <w:rPr>
          <w:rFonts w:ascii="Times New Roman" w:hAnsi="Times New Roman" w:cs="Times New Roman"/>
          <w:kern w:val="0"/>
        </w:rPr>
        <w:t>R</w:t>
      </w:r>
      <w:r w:rsidRPr="0092407D">
        <w:rPr>
          <w:rFonts w:ascii="Times New Roman" w:hAnsi="Times New Roman" w:cs="Times New Roman"/>
          <w:kern w:val="0"/>
        </w:rPr>
        <w:t xml:space="preserve">-fázis alatt </w:t>
      </w:r>
      <w:r w:rsidR="00A77F23" w:rsidRPr="0092407D">
        <w:rPr>
          <w:rFonts w:ascii="Times New Roman" w:hAnsi="Times New Roman" w:cs="Times New Roman"/>
          <w:kern w:val="0"/>
        </w:rPr>
        <w:t xml:space="preserve">tervez </w:t>
      </w:r>
      <w:r w:rsidRPr="0092407D">
        <w:rPr>
          <w:rFonts w:ascii="Times New Roman" w:hAnsi="Times New Roman" w:cs="Times New Roman"/>
          <w:kern w:val="0"/>
        </w:rPr>
        <w:t>terhességet, tájékoztatni kell a</w:t>
      </w:r>
      <w:r w:rsidR="006E2A90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nilotinib-</w:t>
      </w:r>
      <w:r w:rsidRPr="0092407D">
        <w:rPr>
          <w:rFonts w:ascii="Times New Roman" w:eastAsia="TimesNewRomanPSMT" w:hAnsi="Times New Roman" w:cs="Times New Roman"/>
          <w:kern w:val="0"/>
        </w:rPr>
        <w:t>kezelés terhesség alatti újrakezdésének lehetőségéről (lásd 4.2 és 4.4</w:t>
      </w:r>
      <w:r w:rsidR="00C43641">
        <w:rPr>
          <w:rFonts w:ascii="Times New Roman" w:eastAsia="TimesNewRomanPSMT" w:hAnsi="Times New Roman" w:cs="Times New Roman"/>
          <w:kern w:val="0"/>
        </w:rPr>
        <w:t> </w:t>
      </w:r>
      <w:r w:rsidRPr="0092407D">
        <w:rPr>
          <w:rFonts w:ascii="Times New Roman" w:hAnsi="Times New Roman" w:cs="Times New Roman"/>
          <w:kern w:val="0"/>
        </w:rPr>
        <w:t>pont).</w:t>
      </w:r>
    </w:p>
    <w:p w14:paraId="1515EDC6" w14:textId="77777777" w:rsidR="006E2A90" w:rsidRPr="0092407D" w:rsidRDefault="006E2A90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68959DA" w14:textId="77777777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6E2A90">
        <w:rPr>
          <w:rFonts w:ascii="Times New Roman" w:hAnsi="Times New Roman" w:cs="Times New Roman"/>
          <w:kern w:val="0"/>
          <w:u w:val="single"/>
        </w:rPr>
        <w:t>Szoptatás</w:t>
      </w:r>
    </w:p>
    <w:p w14:paraId="4F992258" w14:textId="77777777" w:rsidR="006E2A90" w:rsidRPr="006E2A90" w:rsidRDefault="006E2A90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6C277302" w14:textId="10A97005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407D">
        <w:rPr>
          <w:rFonts w:ascii="Times New Roman" w:hAnsi="Times New Roman" w:cs="Times New Roman"/>
          <w:kern w:val="0"/>
        </w:rPr>
        <w:t>Nem ismert, hogy a nilotinib kiválasztódik-e a humán anyatejbe. A rendelkezésre álló, állatkísérletek</w:t>
      </w:r>
      <w:r w:rsidR="00737E0F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során nyert toxikológiai adatok a nilotinib kiválasztódását igazolták az anyatejbe (lásd 5.3</w:t>
      </w:r>
      <w:r w:rsidR="00B201FD">
        <w:rPr>
          <w:rFonts w:ascii="Times New Roman" w:hAnsi="Times New Roman" w:cs="Times New Roman"/>
          <w:kern w:val="0"/>
        </w:rPr>
        <w:t> </w:t>
      </w:r>
      <w:r w:rsidRPr="0092407D">
        <w:rPr>
          <w:rFonts w:ascii="Times New Roman" w:hAnsi="Times New Roman" w:cs="Times New Roman"/>
          <w:kern w:val="0"/>
        </w:rPr>
        <w:t>pont).</w:t>
      </w:r>
      <w:r w:rsidR="00737E0F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Mivel a</w:t>
      </w:r>
      <w:r w:rsidRPr="0092407D">
        <w:rPr>
          <w:rFonts w:ascii="Times New Roman" w:eastAsia="TimesNewRomanPSMT" w:hAnsi="Times New Roman" w:cs="Times New Roman"/>
          <w:kern w:val="0"/>
        </w:rPr>
        <w:t xml:space="preserve">z újszülötteket/csecsemőket érintő kockázat nem zárható </w:t>
      </w:r>
      <w:r w:rsidRPr="0092407D">
        <w:rPr>
          <w:rFonts w:ascii="Times New Roman" w:hAnsi="Times New Roman" w:cs="Times New Roman"/>
          <w:kern w:val="0"/>
        </w:rPr>
        <w:t xml:space="preserve">ki, </w:t>
      </w:r>
      <w:r w:rsidR="00A77F23" w:rsidRPr="0092407D">
        <w:rPr>
          <w:rFonts w:ascii="Times New Roman" w:eastAsia="TimesNewRomanPSMT" w:hAnsi="Times New Roman" w:cs="Times New Roman"/>
          <w:kern w:val="0"/>
        </w:rPr>
        <w:t xml:space="preserve">a nők </w:t>
      </w:r>
      <w:r w:rsidRPr="0092407D">
        <w:rPr>
          <w:rFonts w:ascii="Times New Roman" w:hAnsi="Times New Roman" w:cs="Times New Roman"/>
          <w:kern w:val="0"/>
        </w:rPr>
        <w:t xml:space="preserve">a </w:t>
      </w:r>
      <w:r w:rsidR="00737E0F">
        <w:rPr>
          <w:rFonts w:ascii="Times New Roman" w:hAnsi="Times New Roman" w:cs="Times New Roman"/>
          <w:kern w:val="0"/>
        </w:rPr>
        <w:t>nilotinib</w:t>
      </w:r>
      <w:r w:rsidRPr="0092407D">
        <w:rPr>
          <w:rFonts w:ascii="Times New Roman" w:hAnsi="Times New Roman" w:cs="Times New Roman"/>
          <w:kern w:val="0"/>
        </w:rPr>
        <w:t>-kezelés alatt és az</w:t>
      </w:r>
      <w:r w:rsidR="00737E0F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eastAsia="TimesNewRomanPSMT" w:hAnsi="Times New Roman" w:cs="Times New Roman"/>
          <w:kern w:val="0"/>
        </w:rPr>
        <w:t>utolsó adagot követő további 2</w:t>
      </w:r>
      <w:r w:rsidR="00737E0F">
        <w:rPr>
          <w:rFonts w:ascii="Times New Roman" w:eastAsia="TimesNewRomanPSMT" w:hAnsi="Times New Roman" w:cs="Times New Roman"/>
          <w:kern w:val="0"/>
        </w:rPr>
        <w:t> </w:t>
      </w:r>
      <w:r w:rsidRPr="0092407D">
        <w:rPr>
          <w:rFonts w:ascii="Times New Roman" w:eastAsia="TimesNewRomanPSMT" w:hAnsi="Times New Roman" w:cs="Times New Roman"/>
          <w:kern w:val="0"/>
        </w:rPr>
        <w:t>hétig nem szoptathatnak</w:t>
      </w:r>
      <w:r w:rsidRPr="0092407D">
        <w:rPr>
          <w:rFonts w:ascii="Times New Roman" w:hAnsi="Times New Roman" w:cs="Times New Roman"/>
          <w:kern w:val="0"/>
        </w:rPr>
        <w:t>.</w:t>
      </w:r>
    </w:p>
    <w:p w14:paraId="3EE19DCE" w14:textId="77777777" w:rsidR="00737E0F" w:rsidRPr="0092407D" w:rsidRDefault="00737E0F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074155A" w14:textId="77777777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737E0F">
        <w:rPr>
          <w:rFonts w:ascii="Times New Roman" w:hAnsi="Times New Roman" w:cs="Times New Roman"/>
          <w:kern w:val="0"/>
          <w:u w:val="single"/>
        </w:rPr>
        <w:t>Termékenység</w:t>
      </w:r>
    </w:p>
    <w:p w14:paraId="5A86D2EE" w14:textId="77777777" w:rsidR="00B201FD" w:rsidRPr="00737E0F" w:rsidRDefault="00B201F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57808467" w14:textId="2B19222B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407D">
        <w:rPr>
          <w:rFonts w:ascii="Times New Roman" w:eastAsia="TimesNewRomanPSMT" w:hAnsi="Times New Roman" w:cs="Times New Roman"/>
          <w:kern w:val="0"/>
        </w:rPr>
        <w:t xml:space="preserve">Hím és nőstény patkányokon végzett állatkísérletek </w:t>
      </w:r>
      <w:r w:rsidR="00A77F23" w:rsidRPr="0092407D">
        <w:rPr>
          <w:rFonts w:ascii="Times New Roman" w:eastAsia="TimesNewRomanPSMT" w:hAnsi="Times New Roman" w:cs="Times New Roman"/>
          <w:kern w:val="0"/>
        </w:rPr>
        <w:t xml:space="preserve">nem mutattak </w:t>
      </w:r>
      <w:r w:rsidRPr="0092407D">
        <w:rPr>
          <w:rFonts w:ascii="Times New Roman" w:eastAsia="TimesNewRomanPSMT" w:hAnsi="Times New Roman" w:cs="Times New Roman"/>
          <w:kern w:val="0"/>
        </w:rPr>
        <w:t xml:space="preserve">a termékenységre kifejtett hatást </w:t>
      </w:r>
      <w:r w:rsidRPr="0092407D">
        <w:rPr>
          <w:rFonts w:ascii="Times New Roman" w:hAnsi="Times New Roman" w:cs="Times New Roman"/>
          <w:kern w:val="0"/>
        </w:rPr>
        <w:t>(lásd 5.3</w:t>
      </w:r>
      <w:r w:rsidR="00737E0F">
        <w:rPr>
          <w:rFonts w:ascii="Times New Roman" w:hAnsi="Times New Roman" w:cs="Times New Roman"/>
          <w:kern w:val="0"/>
        </w:rPr>
        <w:t> </w:t>
      </w:r>
      <w:r w:rsidRPr="0092407D">
        <w:rPr>
          <w:rFonts w:ascii="Times New Roman" w:hAnsi="Times New Roman" w:cs="Times New Roman"/>
          <w:kern w:val="0"/>
        </w:rPr>
        <w:t>pont).</w:t>
      </w:r>
    </w:p>
    <w:p w14:paraId="3B023CBF" w14:textId="77777777" w:rsidR="006E2A90" w:rsidRPr="0092407D" w:rsidRDefault="006E2A90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86456E1" w14:textId="5C60DF53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92407D">
        <w:rPr>
          <w:rFonts w:ascii="Times New Roman" w:hAnsi="Times New Roman" w:cs="Times New Roman"/>
          <w:b/>
          <w:bCs/>
          <w:kern w:val="0"/>
        </w:rPr>
        <w:t>4.7</w:t>
      </w:r>
      <w:r w:rsidR="006E2A90">
        <w:rPr>
          <w:rFonts w:ascii="Times New Roman" w:hAnsi="Times New Roman" w:cs="Times New Roman"/>
          <w:b/>
          <w:bCs/>
          <w:kern w:val="0"/>
        </w:rPr>
        <w:tab/>
      </w:r>
      <w:r w:rsidRPr="0092407D">
        <w:rPr>
          <w:rFonts w:ascii="Times New Roman" w:eastAsia="TimesNewRomanPS-BoldMT" w:hAnsi="Times New Roman" w:cs="Times New Roman"/>
          <w:b/>
          <w:bCs/>
          <w:kern w:val="0"/>
        </w:rPr>
        <w:t>A készítmény hatásai a gépjárművezetéshez és a gépek kez</w:t>
      </w:r>
      <w:r w:rsidRPr="0092407D">
        <w:rPr>
          <w:rFonts w:ascii="Times New Roman" w:hAnsi="Times New Roman" w:cs="Times New Roman"/>
          <w:b/>
          <w:bCs/>
          <w:kern w:val="0"/>
        </w:rPr>
        <w:t>eléséhez szükséges képességekre</w:t>
      </w:r>
    </w:p>
    <w:p w14:paraId="0216C7FA" w14:textId="77777777" w:rsidR="00146AD2" w:rsidRPr="0092407D" w:rsidRDefault="00146AD2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7E01AB1" w14:textId="5AB0816D" w:rsidR="0092407D" w:rsidRDefault="0092407D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92407D">
        <w:rPr>
          <w:rFonts w:ascii="Times New Roman" w:hAnsi="Times New Roman" w:cs="Times New Roman"/>
          <w:kern w:val="0"/>
        </w:rPr>
        <w:t xml:space="preserve">A </w:t>
      </w:r>
      <w:r w:rsidR="00DE7C90">
        <w:rPr>
          <w:rFonts w:ascii="Times New Roman" w:hAnsi="Times New Roman" w:cs="Times New Roman"/>
          <w:kern w:val="0"/>
        </w:rPr>
        <w:t>Krufton</w:t>
      </w:r>
      <w:r w:rsidRPr="0092407D">
        <w:rPr>
          <w:rFonts w:ascii="Times New Roman" w:hAnsi="Times New Roman" w:cs="Times New Roman"/>
          <w:kern w:val="0"/>
        </w:rPr>
        <w:t xml:space="preserve"> nem, vagy csak elhanyagolható mértékben befolyásolja a </w:t>
      </w:r>
      <w:r w:rsidRPr="0092407D">
        <w:rPr>
          <w:rFonts w:ascii="Times New Roman" w:eastAsia="TimesNewRomanPSMT" w:hAnsi="Times New Roman" w:cs="Times New Roman"/>
          <w:kern w:val="0"/>
        </w:rPr>
        <w:t>gépjárművezetéshez és a gépek</w:t>
      </w:r>
      <w:r w:rsidR="00146AD2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kezeléséhez szükséges képességeket. Azonban ajánlott, hogy a szédülést, kimerültséget,</w:t>
      </w:r>
      <w:r w:rsidR="00146AD2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eastAsia="TimesNewRomanPSMT" w:hAnsi="Times New Roman" w:cs="Times New Roman"/>
          <w:kern w:val="0"/>
        </w:rPr>
        <w:t>látáskárosodást vagy egyéb, a biztonságos gépjárművezetéshez és a gépek biztonságos kezeléséhez</w:t>
      </w:r>
      <w:r w:rsidR="00146AD2">
        <w:rPr>
          <w:rFonts w:ascii="Times New Roman" w:eastAsia="TimesNewRomanPSMT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szükséges képességeket potenciálisan befolyásoló nemkívánatos hatásokat tapasztaló betegek</w:t>
      </w:r>
      <w:r w:rsidR="00146AD2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 xml:space="preserve">tartózkodjanak </w:t>
      </w:r>
      <w:r w:rsidRPr="0092407D">
        <w:rPr>
          <w:rFonts w:ascii="Times New Roman" w:eastAsia="TimesNewRomanPSMT" w:hAnsi="Times New Roman" w:cs="Times New Roman"/>
          <w:kern w:val="0"/>
        </w:rPr>
        <w:t>ezen tevékenységektől minda</w:t>
      </w:r>
      <w:r w:rsidRPr="0092407D">
        <w:rPr>
          <w:rFonts w:ascii="Times New Roman" w:hAnsi="Times New Roman" w:cs="Times New Roman"/>
          <w:kern w:val="0"/>
        </w:rPr>
        <w:t>ddig, amíg a nemkívánatos hatások fennállnak (lásd</w:t>
      </w:r>
      <w:r w:rsidR="00146AD2">
        <w:rPr>
          <w:rFonts w:ascii="Times New Roman" w:hAnsi="Times New Roman" w:cs="Times New Roman"/>
          <w:kern w:val="0"/>
        </w:rPr>
        <w:t xml:space="preserve"> </w:t>
      </w:r>
      <w:r w:rsidRPr="0092407D">
        <w:rPr>
          <w:rFonts w:ascii="Times New Roman" w:hAnsi="Times New Roman" w:cs="Times New Roman"/>
          <w:kern w:val="0"/>
        </w:rPr>
        <w:t>4.8</w:t>
      </w:r>
      <w:r w:rsidR="00146AD2">
        <w:rPr>
          <w:rFonts w:ascii="Times New Roman" w:hAnsi="Times New Roman" w:cs="Times New Roman"/>
          <w:kern w:val="0"/>
        </w:rPr>
        <w:t> </w:t>
      </w:r>
      <w:r w:rsidRPr="0092407D">
        <w:rPr>
          <w:rFonts w:ascii="Times New Roman" w:hAnsi="Times New Roman" w:cs="Times New Roman"/>
          <w:kern w:val="0"/>
        </w:rPr>
        <w:t>pont).</w:t>
      </w:r>
    </w:p>
    <w:p w14:paraId="7D464E0D" w14:textId="77777777" w:rsidR="00A960F4" w:rsidRDefault="00A960F4" w:rsidP="009240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E8253FB" w14:textId="1B748658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960F4">
        <w:rPr>
          <w:rFonts w:ascii="Times New Roman" w:hAnsi="Times New Roman" w:cs="Times New Roman"/>
          <w:b/>
          <w:bCs/>
          <w:kern w:val="0"/>
        </w:rPr>
        <w:t>4.8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A960F4">
        <w:rPr>
          <w:rFonts w:ascii="Times New Roman" w:hAnsi="Times New Roman" w:cs="Times New Roman"/>
          <w:b/>
          <w:bCs/>
          <w:kern w:val="0"/>
        </w:rPr>
        <w:t>Nemkívánatos hatások, mellékhatások</w:t>
      </w:r>
    </w:p>
    <w:p w14:paraId="5CD31ADE" w14:textId="77777777" w:rsidR="00A960F4" w:rsidRP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8DC85D2" w14:textId="77777777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A960F4">
        <w:rPr>
          <w:rFonts w:ascii="Times New Roman" w:hAnsi="Times New Roman" w:cs="Times New Roman"/>
          <w:kern w:val="0"/>
          <w:u w:val="single"/>
        </w:rPr>
        <w:t>A biztonságossági profil összefoglalása</w:t>
      </w:r>
    </w:p>
    <w:p w14:paraId="75823A5D" w14:textId="77777777" w:rsidR="00A960F4" w:rsidRP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60E68050" w14:textId="46411E88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960F4">
        <w:rPr>
          <w:rFonts w:ascii="Times New Roman" w:hAnsi="Times New Roman" w:cs="Times New Roman"/>
          <w:kern w:val="0"/>
        </w:rPr>
        <w:t>A biztonságossági profil 3422 olyan beteg összevont adatain alapszik, akiket 13 klinikai vizsgálatban</w:t>
      </w:r>
      <w:r w:rsidR="001C39CD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 xml:space="preserve">kezeltek </w:t>
      </w:r>
      <w:r w:rsidR="001C39CD">
        <w:rPr>
          <w:rFonts w:ascii="Times New Roman" w:hAnsi="Times New Roman" w:cs="Times New Roman"/>
          <w:kern w:val="0"/>
        </w:rPr>
        <w:t>nilotinibbe</w:t>
      </w:r>
      <w:r w:rsidRPr="00A960F4">
        <w:rPr>
          <w:rFonts w:ascii="Times New Roman" w:eastAsia="TimesNewRomanPSMT" w:hAnsi="Times New Roman" w:cs="Times New Roman"/>
          <w:kern w:val="0"/>
        </w:rPr>
        <w:t>l az engedélyezett indikációkban: felnőtt és gyermekgyógyászati betegeknél</w:t>
      </w:r>
      <w:r w:rsidR="00410814">
        <w:rPr>
          <w:rFonts w:ascii="Times New Roman" w:eastAsia="TimesNewRomanPSMT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lastRenderedPageBreak/>
        <w:t>újonnan diagnosztizált, Philadelphia kromoszóma-pozitív, krónikus myeloid leukaemia (CML)</w:t>
      </w:r>
      <w:r w:rsidR="0041081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krónikus fázisában (5 klinikai vizsgálat 2414 beteg részvét</w:t>
      </w:r>
      <w:r w:rsidRPr="00A960F4">
        <w:rPr>
          <w:rFonts w:ascii="Times New Roman" w:eastAsia="TimesNewRomanPSMT" w:hAnsi="Times New Roman" w:cs="Times New Roman"/>
          <w:kern w:val="0"/>
        </w:rPr>
        <w:t>elével), felnőtt betegeknél a Philadelphia</w:t>
      </w:r>
      <w:r w:rsidR="00410814">
        <w:rPr>
          <w:rFonts w:ascii="Times New Roman" w:eastAsia="TimesNewRomanPSMT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kromoszóma-pozitív CML krónikus és akcelerált fázisában, olyan esetekben, amelyek a korábbi</w:t>
      </w:r>
      <w:r w:rsidR="0041081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 xml:space="preserve">kezelésre </w:t>
      </w:r>
      <w:r w:rsidR="008F0836">
        <w:rPr>
          <w:rFonts w:ascii="Times New Roman" w:hAnsi="Times New Roman" w:cs="Times New Roman"/>
          <w:kern w:val="0"/>
        </w:rPr>
        <w:t xml:space="preserve">- </w:t>
      </w:r>
      <w:r w:rsidR="008F0836" w:rsidRPr="00A960F4">
        <w:rPr>
          <w:rFonts w:ascii="Times New Roman" w:hAnsi="Times New Roman" w:cs="Times New Roman"/>
          <w:kern w:val="0"/>
        </w:rPr>
        <w:t>beleértve az imatinib</w:t>
      </w:r>
      <w:r w:rsidR="008F0836">
        <w:rPr>
          <w:rFonts w:ascii="Times New Roman" w:hAnsi="Times New Roman" w:cs="Times New Roman"/>
          <w:kern w:val="0"/>
        </w:rPr>
        <w:t>bel való kezelést is -</w:t>
      </w:r>
      <w:r w:rsidR="008F0836" w:rsidRPr="00A960F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rezisztenciát vagy intoleranciát mutattak (6</w:t>
      </w:r>
      <w:r w:rsidR="008F0836">
        <w:rPr>
          <w:rFonts w:ascii="Times New Roman" w:hAnsi="Times New Roman" w:cs="Times New Roman"/>
          <w:kern w:val="0"/>
        </w:rPr>
        <w:t> </w:t>
      </w:r>
      <w:r w:rsidRPr="00A960F4">
        <w:rPr>
          <w:rFonts w:ascii="Times New Roman" w:hAnsi="Times New Roman" w:cs="Times New Roman"/>
          <w:kern w:val="0"/>
        </w:rPr>
        <w:t>klinikai vizsgálat</w:t>
      </w:r>
      <w:r w:rsidR="0041081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939</w:t>
      </w:r>
      <w:r w:rsidR="00410814">
        <w:rPr>
          <w:rFonts w:ascii="Times New Roman" w:hAnsi="Times New Roman" w:cs="Times New Roman"/>
          <w:kern w:val="0"/>
        </w:rPr>
        <w:t> </w:t>
      </w:r>
      <w:r w:rsidRPr="00A960F4">
        <w:rPr>
          <w:rFonts w:ascii="Times New Roman" w:hAnsi="Times New Roman" w:cs="Times New Roman"/>
          <w:kern w:val="0"/>
        </w:rPr>
        <w:t>beteg részvételével), valamint gyermekgyógyászati betegeknél a Philadelphia</w:t>
      </w:r>
      <w:r w:rsidR="0041081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kromoszóma-pozitív CML krónikus fázisában, olyan esetekben, amelyek a korábbi kezelésre</w:t>
      </w:r>
      <w:r w:rsidR="0041081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rezisztenciát vagy intoleranciát mutattak, beleértve az imatinibet is (2 klinikai vizsgálat 69 beteg</w:t>
      </w:r>
      <w:r w:rsidR="0041081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részvételével). Ezek az összevont adatok 9039,34 betegévnyi expozíciót tesznek ki.</w:t>
      </w:r>
    </w:p>
    <w:p w14:paraId="66594655" w14:textId="77777777" w:rsidR="00410814" w:rsidRPr="00A960F4" w:rsidRDefault="0041081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5D562E5" w14:textId="77777777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960F4">
        <w:rPr>
          <w:rFonts w:ascii="Times New Roman" w:eastAsia="TimesNewRomanPSMT" w:hAnsi="Times New Roman" w:cs="Times New Roman"/>
          <w:kern w:val="0"/>
        </w:rPr>
        <w:t>A nilotinib biztonságossági profilja konzisztens volt a különböző indikációkban.</w:t>
      </w:r>
    </w:p>
    <w:p w14:paraId="429FA8ED" w14:textId="77777777" w:rsidR="00410814" w:rsidRPr="00A960F4" w:rsidRDefault="00410814" w:rsidP="00A960F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679ADDE3" w14:textId="7182FAEA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960F4">
        <w:rPr>
          <w:rFonts w:ascii="Times New Roman" w:eastAsia="TimesNewRomanPSMT" w:hAnsi="Times New Roman" w:cs="Times New Roman"/>
          <w:kern w:val="0"/>
        </w:rPr>
        <w:t xml:space="preserve">A leggyakoribb (≥ </w:t>
      </w:r>
      <w:r w:rsidRPr="00A960F4">
        <w:rPr>
          <w:rFonts w:ascii="Times New Roman" w:hAnsi="Times New Roman" w:cs="Times New Roman"/>
          <w:kern w:val="0"/>
        </w:rPr>
        <w:t>15%-</w:t>
      </w:r>
      <w:r w:rsidRPr="00A960F4">
        <w:rPr>
          <w:rFonts w:ascii="Times New Roman" w:eastAsia="TimesNewRomanPSMT" w:hAnsi="Times New Roman" w:cs="Times New Roman"/>
          <w:kern w:val="0"/>
        </w:rPr>
        <w:t>os incidenciájú) mellékhatások a következők voltak az összevont</w:t>
      </w:r>
      <w:r w:rsidR="000D6394">
        <w:rPr>
          <w:rFonts w:ascii="Times New Roman" w:eastAsia="TimesNewRomanPSMT" w:hAnsi="Times New Roman" w:cs="Times New Roman"/>
          <w:kern w:val="0"/>
        </w:rPr>
        <w:t xml:space="preserve"> </w:t>
      </w:r>
      <w:r w:rsidRPr="00A960F4">
        <w:rPr>
          <w:rFonts w:ascii="Times New Roman" w:eastAsia="TimesNewRomanPSMT" w:hAnsi="Times New Roman" w:cs="Times New Roman"/>
          <w:kern w:val="0"/>
        </w:rPr>
        <w:t>biztonságossági adatokon belül: bőrkiütés (26,4%), felső légúti fertőzés (beleértve a pharyngitist,</w:t>
      </w:r>
      <w:r w:rsidR="000D6394">
        <w:rPr>
          <w:rFonts w:ascii="Times New Roman" w:eastAsia="TimesNewRomanPSMT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nasopharyngitist, rhinitist is) (24,8%), fejfájás (21,9%), hyperbilirubinaemia (beleértve a vér</w:t>
      </w:r>
      <w:r w:rsidR="000D639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bilirubinszintjének emelkedését is) (18,6%), arthralgia (15,8%), kimerültség (15,4%), hányinger</w:t>
      </w:r>
      <w:r w:rsidR="000D6394">
        <w:rPr>
          <w:rFonts w:ascii="Times New Roman" w:hAnsi="Times New Roman" w:cs="Times New Roman"/>
          <w:kern w:val="0"/>
        </w:rPr>
        <w:t xml:space="preserve"> </w:t>
      </w:r>
      <w:r w:rsidRPr="00A960F4">
        <w:rPr>
          <w:rFonts w:ascii="Times New Roman" w:hAnsi="Times New Roman" w:cs="Times New Roman"/>
          <w:kern w:val="0"/>
        </w:rPr>
        <w:t>(16,8%), pruritus (16,7%) és thrombocytopenia (16,4%).</w:t>
      </w:r>
    </w:p>
    <w:p w14:paraId="737FA2B5" w14:textId="77777777" w:rsidR="000D6394" w:rsidRPr="00A960F4" w:rsidRDefault="000D639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B3F4D85" w14:textId="77777777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9002B">
        <w:rPr>
          <w:rFonts w:ascii="Times New Roman" w:hAnsi="Times New Roman" w:cs="Times New Roman"/>
          <w:kern w:val="0"/>
          <w:u w:val="single"/>
        </w:rPr>
        <w:t>A mellékhatások táblázatos felsorolása</w:t>
      </w:r>
    </w:p>
    <w:p w14:paraId="576DF9E9" w14:textId="77777777" w:rsidR="00B9002B" w:rsidRPr="00B9002B" w:rsidRDefault="00B9002B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586DEA93" w14:textId="0A26C928" w:rsidR="00A960F4" w:rsidRPr="00D27DBB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D27DBB">
        <w:rPr>
          <w:rFonts w:ascii="Times New Roman" w:eastAsia="TimesNewRomanPSMT" w:hAnsi="Times New Roman" w:cs="Times New Roman"/>
          <w:kern w:val="0"/>
        </w:rPr>
        <w:t>A klinikai vizsgálatokból és a forgalomba hozatalt követő bejelentésekből származó mellékhatások</w:t>
      </w:r>
      <w:r w:rsidR="000D6394" w:rsidRPr="00D27DBB">
        <w:rPr>
          <w:rFonts w:ascii="Times New Roman" w:eastAsia="TimesNewRomanPSMT" w:hAnsi="Times New Roman" w:cs="Times New Roman"/>
          <w:kern w:val="0"/>
        </w:rPr>
        <w:t xml:space="preserve"> </w:t>
      </w:r>
      <w:r w:rsidRPr="00D27DBB">
        <w:rPr>
          <w:rFonts w:ascii="Times New Roman" w:hAnsi="Times New Roman" w:cs="Times New Roman"/>
          <w:kern w:val="0"/>
        </w:rPr>
        <w:t>(3.</w:t>
      </w:r>
      <w:r w:rsidR="009725CF" w:rsidRPr="00D27DBB">
        <w:rPr>
          <w:rFonts w:ascii="Times New Roman" w:hAnsi="Times New Roman" w:cs="Times New Roman"/>
          <w:kern w:val="0"/>
        </w:rPr>
        <w:t> </w:t>
      </w:r>
      <w:r w:rsidRPr="00D27DBB">
        <w:rPr>
          <w:rFonts w:ascii="Times New Roman" w:hAnsi="Times New Roman" w:cs="Times New Roman"/>
          <w:kern w:val="0"/>
        </w:rPr>
        <w:t>táblázat) a MedDRA szer</w:t>
      </w:r>
      <w:r w:rsidRPr="00D27DBB">
        <w:rPr>
          <w:rFonts w:ascii="Times New Roman" w:eastAsia="TimesNewRomanPSMT" w:hAnsi="Times New Roman" w:cs="Times New Roman"/>
          <w:kern w:val="0"/>
        </w:rPr>
        <w:t>vrendszeri és gyakorisági besorolásnak megfelelően olvashatók. A</w:t>
      </w:r>
      <w:r w:rsidR="000D6394" w:rsidRPr="00D27DBB">
        <w:rPr>
          <w:rFonts w:ascii="Times New Roman" w:eastAsia="TimesNewRomanPSMT" w:hAnsi="Times New Roman" w:cs="Times New Roman"/>
          <w:kern w:val="0"/>
        </w:rPr>
        <w:t xml:space="preserve"> </w:t>
      </w:r>
      <w:r w:rsidRPr="00D27DBB">
        <w:rPr>
          <w:rFonts w:ascii="Times New Roman" w:eastAsia="TimesNewRomanPSMT" w:hAnsi="Times New Roman" w:cs="Times New Roman"/>
          <w:kern w:val="0"/>
        </w:rPr>
        <w:t xml:space="preserve">gyakorisági kategóriák meghatározása a következő egyezményt követi: nagyon gyakori (≥ </w:t>
      </w:r>
      <w:r w:rsidRPr="00D27DBB">
        <w:rPr>
          <w:rFonts w:ascii="Times New Roman" w:hAnsi="Times New Roman" w:cs="Times New Roman"/>
          <w:kern w:val="0"/>
        </w:rPr>
        <w:t>1/10);</w:t>
      </w:r>
      <w:r w:rsidR="000D6394" w:rsidRPr="00D27DBB">
        <w:rPr>
          <w:rFonts w:ascii="Times New Roman" w:hAnsi="Times New Roman" w:cs="Times New Roman"/>
          <w:kern w:val="0"/>
        </w:rPr>
        <w:t xml:space="preserve"> </w:t>
      </w:r>
      <w:r w:rsidRPr="00D27DBB">
        <w:rPr>
          <w:rFonts w:ascii="Times New Roman" w:eastAsia="TimesNewRomanPSMT" w:hAnsi="Times New Roman" w:cs="Times New Roman"/>
          <w:kern w:val="0"/>
        </w:rPr>
        <w:t xml:space="preserve">gyakori (≥ </w:t>
      </w:r>
      <w:r w:rsidRPr="00D27DBB">
        <w:rPr>
          <w:rFonts w:ascii="Times New Roman" w:hAnsi="Times New Roman" w:cs="Times New Roman"/>
          <w:kern w:val="0"/>
        </w:rPr>
        <w:t xml:space="preserve">1/100 </w:t>
      </w:r>
      <w:r w:rsidRPr="00D27DBB">
        <w:rPr>
          <w:rFonts w:ascii="Times New Roman" w:eastAsia="TimesNewRomanPSMT" w:hAnsi="Times New Roman" w:cs="Times New Roman"/>
          <w:kern w:val="0"/>
        </w:rPr>
        <w:t xml:space="preserve">– </w:t>
      </w:r>
      <w:proofErr w:type="gramStart"/>
      <w:r w:rsidRPr="00D27DBB">
        <w:rPr>
          <w:rFonts w:ascii="Times New Roman" w:hAnsi="Times New Roman" w:cs="Times New Roman"/>
          <w:kern w:val="0"/>
        </w:rPr>
        <w:t xml:space="preserve">&lt; </w:t>
      </w:r>
      <w:r w:rsidRPr="00D27DBB">
        <w:rPr>
          <w:rFonts w:ascii="Times New Roman" w:eastAsia="TimesNewRomanPSMT" w:hAnsi="Times New Roman" w:cs="Times New Roman"/>
          <w:kern w:val="0"/>
        </w:rPr>
        <w:t>1</w:t>
      </w:r>
      <w:proofErr w:type="gramEnd"/>
      <w:r w:rsidRPr="00D27DBB">
        <w:rPr>
          <w:rFonts w:ascii="Times New Roman" w:eastAsia="TimesNewRomanPSMT" w:hAnsi="Times New Roman" w:cs="Times New Roman"/>
          <w:kern w:val="0"/>
        </w:rPr>
        <w:t xml:space="preserve">/10); nem gyakori (≥ </w:t>
      </w:r>
      <w:r w:rsidRPr="00D27DBB">
        <w:rPr>
          <w:rFonts w:ascii="Times New Roman" w:hAnsi="Times New Roman" w:cs="Times New Roman"/>
          <w:kern w:val="0"/>
        </w:rPr>
        <w:t xml:space="preserve">1/1000 </w:t>
      </w:r>
      <w:r w:rsidRPr="00D27DBB">
        <w:rPr>
          <w:rFonts w:ascii="Times New Roman" w:eastAsia="TimesNewRomanPSMT" w:hAnsi="Times New Roman" w:cs="Times New Roman"/>
          <w:kern w:val="0"/>
        </w:rPr>
        <w:t xml:space="preserve">– </w:t>
      </w:r>
      <w:r w:rsidRPr="00D27DBB">
        <w:rPr>
          <w:rFonts w:ascii="Times New Roman" w:hAnsi="Times New Roman" w:cs="Times New Roman"/>
          <w:kern w:val="0"/>
        </w:rPr>
        <w:t xml:space="preserve">&lt; </w:t>
      </w:r>
      <w:r w:rsidRPr="00D27DBB">
        <w:rPr>
          <w:rFonts w:ascii="Times New Roman" w:eastAsia="TimesNewRomanPSMT" w:hAnsi="Times New Roman" w:cs="Times New Roman"/>
          <w:kern w:val="0"/>
        </w:rPr>
        <w:t xml:space="preserve">1/100); ritka (≥ </w:t>
      </w:r>
      <w:r w:rsidRPr="00D27DBB">
        <w:rPr>
          <w:rFonts w:ascii="Times New Roman" w:hAnsi="Times New Roman" w:cs="Times New Roman"/>
          <w:kern w:val="0"/>
        </w:rPr>
        <w:t>1/10</w:t>
      </w:r>
      <w:r w:rsidR="000D6394" w:rsidRPr="00D27DBB">
        <w:rPr>
          <w:rFonts w:ascii="Times New Roman" w:hAnsi="Times New Roman" w:cs="Times New Roman"/>
          <w:kern w:val="0"/>
        </w:rPr>
        <w:t> </w:t>
      </w:r>
      <w:r w:rsidRPr="00D27DBB">
        <w:rPr>
          <w:rFonts w:ascii="Times New Roman" w:hAnsi="Times New Roman" w:cs="Times New Roman"/>
          <w:kern w:val="0"/>
        </w:rPr>
        <w:t xml:space="preserve">000 </w:t>
      </w:r>
      <w:r w:rsidRPr="00D27DBB">
        <w:rPr>
          <w:rFonts w:ascii="Times New Roman" w:eastAsia="TimesNewRomanPSMT" w:hAnsi="Times New Roman" w:cs="Times New Roman"/>
          <w:kern w:val="0"/>
        </w:rPr>
        <w:t xml:space="preserve">– </w:t>
      </w:r>
      <w:r w:rsidRPr="00D27DBB">
        <w:rPr>
          <w:rFonts w:ascii="Times New Roman" w:hAnsi="Times New Roman" w:cs="Times New Roman"/>
          <w:kern w:val="0"/>
        </w:rPr>
        <w:t>&lt; 1/1000); nagyon</w:t>
      </w:r>
      <w:r w:rsidR="000D6394" w:rsidRPr="00D27DBB">
        <w:rPr>
          <w:rFonts w:ascii="Times New Roman" w:hAnsi="Times New Roman" w:cs="Times New Roman"/>
          <w:kern w:val="0"/>
        </w:rPr>
        <w:t xml:space="preserve"> </w:t>
      </w:r>
      <w:r w:rsidRPr="00D27DBB">
        <w:rPr>
          <w:rFonts w:ascii="Times New Roman" w:hAnsi="Times New Roman" w:cs="Times New Roman"/>
          <w:kern w:val="0"/>
        </w:rPr>
        <w:t>ritka (&lt; 1/10</w:t>
      </w:r>
      <w:r w:rsidR="000D6394" w:rsidRPr="00D27DBB">
        <w:rPr>
          <w:rFonts w:ascii="Times New Roman" w:hAnsi="Times New Roman" w:cs="Times New Roman"/>
          <w:kern w:val="0"/>
        </w:rPr>
        <w:t> </w:t>
      </w:r>
      <w:r w:rsidRPr="00D27DBB">
        <w:rPr>
          <w:rFonts w:ascii="Times New Roman" w:hAnsi="Times New Roman" w:cs="Times New Roman"/>
          <w:kern w:val="0"/>
        </w:rPr>
        <w:t>000); nem ismert (a gyakoriság a rendelkezésre álló adatokból nem állapítható meg).</w:t>
      </w:r>
    </w:p>
    <w:p w14:paraId="3423A9DB" w14:textId="77777777" w:rsidR="000D6394" w:rsidRPr="00A960F4" w:rsidRDefault="000D639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DB53973" w14:textId="46408B37" w:rsidR="00A960F4" w:rsidRDefault="00A960F4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960F4">
        <w:rPr>
          <w:rFonts w:ascii="Times New Roman" w:hAnsi="Times New Roman" w:cs="Times New Roman"/>
          <w:b/>
          <w:bCs/>
          <w:kern w:val="0"/>
        </w:rPr>
        <w:t>3.</w:t>
      </w:r>
      <w:r w:rsidR="007A6465">
        <w:rPr>
          <w:rFonts w:ascii="Times New Roman" w:hAnsi="Times New Roman" w:cs="Times New Roman"/>
          <w:b/>
          <w:bCs/>
          <w:kern w:val="0"/>
        </w:rPr>
        <w:tab/>
      </w:r>
      <w:r w:rsidRPr="00A960F4">
        <w:rPr>
          <w:rFonts w:ascii="Times New Roman" w:hAnsi="Times New Roman" w:cs="Times New Roman"/>
          <w:b/>
          <w:bCs/>
          <w:kern w:val="0"/>
        </w:rPr>
        <w:t>táblázat Gyógyszermellékhatások</w:t>
      </w:r>
    </w:p>
    <w:p w14:paraId="459D6D0D" w14:textId="77777777" w:rsidR="007A6465" w:rsidRDefault="007A6465" w:rsidP="00A960F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tbl>
      <w:tblPr>
        <w:tblW w:w="9065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9"/>
        <w:gridCol w:w="6676"/>
      </w:tblGrid>
      <w:tr w:rsidR="000B4C43" w:rsidRPr="005B0FEE" w14:paraId="318D88CA" w14:textId="77777777" w:rsidTr="00715395">
        <w:trPr>
          <w:trHeight w:val="254"/>
        </w:trPr>
        <w:tc>
          <w:tcPr>
            <w:tcW w:w="9065" w:type="dxa"/>
            <w:gridSpan w:val="2"/>
          </w:tcPr>
          <w:p w14:paraId="6AAE089E" w14:textId="4D3D6067" w:rsidR="000B4C43" w:rsidRPr="005B0FEE" w:rsidRDefault="000B4C43" w:rsidP="00C619EF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5B0FEE">
              <w:rPr>
                <w:b/>
                <w:lang w:val="hu-HU"/>
              </w:rPr>
              <w:t>Fertőző betegségek és parazitafertőzések</w:t>
            </w:r>
          </w:p>
        </w:tc>
      </w:tr>
      <w:tr w:rsidR="000B4C43" w:rsidRPr="005B0FEE" w14:paraId="3CC5E4EF" w14:textId="77777777" w:rsidTr="00715395">
        <w:trPr>
          <w:trHeight w:val="505"/>
        </w:trPr>
        <w:tc>
          <w:tcPr>
            <w:tcW w:w="2389" w:type="dxa"/>
          </w:tcPr>
          <w:p w14:paraId="1DC57CBC" w14:textId="616E4DF5" w:rsidR="000B4C43" w:rsidRPr="005B0FEE" w:rsidRDefault="000B4C4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5B0FEE">
              <w:rPr>
                <w:lang w:val="hu-HU"/>
              </w:rPr>
              <w:t>Nagyon gyakori</w:t>
            </w:r>
            <w:r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C4EF97C" w14:textId="360FFEB2" w:rsidR="000B4C43" w:rsidRPr="005B0FEE" w:rsidRDefault="00185ADD" w:rsidP="00C619EF">
            <w:pPr>
              <w:pStyle w:val="TableParagraph"/>
              <w:spacing w:line="252" w:lineRule="exact"/>
              <w:ind w:right="120"/>
              <w:rPr>
                <w:lang w:val="hu-HU"/>
              </w:rPr>
            </w:pPr>
            <w:r w:rsidRPr="005B0FEE">
              <w:rPr>
                <w:lang w:val="hu-HU"/>
              </w:rPr>
              <w:t>Felső légúti fertőzés (beleértve a pharyngitist, nasopharyngitist, rhinitist is)</w:t>
            </w:r>
          </w:p>
        </w:tc>
      </w:tr>
      <w:tr w:rsidR="000B4C43" w:rsidRPr="005B0FEE" w14:paraId="465969DF" w14:textId="77777777" w:rsidTr="00715395">
        <w:trPr>
          <w:trHeight w:val="505"/>
        </w:trPr>
        <w:tc>
          <w:tcPr>
            <w:tcW w:w="2389" w:type="dxa"/>
          </w:tcPr>
          <w:p w14:paraId="0EEC8B54" w14:textId="5FC1974D" w:rsidR="000B4C43" w:rsidRPr="005B0FEE" w:rsidRDefault="000B4C4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Gyakori:</w:t>
            </w:r>
          </w:p>
        </w:tc>
        <w:tc>
          <w:tcPr>
            <w:tcW w:w="6676" w:type="dxa"/>
          </w:tcPr>
          <w:p w14:paraId="23A9DB93" w14:textId="30D63C12" w:rsidR="000B4C43" w:rsidRPr="005B0FEE" w:rsidRDefault="00185ADD" w:rsidP="00497B4A">
            <w:pPr>
              <w:pStyle w:val="TableParagraph"/>
              <w:spacing w:line="252" w:lineRule="exact"/>
              <w:ind w:right="120"/>
              <w:rPr>
                <w:lang w:val="hu-HU"/>
              </w:rPr>
            </w:pPr>
            <w:r w:rsidRPr="005B0FEE">
              <w:rPr>
                <w:lang w:val="hu-HU"/>
              </w:rPr>
              <w:t>Folliculitis, bronchitis, candidiasis (beleértve az orális candidiasist is),</w:t>
            </w:r>
            <w:r w:rsidR="00497B4A">
              <w:rPr>
                <w:lang w:val="hu-HU"/>
              </w:rPr>
              <w:t xml:space="preserve"> </w:t>
            </w:r>
            <w:r w:rsidRPr="005B0FEE">
              <w:rPr>
                <w:lang w:val="hu-HU"/>
              </w:rPr>
              <w:t>pneumonia, gastroenteritis, húgyúti fertőzés</w:t>
            </w:r>
          </w:p>
        </w:tc>
      </w:tr>
      <w:tr w:rsidR="000B4C43" w:rsidRPr="005B0FEE" w14:paraId="68603B93" w14:textId="77777777" w:rsidTr="00715395">
        <w:trPr>
          <w:trHeight w:val="506"/>
        </w:trPr>
        <w:tc>
          <w:tcPr>
            <w:tcW w:w="2389" w:type="dxa"/>
          </w:tcPr>
          <w:p w14:paraId="6F3F772F" w14:textId="009F019C" w:rsidR="000B4C43" w:rsidRPr="005B0FEE" w:rsidRDefault="000B4C4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Nem gyakori:</w:t>
            </w:r>
          </w:p>
        </w:tc>
        <w:tc>
          <w:tcPr>
            <w:tcW w:w="6676" w:type="dxa"/>
          </w:tcPr>
          <w:p w14:paraId="27E8263A" w14:textId="77777777" w:rsidR="00185ADD" w:rsidRPr="005B0FEE" w:rsidRDefault="00185ADD" w:rsidP="00185ADD">
            <w:pPr>
              <w:pStyle w:val="TableParagraph"/>
              <w:spacing w:line="252" w:lineRule="exact"/>
              <w:ind w:right="120"/>
              <w:rPr>
                <w:lang w:val="hu-HU"/>
              </w:rPr>
            </w:pPr>
            <w:r w:rsidRPr="005B0FEE">
              <w:rPr>
                <w:lang w:val="hu-HU"/>
              </w:rPr>
              <w:t>Herpes vírus fertőzés, analis abscessus, candidiasis (Candida-fertőzés),</w:t>
            </w:r>
          </w:p>
          <w:p w14:paraId="70CC4AD8" w14:textId="100F4A87" w:rsidR="000B4C43" w:rsidRPr="005B0FEE" w:rsidRDefault="00185ADD" w:rsidP="00185ADD">
            <w:pPr>
              <w:pStyle w:val="TableParagraph"/>
              <w:spacing w:line="252" w:lineRule="exact"/>
              <w:ind w:right="120"/>
              <w:rPr>
                <w:lang w:val="hu-HU"/>
              </w:rPr>
            </w:pPr>
            <w:r w:rsidRPr="005B0FEE">
              <w:rPr>
                <w:lang w:val="hu-HU"/>
              </w:rPr>
              <w:t>furunculus, sepsis, subcutan abscessus, tinea pedis</w:t>
            </w:r>
          </w:p>
        </w:tc>
      </w:tr>
      <w:tr w:rsidR="000B4C43" w:rsidRPr="005B0FEE" w14:paraId="7E59FB0F" w14:textId="77777777" w:rsidTr="00715395">
        <w:trPr>
          <w:trHeight w:val="251"/>
        </w:trPr>
        <w:tc>
          <w:tcPr>
            <w:tcW w:w="2389" w:type="dxa"/>
          </w:tcPr>
          <w:p w14:paraId="4EDA6106" w14:textId="36AFF951" w:rsidR="000B4C43" w:rsidRPr="005B0FEE" w:rsidRDefault="000B4C4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Ritka:</w:t>
            </w:r>
          </w:p>
        </w:tc>
        <w:tc>
          <w:tcPr>
            <w:tcW w:w="6676" w:type="dxa"/>
          </w:tcPr>
          <w:p w14:paraId="2AC90F3A" w14:textId="26804282" w:rsidR="000B4C43" w:rsidRPr="005B0FEE" w:rsidRDefault="00E26D7B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lang w:val="hu-HU"/>
              </w:rPr>
              <w:t>Hepatitis B reaktiváció</w:t>
            </w:r>
          </w:p>
        </w:tc>
      </w:tr>
      <w:tr w:rsidR="000B4C43" w:rsidRPr="005B0FEE" w14:paraId="1A5535F9" w14:textId="77777777" w:rsidTr="00715395">
        <w:trPr>
          <w:trHeight w:val="253"/>
        </w:trPr>
        <w:tc>
          <w:tcPr>
            <w:tcW w:w="9065" w:type="dxa"/>
            <w:gridSpan w:val="2"/>
          </w:tcPr>
          <w:p w14:paraId="5D016A3B" w14:textId="3ACE24D6" w:rsidR="000B4C43" w:rsidRPr="005B0FEE" w:rsidRDefault="00E26D7B" w:rsidP="00C619EF">
            <w:pPr>
              <w:pStyle w:val="TableParagraph"/>
              <w:spacing w:before="1" w:line="233" w:lineRule="exact"/>
              <w:rPr>
                <w:b/>
                <w:lang w:val="hu-HU"/>
              </w:rPr>
            </w:pPr>
            <w:r w:rsidRPr="005B0FEE">
              <w:rPr>
                <w:b/>
                <w:lang w:val="hu-HU"/>
              </w:rPr>
              <w:t>Jó-, rosszindulatú és nem meghatározott daganatok (beleértve a cisztákat és polipokat is)</w:t>
            </w:r>
          </w:p>
        </w:tc>
      </w:tr>
      <w:tr w:rsidR="000B4C43" w:rsidRPr="005B0FEE" w14:paraId="6B533344" w14:textId="77777777" w:rsidTr="00715395">
        <w:trPr>
          <w:trHeight w:val="253"/>
        </w:trPr>
        <w:tc>
          <w:tcPr>
            <w:tcW w:w="2389" w:type="dxa"/>
          </w:tcPr>
          <w:p w14:paraId="52045172" w14:textId="04FA32E9" w:rsidR="000B4C43" w:rsidRPr="005B0FEE" w:rsidRDefault="00E26D7B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Nem 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AB560E7" w14:textId="3833C78F" w:rsidR="000B4C43" w:rsidRPr="005B0FEE" w:rsidRDefault="005F1FAD" w:rsidP="00C619EF">
            <w:pPr>
              <w:pStyle w:val="TableParagraph"/>
              <w:spacing w:line="234" w:lineRule="exact"/>
              <w:rPr>
                <w:lang w:val="hu-HU"/>
              </w:rPr>
            </w:pPr>
            <w:r>
              <w:rPr>
                <w:lang w:val="hu-HU"/>
              </w:rPr>
              <w:t>Bőr p</w:t>
            </w:r>
            <w:r w:rsidR="00C92C95" w:rsidRPr="005B0FEE">
              <w:rPr>
                <w:lang w:val="hu-HU"/>
              </w:rPr>
              <w:t xml:space="preserve">apilloma </w:t>
            </w:r>
          </w:p>
        </w:tc>
      </w:tr>
      <w:tr w:rsidR="000B4C43" w:rsidRPr="005B0FEE" w14:paraId="3219CF97" w14:textId="77777777" w:rsidTr="00715395">
        <w:trPr>
          <w:trHeight w:val="251"/>
        </w:trPr>
        <w:tc>
          <w:tcPr>
            <w:tcW w:w="2389" w:type="dxa"/>
          </w:tcPr>
          <w:p w14:paraId="71E29E21" w14:textId="60B76C51" w:rsidR="000B4C43" w:rsidRPr="005B0FEE" w:rsidRDefault="000B4C4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R</w:t>
            </w:r>
            <w:r w:rsidR="00E26D7B" w:rsidRPr="005B0FEE">
              <w:rPr>
                <w:spacing w:val="-2"/>
                <w:lang w:val="hu-HU"/>
              </w:rPr>
              <w:t>itka</w:t>
            </w:r>
            <w:r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DD93D85" w14:textId="36F5953B" w:rsidR="000B4C43" w:rsidRPr="005B0FEE" w:rsidRDefault="005F1FAD" w:rsidP="00C619EF">
            <w:pPr>
              <w:pStyle w:val="TableParagraph"/>
              <w:spacing w:line="232" w:lineRule="exact"/>
              <w:rPr>
                <w:lang w:val="hu-HU"/>
              </w:rPr>
            </w:pPr>
            <w:r>
              <w:rPr>
                <w:lang w:val="hu-HU"/>
              </w:rPr>
              <w:t>Orális p</w:t>
            </w:r>
            <w:r w:rsidR="00C92C95" w:rsidRPr="005B0FEE">
              <w:rPr>
                <w:lang w:val="hu-HU"/>
              </w:rPr>
              <w:t>apilloma, paraproteinaemia</w:t>
            </w:r>
          </w:p>
        </w:tc>
      </w:tr>
      <w:tr w:rsidR="000B4C43" w:rsidRPr="005B0FEE" w14:paraId="0CDC1E44" w14:textId="77777777" w:rsidTr="00715395">
        <w:trPr>
          <w:trHeight w:val="254"/>
        </w:trPr>
        <w:tc>
          <w:tcPr>
            <w:tcW w:w="9065" w:type="dxa"/>
            <w:gridSpan w:val="2"/>
          </w:tcPr>
          <w:p w14:paraId="233D9725" w14:textId="3C26A529" w:rsidR="000B4C43" w:rsidRPr="005B0FEE" w:rsidRDefault="00C92C95" w:rsidP="00C619EF">
            <w:pPr>
              <w:pStyle w:val="TableParagraph"/>
              <w:spacing w:line="235" w:lineRule="exact"/>
              <w:rPr>
                <w:b/>
                <w:lang w:val="hu-HU"/>
              </w:rPr>
            </w:pPr>
            <w:r w:rsidRPr="005B0FEE">
              <w:rPr>
                <w:b/>
                <w:lang w:val="hu-HU"/>
              </w:rPr>
              <w:t>Vérképzőszervi és nyirokrendszeri betegségek és tünetek</w:t>
            </w:r>
          </w:p>
        </w:tc>
      </w:tr>
      <w:tr w:rsidR="000B4C43" w:rsidRPr="005B0FEE" w14:paraId="2AB48107" w14:textId="77777777" w:rsidTr="00715395">
        <w:trPr>
          <w:trHeight w:val="251"/>
        </w:trPr>
        <w:tc>
          <w:tcPr>
            <w:tcW w:w="2389" w:type="dxa"/>
          </w:tcPr>
          <w:p w14:paraId="7381D68A" w14:textId="37E65DA8" w:rsidR="000B4C43" w:rsidRPr="005B0FEE" w:rsidRDefault="00AF3678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lang w:val="hu-HU"/>
              </w:rPr>
              <w:t>Nagyon 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5710630B" w14:textId="71A9F605" w:rsidR="000B4C43" w:rsidRPr="005B0FEE" w:rsidRDefault="00AF3678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lang w:val="hu-HU"/>
              </w:rPr>
              <w:t>Anaemia, thrombocytopenia</w:t>
            </w:r>
          </w:p>
        </w:tc>
      </w:tr>
      <w:tr w:rsidR="000B4C43" w:rsidRPr="005B0FEE" w14:paraId="6377595B" w14:textId="77777777" w:rsidTr="00715395">
        <w:trPr>
          <w:trHeight w:val="254"/>
        </w:trPr>
        <w:tc>
          <w:tcPr>
            <w:tcW w:w="2389" w:type="dxa"/>
          </w:tcPr>
          <w:p w14:paraId="69C6AFD3" w14:textId="5B07C1FA" w:rsidR="000B4C43" w:rsidRPr="005B0FEE" w:rsidRDefault="00AF3678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6541A08" w14:textId="7F412989" w:rsidR="000B4C43" w:rsidRPr="005B0FEE" w:rsidRDefault="00917F0D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lang w:val="hu-HU"/>
              </w:rPr>
              <w:t>Leukopenia, leukocytosis, neutropenia, thrombocythaemia</w:t>
            </w:r>
          </w:p>
        </w:tc>
      </w:tr>
      <w:tr w:rsidR="000B4C43" w:rsidRPr="005B0FEE" w14:paraId="2034984D" w14:textId="77777777" w:rsidTr="00715395">
        <w:trPr>
          <w:trHeight w:val="251"/>
        </w:trPr>
        <w:tc>
          <w:tcPr>
            <w:tcW w:w="2389" w:type="dxa"/>
          </w:tcPr>
          <w:p w14:paraId="74ABD797" w14:textId="3C7C6A15" w:rsidR="000B4C43" w:rsidRPr="005B0FEE" w:rsidRDefault="00AF3678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Nem 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F7AAC65" w14:textId="3C8766CD" w:rsidR="000B4C43" w:rsidRPr="005B0FEE" w:rsidRDefault="00917F0D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lang w:val="hu-HU"/>
              </w:rPr>
              <w:t>Eosinophilia, lázas neutropenia, lymphopenia, pancytopenia</w:t>
            </w:r>
          </w:p>
        </w:tc>
      </w:tr>
      <w:tr w:rsidR="000B4C43" w:rsidRPr="005B0FEE" w14:paraId="161DD92B" w14:textId="77777777" w:rsidTr="00715395">
        <w:trPr>
          <w:trHeight w:val="254"/>
        </w:trPr>
        <w:tc>
          <w:tcPr>
            <w:tcW w:w="9065" w:type="dxa"/>
            <w:gridSpan w:val="2"/>
          </w:tcPr>
          <w:p w14:paraId="1CC39452" w14:textId="119E4C7D" w:rsidR="000B4C43" w:rsidRPr="005B0FEE" w:rsidRDefault="00917F0D" w:rsidP="00C619EF">
            <w:pPr>
              <w:pStyle w:val="TableParagraph"/>
              <w:spacing w:before="1" w:line="233" w:lineRule="exact"/>
              <w:rPr>
                <w:b/>
                <w:lang w:val="hu-HU"/>
              </w:rPr>
            </w:pPr>
            <w:r w:rsidRPr="005B0FEE">
              <w:rPr>
                <w:b/>
                <w:bCs/>
                <w:lang w:val="hu-HU"/>
              </w:rPr>
              <w:t>Immunrendszeri betegségek és tünetek</w:t>
            </w:r>
          </w:p>
        </w:tc>
      </w:tr>
      <w:tr w:rsidR="000B4C43" w:rsidRPr="005B0FEE" w14:paraId="1AE3129D" w14:textId="77777777" w:rsidTr="00715395">
        <w:trPr>
          <w:trHeight w:val="253"/>
        </w:trPr>
        <w:tc>
          <w:tcPr>
            <w:tcW w:w="2389" w:type="dxa"/>
          </w:tcPr>
          <w:p w14:paraId="12211620" w14:textId="76613455" w:rsidR="000B4C43" w:rsidRPr="005B0FEE" w:rsidRDefault="00611455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Nem g</w:t>
            </w:r>
            <w:r w:rsidR="00917F0D" w:rsidRPr="005B0FEE">
              <w:rPr>
                <w:spacing w:val="-2"/>
                <w:lang w:val="hu-HU"/>
              </w:rPr>
              <w:t>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A5A7263" w14:textId="3E391CA8" w:rsidR="000B4C43" w:rsidRPr="005B0FEE" w:rsidRDefault="00611455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Túlérzékenység</w:t>
            </w:r>
          </w:p>
        </w:tc>
      </w:tr>
      <w:tr w:rsidR="000B4C43" w:rsidRPr="005B0FEE" w14:paraId="087B301E" w14:textId="77777777" w:rsidTr="00715395">
        <w:trPr>
          <w:trHeight w:val="251"/>
        </w:trPr>
        <w:tc>
          <w:tcPr>
            <w:tcW w:w="9065" w:type="dxa"/>
            <w:gridSpan w:val="2"/>
          </w:tcPr>
          <w:p w14:paraId="144DD1ED" w14:textId="1092AA4E" w:rsidR="000B4C43" w:rsidRPr="005B0FEE" w:rsidRDefault="00611455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5B0FEE">
              <w:rPr>
                <w:b/>
                <w:bCs/>
                <w:lang w:val="hu-HU"/>
              </w:rPr>
              <w:t>Endokrin betegségek és tünetek</w:t>
            </w:r>
          </w:p>
        </w:tc>
      </w:tr>
      <w:tr w:rsidR="000B4C43" w:rsidRPr="005B0FEE" w14:paraId="3A3909C6" w14:textId="77777777" w:rsidTr="00715395">
        <w:trPr>
          <w:trHeight w:val="253"/>
        </w:trPr>
        <w:tc>
          <w:tcPr>
            <w:tcW w:w="2389" w:type="dxa"/>
          </w:tcPr>
          <w:p w14:paraId="78F19928" w14:textId="4C8FBE67" w:rsidR="000B4C43" w:rsidRPr="005B0FEE" w:rsidRDefault="00611455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lang w:val="hu-HU"/>
              </w:rPr>
              <w:t>Nagyon 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678D7E74" w14:textId="0CF03445" w:rsidR="000B4C43" w:rsidRPr="005B0FEE" w:rsidRDefault="006443EC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lang w:val="hu-HU"/>
              </w:rPr>
              <w:t>A növekedés visszamaradása</w:t>
            </w:r>
          </w:p>
        </w:tc>
      </w:tr>
      <w:tr w:rsidR="000B4C43" w:rsidRPr="005B0FEE" w14:paraId="3FB7F297" w14:textId="77777777" w:rsidTr="00715395">
        <w:trPr>
          <w:trHeight w:val="251"/>
        </w:trPr>
        <w:tc>
          <w:tcPr>
            <w:tcW w:w="2389" w:type="dxa"/>
          </w:tcPr>
          <w:p w14:paraId="3938BE68" w14:textId="23665B21" w:rsidR="000B4C43" w:rsidRPr="005B0FEE" w:rsidRDefault="006443EC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50ED6E94" w14:textId="0F6F7FA4" w:rsidR="000B4C43" w:rsidRPr="005B0FEE" w:rsidRDefault="005B0FEE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lang w:val="hu-HU"/>
              </w:rPr>
              <w:t>Hypothyreosis</w:t>
            </w:r>
          </w:p>
        </w:tc>
      </w:tr>
      <w:tr w:rsidR="000B4C43" w:rsidRPr="005B0FEE" w14:paraId="38D539D2" w14:textId="77777777" w:rsidTr="00715395">
        <w:trPr>
          <w:trHeight w:val="253"/>
        </w:trPr>
        <w:tc>
          <w:tcPr>
            <w:tcW w:w="2389" w:type="dxa"/>
          </w:tcPr>
          <w:p w14:paraId="0EE267FF" w14:textId="6048A777" w:rsidR="000B4C43" w:rsidRPr="005B0FEE" w:rsidRDefault="006443EC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Nem gyakori</w:t>
            </w:r>
            <w:r w:rsidR="000B4C43"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EBC4CA6" w14:textId="49A8CAFA" w:rsidR="000B4C43" w:rsidRPr="005B0FEE" w:rsidRDefault="005B0FEE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B0FEE">
              <w:rPr>
                <w:lang w:val="hu-HU"/>
              </w:rPr>
              <w:t>Hyperthyreosis</w:t>
            </w:r>
          </w:p>
        </w:tc>
      </w:tr>
      <w:tr w:rsidR="000B4C43" w:rsidRPr="005B0FEE" w14:paraId="7B7565AC" w14:textId="77777777" w:rsidTr="00715395">
        <w:trPr>
          <w:trHeight w:val="251"/>
        </w:trPr>
        <w:tc>
          <w:tcPr>
            <w:tcW w:w="2389" w:type="dxa"/>
          </w:tcPr>
          <w:p w14:paraId="67180BFF" w14:textId="67741F84" w:rsidR="000B4C43" w:rsidRPr="005B0FEE" w:rsidRDefault="000B4C4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spacing w:val="-2"/>
                <w:lang w:val="hu-HU"/>
              </w:rPr>
              <w:t>R</w:t>
            </w:r>
            <w:r w:rsidR="006443EC" w:rsidRPr="005B0FEE">
              <w:rPr>
                <w:spacing w:val="-2"/>
                <w:lang w:val="hu-HU"/>
              </w:rPr>
              <w:t>itka</w:t>
            </w:r>
            <w:r w:rsidRPr="005B0FEE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0912642" w14:textId="2452AD07" w:rsidR="000B4C43" w:rsidRPr="005B0FEE" w:rsidRDefault="005B0FEE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B0FEE">
              <w:rPr>
                <w:lang w:val="hu-HU"/>
              </w:rPr>
              <w:t>Secunder hyperparathyreosis, thyreoiditis</w:t>
            </w:r>
          </w:p>
        </w:tc>
      </w:tr>
      <w:tr w:rsidR="000B4C43" w:rsidRPr="005B0FEE" w14:paraId="314716B3" w14:textId="77777777" w:rsidTr="00715395">
        <w:trPr>
          <w:trHeight w:val="254"/>
        </w:trPr>
        <w:tc>
          <w:tcPr>
            <w:tcW w:w="9065" w:type="dxa"/>
            <w:gridSpan w:val="2"/>
          </w:tcPr>
          <w:p w14:paraId="61CA846C" w14:textId="31DB1A53" w:rsidR="000B4C43" w:rsidRPr="005B0FEE" w:rsidRDefault="005B0FEE" w:rsidP="00C619EF">
            <w:pPr>
              <w:pStyle w:val="TableParagraph"/>
              <w:spacing w:before="1" w:line="234" w:lineRule="exact"/>
              <w:rPr>
                <w:b/>
                <w:lang w:val="hu-HU"/>
              </w:rPr>
            </w:pPr>
            <w:r w:rsidRPr="005B0FEE">
              <w:rPr>
                <w:b/>
                <w:bCs/>
                <w:lang w:val="hu-HU"/>
              </w:rPr>
              <w:t>Anyagcsere- és táplálkozási betegségek és tünetek</w:t>
            </w:r>
          </w:p>
        </w:tc>
      </w:tr>
      <w:tr w:rsidR="000B4C43" w:rsidRPr="00AB11D7" w14:paraId="24E32A52" w14:textId="77777777" w:rsidTr="00715395">
        <w:trPr>
          <w:trHeight w:val="1518"/>
        </w:trPr>
        <w:tc>
          <w:tcPr>
            <w:tcW w:w="2389" w:type="dxa"/>
          </w:tcPr>
          <w:p w14:paraId="0F3EA759" w14:textId="4DF97F31" w:rsidR="000B4C43" w:rsidRPr="00AB11D7" w:rsidRDefault="005B0FEE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Gyakori</w:t>
            </w:r>
            <w:r w:rsidR="000B4C43"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1A6BE65" w14:textId="3B5F6254" w:rsidR="000B4C43" w:rsidRPr="00AB11D7" w:rsidRDefault="006A3DC5" w:rsidP="006A3DC5">
            <w:pPr>
              <w:pStyle w:val="TableParagraph"/>
              <w:ind w:right="120"/>
              <w:rPr>
                <w:lang w:val="hu-HU"/>
              </w:rPr>
            </w:pPr>
            <w:r w:rsidRPr="00AB11D7">
              <w:rPr>
                <w:lang w:val="hu-HU"/>
              </w:rPr>
              <w:t xml:space="preserve">Elektrolitszint zavar (beleértve a hypomagnesaemiát, hyperkalaemiát, hypokalaemiát, hyponatraemiát, hypocalcaemiát, hypercalcaemiát, hyperphosphataemiát is), diabetes mellitus, hyperglykaemia, hypercholesterinaemia, hyperlipidaemia, hypertriglyceridaemia, csökkent étvágy, köszvény, hyperuricaemia, </w:t>
            </w:r>
            <w:r w:rsidR="00481A7D" w:rsidRPr="00AB11D7">
              <w:rPr>
                <w:lang w:val="hu-HU"/>
              </w:rPr>
              <w:t>hyp</w:t>
            </w:r>
            <w:r w:rsidR="00481A7D">
              <w:rPr>
                <w:lang w:val="hu-HU"/>
              </w:rPr>
              <w:t>o</w:t>
            </w:r>
            <w:r w:rsidR="00481A7D" w:rsidRPr="00AB11D7">
              <w:rPr>
                <w:lang w:val="hu-HU"/>
              </w:rPr>
              <w:t xml:space="preserve">phosphataemia </w:t>
            </w:r>
            <w:r w:rsidRPr="00AB11D7">
              <w:rPr>
                <w:lang w:val="hu-HU"/>
              </w:rPr>
              <w:t>(beleértve a vér csökkent foszforszintjét is)</w:t>
            </w:r>
          </w:p>
        </w:tc>
      </w:tr>
      <w:tr w:rsidR="000B4C43" w:rsidRPr="00AB11D7" w14:paraId="1285B7B6" w14:textId="77777777" w:rsidTr="00715395">
        <w:trPr>
          <w:trHeight w:val="251"/>
        </w:trPr>
        <w:tc>
          <w:tcPr>
            <w:tcW w:w="2389" w:type="dxa"/>
          </w:tcPr>
          <w:p w14:paraId="39DB488E" w14:textId="33A9A959" w:rsidR="000B4C43" w:rsidRPr="00AB11D7" w:rsidRDefault="006A3DC5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lastRenderedPageBreak/>
              <w:t>Nem gyakori</w:t>
            </w:r>
            <w:r w:rsidR="000B4C43"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C7B5557" w14:textId="6A440C3C" w:rsidR="000B4C43" w:rsidRPr="00AB11D7" w:rsidRDefault="00AA3DDF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AB11D7">
              <w:rPr>
                <w:lang w:val="hu-HU"/>
              </w:rPr>
              <w:t>Dehidráció, megnövekedett étvágy, dyslipidaemia, hypoglykaemia</w:t>
            </w:r>
          </w:p>
        </w:tc>
      </w:tr>
      <w:tr w:rsidR="000B4C43" w:rsidRPr="00AB11D7" w14:paraId="458BDF5B" w14:textId="77777777" w:rsidTr="00715395">
        <w:trPr>
          <w:trHeight w:val="253"/>
        </w:trPr>
        <w:tc>
          <w:tcPr>
            <w:tcW w:w="2389" w:type="dxa"/>
          </w:tcPr>
          <w:p w14:paraId="2EE57113" w14:textId="42DAA5BF" w:rsidR="000B4C43" w:rsidRPr="00AB11D7" w:rsidRDefault="000B4C43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R</w:t>
            </w:r>
            <w:r w:rsidR="006A3DC5" w:rsidRPr="00AB11D7">
              <w:rPr>
                <w:spacing w:val="-2"/>
                <w:lang w:val="hu-HU"/>
              </w:rPr>
              <w:t>itka</w:t>
            </w:r>
            <w:r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32FA2F8" w14:textId="6DE9DE7D" w:rsidR="000B4C43" w:rsidRPr="00AB11D7" w:rsidRDefault="00AA3DDF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AB11D7">
              <w:rPr>
                <w:lang w:val="hu-HU"/>
              </w:rPr>
              <w:t>Étvágyzavar, tumorlízis-szindróma</w:t>
            </w:r>
          </w:p>
        </w:tc>
      </w:tr>
      <w:tr w:rsidR="000B4C43" w:rsidRPr="00AB11D7" w14:paraId="230A1C73" w14:textId="77777777" w:rsidTr="00715395">
        <w:trPr>
          <w:trHeight w:val="251"/>
        </w:trPr>
        <w:tc>
          <w:tcPr>
            <w:tcW w:w="9065" w:type="dxa"/>
            <w:gridSpan w:val="2"/>
          </w:tcPr>
          <w:p w14:paraId="2204890B" w14:textId="7A75BF25" w:rsidR="000B4C43" w:rsidRPr="00AB11D7" w:rsidRDefault="00D5313F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AB11D7">
              <w:rPr>
                <w:b/>
                <w:bCs/>
                <w:lang w:val="hu-HU"/>
              </w:rPr>
              <w:t>Pszichiátriai kórképek</w:t>
            </w:r>
          </w:p>
        </w:tc>
      </w:tr>
      <w:tr w:rsidR="000B4C43" w:rsidRPr="00AB11D7" w14:paraId="5DDCE67D" w14:textId="77777777" w:rsidTr="00715395">
        <w:trPr>
          <w:trHeight w:val="254"/>
        </w:trPr>
        <w:tc>
          <w:tcPr>
            <w:tcW w:w="2389" w:type="dxa"/>
          </w:tcPr>
          <w:p w14:paraId="55F23D1F" w14:textId="0B20AC57" w:rsidR="000B4C43" w:rsidRPr="00AB11D7" w:rsidRDefault="00D5313F" w:rsidP="00C619EF">
            <w:pPr>
              <w:pStyle w:val="TableParagraph"/>
              <w:spacing w:before="1" w:line="233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Gyakori</w:t>
            </w:r>
            <w:r w:rsidR="000B4C43"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91FA3D4" w14:textId="35125BD7" w:rsidR="000B4C43" w:rsidRPr="00AB11D7" w:rsidRDefault="00F96ABD" w:rsidP="00C619EF">
            <w:pPr>
              <w:pStyle w:val="TableParagraph"/>
              <w:spacing w:before="1" w:line="233" w:lineRule="exact"/>
              <w:rPr>
                <w:lang w:val="hu-HU"/>
              </w:rPr>
            </w:pPr>
            <w:r w:rsidRPr="00AB11D7">
              <w:rPr>
                <w:lang w:val="hu-HU"/>
              </w:rPr>
              <w:t>Depresszió, insomnia, szorongás</w:t>
            </w:r>
          </w:p>
        </w:tc>
      </w:tr>
      <w:tr w:rsidR="000B4C43" w:rsidRPr="00AB11D7" w14:paraId="163F0DF8" w14:textId="77777777" w:rsidTr="00715395">
        <w:trPr>
          <w:trHeight w:val="253"/>
        </w:trPr>
        <w:tc>
          <w:tcPr>
            <w:tcW w:w="2389" w:type="dxa"/>
          </w:tcPr>
          <w:p w14:paraId="7E832784" w14:textId="5062E320" w:rsidR="000B4C43" w:rsidRPr="00AB11D7" w:rsidRDefault="00D5313F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Nem gyakori</w:t>
            </w:r>
          </w:p>
        </w:tc>
        <w:tc>
          <w:tcPr>
            <w:tcW w:w="6676" w:type="dxa"/>
          </w:tcPr>
          <w:p w14:paraId="088FF88E" w14:textId="55E5491F" w:rsidR="000B4C43" w:rsidRPr="00AB11D7" w:rsidRDefault="00F96ABD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AB11D7">
              <w:rPr>
                <w:lang w:val="hu-HU"/>
              </w:rPr>
              <w:t>Amnesia, zavart állapot, dezorientáltság</w:t>
            </w:r>
          </w:p>
        </w:tc>
      </w:tr>
      <w:tr w:rsidR="000B4C43" w:rsidRPr="00AB11D7" w14:paraId="2237CD20" w14:textId="77777777" w:rsidTr="00715395">
        <w:trPr>
          <w:trHeight w:val="252"/>
        </w:trPr>
        <w:tc>
          <w:tcPr>
            <w:tcW w:w="2389" w:type="dxa"/>
          </w:tcPr>
          <w:p w14:paraId="0C07A748" w14:textId="4B76B1A6" w:rsidR="000B4C43" w:rsidRPr="00AB11D7" w:rsidRDefault="000B4C4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R</w:t>
            </w:r>
            <w:r w:rsidR="00D5313F" w:rsidRPr="00AB11D7">
              <w:rPr>
                <w:spacing w:val="-2"/>
                <w:lang w:val="hu-HU"/>
              </w:rPr>
              <w:t>itka</w:t>
            </w:r>
            <w:r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CA933E0" w14:textId="77777777" w:rsidR="000B4C43" w:rsidRPr="00AB11D7" w:rsidRDefault="000B4C4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Dysphoria</w:t>
            </w:r>
          </w:p>
        </w:tc>
      </w:tr>
      <w:tr w:rsidR="000B4C43" w:rsidRPr="00AB11D7" w14:paraId="1176952F" w14:textId="77777777" w:rsidTr="00715395">
        <w:trPr>
          <w:trHeight w:val="254"/>
        </w:trPr>
        <w:tc>
          <w:tcPr>
            <w:tcW w:w="9065" w:type="dxa"/>
            <w:gridSpan w:val="2"/>
          </w:tcPr>
          <w:p w14:paraId="51C519AB" w14:textId="585C500F" w:rsidR="000B4C43" w:rsidRPr="00AB11D7" w:rsidRDefault="00F96ABD" w:rsidP="00C619EF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AB11D7">
              <w:rPr>
                <w:b/>
                <w:bCs/>
                <w:lang w:val="hu-HU"/>
              </w:rPr>
              <w:t>Idegrendszeri betegségek és tünetek</w:t>
            </w:r>
          </w:p>
        </w:tc>
      </w:tr>
      <w:tr w:rsidR="000B4C43" w:rsidRPr="00AB11D7" w14:paraId="3BAE373C" w14:textId="77777777" w:rsidTr="00715395">
        <w:trPr>
          <w:trHeight w:val="251"/>
        </w:trPr>
        <w:tc>
          <w:tcPr>
            <w:tcW w:w="2389" w:type="dxa"/>
          </w:tcPr>
          <w:p w14:paraId="0D45DA4F" w14:textId="42C8E0D5" w:rsidR="000B4C43" w:rsidRPr="00AB11D7" w:rsidRDefault="00F96ABD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AB11D7">
              <w:rPr>
                <w:lang w:val="hu-HU"/>
              </w:rPr>
              <w:t>Nagyon gyakori</w:t>
            </w:r>
            <w:r w:rsidR="000B4C43"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BD4BEF2" w14:textId="421A148A" w:rsidR="000B4C43" w:rsidRPr="00AB11D7" w:rsidRDefault="00F96ABD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Fejfájás</w:t>
            </w:r>
          </w:p>
        </w:tc>
      </w:tr>
      <w:tr w:rsidR="000B4C43" w:rsidRPr="00AB11D7" w14:paraId="6A172B16" w14:textId="77777777" w:rsidTr="00715395">
        <w:trPr>
          <w:trHeight w:val="254"/>
        </w:trPr>
        <w:tc>
          <w:tcPr>
            <w:tcW w:w="2389" w:type="dxa"/>
          </w:tcPr>
          <w:p w14:paraId="2589D32A" w14:textId="32380F4B" w:rsidR="000B4C43" w:rsidRPr="00AB11D7" w:rsidRDefault="00F96ABD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AB11D7">
              <w:rPr>
                <w:spacing w:val="-2"/>
                <w:lang w:val="hu-HU"/>
              </w:rPr>
              <w:t>Gyakori</w:t>
            </w:r>
            <w:r w:rsidR="000B4C43" w:rsidRPr="00AB11D7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376A7FC" w14:textId="15313E7A" w:rsidR="000B4C43" w:rsidRPr="00AB11D7" w:rsidRDefault="00AB11D7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AB11D7">
              <w:rPr>
                <w:lang w:val="hu-HU"/>
              </w:rPr>
              <w:t>Szédülés, hypaesthesia, paraesthesia, migrén</w:t>
            </w:r>
          </w:p>
        </w:tc>
      </w:tr>
      <w:tr w:rsidR="000B4C43" w:rsidRPr="00DE4EB6" w14:paraId="5D397E40" w14:textId="77777777" w:rsidTr="00715395">
        <w:trPr>
          <w:trHeight w:val="1264"/>
        </w:trPr>
        <w:tc>
          <w:tcPr>
            <w:tcW w:w="2389" w:type="dxa"/>
          </w:tcPr>
          <w:p w14:paraId="15DCE235" w14:textId="58BB0632" w:rsidR="000B4C43" w:rsidRPr="00DE4EB6" w:rsidRDefault="00AB11D7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DE4EB6">
              <w:rPr>
                <w:lang w:val="hu-HU"/>
              </w:rPr>
              <w:t>Nem gyakori</w:t>
            </w:r>
            <w:r w:rsidR="000B4C43" w:rsidRPr="00DE4EB6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55DEBE5B" w14:textId="6A05C08F" w:rsidR="000B4C43" w:rsidRPr="00DE4EB6" w:rsidRDefault="00AB11D7" w:rsidP="00AB11D7">
            <w:pPr>
              <w:pStyle w:val="TableParagraph"/>
              <w:ind w:right="120"/>
              <w:rPr>
                <w:lang w:val="hu-HU"/>
              </w:rPr>
            </w:pPr>
            <w:r w:rsidRPr="00DE4EB6">
              <w:rPr>
                <w:lang w:val="hu-HU"/>
              </w:rPr>
              <w:t>Cerebrovascularis esemény, intracranialis/cerebralis haemorrhagia, ischaemiás stroke, transiens ischaemiás attack, agyi infarctus, tudatvesztés (beleértve az ájulást is), tremor, figyelemzavar, hyperaesthesia, dysaesthesia, letargia, perifériás neuropathia, nyugtalan láb szindróma, facialis paralysis</w:t>
            </w:r>
          </w:p>
        </w:tc>
      </w:tr>
      <w:tr w:rsidR="000B4C43" w:rsidRPr="00841B91" w14:paraId="75A70D85" w14:textId="77777777" w:rsidTr="00715395">
        <w:trPr>
          <w:trHeight w:val="253"/>
        </w:trPr>
        <w:tc>
          <w:tcPr>
            <w:tcW w:w="2389" w:type="dxa"/>
          </w:tcPr>
          <w:p w14:paraId="01AD4B40" w14:textId="6D1FAE19" w:rsidR="000B4C43" w:rsidRPr="00841B91" w:rsidRDefault="000B4C43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spacing w:val="-2"/>
                <w:lang w:val="hu-HU"/>
              </w:rPr>
              <w:t>R</w:t>
            </w:r>
            <w:r w:rsidR="00AB11D7" w:rsidRPr="00841B91">
              <w:rPr>
                <w:spacing w:val="-2"/>
                <w:lang w:val="hu-HU"/>
              </w:rPr>
              <w:t>itka</w:t>
            </w:r>
            <w:r w:rsidRPr="00841B91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02C7C3C" w14:textId="600F454E" w:rsidR="000B4C43" w:rsidRPr="00841B91" w:rsidRDefault="00E4146A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lang w:val="hu-HU"/>
              </w:rPr>
              <w:t>Basilaris artériás stenosis, agyi ödéma, látóideg-gyulladás</w:t>
            </w:r>
          </w:p>
        </w:tc>
      </w:tr>
      <w:tr w:rsidR="000B4C43" w:rsidRPr="00841B91" w14:paraId="40C02FFA" w14:textId="77777777" w:rsidTr="00715395">
        <w:trPr>
          <w:trHeight w:val="251"/>
        </w:trPr>
        <w:tc>
          <w:tcPr>
            <w:tcW w:w="9065" w:type="dxa"/>
            <w:gridSpan w:val="2"/>
          </w:tcPr>
          <w:p w14:paraId="24BEA4AC" w14:textId="5EADFE73" w:rsidR="000B4C43" w:rsidRPr="00841B91" w:rsidRDefault="00E4146A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841B91">
              <w:rPr>
                <w:b/>
                <w:bCs/>
                <w:lang w:val="hu-HU"/>
              </w:rPr>
              <w:t>Szembetegségek és szemészeti tünetek</w:t>
            </w:r>
          </w:p>
        </w:tc>
      </w:tr>
      <w:tr w:rsidR="000B4C43" w:rsidRPr="00841B91" w14:paraId="07EDED77" w14:textId="77777777" w:rsidTr="00715395">
        <w:trPr>
          <w:trHeight w:val="506"/>
        </w:trPr>
        <w:tc>
          <w:tcPr>
            <w:tcW w:w="2389" w:type="dxa"/>
          </w:tcPr>
          <w:p w14:paraId="27FD6D54" w14:textId="54559A4B" w:rsidR="000B4C43" w:rsidRPr="00841B91" w:rsidRDefault="00E4146A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841B91">
              <w:rPr>
                <w:lang w:val="hu-HU"/>
              </w:rPr>
              <w:t>Gyakori</w:t>
            </w:r>
            <w:r w:rsidR="000B4C43" w:rsidRPr="00841B91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057EB62" w14:textId="1F9B62DC" w:rsidR="000B4C43" w:rsidRPr="00841B91" w:rsidRDefault="00E914CB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841B91">
              <w:rPr>
                <w:rFonts w:ascii="Times New Roman" w:hAnsi="Times New Roman" w:cs="Times New Roman"/>
                <w:kern w:val="0"/>
              </w:rPr>
              <w:t>Conjunctivitis, szemszárazság, (beleértve a xerophthalmiát is), szemirritáció, hyperaemia (sclera</w:t>
            </w:r>
            <w:r w:rsidR="00551759">
              <w:rPr>
                <w:rFonts w:ascii="Times New Roman" w:hAnsi="Times New Roman" w:cs="Times New Roman"/>
                <w:kern w:val="0"/>
              </w:rPr>
              <w:t>lis</w:t>
            </w:r>
            <w:r w:rsidRPr="00841B91">
              <w:rPr>
                <w:rFonts w:ascii="Times New Roman" w:hAnsi="Times New Roman" w:cs="Times New Roman"/>
                <w:kern w:val="0"/>
              </w:rPr>
              <w:t>, conjunctivalis, ocularis), homályos látás</w:t>
            </w:r>
          </w:p>
        </w:tc>
      </w:tr>
      <w:tr w:rsidR="000B4C43" w:rsidRPr="00841B91" w14:paraId="19870B65" w14:textId="77777777" w:rsidTr="00715395">
        <w:trPr>
          <w:trHeight w:val="1010"/>
        </w:trPr>
        <w:tc>
          <w:tcPr>
            <w:tcW w:w="2389" w:type="dxa"/>
          </w:tcPr>
          <w:p w14:paraId="4DBBA00F" w14:textId="50571ABB" w:rsidR="000B4C43" w:rsidRPr="00841B91" w:rsidRDefault="00E914CB" w:rsidP="00C619EF">
            <w:pPr>
              <w:pStyle w:val="TableParagraph"/>
              <w:spacing w:line="250" w:lineRule="exact"/>
              <w:rPr>
                <w:lang w:val="hu-HU"/>
              </w:rPr>
            </w:pPr>
            <w:r w:rsidRPr="00841B91">
              <w:rPr>
                <w:lang w:val="hu-HU"/>
              </w:rPr>
              <w:t>Nem gyakori</w:t>
            </w:r>
            <w:r w:rsidR="000B4C43" w:rsidRPr="00841B91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1F83146" w14:textId="065027C8" w:rsidR="000B4C43" w:rsidRPr="00841B91" w:rsidRDefault="00E914CB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841B91">
              <w:rPr>
                <w:rFonts w:ascii="Times New Roman" w:hAnsi="Times New Roman" w:cs="Times New Roman"/>
                <w:kern w:val="0"/>
              </w:rPr>
              <w:t>Látásromlás, conjunctivális vérzés, csökkent látásélesség, szemhéjödéma, blepharitis, photopsia, allergiás conjunctivitis, diplopia, szembevérzés, szemfájdalom, szemviszketés, szemduzzanat, a szemfelszín betegsége, periorbitalis ödéma, photophobia</w:t>
            </w:r>
          </w:p>
        </w:tc>
      </w:tr>
      <w:tr w:rsidR="000B4C43" w:rsidRPr="00841B91" w14:paraId="440DD5B4" w14:textId="77777777" w:rsidTr="00715395">
        <w:trPr>
          <w:trHeight w:val="253"/>
        </w:trPr>
        <w:tc>
          <w:tcPr>
            <w:tcW w:w="2389" w:type="dxa"/>
          </w:tcPr>
          <w:p w14:paraId="6CCCE7AC" w14:textId="7BFC04FA" w:rsidR="000B4C43" w:rsidRPr="00841B91" w:rsidRDefault="000B4C43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spacing w:val="-2"/>
                <w:lang w:val="hu-HU"/>
              </w:rPr>
              <w:t>R</w:t>
            </w:r>
            <w:r w:rsidR="00E914CB" w:rsidRPr="00841B91">
              <w:rPr>
                <w:spacing w:val="-2"/>
                <w:lang w:val="hu-HU"/>
              </w:rPr>
              <w:t>itka</w:t>
            </w:r>
            <w:r w:rsidRPr="00841B91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BE0A45A" w14:textId="72F6E92B" w:rsidR="000B4C43" w:rsidRPr="00841B91" w:rsidRDefault="0095780E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lang w:val="hu-HU"/>
              </w:rPr>
              <w:t>Chorioretinopathia, papillaoedema</w:t>
            </w:r>
          </w:p>
        </w:tc>
      </w:tr>
      <w:tr w:rsidR="006B2020" w:rsidRPr="00841B91" w14:paraId="25F46D7C" w14:textId="77777777" w:rsidTr="00C619EF">
        <w:trPr>
          <w:trHeight w:val="253"/>
        </w:trPr>
        <w:tc>
          <w:tcPr>
            <w:tcW w:w="9065" w:type="dxa"/>
            <w:gridSpan w:val="2"/>
          </w:tcPr>
          <w:p w14:paraId="4FD127E5" w14:textId="65FF764B" w:rsidR="006B2020" w:rsidRPr="00841B91" w:rsidRDefault="00576FDA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b/>
                <w:lang w:val="hu-HU"/>
              </w:rPr>
              <w:t>A fül és az egyensúly-érzékelő szerv betegségei és tünetei</w:t>
            </w:r>
          </w:p>
        </w:tc>
      </w:tr>
      <w:tr w:rsidR="00715395" w:rsidRPr="00841B91" w14:paraId="583365C0" w14:textId="77777777" w:rsidTr="00715395">
        <w:trPr>
          <w:trHeight w:val="253"/>
        </w:trPr>
        <w:tc>
          <w:tcPr>
            <w:tcW w:w="2389" w:type="dxa"/>
          </w:tcPr>
          <w:p w14:paraId="62E58B4A" w14:textId="0AADAC43" w:rsidR="00715395" w:rsidRPr="00841B91" w:rsidRDefault="00501007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841B91">
              <w:rPr>
                <w:spacing w:val="-2"/>
                <w:lang w:val="hu-HU"/>
              </w:rPr>
              <w:t>Gyakori</w:t>
            </w:r>
            <w:r w:rsidR="00715395" w:rsidRPr="00841B91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B1D903E" w14:textId="17C86A99" w:rsidR="00715395" w:rsidRPr="00841B91" w:rsidRDefault="00C744AA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lang w:val="hu-HU"/>
              </w:rPr>
              <w:t>Vertigo, fülfájdalom, tinnitus</w:t>
            </w:r>
          </w:p>
        </w:tc>
      </w:tr>
      <w:tr w:rsidR="00715395" w:rsidRPr="00841B91" w14:paraId="5DA0B407" w14:textId="77777777" w:rsidTr="00715395">
        <w:trPr>
          <w:trHeight w:val="253"/>
        </w:trPr>
        <w:tc>
          <w:tcPr>
            <w:tcW w:w="2389" w:type="dxa"/>
          </w:tcPr>
          <w:p w14:paraId="5CC40458" w14:textId="2B0532B4" w:rsidR="00715395" w:rsidRPr="00841B91" w:rsidRDefault="0082199A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841B91">
              <w:rPr>
                <w:spacing w:val="-2"/>
                <w:lang w:val="hu-HU"/>
              </w:rPr>
              <w:t>Nem gyakori</w:t>
            </w:r>
            <w:r w:rsidR="00715395" w:rsidRPr="00841B91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66E79735" w14:textId="5EB6A987" w:rsidR="00715395" w:rsidRPr="00841B91" w:rsidRDefault="00C744AA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lang w:val="hu-HU"/>
              </w:rPr>
              <w:t>Halláskárosodás (hypacusis)</w:t>
            </w:r>
          </w:p>
        </w:tc>
      </w:tr>
      <w:tr w:rsidR="002E499E" w:rsidRPr="00841B91" w14:paraId="12B000A6" w14:textId="77777777" w:rsidTr="00C619EF">
        <w:trPr>
          <w:trHeight w:val="253"/>
        </w:trPr>
        <w:tc>
          <w:tcPr>
            <w:tcW w:w="9065" w:type="dxa"/>
            <w:gridSpan w:val="2"/>
          </w:tcPr>
          <w:p w14:paraId="2095176A" w14:textId="72460979" w:rsidR="002E499E" w:rsidRPr="00841B91" w:rsidRDefault="007B1107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841B91">
              <w:rPr>
                <w:b/>
                <w:bCs/>
                <w:lang w:val="hu-HU"/>
              </w:rPr>
              <w:t>Szívbetegségek és a szívvel kapcsolatos tünetek</w:t>
            </w:r>
          </w:p>
        </w:tc>
      </w:tr>
      <w:tr w:rsidR="00715395" w:rsidRPr="000652CD" w14:paraId="71AB3122" w14:textId="77777777" w:rsidTr="00715395">
        <w:trPr>
          <w:trHeight w:val="253"/>
        </w:trPr>
        <w:tc>
          <w:tcPr>
            <w:tcW w:w="2389" w:type="dxa"/>
          </w:tcPr>
          <w:p w14:paraId="52BD448D" w14:textId="5F536146" w:rsidR="00715395" w:rsidRPr="000652CD" w:rsidRDefault="007B1107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1FBBDBF" w14:textId="41363F2C" w:rsidR="00715395" w:rsidRPr="000652CD" w:rsidRDefault="00F13A4D" w:rsidP="00F13A4D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Angina pectoris, arrhythmia (beleértve az atrioventricularis blokkot, a cardialis fluttert, a kamrai extrasystolekat, tachycardiát, pitvarfibrillatiót, bradycardiát is), palpitatio, QT-megnyúlás az EKG-n, koszorúér-betegség</w:t>
            </w:r>
          </w:p>
        </w:tc>
      </w:tr>
      <w:tr w:rsidR="00715395" w:rsidRPr="000652CD" w14:paraId="051F90C6" w14:textId="77777777" w:rsidTr="00715395">
        <w:trPr>
          <w:trHeight w:val="253"/>
        </w:trPr>
        <w:tc>
          <w:tcPr>
            <w:tcW w:w="2389" w:type="dxa"/>
          </w:tcPr>
          <w:p w14:paraId="0E238F4A" w14:textId="0D5610BC" w:rsidR="00715395" w:rsidRPr="000652CD" w:rsidRDefault="007B1107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53CB605" w14:textId="45CD6D60" w:rsidR="00715395" w:rsidRPr="000652CD" w:rsidRDefault="00AC2ED8" w:rsidP="00AC2ED8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Myocardialis infarctus, szívzörej, pericardialis folyadékgyülem, szívelégtelenség, diastolés dysfunctio, balszárblokk, pericarditis</w:t>
            </w:r>
          </w:p>
        </w:tc>
      </w:tr>
      <w:tr w:rsidR="00715395" w:rsidRPr="000652CD" w14:paraId="1E6F8319" w14:textId="77777777" w:rsidTr="00715395">
        <w:trPr>
          <w:trHeight w:val="253"/>
        </w:trPr>
        <w:tc>
          <w:tcPr>
            <w:tcW w:w="2389" w:type="dxa"/>
          </w:tcPr>
          <w:p w14:paraId="1B76B718" w14:textId="63D8953E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7B1107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45AE77D" w14:textId="099199A9" w:rsidR="00715395" w:rsidRPr="000652CD" w:rsidRDefault="001E0106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Cyanosis, csökkent ejekciós frakció</w:t>
            </w:r>
          </w:p>
        </w:tc>
      </w:tr>
      <w:tr w:rsidR="00715395" w:rsidRPr="000652CD" w14:paraId="45FD1DBC" w14:textId="77777777" w:rsidTr="00715395">
        <w:trPr>
          <w:trHeight w:val="253"/>
        </w:trPr>
        <w:tc>
          <w:tcPr>
            <w:tcW w:w="2389" w:type="dxa"/>
          </w:tcPr>
          <w:p w14:paraId="17729EB4" w14:textId="365EE11E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lang w:val="hu-HU"/>
              </w:rPr>
              <w:t>N</w:t>
            </w:r>
            <w:r w:rsidR="007B1107" w:rsidRPr="000652CD">
              <w:rPr>
                <w:lang w:val="hu-HU"/>
              </w:rPr>
              <w:t xml:space="preserve">em </w:t>
            </w:r>
            <w:r w:rsidR="001E0106" w:rsidRPr="000652CD">
              <w:rPr>
                <w:lang w:val="hu-HU"/>
              </w:rPr>
              <w:t>is</w:t>
            </w:r>
            <w:r w:rsidR="007B1107" w:rsidRPr="000652CD">
              <w:rPr>
                <w:lang w:val="hu-HU"/>
              </w:rPr>
              <w:t>mert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33F145E" w14:textId="492AF0EE" w:rsidR="00715395" w:rsidRPr="000652CD" w:rsidRDefault="00B909DA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Ventricularis dysfunctio</w:t>
            </w:r>
          </w:p>
        </w:tc>
      </w:tr>
      <w:tr w:rsidR="002E499E" w:rsidRPr="000652CD" w14:paraId="2910E600" w14:textId="77777777" w:rsidTr="00C619EF">
        <w:trPr>
          <w:trHeight w:val="253"/>
        </w:trPr>
        <w:tc>
          <w:tcPr>
            <w:tcW w:w="9065" w:type="dxa"/>
            <w:gridSpan w:val="2"/>
          </w:tcPr>
          <w:p w14:paraId="0F28BE15" w14:textId="1287D3E1" w:rsidR="002E499E" w:rsidRPr="000652CD" w:rsidRDefault="000946CA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bCs/>
                <w:lang w:val="hu-HU"/>
              </w:rPr>
              <w:t>Érbetegségek és tünetek</w:t>
            </w:r>
          </w:p>
        </w:tc>
      </w:tr>
      <w:tr w:rsidR="00715395" w:rsidRPr="000652CD" w14:paraId="0C3AD019" w14:textId="77777777" w:rsidTr="00715395">
        <w:trPr>
          <w:trHeight w:val="253"/>
        </w:trPr>
        <w:tc>
          <w:tcPr>
            <w:tcW w:w="2389" w:type="dxa"/>
          </w:tcPr>
          <w:p w14:paraId="4B8BB6B0" w14:textId="308120BC" w:rsidR="00715395" w:rsidRPr="000652CD" w:rsidRDefault="000946CA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</w:p>
        </w:tc>
        <w:tc>
          <w:tcPr>
            <w:tcW w:w="6676" w:type="dxa"/>
          </w:tcPr>
          <w:p w14:paraId="49EC6065" w14:textId="79E570A4" w:rsidR="00715395" w:rsidRPr="000652CD" w:rsidRDefault="007F6FC0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Hypert</w:t>
            </w:r>
            <w:r w:rsidR="001D399B">
              <w:rPr>
                <w:lang w:val="hu-HU"/>
              </w:rPr>
              <w:t>e</w:t>
            </w:r>
            <w:r w:rsidRPr="000652CD">
              <w:rPr>
                <w:lang w:val="hu-HU"/>
              </w:rPr>
              <w:t>n</w:t>
            </w:r>
            <w:r w:rsidR="001D399B">
              <w:rPr>
                <w:lang w:val="hu-HU"/>
              </w:rPr>
              <w:t>sio</w:t>
            </w:r>
            <w:r w:rsidRPr="000652CD">
              <w:rPr>
                <w:lang w:val="hu-HU"/>
              </w:rPr>
              <w:t>, kipirulás, okkluzív perifériás verőérbetegség</w:t>
            </w:r>
          </w:p>
        </w:tc>
      </w:tr>
      <w:tr w:rsidR="00715395" w:rsidRPr="000652CD" w14:paraId="64A81B53" w14:textId="77777777" w:rsidTr="00715395">
        <w:trPr>
          <w:trHeight w:val="253"/>
        </w:trPr>
        <w:tc>
          <w:tcPr>
            <w:tcW w:w="2389" w:type="dxa"/>
          </w:tcPr>
          <w:p w14:paraId="63EE9C71" w14:textId="6E63C479" w:rsidR="00715395" w:rsidRPr="000652CD" w:rsidRDefault="000946CA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CBC9DD1" w14:textId="77777777" w:rsidR="007F6FC0" w:rsidRPr="000652CD" w:rsidRDefault="007F6FC0" w:rsidP="007F6FC0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Hypertoniás krízis, claudicatio intermittens, perifériás artéria szűkülete,</w:t>
            </w:r>
          </w:p>
          <w:p w14:paraId="53F477E3" w14:textId="554BF11A" w:rsidR="00715395" w:rsidRPr="000652CD" w:rsidRDefault="007F6FC0" w:rsidP="007F6FC0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 xml:space="preserve">haematoma, arteriosclerosis, </w:t>
            </w:r>
            <w:r w:rsidR="000D0815" w:rsidRPr="000652CD">
              <w:rPr>
                <w:lang w:val="hu-HU"/>
              </w:rPr>
              <w:t>hypot</w:t>
            </w:r>
            <w:r w:rsidR="000D0815">
              <w:rPr>
                <w:lang w:val="hu-HU"/>
              </w:rPr>
              <w:t>ensio</w:t>
            </w:r>
            <w:r w:rsidRPr="000652CD">
              <w:rPr>
                <w:lang w:val="hu-HU"/>
              </w:rPr>
              <w:t>, thrombosis</w:t>
            </w:r>
          </w:p>
        </w:tc>
      </w:tr>
      <w:tr w:rsidR="00715395" w:rsidRPr="000652CD" w14:paraId="618C42E3" w14:textId="77777777" w:rsidTr="00715395">
        <w:trPr>
          <w:trHeight w:val="253"/>
        </w:trPr>
        <w:tc>
          <w:tcPr>
            <w:tcW w:w="2389" w:type="dxa"/>
          </w:tcPr>
          <w:p w14:paraId="235DC43B" w14:textId="57D364B1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0946CA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5F3DD11E" w14:textId="6518CE7B" w:rsidR="00715395" w:rsidRPr="000652CD" w:rsidRDefault="007F6FC0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Haemorrhagiás shock</w:t>
            </w:r>
          </w:p>
        </w:tc>
      </w:tr>
      <w:tr w:rsidR="002E499E" w:rsidRPr="000652CD" w14:paraId="23238DD5" w14:textId="77777777" w:rsidTr="00C619EF">
        <w:trPr>
          <w:trHeight w:val="253"/>
        </w:trPr>
        <w:tc>
          <w:tcPr>
            <w:tcW w:w="9065" w:type="dxa"/>
            <w:gridSpan w:val="2"/>
          </w:tcPr>
          <w:p w14:paraId="3D4BE1D5" w14:textId="51B24BFE" w:rsidR="002E499E" w:rsidRPr="000652CD" w:rsidRDefault="002C733E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lang w:val="hu-HU"/>
              </w:rPr>
              <w:t>Légzőrendszeri, mellkasi és mediastinalis betegségek és tünetek</w:t>
            </w:r>
          </w:p>
        </w:tc>
      </w:tr>
      <w:tr w:rsidR="00715395" w:rsidRPr="000652CD" w14:paraId="40C097A8" w14:textId="77777777" w:rsidTr="00715395">
        <w:trPr>
          <w:trHeight w:val="253"/>
        </w:trPr>
        <w:tc>
          <w:tcPr>
            <w:tcW w:w="2389" w:type="dxa"/>
          </w:tcPr>
          <w:p w14:paraId="40188C9C" w14:textId="79B76448" w:rsidR="00715395" w:rsidRPr="000652CD" w:rsidRDefault="002C733E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lang w:val="hu-HU"/>
              </w:rPr>
              <w:t>Nagyon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8D7255A" w14:textId="44312E09" w:rsidR="00715395" w:rsidRPr="000652CD" w:rsidRDefault="002C733E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Köhögés</w:t>
            </w:r>
          </w:p>
        </w:tc>
      </w:tr>
      <w:tr w:rsidR="00715395" w:rsidRPr="000652CD" w14:paraId="00B330C9" w14:textId="77777777" w:rsidTr="00715395">
        <w:trPr>
          <w:trHeight w:val="253"/>
        </w:trPr>
        <w:tc>
          <w:tcPr>
            <w:tcW w:w="2389" w:type="dxa"/>
          </w:tcPr>
          <w:p w14:paraId="133A49A0" w14:textId="70759763" w:rsidR="00715395" w:rsidRPr="000652CD" w:rsidRDefault="002C733E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E2731ED" w14:textId="76707A76" w:rsidR="00715395" w:rsidRPr="000652CD" w:rsidRDefault="00873274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lang w:val="hu-HU"/>
              </w:rPr>
              <w:t>Dyspnoe, terhelésre jelentkező dyspnoe, epistaxis, oropharyngealis fájdalom</w:t>
            </w:r>
          </w:p>
        </w:tc>
      </w:tr>
      <w:tr w:rsidR="00715395" w:rsidRPr="000652CD" w14:paraId="6E9E9361" w14:textId="77777777" w:rsidTr="00715395">
        <w:trPr>
          <w:trHeight w:val="253"/>
        </w:trPr>
        <w:tc>
          <w:tcPr>
            <w:tcW w:w="2389" w:type="dxa"/>
          </w:tcPr>
          <w:p w14:paraId="09B054E6" w14:textId="461B9FB4" w:rsidR="00715395" w:rsidRPr="000652CD" w:rsidRDefault="002C733E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CB59EEC" w14:textId="5D6D6250" w:rsidR="00715395" w:rsidRPr="000652CD" w:rsidRDefault="00C20CB9" w:rsidP="00C20CB9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 xml:space="preserve">Tüdőödéma, pleuralis folyadékgyülem, interstitialis tüdőbetegség, pleuralis fájdalom, pleuritis, torokirritáció, dysphonia, pulmonalis </w:t>
            </w:r>
            <w:r w:rsidR="000D0815" w:rsidRPr="000652CD">
              <w:rPr>
                <w:lang w:val="hu-HU"/>
              </w:rPr>
              <w:t>hypert</w:t>
            </w:r>
            <w:r w:rsidR="000D0815">
              <w:rPr>
                <w:lang w:val="hu-HU"/>
              </w:rPr>
              <w:t>ensio</w:t>
            </w:r>
            <w:r w:rsidRPr="000652CD">
              <w:rPr>
                <w:lang w:val="hu-HU"/>
              </w:rPr>
              <w:t>, sípoló légzés</w:t>
            </w:r>
          </w:p>
        </w:tc>
      </w:tr>
      <w:tr w:rsidR="00715395" w:rsidRPr="000652CD" w14:paraId="52D289A0" w14:textId="77777777" w:rsidTr="00715395">
        <w:trPr>
          <w:trHeight w:val="253"/>
        </w:trPr>
        <w:tc>
          <w:tcPr>
            <w:tcW w:w="2389" w:type="dxa"/>
          </w:tcPr>
          <w:p w14:paraId="3F1ADF4D" w14:textId="77580A28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2C733E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4F55535" w14:textId="048212D5" w:rsidR="00715395" w:rsidRPr="000652CD" w:rsidRDefault="000C3581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Pharyngolaryngealis fájdalom</w:t>
            </w:r>
          </w:p>
        </w:tc>
      </w:tr>
      <w:tr w:rsidR="007B1487" w:rsidRPr="000652CD" w14:paraId="32C9D21E" w14:textId="77777777" w:rsidTr="00C619EF">
        <w:trPr>
          <w:trHeight w:val="253"/>
        </w:trPr>
        <w:tc>
          <w:tcPr>
            <w:tcW w:w="9065" w:type="dxa"/>
            <w:gridSpan w:val="2"/>
          </w:tcPr>
          <w:p w14:paraId="50B45FBE" w14:textId="6BB945FB" w:rsidR="007B1487" w:rsidRPr="000652CD" w:rsidRDefault="0091454C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lang w:val="hu-HU"/>
              </w:rPr>
              <w:t>Emésztőrendszeri betegségek és tünetek</w:t>
            </w:r>
          </w:p>
        </w:tc>
      </w:tr>
      <w:tr w:rsidR="00715395" w:rsidRPr="000652CD" w14:paraId="4D12D2FA" w14:textId="77777777" w:rsidTr="00715395">
        <w:trPr>
          <w:trHeight w:val="253"/>
        </w:trPr>
        <w:tc>
          <w:tcPr>
            <w:tcW w:w="2389" w:type="dxa"/>
          </w:tcPr>
          <w:p w14:paraId="62DDC2AC" w14:textId="5A7A2919" w:rsidR="00715395" w:rsidRPr="000652CD" w:rsidRDefault="0091454C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lang w:val="hu-HU"/>
              </w:rPr>
              <w:t>Nagyon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0822D5A" w14:textId="05363264" w:rsidR="00715395" w:rsidRPr="000652CD" w:rsidRDefault="00ED3A91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Hányinger, felhasi fájdalom, székrekedés, hasmenés, hányás</w:t>
            </w:r>
          </w:p>
        </w:tc>
      </w:tr>
      <w:tr w:rsidR="00715395" w:rsidRPr="000652CD" w14:paraId="561A5B45" w14:textId="77777777" w:rsidTr="00715395">
        <w:trPr>
          <w:trHeight w:val="253"/>
        </w:trPr>
        <w:tc>
          <w:tcPr>
            <w:tcW w:w="2389" w:type="dxa"/>
          </w:tcPr>
          <w:p w14:paraId="4DA0B195" w14:textId="2F347293" w:rsidR="00715395" w:rsidRPr="000652CD" w:rsidRDefault="0091454C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8C985AF" w14:textId="65B4E9A8" w:rsidR="00715395" w:rsidRPr="000652CD" w:rsidRDefault="00ED3A91" w:rsidP="00ED3A91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Pancreatitis, hasi diszkomfort, hasi disztenzió, flatulentia, abdominalis fájdalom, dyspepsia, gastritis, gastrooesophagealis reflux, aranyerek, stomatitis</w:t>
            </w:r>
          </w:p>
        </w:tc>
      </w:tr>
      <w:tr w:rsidR="00715395" w:rsidRPr="000652CD" w14:paraId="789EB77B" w14:textId="77777777" w:rsidTr="00715395">
        <w:trPr>
          <w:trHeight w:val="253"/>
        </w:trPr>
        <w:tc>
          <w:tcPr>
            <w:tcW w:w="2389" w:type="dxa"/>
          </w:tcPr>
          <w:p w14:paraId="1ED8E08E" w14:textId="2E2E8CCB" w:rsidR="00715395" w:rsidRPr="000652CD" w:rsidRDefault="0091454C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12B63C2" w14:textId="105E0C3C" w:rsidR="00715395" w:rsidRPr="000652CD" w:rsidRDefault="00ED3A91" w:rsidP="00ED3A91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Gastrointestinalis vérzés, melaena, szájüregi fekélyek, nyelőcsőfájdalom, szájszárazság, a fogak érzékenysége (hyperaesthesia dentinalis), dysgeusia, enterocolitis, gyomorfekély, gingivitis, hiatus hernia, rectalis vérzés</w:t>
            </w:r>
          </w:p>
        </w:tc>
      </w:tr>
      <w:tr w:rsidR="00715395" w:rsidRPr="000652CD" w14:paraId="1AE4D7B0" w14:textId="77777777" w:rsidTr="00715395">
        <w:trPr>
          <w:trHeight w:val="253"/>
        </w:trPr>
        <w:tc>
          <w:tcPr>
            <w:tcW w:w="2389" w:type="dxa"/>
          </w:tcPr>
          <w:p w14:paraId="453DF832" w14:textId="0FA67637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lastRenderedPageBreak/>
              <w:t>R</w:t>
            </w:r>
            <w:r w:rsidR="0091454C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56766EF" w14:textId="4861782B" w:rsidR="00715395" w:rsidRPr="000652CD" w:rsidRDefault="00BC4FA6" w:rsidP="00BC4FA6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Gastrointestinalis fekély perforatio, haematemesis, nyelőcsőfekély,</w:t>
            </w:r>
            <w:r w:rsidR="00B855E2">
              <w:rPr>
                <w:lang w:val="hu-HU"/>
              </w:rPr>
              <w:t xml:space="preserve"> </w:t>
            </w:r>
            <w:r w:rsidRPr="000652CD">
              <w:rPr>
                <w:lang w:val="hu-HU"/>
              </w:rPr>
              <w:t>oesophagitis ulcerosa, retroperitonealis vérzés, subileus</w:t>
            </w:r>
          </w:p>
        </w:tc>
      </w:tr>
      <w:tr w:rsidR="007B1487" w:rsidRPr="000652CD" w14:paraId="6DAB0373" w14:textId="77777777" w:rsidTr="00C619EF">
        <w:trPr>
          <w:trHeight w:val="253"/>
        </w:trPr>
        <w:tc>
          <w:tcPr>
            <w:tcW w:w="9065" w:type="dxa"/>
            <w:gridSpan w:val="2"/>
          </w:tcPr>
          <w:p w14:paraId="5E7FF370" w14:textId="7A25AFEE" w:rsidR="007B1487" w:rsidRPr="000652CD" w:rsidRDefault="00D90080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bCs/>
                <w:lang w:val="hu-HU"/>
              </w:rPr>
              <w:t>Máj- és epebetegségek, illetve tünetek</w:t>
            </w:r>
          </w:p>
        </w:tc>
      </w:tr>
      <w:tr w:rsidR="00715395" w:rsidRPr="000652CD" w14:paraId="00703BE0" w14:textId="77777777" w:rsidTr="00715395">
        <w:trPr>
          <w:trHeight w:val="253"/>
        </w:trPr>
        <w:tc>
          <w:tcPr>
            <w:tcW w:w="2389" w:type="dxa"/>
          </w:tcPr>
          <w:p w14:paraId="7E955C95" w14:textId="0F121D4C" w:rsidR="00715395" w:rsidRPr="000652CD" w:rsidRDefault="00D90080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lang w:val="hu-HU"/>
              </w:rPr>
              <w:t>Nagyon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30DB89D" w14:textId="73F03494" w:rsidR="00715395" w:rsidRPr="000652CD" w:rsidRDefault="009A195D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Hyperbilirubinaemia (beleértve a vér bilirubinszintjének emelkedését is</w:t>
            </w:r>
            <w:r w:rsidR="00715395" w:rsidRPr="000652CD">
              <w:rPr>
                <w:spacing w:val="-2"/>
                <w:lang w:val="hu-HU"/>
              </w:rPr>
              <w:t>)</w:t>
            </w:r>
          </w:p>
        </w:tc>
      </w:tr>
      <w:tr w:rsidR="00715395" w:rsidRPr="000652CD" w14:paraId="128762E7" w14:textId="77777777" w:rsidTr="00715395">
        <w:trPr>
          <w:trHeight w:val="253"/>
        </w:trPr>
        <w:tc>
          <w:tcPr>
            <w:tcW w:w="2389" w:type="dxa"/>
          </w:tcPr>
          <w:p w14:paraId="4BE1ADB1" w14:textId="6AB168A1" w:rsidR="00715395" w:rsidRPr="000652CD" w:rsidRDefault="00D90080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BD12BBB" w14:textId="4439AECF" w:rsidR="00715395" w:rsidRPr="000652CD" w:rsidRDefault="009A195D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Kóros májfunkció</w:t>
            </w:r>
          </w:p>
        </w:tc>
      </w:tr>
      <w:tr w:rsidR="00715395" w:rsidRPr="000652CD" w14:paraId="3C091D7E" w14:textId="77777777" w:rsidTr="00715395">
        <w:trPr>
          <w:trHeight w:val="253"/>
        </w:trPr>
        <w:tc>
          <w:tcPr>
            <w:tcW w:w="2389" w:type="dxa"/>
          </w:tcPr>
          <w:p w14:paraId="3026EB01" w14:textId="185944CC" w:rsidR="00715395" w:rsidRPr="000652CD" w:rsidRDefault="00D90080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60126066" w14:textId="56EB2B92" w:rsidR="00715395" w:rsidRPr="000652CD" w:rsidRDefault="009A195D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Hepatotoxicitás, toxicus hepatitis, icterus, cholestasis, hepatomegalia</w:t>
            </w:r>
          </w:p>
        </w:tc>
      </w:tr>
      <w:tr w:rsidR="00D522E5" w:rsidRPr="000652CD" w14:paraId="44CEE0E5" w14:textId="77777777" w:rsidTr="00C619EF">
        <w:trPr>
          <w:trHeight w:val="253"/>
        </w:trPr>
        <w:tc>
          <w:tcPr>
            <w:tcW w:w="9065" w:type="dxa"/>
            <w:gridSpan w:val="2"/>
          </w:tcPr>
          <w:p w14:paraId="05CDD772" w14:textId="402A448D" w:rsidR="00D522E5" w:rsidRPr="000652CD" w:rsidRDefault="005D411D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lang w:val="hu-HU"/>
              </w:rPr>
              <w:t>A bőr és a bőr alatti szövet betegségei és tünetei</w:t>
            </w:r>
          </w:p>
        </w:tc>
      </w:tr>
      <w:tr w:rsidR="00715395" w:rsidRPr="000652CD" w14:paraId="57668355" w14:textId="77777777" w:rsidTr="00715395">
        <w:trPr>
          <w:trHeight w:val="253"/>
        </w:trPr>
        <w:tc>
          <w:tcPr>
            <w:tcW w:w="2389" w:type="dxa"/>
          </w:tcPr>
          <w:p w14:paraId="504B7114" w14:textId="454B3B2C" w:rsidR="00715395" w:rsidRPr="000652CD" w:rsidRDefault="005D411D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lang w:val="hu-HU"/>
              </w:rPr>
              <w:t>Nagyon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93DEAD2" w14:textId="5F9C78F5" w:rsidR="00715395" w:rsidRPr="000652CD" w:rsidRDefault="000E07CC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Kiütés, viszketés, alopecia</w:t>
            </w:r>
          </w:p>
        </w:tc>
      </w:tr>
      <w:tr w:rsidR="00715395" w:rsidRPr="000652CD" w14:paraId="0300649C" w14:textId="77777777" w:rsidTr="00715395">
        <w:trPr>
          <w:trHeight w:val="253"/>
        </w:trPr>
        <w:tc>
          <w:tcPr>
            <w:tcW w:w="2389" w:type="dxa"/>
          </w:tcPr>
          <w:p w14:paraId="2E979222" w14:textId="00DEC3D8" w:rsidR="00715395" w:rsidRPr="000652CD" w:rsidRDefault="005D411D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</w:p>
        </w:tc>
        <w:tc>
          <w:tcPr>
            <w:tcW w:w="6676" w:type="dxa"/>
          </w:tcPr>
          <w:p w14:paraId="07CDF36D" w14:textId="44C60854" w:rsidR="00715395" w:rsidRPr="000652CD" w:rsidRDefault="00B01F16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Éjszakai izzadás, ekcéma, csalánkiütés, hyperhidrosis, véraláfutás, acne, dermatitis (beleértve az allergiás dermatitist, az exfoliativ dermatitist és a dermatitis acneiformist is), száraz bőr, erythema</w:t>
            </w:r>
          </w:p>
        </w:tc>
      </w:tr>
      <w:tr w:rsidR="00715395" w:rsidRPr="000652CD" w14:paraId="0FD5F72E" w14:textId="77777777" w:rsidTr="00715395">
        <w:trPr>
          <w:trHeight w:val="253"/>
        </w:trPr>
        <w:tc>
          <w:tcPr>
            <w:tcW w:w="2389" w:type="dxa"/>
          </w:tcPr>
          <w:p w14:paraId="5B42A364" w14:textId="6BD558FC" w:rsidR="00715395" w:rsidRPr="000652CD" w:rsidRDefault="005D411D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68322AC" w14:textId="5E4BF30B" w:rsidR="00715395" w:rsidRPr="000652CD" w:rsidRDefault="00B01F16" w:rsidP="00B01F16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 xml:space="preserve">Exfoliatív bőrkiütés, gyógyszer okozta eruptio, bőrfájdalom, ecchymosis, az arc feldagadása, </w:t>
            </w:r>
            <w:r w:rsidR="001A7577">
              <w:rPr>
                <w:lang w:val="hu-HU"/>
              </w:rPr>
              <w:t>hól</w:t>
            </w:r>
            <w:r w:rsidR="005D5562">
              <w:rPr>
                <w:lang w:val="hu-HU"/>
              </w:rPr>
              <w:t>yag</w:t>
            </w:r>
            <w:r w:rsidRPr="000652CD">
              <w:rPr>
                <w:lang w:val="hu-HU"/>
              </w:rPr>
              <w:t>, dermalis cysták, erythema nodosum, hyperkeratosis, petechiák, fényérzékenység, psoriasis, bőrelszíneződés, bőrhámlás,</w:t>
            </w:r>
            <w:r w:rsidR="00B31014">
              <w:rPr>
                <w:lang w:val="hu-HU"/>
              </w:rPr>
              <w:t xml:space="preserve"> </w:t>
            </w:r>
            <w:r w:rsidR="00ED5CFA">
              <w:rPr>
                <w:lang w:val="hu-HU"/>
              </w:rPr>
              <w:t>bőr</w:t>
            </w:r>
            <w:r w:rsidRPr="000652CD">
              <w:rPr>
                <w:lang w:val="hu-HU"/>
              </w:rPr>
              <w:t xml:space="preserve"> hyperpigmentatio,</w:t>
            </w:r>
            <w:r w:rsidR="00A12C57">
              <w:rPr>
                <w:lang w:val="hu-HU"/>
              </w:rPr>
              <w:t xml:space="preserve"> bőr</w:t>
            </w:r>
            <w:r w:rsidRPr="000652CD">
              <w:rPr>
                <w:lang w:val="hu-HU"/>
              </w:rPr>
              <w:t xml:space="preserve"> hypertrophia, bőrfekély</w:t>
            </w:r>
          </w:p>
        </w:tc>
      </w:tr>
      <w:tr w:rsidR="00715395" w:rsidRPr="000652CD" w14:paraId="40F15E56" w14:textId="77777777" w:rsidTr="00715395">
        <w:trPr>
          <w:trHeight w:val="253"/>
        </w:trPr>
        <w:tc>
          <w:tcPr>
            <w:tcW w:w="2389" w:type="dxa"/>
          </w:tcPr>
          <w:p w14:paraId="00ECADDA" w14:textId="6E4D418C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5D411D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2D643BD" w14:textId="64C52BDA" w:rsidR="00715395" w:rsidRPr="000652CD" w:rsidRDefault="00B26586" w:rsidP="00776332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Erythema multiforme, palmo-plantaris erythrodysaesthesia szindróma,</w:t>
            </w:r>
            <w:r w:rsidR="00776332">
              <w:rPr>
                <w:lang w:val="hu-HU"/>
              </w:rPr>
              <w:t xml:space="preserve"> </w:t>
            </w:r>
            <w:r w:rsidRPr="000652CD">
              <w:rPr>
                <w:lang w:val="hu-HU"/>
              </w:rPr>
              <w:t>faggyúmirigy hyperplasia, atrophia cutis</w:t>
            </w:r>
          </w:p>
        </w:tc>
      </w:tr>
      <w:tr w:rsidR="00D522E5" w:rsidRPr="000652CD" w14:paraId="2FB3834E" w14:textId="77777777" w:rsidTr="00C619EF">
        <w:trPr>
          <w:trHeight w:val="253"/>
        </w:trPr>
        <w:tc>
          <w:tcPr>
            <w:tcW w:w="9065" w:type="dxa"/>
            <w:gridSpan w:val="2"/>
          </w:tcPr>
          <w:p w14:paraId="7D8D4596" w14:textId="570833EE" w:rsidR="00D522E5" w:rsidRPr="000652CD" w:rsidRDefault="00B26586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lang w:val="hu-HU"/>
              </w:rPr>
              <w:t>A csont- és izomrendszer, valamint a kötőszövet betegségei és tünetei</w:t>
            </w:r>
          </w:p>
        </w:tc>
      </w:tr>
      <w:tr w:rsidR="00715395" w:rsidRPr="000652CD" w14:paraId="10A8953E" w14:textId="77777777" w:rsidTr="00715395">
        <w:trPr>
          <w:trHeight w:val="253"/>
        </w:trPr>
        <w:tc>
          <w:tcPr>
            <w:tcW w:w="2389" w:type="dxa"/>
          </w:tcPr>
          <w:p w14:paraId="6B4C0FE4" w14:textId="0230A539" w:rsidR="00715395" w:rsidRPr="000652CD" w:rsidRDefault="00B26586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lang w:val="hu-HU"/>
              </w:rPr>
              <w:t>Nagyon gyakori</w:t>
            </w:r>
          </w:p>
        </w:tc>
        <w:tc>
          <w:tcPr>
            <w:tcW w:w="6676" w:type="dxa"/>
          </w:tcPr>
          <w:p w14:paraId="600A92A4" w14:textId="46F3F1EE" w:rsidR="00715395" w:rsidRPr="000652CD" w:rsidRDefault="000C7F1C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Myalgia, arthralgia, hátfájás, végtagfájdalom</w:t>
            </w:r>
          </w:p>
        </w:tc>
      </w:tr>
      <w:tr w:rsidR="00715395" w:rsidRPr="000652CD" w14:paraId="461935BA" w14:textId="77777777" w:rsidTr="00715395">
        <w:trPr>
          <w:trHeight w:val="253"/>
        </w:trPr>
        <w:tc>
          <w:tcPr>
            <w:tcW w:w="2389" w:type="dxa"/>
          </w:tcPr>
          <w:p w14:paraId="65C0DB91" w14:textId="1F09E036" w:rsidR="00715395" w:rsidRPr="000652CD" w:rsidRDefault="000C7F1C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</w:p>
        </w:tc>
        <w:tc>
          <w:tcPr>
            <w:tcW w:w="6676" w:type="dxa"/>
          </w:tcPr>
          <w:p w14:paraId="32B4331A" w14:textId="7CB0209E" w:rsidR="00715395" w:rsidRPr="000652CD" w:rsidRDefault="000C7F1C" w:rsidP="000C7F1C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Mozgásszervi eredetű mellkasi fájdalom, mozgásszervi eredetű fájdalom, nyakfájás, izomgyengeség, izomgörcsök, csontfájdalom</w:t>
            </w:r>
          </w:p>
        </w:tc>
      </w:tr>
      <w:tr w:rsidR="00715395" w:rsidRPr="000652CD" w14:paraId="4C38042B" w14:textId="77777777" w:rsidTr="00715395">
        <w:trPr>
          <w:trHeight w:val="253"/>
        </w:trPr>
        <w:tc>
          <w:tcPr>
            <w:tcW w:w="2389" w:type="dxa"/>
          </w:tcPr>
          <w:p w14:paraId="20B5E06A" w14:textId="721B8E3F" w:rsidR="00715395" w:rsidRPr="000652CD" w:rsidRDefault="000C7F1C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</w:p>
        </w:tc>
        <w:tc>
          <w:tcPr>
            <w:tcW w:w="6676" w:type="dxa"/>
          </w:tcPr>
          <w:p w14:paraId="7C6F12FA" w14:textId="19E387D1" w:rsidR="00715395" w:rsidRPr="000652CD" w:rsidRDefault="00841B91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Mozgásszervi eredetű merevség, ízületi duzzanat, arthritis, deréktáji fájdalom</w:t>
            </w:r>
          </w:p>
        </w:tc>
      </w:tr>
      <w:tr w:rsidR="00D522E5" w:rsidRPr="000652CD" w14:paraId="2ACC8C07" w14:textId="77777777" w:rsidTr="00C619EF">
        <w:trPr>
          <w:trHeight w:val="253"/>
        </w:trPr>
        <w:tc>
          <w:tcPr>
            <w:tcW w:w="9065" w:type="dxa"/>
            <w:gridSpan w:val="2"/>
          </w:tcPr>
          <w:p w14:paraId="5652351D" w14:textId="3969F130" w:rsidR="00D522E5" w:rsidRPr="000652CD" w:rsidRDefault="00865981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bCs/>
                <w:lang w:val="hu-HU"/>
              </w:rPr>
              <w:t>Vese- és húgyúti betegségek és tünetek</w:t>
            </w:r>
          </w:p>
        </w:tc>
      </w:tr>
      <w:tr w:rsidR="00715395" w:rsidRPr="000652CD" w14:paraId="16133F84" w14:textId="77777777" w:rsidTr="00715395">
        <w:trPr>
          <w:trHeight w:val="253"/>
        </w:trPr>
        <w:tc>
          <w:tcPr>
            <w:tcW w:w="2389" w:type="dxa"/>
          </w:tcPr>
          <w:p w14:paraId="745EE878" w14:textId="7046D25C" w:rsidR="00715395" w:rsidRPr="000652CD" w:rsidRDefault="00401843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78094118" w14:textId="43F71988" w:rsidR="00715395" w:rsidRPr="000652CD" w:rsidRDefault="00715395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Pollaki</w:t>
            </w:r>
            <w:r w:rsidR="00401843" w:rsidRPr="000652CD">
              <w:rPr>
                <w:lang w:val="hu-HU"/>
              </w:rPr>
              <w:t>s</w:t>
            </w:r>
            <w:r w:rsidRPr="000652CD">
              <w:rPr>
                <w:lang w:val="hu-HU"/>
              </w:rPr>
              <w:t>uria,</w:t>
            </w:r>
            <w:r w:rsidRPr="000652CD">
              <w:rPr>
                <w:spacing w:val="-5"/>
                <w:lang w:val="hu-HU"/>
              </w:rPr>
              <w:t xml:space="preserve"> </w:t>
            </w:r>
            <w:r w:rsidRPr="000652CD">
              <w:rPr>
                <w:spacing w:val="-2"/>
                <w:lang w:val="hu-HU"/>
              </w:rPr>
              <w:t>dysuria</w:t>
            </w:r>
          </w:p>
        </w:tc>
      </w:tr>
      <w:tr w:rsidR="00715395" w:rsidRPr="000652CD" w14:paraId="695452D0" w14:textId="77777777" w:rsidTr="00715395">
        <w:trPr>
          <w:trHeight w:val="253"/>
        </w:trPr>
        <w:tc>
          <w:tcPr>
            <w:tcW w:w="2389" w:type="dxa"/>
          </w:tcPr>
          <w:p w14:paraId="11754FAB" w14:textId="12926485" w:rsidR="00715395" w:rsidRPr="000652CD" w:rsidRDefault="00ED5A9A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5C7E0360" w14:textId="1F80F236" w:rsidR="00715395" w:rsidRPr="000652CD" w:rsidRDefault="00ED5A9A" w:rsidP="00ED5A9A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Sürgető vizelési inger, nocturia, chromaturia, haematuria, veseelégtelenség, vizeletinkontinencia</w:t>
            </w:r>
          </w:p>
        </w:tc>
      </w:tr>
      <w:tr w:rsidR="00D522E5" w:rsidRPr="000652CD" w14:paraId="29746958" w14:textId="77777777" w:rsidTr="00C619EF">
        <w:trPr>
          <w:trHeight w:val="253"/>
        </w:trPr>
        <w:tc>
          <w:tcPr>
            <w:tcW w:w="9065" w:type="dxa"/>
            <w:gridSpan w:val="2"/>
          </w:tcPr>
          <w:p w14:paraId="062DE344" w14:textId="737C3CE1" w:rsidR="00D522E5" w:rsidRPr="000652CD" w:rsidRDefault="00470A53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lang w:val="hu-HU"/>
              </w:rPr>
              <w:t>A nemi szervekkel és az emlőkkel kapcsolatos betegségek és tünetek</w:t>
            </w:r>
          </w:p>
        </w:tc>
      </w:tr>
      <w:tr w:rsidR="00715395" w:rsidRPr="000652CD" w14:paraId="2E15CD69" w14:textId="77777777" w:rsidTr="00715395">
        <w:trPr>
          <w:trHeight w:val="253"/>
        </w:trPr>
        <w:tc>
          <w:tcPr>
            <w:tcW w:w="2389" w:type="dxa"/>
          </w:tcPr>
          <w:p w14:paraId="7A8701BB" w14:textId="7061CD08" w:rsidR="00715395" w:rsidRPr="000652CD" w:rsidRDefault="00470A53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85A5FB1" w14:textId="73E10E6C" w:rsidR="00715395" w:rsidRPr="000652CD" w:rsidRDefault="00357864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Erectilis dysfunctio, menorrhagia</w:t>
            </w:r>
          </w:p>
        </w:tc>
      </w:tr>
      <w:tr w:rsidR="00715395" w:rsidRPr="000652CD" w14:paraId="39D28F3C" w14:textId="77777777" w:rsidTr="00715395">
        <w:trPr>
          <w:trHeight w:val="253"/>
        </w:trPr>
        <w:tc>
          <w:tcPr>
            <w:tcW w:w="2389" w:type="dxa"/>
          </w:tcPr>
          <w:p w14:paraId="1D13A236" w14:textId="53CD64C6" w:rsidR="00715395" w:rsidRPr="000652CD" w:rsidRDefault="00470A53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542AC24" w14:textId="5FEADBC7" w:rsidR="00715395" w:rsidRPr="000652CD" w:rsidRDefault="00357864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Emlőfájdalom, gynaecomastia, az emlőbimbó megdagadása</w:t>
            </w:r>
          </w:p>
        </w:tc>
      </w:tr>
      <w:tr w:rsidR="00715395" w:rsidRPr="000652CD" w14:paraId="47B539AA" w14:textId="77777777" w:rsidTr="00715395">
        <w:trPr>
          <w:trHeight w:val="253"/>
        </w:trPr>
        <w:tc>
          <w:tcPr>
            <w:tcW w:w="2389" w:type="dxa"/>
          </w:tcPr>
          <w:p w14:paraId="7C8F361B" w14:textId="4895B91F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470A53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1D1B9F26" w14:textId="10830452" w:rsidR="00715395" w:rsidRPr="000652CD" w:rsidRDefault="00714FA7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A</w:t>
            </w:r>
            <w:r w:rsidR="00673869" w:rsidRPr="000652CD">
              <w:rPr>
                <w:lang w:val="hu-HU"/>
              </w:rPr>
              <w:t>z emlő megkeményedése</w:t>
            </w:r>
          </w:p>
        </w:tc>
      </w:tr>
      <w:tr w:rsidR="00D522E5" w:rsidRPr="000652CD" w14:paraId="55752936" w14:textId="77777777" w:rsidTr="00C619EF">
        <w:trPr>
          <w:trHeight w:val="253"/>
        </w:trPr>
        <w:tc>
          <w:tcPr>
            <w:tcW w:w="9065" w:type="dxa"/>
            <w:gridSpan w:val="2"/>
          </w:tcPr>
          <w:p w14:paraId="35749B43" w14:textId="68540794" w:rsidR="00D522E5" w:rsidRPr="000652CD" w:rsidRDefault="00537A0F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lang w:val="hu-HU"/>
              </w:rPr>
              <w:t>Általános tünetek, az alkalmazás helyén fellépő reakciók</w:t>
            </w:r>
          </w:p>
        </w:tc>
      </w:tr>
      <w:tr w:rsidR="00715395" w:rsidRPr="000652CD" w14:paraId="0AF89333" w14:textId="77777777" w:rsidTr="00715395">
        <w:trPr>
          <w:trHeight w:val="253"/>
        </w:trPr>
        <w:tc>
          <w:tcPr>
            <w:tcW w:w="2389" w:type="dxa"/>
          </w:tcPr>
          <w:p w14:paraId="67CAB52D" w14:textId="66C0597C" w:rsidR="00715395" w:rsidRPr="000652CD" w:rsidRDefault="00441240" w:rsidP="00715395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0652CD">
              <w:rPr>
                <w:lang w:val="hu-HU"/>
              </w:rPr>
              <w:t>Nagyon gyakori:</w:t>
            </w:r>
          </w:p>
        </w:tc>
        <w:tc>
          <w:tcPr>
            <w:tcW w:w="6676" w:type="dxa"/>
          </w:tcPr>
          <w:p w14:paraId="66955C08" w14:textId="27CFBA30" w:rsidR="00715395" w:rsidRPr="000652CD" w:rsidRDefault="00441240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Kimerültség, láz</w:t>
            </w:r>
          </w:p>
        </w:tc>
      </w:tr>
      <w:tr w:rsidR="00715395" w:rsidRPr="000652CD" w14:paraId="71F426AA" w14:textId="77777777" w:rsidTr="00715395">
        <w:trPr>
          <w:trHeight w:val="253"/>
        </w:trPr>
        <w:tc>
          <w:tcPr>
            <w:tcW w:w="2389" w:type="dxa"/>
          </w:tcPr>
          <w:p w14:paraId="40711796" w14:textId="65993179" w:rsidR="00715395" w:rsidRPr="000652CD" w:rsidRDefault="00441240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DA299D4" w14:textId="4856738A" w:rsidR="00715395" w:rsidRPr="000652CD" w:rsidRDefault="004E1B80" w:rsidP="002F6880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Mellkasi fájdalom (beleértve a nem szív eredetű mellkasi fájdalmat is),</w:t>
            </w:r>
            <w:r w:rsidR="002F6880">
              <w:rPr>
                <w:lang w:val="hu-HU"/>
              </w:rPr>
              <w:t xml:space="preserve"> </w:t>
            </w:r>
            <w:r w:rsidRPr="000652CD">
              <w:rPr>
                <w:lang w:val="hu-HU"/>
              </w:rPr>
              <w:t>fájdalom, mellkasi diszkomfort, rossz közérzet, asthenia és peripheriás</w:t>
            </w:r>
            <w:r w:rsidR="002F6880">
              <w:rPr>
                <w:lang w:val="hu-HU"/>
              </w:rPr>
              <w:t xml:space="preserve"> </w:t>
            </w:r>
            <w:r w:rsidRPr="000652CD">
              <w:rPr>
                <w:lang w:val="hu-HU"/>
              </w:rPr>
              <w:t>oedema, hidegrázás, influenzaszerű betegség</w:t>
            </w:r>
          </w:p>
        </w:tc>
      </w:tr>
      <w:tr w:rsidR="00715395" w:rsidRPr="000652CD" w14:paraId="057EA6B9" w14:textId="77777777" w:rsidTr="00715395">
        <w:trPr>
          <w:trHeight w:val="253"/>
        </w:trPr>
        <w:tc>
          <w:tcPr>
            <w:tcW w:w="2389" w:type="dxa"/>
          </w:tcPr>
          <w:p w14:paraId="4CA96B9F" w14:textId="092A70CC" w:rsidR="00715395" w:rsidRPr="000652CD" w:rsidRDefault="004E1B80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905583F" w14:textId="77777777" w:rsidR="004E1B80" w:rsidRPr="000652CD" w:rsidRDefault="004E1B80" w:rsidP="004E1B80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Arcödéma, gravitációs oedema, a testhőmérséklet megváltozásának érzése</w:t>
            </w:r>
          </w:p>
          <w:p w14:paraId="1A929C30" w14:textId="6D175681" w:rsidR="00715395" w:rsidRPr="000652CD" w:rsidRDefault="004E1B80" w:rsidP="004E1B80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(beleértve a forróság- és a hidegségérzést is), lokalizált oedema</w:t>
            </w:r>
          </w:p>
        </w:tc>
      </w:tr>
      <w:tr w:rsidR="00715395" w:rsidRPr="000652CD" w14:paraId="7A68AB01" w14:textId="77777777" w:rsidTr="00715395">
        <w:trPr>
          <w:trHeight w:val="253"/>
        </w:trPr>
        <w:tc>
          <w:tcPr>
            <w:tcW w:w="2389" w:type="dxa"/>
          </w:tcPr>
          <w:p w14:paraId="1B3E0390" w14:textId="1C6118BD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4E1B80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351B7BC9" w14:textId="65CEE09A" w:rsidR="00715395" w:rsidRPr="000652CD" w:rsidRDefault="00E75F67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Hirtelen halál</w:t>
            </w:r>
          </w:p>
        </w:tc>
      </w:tr>
      <w:tr w:rsidR="00D522E5" w:rsidRPr="000652CD" w14:paraId="2AE5353A" w14:textId="77777777" w:rsidTr="00C619EF">
        <w:trPr>
          <w:trHeight w:val="253"/>
        </w:trPr>
        <w:tc>
          <w:tcPr>
            <w:tcW w:w="9065" w:type="dxa"/>
            <w:gridSpan w:val="2"/>
          </w:tcPr>
          <w:p w14:paraId="5F21B337" w14:textId="787A7335" w:rsidR="00D522E5" w:rsidRPr="000652CD" w:rsidRDefault="00E75F67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b/>
                <w:bCs/>
                <w:lang w:val="hu-HU"/>
              </w:rPr>
              <w:t>Laboratóriumi és egyéb vizsgálatok eredményei</w:t>
            </w:r>
          </w:p>
        </w:tc>
      </w:tr>
      <w:tr w:rsidR="00715395" w:rsidRPr="000652CD" w14:paraId="219418F0" w14:textId="77777777" w:rsidTr="00715395">
        <w:trPr>
          <w:trHeight w:val="253"/>
        </w:trPr>
        <w:tc>
          <w:tcPr>
            <w:tcW w:w="2389" w:type="dxa"/>
          </w:tcPr>
          <w:p w14:paraId="05E4817A" w14:textId="3A822C62" w:rsidR="00715395" w:rsidRPr="000652CD" w:rsidRDefault="007F72AC" w:rsidP="00715395">
            <w:pPr>
              <w:pStyle w:val="TableParagraph"/>
              <w:spacing w:line="234" w:lineRule="exact"/>
              <w:rPr>
                <w:b/>
                <w:spacing w:val="-2"/>
                <w:lang w:val="hu-HU"/>
              </w:rPr>
            </w:pPr>
            <w:r w:rsidRPr="000652CD">
              <w:rPr>
                <w:lang w:val="hu-HU"/>
              </w:rPr>
              <w:t>N</w:t>
            </w:r>
            <w:r w:rsidR="001348FA" w:rsidRPr="000652CD">
              <w:rPr>
                <w:lang w:val="hu-HU"/>
              </w:rPr>
              <w:t>a</w:t>
            </w:r>
            <w:r w:rsidRPr="000652CD">
              <w:rPr>
                <w:lang w:val="hu-HU"/>
              </w:rPr>
              <w:t>gyon</w:t>
            </w:r>
            <w:r w:rsidR="001348FA" w:rsidRPr="000652CD">
              <w:rPr>
                <w:lang w:val="hu-HU"/>
              </w:rPr>
              <w:t xml:space="preserve">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2A47DA72" w14:textId="71A7CE21" w:rsidR="00715395" w:rsidRPr="000652CD" w:rsidRDefault="00FE3722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lang w:val="hu-HU"/>
              </w:rPr>
              <w:t>Emelkedett glutamát-piruvát-transzaminázszint, emelkedett lipázszint</w:t>
            </w:r>
          </w:p>
        </w:tc>
      </w:tr>
      <w:tr w:rsidR="00715395" w:rsidRPr="000652CD" w14:paraId="4F0DFC6C" w14:textId="77777777" w:rsidTr="00715395">
        <w:trPr>
          <w:trHeight w:val="253"/>
        </w:trPr>
        <w:tc>
          <w:tcPr>
            <w:tcW w:w="2389" w:type="dxa"/>
          </w:tcPr>
          <w:p w14:paraId="72C17790" w14:textId="4B8C7281" w:rsidR="00715395" w:rsidRPr="000652CD" w:rsidRDefault="007A5C08" w:rsidP="00715395">
            <w:pPr>
              <w:pStyle w:val="TableParagraph"/>
              <w:spacing w:line="234" w:lineRule="exact"/>
              <w:rPr>
                <w:lang w:val="hu-HU"/>
              </w:rPr>
            </w:pPr>
            <w:r w:rsidRPr="000652CD">
              <w:rPr>
                <w:spacing w:val="-2"/>
                <w:lang w:val="hu-HU"/>
              </w:rPr>
              <w:t>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0314C674" w14:textId="3C4C2F24" w:rsidR="00715395" w:rsidRPr="000652CD" w:rsidRDefault="001673D8" w:rsidP="00CF1228">
            <w:pPr>
              <w:pStyle w:val="TableParagraph"/>
              <w:ind w:right="234"/>
              <w:rPr>
                <w:lang w:val="hu-HU"/>
              </w:rPr>
            </w:pPr>
            <w:r w:rsidRPr="001673D8">
              <w:rPr>
                <w:lang w:val="hu-HU"/>
              </w:rPr>
              <w:t>Csökkent haemoglobinszint, emelkedett amilázszint, emelkedett glutamát</w:t>
            </w:r>
            <w:r w:rsidRPr="000652CD">
              <w:rPr>
                <w:lang w:val="hu-HU"/>
              </w:rPr>
              <w:t>-</w:t>
            </w:r>
            <w:r w:rsidRPr="001673D8">
              <w:rPr>
                <w:lang w:val="hu-HU"/>
              </w:rPr>
              <w:t>oxálacetát-transzaminázszint, emelkedett alkalikus foszfatázszint, emelkedett</w:t>
            </w:r>
            <w:r w:rsidRPr="000652CD">
              <w:rPr>
                <w:lang w:val="hu-HU"/>
              </w:rPr>
              <w:t xml:space="preserve"> </w:t>
            </w:r>
            <w:r w:rsidRPr="001673D8">
              <w:rPr>
                <w:lang w:val="hu-HU"/>
              </w:rPr>
              <w:t>gamma-glutamil-transzferázszint, emelkedett kreatinin-foszfokinázszint,</w:t>
            </w:r>
            <w:r w:rsidR="00CF1228" w:rsidRPr="000652CD">
              <w:rPr>
                <w:lang w:val="hu-HU"/>
              </w:rPr>
              <w:t xml:space="preserve"> </w:t>
            </w:r>
            <w:r w:rsidRPr="001673D8">
              <w:rPr>
                <w:lang w:val="hu-HU"/>
              </w:rPr>
              <w:t>testtömeg-csökkenés, testtömeg-növekedés, emelkedett kreatininszint,</w:t>
            </w:r>
            <w:r w:rsidR="00CF1228" w:rsidRPr="000652CD">
              <w:rPr>
                <w:lang w:val="hu-HU"/>
              </w:rPr>
              <w:t xml:space="preserve"> </w:t>
            </w:r>
            <w:r w:rsidRPr="000652CD">
              <w:rPr>
                <w:lang w:val="hu-HU"/>
              </w:rPr>
              <w:t>emelkedett összkoleszterinszint</w:t>
            </w:r>
          </w:p>
        </w:tc>
      </w:tr>
      <w:tr w:rsidR="00715395" w:rsidRPr="000652CD" w14:paraId="5A7B3E06" w14:textId="77777777" w:rsidTr="00715395">
        <w:trPr>
          <w:trHeight w:val="253"/>
        </w:trPr>
        <w:tc>
          <w:tcPr>
            <w:tcW w:w="2389" w:type="dxa"/>
          </w:tcPr>
          <w:p w14:paraId="5B57B9DE" w14:textId="38A4B98E" w:rsidR="00715395" w:rsidRPr="000652CD" w:rsidRDefault="00CF1228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Nem gyakori</w:t>
            </w:r>
            <w:r w:rsidR="00715395"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4F8272CF" w14:textId="00AF6477" w:rsidR="00715395" w:rsidRPr="000652CD" w:rsidRDefault="000652CD" w:rsidP="009B5A67">
            <w:pPr>
              <w:pStyle w:val="TableParagraph"/>
              <w:ind w:right="146"/>
              <w:rPr>
                <w:lang w:val="hu-HU"/>
              </w:rPr>
            </w:pPr>
            <w:r w:rsidRPr="000652CD">
              <w:rPr>
                <w:lang w:val="hu-HU"/>
              </w:rPr>
              <w:t>Emelkedett laktát-dehidrogenázszint, emelkedett karbamidszint, emelkedett nem konjugált bilirubinszint a vérben, emelkedett parathormonszint, emelkedett trigl</w:t>
            </w:r>
            <w:r w:rsidR="00593D5D">
              <w:rPr>
                <w:lang w:val="hu-HU"/>
              </w:rPr>
              <w:t>i</w:t>
            </w:r>
            <w:r w:rsidRPr="000652CD">
              <w:rPr>
                <w:lang w:val="hu-HU"/>
              </w:rPr>
              <w:t>ceridszint a vérben, csökkent globulinszint, emelkedett lipoprotein koleszterinszint (beleértve a kis</w:t>
            </w:r>
            <w:r w:rsidR="009B5A67">
              <w:rPr>
                <w:lang w:val="hu-HU"/>
              </w:rPr>
              <w:t xml:space="preserve"> </w:t>
            </w:r>
            <w:r w:rsidR="009B5A67" w:rsidRPr="009B5A67">
              <w:rPr>
                <w:lang w:val="hu-HU"/>
              </w:rPr>
              <w:t>sűrűségű és a nagy sűrűségű</w:t>
            </w:r>
            <w:r w:rsidR="009B5A67">
              <w:rPr>
                <w:lang w:val="hu-HU"/>
              </w:rPr>
              <w:t xml:space="preserve"> </w:t>
            </w:r>
            <w:r w:rsidR="009B5A67" w:rsidRPr="009B5A67">
              <w:rPr>
                <w:lang w:val="hu-HU"/>
              </w:rPr>
              <w:t>lipoproteint is), emelkedett troponinszin</w:t>
            </w:r>
            <w:r w:rsidR="009B5A67">
              <w:rPr>
                <w:lang w:val="hu-HU"/>
              </w:rPr>
              <w:t>t</w:t>
            </w:r>
          </w:p>
        </w:tc>
      </w:tr>
      <w:tr w:rsidR="00715395" w:rsidRPr="000652CD" w14:paraId="78562F6E" w14:textId="77777777" w:rsidTr="00715395">
        <w:trPr>
          <w:trHeight w:val="253"/>
        </w:trPr>
        <w:tc>
          <w:tcPr>
            <w:tcW w:w="2389" w:type="dxa"/>
          </w:tcPr>
          <w:p w14:paraId="6A7CF384" w14:textId="1352183D" w:rsidR="00715395" w:rsidRPr="000652CD" w:rsidRDefault="00715395" w:rsidP="00715395">
            <w:pPr>
              <w:pStyle w:val="TableParagraph"/>
              <w:spacing w:line="234" w:lineRule="exact"/>
              <w:rPr>
                <w:spacing w:val="-2"/>
                <w:lang w:val="hu-HU"/>
              </w:rPr>
            </w:pPr>
            <w:r w:rsidRPr="000652CD">
              <w:rPr>
                <w:spacing w:val="-2"/>
                <w:lang w:val="hu-HU"/>
              </w:rPr>
              <w:t>R</w:t>
            </w:r>
            <w:r w:rsidR="000652CD" w:rsidRPr="000652CD">
              <w:rPr>
                <w:spacing w:val="-2"/>
                <w:lang w:val="hu-HU"/>
              </w:rPr>
              <w:t>itka</w:t>
            </w:r>
            <w:r w:rsidRPr="000652CD">
              <w:rPr>
                <w:spacing w:val="-2"/>
                <w:lang w:val="hu-HU"/>
              </w:rPr>
              <w:t>:</w:t>
            </w:r>
          </w:p>
        </w:tc>
        <w:tc>
          <w:tcPr>
            <w:tcW w:w="6676" w:type="dxa"/>
          </w:tcPr>
          <w:p w14:paraId="5696F587" w14:textId="0C885ABF" w:rsidR="00715395" w:rsidRPr="000652CD" w:rsidRDefault="000652CD" w:rsidP="00027697">
            <w:pPr>
              <w:ind w:left="108" w:right="147"/>
              <w:rPr>
                <w:rFonts w:ascii="Times New Roman" w:hAnsi="Times New Roman" w:cs="Times New Roman"/>
              </w:rPr>
            </w:pPr>
            <w:r w:rsidRPr="000652CD">
              <w:rPr>
                <w:rFonts w:ascii="Times New Roman" w:hAnsi="Times New Roman" w:cs="Times New Roman"/>
              </w:rPr>
              <w:t>Csökkent vércukorszint, csökkent inzulinszint a vérben, emelkedett inzulinszint a vérben, csökkent inzulin C-peptid-szint</w:t>
            </w:r>
          </w:p>
        </w:tc>
      </w:tr>
    </w:tbl>
    <w:p w14:paraId="59847876" w14:textId="0E0A1CC6" w:rsidR="007A6465" w:rsidRDefault="00284201" w:rsidP="00284201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Megjegyzés: Nem mindegyik gyógyszermellékhatást figyelték meg gyermekgyógyászati vizsgálatokban</w:t>
      </w:r>
    </w:p>
    <w:p w14:paraId="4CFCC541" w14:textId="77777777" w:rsidR="00284201" w:rsidRDefault="00284201" w:rsidP="00284201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</w:p>
    <w:p w14:paraId="754A0D67" w14:textId="77777777" w:rsidR="00C36CE3" w:rsidRDefault="00C36CE3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AC7188">
        <w:rPr>
          <w:rFonts w:ascii="Times New Roman" w:hAnsi="Times New Roman" w:cs="Times New Roman"/>
          <w:kern w:val="0"/>
          <w:u w:val="single"/>
        </w:rPr>
        <w:lastRenderedPageBreak/>
        <w:t>Néhány kiválasztott mellékhatás leírása</w:t>
      </w:r>
    </w:p>
    <w:p w14:paraId="60F25D4B" w14:textId="77777777" w:rsidR="00AC7188" w:rsidRPr="00AC7188" w:rsidRDefault="00AC7188" w:rsidP="008E68D3">
      <w:pPr>
        <w:keepNext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  <w:u w:val="single"/>
        </w:rPr>
      </w:pPr>
    </w:p>
    <w:p w14:paraId="34F1294C" w14:textId="77777777" w:rsidR="00C36CE3" w:rsidRPr="00AC7188" w:rsidRDefault="00C36CE3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AC7188">
        <w:rPr>
          <w:rFonts w:ascii="Times New Roman" w:hAnsi="Times New Roman" w:cs="Times New Roman"/>
          <w:i/>
          <w:iCs/>
          <w:kern w:val="0"/>
          <w:u w:val="single"/>
        </w:rPr>
        <w:t>Hirtelen halál</w:t>
      </w:r>
    </w:p>
    <w:p w14:paraId="011DAE5E" w14:textId="52F441B3" w:rsidR="00C36CE3" w:rsidRDefault="00C36CE3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36CE3">
        <w:rPr>
          <w:rFonts w:ascii="Times New Roman" w:hAnsi="Times New Roman" w:cs="Times New Roman"/>
          <w:kern w:val="0"/>
        </w:rPr>
        <w:t>A</w:t>
      </w:r>
      <w:r w:rsidR="008F0836">
        <w:rPr>
          <w:rFonts w:ascii="Times New Roman" w:hAnsi="Times New Roman" w:cs="Times New Roman"/>
          <w:kern w:val="0"/>
        </w:rPr>
        <w:t>z</w:t>
      </w:r>
      <w:r w:rsidRPr="00C36CE3">
        <w:rPr>
          <w:rFonts w:ascii="Times New Roman" w:hAnsi="Times New Roman" w:cs="Times New Roman"/>
          <w:kern w:val="0"/>
        </w:rPr>
        <w:t xml:space="preserve"> imatinib-rezisztens vagy intoleráns, krónikus fázisú vagy akut fázisú CML-ben</w:t>
      </w:r>
      <w:r w:rsidR="001C02D1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szenvedő betegek</w:t>
      </w:r>
      <w:r w:rsidR="008F0836">
        <w:rPr>
          <w:rFonts w:ascii="Times New Roman" w:hAnsi="Times New Roman" w:cs="Times New Roman"/>
          <w:kern w:val="0"/>
        </w:rPr>
        <w:t>nél,</w:t>
      </w:r>
      <w:r w:rsidRPr="00C36CE3">
        <w:rPr>
          <w:rFonts w:ascii="Times New Roman" w:hAnsi="Times New Roman" w:cs="Times New Roman"/>
          <w:kern w:val="0"/>
        </w:rPr>
        <w:t xml:space="preserve"> </w:t>
      </w:r>
      <w:r w:rsidR="008F0836">
        <w:rPr>
          <w:rFonts w:ascii="Times New Roman" w:hAnsi="Times New Roman" w:cs="Times New Roman"/>
          <w:kern w:val="0"/>
        </w:rPr>
        <w:t>nilotinibbel</w:t>
      </w:r>
      <w:r w:rsidR="008F0836" w:rsidRPr="00C36CE3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végzett klinikai vizsgálatokban és/vagy a méltányossági gyógyszerelési</w:t>
      </w:r>
      <w:r w:rsidR="001C02D1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 xml:space="preserve">(compassionate use) programokban </w:t>
      </w:r>
      <w:r w:rsidR="008F0836" w:rsidRPr="00C36CE3">
        <w:rPr>
          <w:rFonts w:ascii="Times New Roman" w:hAnsi="Times New Roman" w:cs="Times New Roman"/>
          <w:kern w:val="0"/>
        </w:rPr>
        <w:t xml:space="preserve">nem gyakran (0,1-1%) hirtelen halálról számoltak be </w:t>
      </w:r>
      <w:r w:rsidRPr="00C36CE3">
        <w:rPr>
          <w:rFonts w:ascii="Times New Roman" w:hAnsi="Times New Roman" w:cs="Times New Roman"/>
          <w:kern w:val="0"/>
        </w:rPr>
        <w:t>az olyan betegek</w:t>
      </w:r>
      <w:r w:rsidR="008F0836">
        <w:rPr>
          <w:rFonts w:ascii="Times New Roman" w:hAnsi="Times New Roman" w:cs="Times New Roman"/>
          <w:kern w:val="0"/>
        </w:rPr>
        <w:t xml:space="preserve"> esetében</w:t>
      </w:r>
      <w:r w:rsidRPr="00C36CE3">
        <w:rPr>
          <w:rFonts w:ascii="Times New Roman" w:hAnsi="Times New Roman" w:cs="Times New Roman"/>
          <w:kern w:val="0"/>
        </w:rPr>
        <w:t>, akiknek az anamnézisében szívbetegség vagy</w:t>
      </w:r>
      <w:r w:rsidR="001C02D1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jelentős kardiális rizikófaktor szerepel, (lásd</w:t>
      </w:r>
      <w:r w:rsidR="001C02D1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4.4</w:t>
      </w:r>
      <w:r w:rsidR="001C02D1">
        <w:rPr>
          <w:rFonts w:ascii="Times New Roman" w:hAnsi="Times New Roman" w:cs="Times New Roman"/>
          <w:kern w:val="0"/>
        </w:rPr>
        <w:t> </w:t>
      </w:r>
      <w:r w:rsidRPr="00C36CE3">
        <w:rPr>
          <w:rFonts w:ascii="Times New Roman" w:hAnsi="Times New Roman" w:cs="Times New Roman"/>
          <w:kern w:val="0"/>
        </w:rPr>
        <w:t>pont).</w:t>
      </w:r>
    </w:p>
    <w:p w14:paraId="6E1EAF4B" w14:textId="77777777" w:rsidR="001C02D1" w:rsidRPr="00C36CE3" w:rsidRDefault="001C02D1" w:rsidP="00B372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AB6F129" w14:textId="7F8941D8" w:rsidR="00C36CE3" w:rsidRPr="0053672A" w:rsidRDefault="00C36CE3" w:rsidP="00B37287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53672A">
        <w:rPr>
          <w:rFonts w:ascii="Times New Roman" w:hAnsi="Times New Roman" w:cs="Times New Roman"/>
          <w:i/>
          <w:iCs/>
          <w:kern w:val="0"/>
          <w:u w:val="single"/>
        </w:rPr>
        <w:t>Hepatitis B</w:t>
      </w:r>
      <w:r w:rsidR="008F0836">
        <w:rPr>
          <w:rFonts w:ascii="Times New Roman" w:hAnsi="Times New Roman" w:cs="Times New Roman"/>
          <w:i/>
          <w:iCs/>
          <w:kern w:val="0"/>
          <w:u w:val="single"/>
        </w:rPr>
        <w:t>-</w:t>
      </w:r>
      <w:r w:rsidRPr="0053672A">
        <w:rPr>
          <w:rFonts w:ascii="Times New Roman" w:hAnsi="Times New Roman" w:cs="Times New Roman"/>
          <w:i/>
          <w:iCs/>
          <w:kern w:val="0"/>
          <w:u w:val="single"/>
        </w:rPr>
        <w:t>reaktiváció</w:t>
      </w:r>
    </w:p>
    <w:p w14:paraId="19848ECF" w14:textId="4FB00928" w:rsidR="00C36CE3" w:rsidRDefault="00C36CE3" w:rsidP="00A723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36CE3">
        <w:rPr>
          <w:rFonts w:ascii="Times New Roman" w:hAnsi="Times New Roman" w:cs="Times New Roman"/>
          <w:kern w:val="0"/>
        </w:rPr>
        <w:t>A BCR-ABL tirozin-kináz inhibitorok alkalmazásával kapcsolatban a hepatitis B</w:t>
      </w:r>
      <w:r w:rsidR="008F0836">
        <w:rPr>
          <w:rFonts w:ascii="Times New Roman" w:hAnsi="Times New Roman" w:cs="Times New Roman"/>
          <w:kern w:val="0"/>
        </w:rPr>
        <w:t>-</w:t>
      </w:r>
      <w:r w:rsidRPr="00C36CE3">
        <w:rPr>
          <w:rFonts w:ascii="Times New Roman" w:hAnsi="Times New Roman" w:cs="Times New Roman"/>
          <w:kern w:val="0"/>
        </w:rPr>
        <w:t>reaktivációjáról</w:t>
      </w:r>
      <w:r w:rsidR="003D038B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számoltak be</w:t>
      </w:r>
      <w:r w:rsidR="00EE2A2C">
        <w:rPr>
          <w:rFonts w:ascii="Times New Roman" w:hAnsi="Times New Roman" w:cs="Times New Roman"/>
          <w:kern w:val="0"/>
        </w:rPr>
        <w:t>.</w:t>
      </w:r>
      <w:r w:rsidRPr="00C36CE3">
        <w:rPr>
          <w:rFonts w:ascii="Times New Roman" w:hAnsi="Times New Roman" w:cs="Times New Roman"/>
          <w:kern w:val="0"/>
        </w:rPr>
        <w:t xml:space="preserve"> Egyes esetekben akut májelégtelenség vagy fulmináns hepatitis alakult ki, amely</w:t>
      </w:r>
      <w:r w:rsidR="003D038B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májtranszplantációhoz vagy halálos kimenetelhez vezetett (lásd 4.4</w:t>
      </w:r>
      <w:r w:rsidR="003D038B">
        <w:rPr>
          <w:rFonts w:ascii="Times New Roman" w:hAnsi="Times New Roman" w:cs="Times New Roman"/>
          <w:kern w:val="0"/>
        </w:rPr>
        <w:t> </w:t>
      </w:r>
      <w:r w:rsidRPr="00C36CE3">
        <w:rPr>
          <w:rFonts w:ascii="Times New Roman" w:hAnsi="Times New Roman" w:cs="Times New Roman"/>
          <w:kern w:val="0"/>
        </w:rPr>
        <w:t>pont).</w:t>
      </w:r>
    </w:p>
    <w:p w14:paraId="32097D5C" w14:textId="77777777" w:rsidR="0053672A" w:rsidRPr="00C36CE3" w:rsidRDefault="0053672A" w:rsidP="00A7232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D674B62" w14:textId="77777777" w:rsidR="00C36CE3" w:rsidRDefault="00C36CE3" w:rsidP="00A72325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3D038B">
        <w:rPr>
          <w:rFonts w:ascii="Times New Roman" w:hAnsi="Times New Roman" w:cs="Times New Roman"/>
          <w:kern w:val="0"/>
          <w:u w:val="single"/>
        </w:rPr>
        <w:t>Gyermekek és serdülők</w:t>
      </w:r>
    </w:p>
    <w:p w14:paraId="5082A862" w14:textId="77777777" w:rsidR="003D038B" w:rsidRPr="003D038B" w:rsidRDefault="003D038B" w:rsidP="00A72325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266CE2A" w14:textId="2F5C2FF4" w:rsidR="00C36CE3" w:rsidRDefault="00C36CE3" w:rsidP="00A72325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36CE3">
        <w:rPr>
          <w:rFonts w:ascii="Times New Roman" w:hAnsi="Times New Roman" w:cs="Times New Roman"/>
          <w:kern w:val="0"/>
        </w:rPr>
        <w:t>A nilotinib biztonságosságát Philadelphia kromoszóma-pozitív CML krónikus fázisában lévő</w:t>
      </w:r>
      <w:r w:rsidR="0099086E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 xml:space="preserve">gyermek- és serdülőkorú betegeknél (2-től </w:t>
      </w:r>
      <w:proofErr w:type="gramStart"/>
      <w:r w:rsidRPr="00C36CE3">
        <w:rPr>
          <w:rFonts w:ascii="Times New Roman" w:hAnsi="Times New Roman" w:cs="Times New Roman"/>
          <w:kern w:val="0"/>
        </w:rPr>
        <w:t>&lt; 18</w:t>
      </w:r>
      <w:proofErr w:type="gramEnd"/>
      <w:r w:rsidR="00EE2A2C">
        <w:rPr>
          <w:rFonts w:ascii="Times New Roman" w:hAnsi="Times New Roman" w:cs="Times New Roman"/>
          <w:kern w:val="0"/>
        </w:rPr>
        <w:t> </w:t>
      </w:r>
      <w:r w:rsidRPr="00C36CE3">
        <w:rPr>
          <w:rFonts w:ascii="Times New Roman" w:hAnsi="Times New Roman" w:cs="Times New Roman"/>
          <w:kern w:val="0"/>
        </w:rPr>
        <w:t>éves</w:t>
      </w:r>
      <w:r w:rsidR="00B74126">
        <w:rPr>
          <w:rFonts w:ascii="Times New Roman" w:hAnsi="Times New Roman" w:cs="Times New Roman"/>
          <w:kern w:val="0"/>
        </w:rPr>
        <w:t xml:space="preserve"> kor</w:t>
      </w:r>
      <w:r w:rsidRPr="00C36CE3">
        <w:rPr>
          <w:rFonts w:ascii="Times New Roman" w:hAnsi="Times New Roman" w:cs="Times New Roman"/>
          <w:kern w:val="0"/>
        </w:rPr>
        <w:t>ig; n = 58) egyetlen fő vizsgálatban értékelték,</w:t>
      </w:r>
      <w:r w:rsidR="003959DF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60</w:t>
      </w:r>
      <w:r w:rsidR="003959DF">
        <w:rPr>
          <w:rFonts w:ascii="Times New Roman" w:hAnsi="Times New Roman" w:cs="Times New Roman"/>
          <w:kern w:val="0"/>
        </w:rPr>
        <w:t> </w:t>
      </w:r>
      <w:r w:rsidRPr="00C36CE3">
        <w:rPr>
          <w:rFonts w:ascii="Times New Roman" w:hAnsi="Times New Roman" w:cs="Times New Roman"/>
          <w:kern w:val="0"/>
        </w:rPr>
        <w:t>hónapon át (lásd 5.1</w:t>
      </w:r>
      <w:r w:rsidR="003959DF">
        <w:rPr>
          <w:rFonts w:ascii="Times New Roman" w:hAnsi="Times New Roman" w:cs="Times New Roman"/>
          <w:kern w:val="0"/>
        </w:rPr>
        <w:t> </w:t>
      </w:r>
      <w:r w:rsidRPr="00C36CE3">
        <w:rPr>
          <w:rFonts w:ascii="Times New Roman" w:hAnsi="Times New Roman" w:cs="Times New Roman"/>
          <w:kern w:val="0"/>
        </w:rPr>
        <w:t>pont). A gyermek- és serdülőkorú betegeknél megfigyelt mellékhatások</w:t>
      </w:r>
      <w:r w:rsidR="003959DF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gyakorisága, típusa és súlyossága általában megfelelt a felnőtteknél észlelteknek, kivéve a</w:t>
      </w:r>
      <w:r w:rsidR="003959DF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hyperbilirubinaemiát/a vér bilirubinszintjének emelkedését (3/4. fokú; 10,3%) és a hepaticus</w:t>
      </w:r>
      <w:r w:rsidR="00017492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 xml:space="preserve">transzaminázszint-emelkedést (GOT </w:t>
      </w:r>
      <w:r w:rsidR="008F0836" w:rsidRPr="008E68D3">
        <w:rPr>
          <w:rFonts w:ascii="Times New Roman" w:hAnsi="Times New Roman" w:cs="Times New Roman"/>
          <w:kern w:val="0"/>
        </w:rPr>
        <w:t xml:space="preserve">[ASAT] </w:t>
      </w:r>
      <w:r w:rsidRPr="00C36CE3">
        <w:rPr>
          <w:rFonts w:ascii="Times New Roman" w:hAnsi="Times New Roman" w:cs="Times New Roman"/>
          <w:kern w:val="0"/>
        </w:rPr>
        <w:t xml:space="preserve">3. vagy 4. fokú: 1,7%: GPT </w:t>
      </w:r>
      <w:r w:rsidR="008F0836" w:rsidRPr="008E68D3">
        <w:rPr>
          <w:rFonts w:ascii="Times New Roman" w:hAnsi="Times New Roman" w:cs="Times New Roman"/>
          <w:kern w:val="0"/>
        </w:rPr>
        <w:t xml:space="preserve">[ALAT] </w:t>
      </w:r>
      <w:r w:rsidRPr="00C36CE3">
        <w:rPr>
          <w:rFonts w:ascii="Times New Roman" w:hAnsi="Times New Roman" w:cs="Times New Roman"/>
          <w:kern w:val="0"/>
        </w:rPr>
        <w:t>3. vagy 4. fokú: 12,1%), amelyeket</w:t>
      </w:r>
      <w:r w:rsidR="00017492">
        <w:rPr>
          <w:rFonts w:ascii="Times New Roman" w:hAnsi="Times New Roman" w:cs="Times New Roman"/>
          <w:kern w:val="0"/>
        </w:rPr>
        <w:t xml:space="preserve"> </w:t>
      </w:r>
      <w:r w:rsidRPr="00C36CE3">
        <w:rPr>
          <w:rFonts w:ascii="Times New Roman" w:hAnsi="Times New Roman" w:cs="Times New Roman"/>
          <w:kern w:val="0"/>
        </w:rPr>
        <w:t>nagyobb gyakorisággal jelentettek, mint felnőtt betegeknél. A bilirubin- és a májtranszamináz</w:t>
      </w:r>
      <w:r w:rsidR="008F0836">
        <w:rPr>
          <w:rFonts w:ascii="Times New Roman" w:hAnsi="Times New Roman" w:cs="Times New Roman"/>
          <w:kern w:val="0"/>
        </w:rPr>
        <w:t>-</w:t>
      </w:r>
      <w:r w:rsidRPr="00C36CE3">
        <w:rPr>
          <w:rFonts w:ascii="Times New Roman" w:hAnsi="Times New Roman" w:cs="Times New Roman"/>
          <w:kern w:val="0"/>
        </w:rPr>
        <w:t>szinteket a kezelés során rendszeresen ellenőrizni kell (lásd 4.2 és 4.4</w:t>
      </w:r>
      <w:r w:rsidR="007545CD">
        <w:rPr>
          <w:rFonts w:ascii="Times New Roman" w:hAnsi="Times New Roman" w:cs="Times New Roman"/>
          <w:kern w:val="0"/>
        </w:rPr>
        <w:t> </w:t>
      </w:r>
      <w:r w:rsidRPr="00C36CE3">
        <w:rPr>
          <w:rFonts w:ascii="Times New Roman" w:hAnsi="Times New Roman" w:cs="Times New Roman"/>
          <w:kern w:val="0"/>
        </w:rPr>
        <w:t>pont).</w:t>
      </w:r>
    </w:p>
    <w:p w14:paraId="028BA956" w14:textId="77777777" w:rsidR="00F54F37" w:rsidRPr="00F328E2" w:rsidRDefault="00F54F37" w:rsidP="00F328E2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</w:p>
    <w:p w14:paraId="34D78AA3" w14:textId="77777777" w:rsidR="00F328E2" w:rsidRPr="00CA541A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kern w:val="0"/>
          <w:u w:val="single"/>
        </w:rPr>
      </w:pPr>
      <w:r w:rsidRPr="00CA541A">
        <w:rPr>
          <w:rFonts w:ascii="Times New Roman" w:hAnsi="Times New Roman" w:cs="Times New Roman"/>
          <w:i/>
          <w:iCs/>
          <w:color w:val="000000"/>
          <w:kern w:val="0"/>
          <w:u w:val="single"/>
        </w:rPr>
        <w:t>A növekedés visszamaradása gyermekeknél és serdülőknél</w:t>
      </w:r>
    </w:p>
    <w:p w14:paraId="3FD48EDA" w14:textId="3608BB30" w:rsidR="00F328E2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hAnsi="Times New Roman" w:cs="Times New Roman"/>
          <w:color w:val="000000"/>
          <w:kern w:val="0"/>
        </w:rPr>
        <w:t>Egy CML-es pediátriai populációval végzett vizsgálatban, ahol az újonnan diagnosztizált betegek</w:t>
      </w:r>
      <w:r w:rsidR="00E54145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esetében a medián expozíciós idő 51,9</w:t>
      </w:r>
      <w:r w:rsidR="00213608">
        <w:rPr>
          <w:rFonts w:ascii="Times New Roman" w:eastAsia="TimesNewRomanPSMT" w:hAnsi="Times New Roman" w:cs="Times New Roman"/>
          <w:color w:val="000000"/>
          <w:kern w:val="0"/>
        </w:rPr>
        <w:t> </w:t>
      </w:r>
      <w:r w:rsidRPr="00F328E2">
        <w:rPr>
          <w:rFonts w:ascii="Times New Roman" w:hAnsi="Times New Roman" w:cs="Times New Roman"/>
          <w:color w:val="000000"/>
          <w:kern w:val="0"/>
        </w:rPr>
        <w:t>hónap volt, az imatinib/dazatinibre rezisztens vagy az</w:t>
      </w:r>
      <w:r w:rsidR="00E54145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imatinibbel szemben intoleráns Ph+ CML-CP-s betegek esetében pedig 59,9</w:t>
      </w:r>
      <w:r w:rsidR="00112C30">
        <w:rPr>
          <w:rFonts w:ascii="Times New Roman" w:hAnsi="Times New Roman" w:cs="Times New Roman"/>
          <w:color w:val="000000"/>
          <w:kern w:val="0"/>
        </w:rPr>
        <w:t> </w:t>
      </w:r>
      <w:r w:rsidRPr="00F328E2">
        <w:rPr>
          <w:rFonts w:ascii="Times New Roman" w:hAnsi="Times New Roman" w:cs="Times New Roman"/>
          <w:color w:val="000000"/>
          <w:kern w:val="0"/>
        </w:rPr>
        <w:t>hónap, a növekedés</w:t>
      </w:r>
      <w:r w:rsidR="00112C30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lassulását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 xml:space="preserve">(a kiindulási állapothoz képest legalább két fő percentilis görbe keresztezését) </w:t>
      </w:r>
      <w:r w:rsidRPr="00F328E2">
        <w:rPr>
          <w:rFonts w:ascii="Times New Roman" w:hAnsi="Times New Roman" w:cs="Times New Roman"/>
          <w:color w:val="000000"/>
          <w:kern w:val="0"/>
        </w:rPr>
        <w:t>figyelték meg</w:t>
      </w:r>
      <w:r w:rsidR="00112C30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nyolc betegnél: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öten (8,6%) két fő percentilis görbét, hárman (5,2%) pedig három fő percentilis görbét</w:t>
      </w:r>
      <w:r w:rsidR="00112C30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kereszteztek a kiindulási állapothoz képest. A növekedés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visszamaradásával összefüggő eseményekről</w:t>
      </w:r>
      <w:r w:rsidR="00112C30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3 betegnél (5,2%) számoltak be. Ajánlott szorosan monitorozni a nilotinibbel kezelt gyermek- és</w:t>
      </w:r>
      <w:r w:rsidR="00112C30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 xml:space="preserve">serdülőkorú </w:t>
      </w:r>
      <w:r w:rsidRPr="00F328E2">
        <w:rPr>
          <w:rFonts w:ascii="Times New Roman" w:hAnsi="Times New Roman" w:cs="Times New Roman"/>
          <w:color w:val="000000"/>
          <w:kern w:val="0"/>
        </w:rPr>
        <w:t>betegek növekedését (lásd 4.4</w:t>
      </w:r>
      <w:r w:rsidR="007F17B0">
        <w:rPr>
          <w:rFonts w:ascii="Times New Roman" w:hAnsi="Times New Roman" w:cs="Times New Roman"/>
          <w:color w:val="000000"/>
          <w:kern w:val="0"/>
        </w:rPr>
        <w:t> </w:t>
      </w:r>
      <w:r w:rsidRPr="00F328E2">
        <w:rPr>
          <w:rFonts w:ascii="Times New Roman" w:hAnsi="Times New Roman" w:cs="Times New Roman"/>
          <w:color w:val="000000"/>
          <w:kern w:val="0"/>
        </w:rPr>
        <w:t>pont).</w:t>
      </w:r>
    </w:p>
    <w:p w14:paraId="54A5C53F" w14:textId="77777777" w:rsidR="00E54145" w:rsidRPr="00F328E2" w:rsidRDefault="00E54145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58791869" w14:textId="77777777" w:rsidR="00F328E2" w:rsidRPr="00E54145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u w:val="single"/>
        </w:rPr>
      </w:pPr>
      <w:r w:rsidRPr="00E54145">
        <w:rPr>
          <w:rFonts w:ascii="Times New Roman" w:hAnsi="Times New Roman" w:cs="Times New Roman"/>
          <w:color w:val="000000"/>
          <w:kern w:val="0"/>
          <w:u w:val="single"/>
        </w:rPr>
        <w:t>Feltételezett mellékhatások bejelentése</w:t>
      </w:r>
    </w:p>
    <w:p w14:paraId="6EA5D3AD" w14:textId="3D0D4847" w:rsidR="00F328E2" w:rsidRPr="00F328E2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hAnsi="Times New Roman" w:cs="Times New Roman"/>
          <w:color w:val="000000"/>
          <w:kern w:val="0"/>
        </w:rPr>
        <w:t xml:space="preserve">A gyógyszer engedélyezését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követően lényeges a feltételezett mellékhatások bejelentése, mert ez</w:t>
      </w:r>
      <w:r w:rsidR="0014084B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fontos eszköze annak, hogy a gyógyszer előny/kockázat profilját folyamatosan figyelemmel lehessen</w:t>
      </w:r>
      <w:r w:rsidR="0014084B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kísérni.</w:t>
      </w:r>
    </w:p>
    <w:p w14:paraId="787A528E" w14:textId="4F0630F1" w:rsidR="00F328E2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hAnsi="Times New Roman" w:cs="Times New Roman"/>
          <w:color w:val="000000"/>
          <w:kern w:val="0"/>
        </w:rPr>
        <w:t>Az egészségügyi szakembereket kérjük, hogy jelentsék be a feltételezett mellékhatásokat a hatóság</w:t>
      </w:r>
      <w:r w:rsidR="0014084B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részére az </w:t>
      </w:r>
      <w:hyperlink r:id="rId7" w:history="1">
        <w:r w:rsidRPr="00E54145">
          <w:rPr>
            <w:rStyle w:val="Hiperhivatkozs"/>
            <w:rFonts w:ascii="Times New Roman" w:eastAsia="Times New Roman" w:hAnsi="Times New Roman" w:cs="Times New Roman"/>
            <w:kern w:val="0"/>
            <w:shd w:val="clear" w:color="auto" w:fill="D9D9D9"/>
            <w14:ligatures w14:val="none"/>
          </w:rPr>
          <w:t>V. függelékben</w:t>
        </w:r>
      </w:hyperlink>
      <w:r w:rsidRPr="00BD5E1E">
        <w:rPr>
          <w:rFonts w:ascii="Times New Roman" w:eastAsia="Times New Roman" w:hAnsi="Times New Roman" w:cs="Times New Roman"/>
          <w:kern w:val="0"/>
          <w:u w:val="single" w:color="0000FF"/>
          <w:shd w:val="clear" w:color="auto" w:fill="D9D9D9"/>
          <w14:ligatures w14:val="none"/>
        </w:rPr>
        <w:t xml:space="preserve"> </w:t>
      </w:r>
      <w:r w:rsidRPr="00BD5E1E">
        <w:rPr>
          <w:rFonts w:ascii="Times New Roman" w:eastAsia="TimesNewRomanPSMT" w:hAnsi="Times New Roman" w:cs="Times New Roman"/>
          <w:color w:val="000000"/>
          <w:kern w:val="0"/>
          <w:highlight w:val="lightGray"/>
        </w:rPr>
        <w:t>található elérhetőségek valamelyikén keresztül</w:t>
      </w:r>
      <w:r w:rsidRPr="00F328E2">
        <w:rPr>
          <w:rFonts w:ascii="Times New Roman" w:hAnsi="Times New Roman" w:cs="Times New Roman"/>
          <w:color w:val="000000"/>
          <w:kern w:val="0"/>
        </w:rPr>
        <w:t>.</w:t>
      </w:r>
    </w:p>
    <w:p w14:paraId="47F332B2" w14:textId="702E40F3" w:rsidR="004E2F74" w:rsidRPr="00F328E2" w:rsidRDefault="004E2F74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07BE007C" w14:textId="1731E516" w:rsidR="00F328E2" w:rsidRPr="00F328E2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  <w:r w:rsidRPr="00F328E2">
        <w:rPr>
          <w:rFonts w:ascii="Times New Roman" w:hAnsi="Times New Roman" w:cs="Times New Roman"/>
          <w:b/>
          <w:bCs/>
          <w:color w:val="000000"/>
          <w:kern w:val="0"/>
        </w:rPr>
        <w:t>4.9</w:t>
      </w:r>
      <w:r w:rsidR="00E54145">
        <w:rPr>
          <w:rFonts w:ascii="Times New Roman" w:hAnsi="Times New Roman" w:cs="Times New Roman"/>
          <w:b/>
          <w:bCs/>
          <w:color w:val="000000"/>
          <w:kern w:val="0"/>
        </w:rPr>
        <w:tab/>
      </w:r>
      <w:r w:rsidRPr="00F328E2">
        <w:rPr>
          <w:rFonts w:ascii="Times New Roman" w:hAnsi="Times New Roman" w:cs="Times New Roman"/>
          <w:b/>
          <w:bCs/>
          <w:color w:val="000000"/>
          <w:kern w:val="0"/>
        </w:rPr>
        <w:t>Túladagolás</w:t>
      </w:r>
    </w:p>
    <w:p w14:paraId="0203C858" w14:textId="77777777" w:rsidR="00AE0590" w:rsidRDefault="00AE0590" w:rsidP="00F328E2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color w:val="000000"/>
          <w:kern w:val="0"/>
        </w:rPr>
      </w:pPr>
    </w:p>
    <w:p w14:paraId="7EC6C472" w14:textId="0212D5C7" w:rsidR="00F328E2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eastAsia="TimesNewRomanPSMT" w:hAnsi="Times New Roman" w:cs="Times New Roman"/>
          <w:color w:val="000000"/>
          <w:kern w:val="0"/>
        </w:rPr>
        <w:t>Néhány</w:t>
      </w:r>
      <w:r w:rsidR="00AE0590">
        <w:rPr>
          <w:rFonts w:ascii="Times New Roman" w:eastAsia="TimesNewRomanPSMT" w:hAnsi="Times New Roman" w:cs="Times New Roman"/>
          <w:color w:val="000000"/>
          <w:kern w:val="0"/>
        </w:rPr>
        <w:t>,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 xml:space="preserve"> egyedileg előforduló szándékos nilotinib</w:t>
      </w:r>
      <w:r w:rsidRPr="00F328E2">
        <w:rPr>
          <w:rFonts w:ascii="Times New Roman" w:hAnsi="Times New Roman" w:cs="Times New Roman"/>
          <w:color w:val="000000"/>
          <w:kern w:val="0"/>
        </w:rPr>
        <w:t>-túladagolást írtak le, amikor nem ismert számú</w:t>
      </w:r>
      <w:r w:rsidR="00DF18C5">
        <w:rPr>
          <w:rFonts w:ascii="Times New Roman" w:hAnsi="Times New Roman" w:cs="Times New Roman"/>
          <w:color w:val="000000"/>
          <w:kern w:val="0"/>
        </w:rPr>
        <w:t xml:space="preserve"> </w:t>
      </w:r>
      <w:r w:rsidR="00052B7C">
        <w:rPr>
          <w:rFonts w:ascii="Times New Roman" w:hAnsi="Times New Roman" w:cs="Times New Roman"/>
          <w:color w:val="000000"/>
          <w:kern w:val="0"/>
        </w:rPr>
        <w:t>nilotinib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 kemény kapszulát vettek be alkohollal vagy más gyógyszerekkel kombinálva.</w:t>
      </w:r>
      <w:r w:rsidR="00DF18C5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Következményesen neutropenia, hányás és álmosság jelentkezett. EKG-eltéréseket vagy</w:t>
      </w:r>
      <w:r w:rsidR="00DF18C5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hepatotoxicitást nem írtak le. A jelentett esetekben a betegek meggyógyultak.</w:t>
      </w:r>
    </w:p>
    <w:p w14:paraId="2D0940D0" w14:textId="77777777" w:rsidR="00052B7C" w:rsidRPr="00F328E2" w:rsidRDefault="00052B7C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7055EB2E" w14:textId="04B0F788" w:rsidR="00F328E2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eastAsia="TimesNewRomanPSMT" w:hAnsi="Times New Roman" w:cs="Times New Roman"/>
          <w:color w:val="000000"/>
          <w:kern w:val="0"/>
        </w:rPr>
        <w:t>Túladagolás esetén a beteget megfigyelés alatt kell tartani, és megfelelő szupportív kezelésben kell</w:t>
      </w:r>
      <w:r w:rsidR="0052413A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részesíteni.</w:t>
      </w:r>
    </w:p>
    <w:p w14:paraId="38190701" w14:textId="77777777" w:rsidR="0014084B" w:rsidRDefault="0014084B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1C1AC178" w14:textId="77777777" w:rsidR="0014084B" w:rsidRPr="00F328E2" w:rsidRDefault="0014084B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2B2C3FF2" w14:textId="7EA8771B" w:rsidR="00F328E2" w:rsidRDefault="00F328E2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  <w:r w:rsidRPr="00F328E2">
        <w:rPr>
          <w:rFonts w:ascii="Times New Roman" w:hAnsi="Times New Roman" w:cs="Times New Roman"/>
          <w:b/>
          <w:bCs/>
          <w:color w:val="000000"/>
          <w:kern w:val="0"/>
        </w:rPr>
        <w:lastRenderedPageBreak/>
        <w:t>5.</w:t>
      </w:r>
      <w:r w:rsidR="00AE0590">
        <w:rPr>
          <w:rFonts w:ascii="Times New Roman" w:hAnsi="Times New Roman" w:cs="Times New Roman"/>
          <w:b/>
          <w:bCs/>
          <w:color w:val="000000"/>
          <w:kern w:val="0"/>
        </w:rPr>
        <w:tab/>
      </w:r>
      <w:r w:rsidRPr="00F328E2">
        <w:rPr>
          <w:rFonts w:ascii="Times New Roman" w:hAnsi="Times New Roman" w:cs="Times New Roman"/>
          <w:b/>
          <w:bCs/>
          <w:color w:val="000000"/>
          <w:kern w:val="0"/>
        </w:rPr>
        <w:t>FARMAKOLÓGIAI TULAJDONSÁGOK</w:t>
      </w:r>
    </w:p>
    <w:p w14:paraId="5499559B" w14:textId="77777777" w:rsidR="0014084B" w:rsidRPr="00F328E2" w:rsidRDefault="0014084B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B9DE0AF" w14:textId="6AC52AC4" w:rsidR="00F328E2" w:rsidRDefault="00F328E2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  <w:r w:rsidRPr="00F328E2">
        <w:rPr>
          <w:rFonts w:ascii="Times New Roman" w:hAnsi="Times New Roman" w:cs="Times New Roman"/>
          <w:b/>
          <w:bCs/>
          <w:color w:val="000000"/>
          <w:kern w:val="0"/>
        </w:rPr>
        <w:t>5.1</w:t>
      </w:r>
      <w:r w:rsidR="0009718A">
        <w:rPr>
          <w:rFonts w:ascii="Times New Roman" w:hAnsi="Times New Roman" w:cs="Times New Roman"/>
          <w:b/>
          <w:bCs/>
          <w:color w:val="000000"/>
          <w:kern w:val="0"/>
        </w:rPr>
        <w:tab/>
      </w:r>
      <w:r w:rsidRPr="00F328E2">
        <w:rPr>
          <w:rFonts w:ascii="Times New Roman" w:hAnsi="Times New Roman" w:cs="Times New Roman"/>
          <w:b/>
          <w:bCs/>
          <w:color w:val="000000"/>
          <w:kern w:val="0"/>
        </w:rPr>
        <w:t>Farmakodinámiás tulajdonságok</w:t>
      </w:r>
    </w:p>
    <w:p w14:paraId="7968DE34" w14:textId="77777777" w:rsidR="0009718A" w:rsidRPr="00F328E2" w:rsidRDefault="0009718A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48242A3" w14:textId="1FEE545A" w:rsidR="00AE0590" w:rsidRDefault="00F328E2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hAnsi="Times New Roman" w:cs="Times New Roman"/>
          <w:color w:val="000000"/>
          <w:kern w:val="0"/>
        </w:rPr>
        <w:t>Farmakoterápiás csoport: Daganatellenes szerek, BCR-ABL tirozinkináz-inhibitorok</w:t>
      </w:r>
    </w:p>
    <w:p w14:paraId="62B79834" w14:textId="3E19F2BE" w:rsidR="00F328E2" w:rsidRDefault="00F328E2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hAnsi="Times New Roman" w:cs="Times New Roman"/>
          <w:color w:val="000000"/>
          <w:kern w:val="0"/>
        </w:rPr>
        <w:t>ATC</w:t>
      </w:r>
      <w:r w:rsidR="005E43A2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kód: L01EA03.</w:t>
      </w:r>
    </w:p>
    <w:p w14:paraId="69725216" w14:textId="77777777" w:rsidR="0009718A" w:rsidRPr="00F328E2" w:rsidRDefault="0009718A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3856F096" w14:textId="77777777" w:rsidR="00F328E2" w:rsidRPr="0009718A" w:rsidRDefault="00F328E2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u w:val="single"/>
        </w:rPr>
      </w:pPr>
      <w:r w:rsidRPr="0009718A">
        <w:rPr>
          <w:rFonts w:ascii="Times New Roman" w:hAnsi="Times New Roman" w:cs="Times New Roman"/>
          <w:color w:val="000000"/>
          <w:kern w:val="0"/>
          <w:u w:val="single"/>
        </w:rPr>
        <w:t>Hatásmechanizmus</w:t>
      </w:r>
    </w:p>
    <w:p w14:paraId="38300962" w14:textId="77777777" w:rsidR="0009718A" w:rsidRPr="00F328E2" w:rsidRDefault="0009718A" w:rsidP="00F328E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7277EFC4" w14:textId="1526B8D2" w:rsidR="00F54F37" w:rsidRDefault="00F328E2" w:rsidP="005E43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 w:rsidRPr="00F328E2">
        <w:rPr>
          <w:rFonts w:ascii="Times New Roman" w:hAnsi="Times New Roman" w:cs="Times New Roman"/>
          <w:color w:val="000000"/>
          <w:kern w:val="0"/>
        </w:rPr>
        <w:t>A nilotinib a BCR-ABL onkoprotein ABL tirozinkináz aktivitásának hatékony gátlója mind</w:t>
      </w:r>
      <w:r w:rsidR="005E43A2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sejtvonalakban, mind primer Philadelphia kromoszóma-pozitív leukaemia sejtekben. A hatóanyag</w:t>
      </w:r>
      <w:r w:rsidR="005E43A2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nagy affinitással kötődik az ATP</w:t>
      </w:r>
      <w:r w:rsidRPr="00F328E2">
        <w:rPr>
          <w:rFonts w:ascii="Times New Roman" w:hAnsi="Times New Roman" w:cs="Times New Roman"/>
          <w:color w:val="000000"/>
          <w:kern w:val="0"/>
        </w:rPr>
        <w:t>-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kötőhelyhez oly módon, hogy hatékony gátlószere a vad típusú</w:t>
      </w:r>
      <w:r w:rsidR="005E43A2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BCR-ABL-nek, és aktivitással rendelkezik a BCR-ABL 32/33 imatinib-rezisztens mutáns formái</w:t>
      </w:r>
      <w:r w:rsidR="005E43A2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elle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n. E</w:t>
      </w:r>
      <w:r w:rsidR="00AE0590">
        <w:rPr>
          <w:rFonts w:ascii="Times New Roman" w:eastAsia="TimesNewRomanPSMT" w:hAnsi="Times New Roman" w:cs="Times New Roman"/>
          <w:color w:val="000000"/>
          <w:kern w:val="0"/>
        </w:rPr>
        <w:t>nnek a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 xml:space="preserve"> biokémiai aktivitás</w:t>
      </w:r>
      <w:r w:rsidR="00AE0590">
        <w:rPr>
          <w:rFonts w:ascii="Times New Roman" w:eastAsia="TimesNewRomanPSMT" w:hAnsi="Times New Roman" w:cs="Times New Roman"/>
          <w:color w:val="000000"/>
          <w:kern w:val="0"/>
        </w:rPr>
        <w:t>nak a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 xml:space="preserve"> következtében a nilotinib sejtvonalakban és CML betegekből származó</w:t>
      </w:r>
      <w:r w:rsidR="005E43A2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primer Philadelphia kromoszóma-pozitív leukaemia sejtekben szelektíven gátolja a sejtosztódást és</w:t>
      </w:r>
      <w:r w:rsidR="005E43A2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apoptózist indukál. </w:t>
      </w:r>
      <w:r w:rsidR="00AE0590">
        <w:rPr>
          <w:rFonts w:ascii="Times New Roman" w:hAnsi="Times New Roman" w:cs="Times New Roman"/>
          <w:color w:val="000000"/>
          <w:kern w:val="0"/>
        </w:rPr>
        <w:t>Rágcsáló</w:t>
      </w:r>
      <w:r w:rsidR="00AE0590" w:rsidRPr="00F328E2">
        <w:rPr>
          <w:rFonts w:ascii="Times New Roman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 xml:space="preserve">CML modellekben a nilotinib monoterápia </w:t>
      </w:r>
      <w:r w:rsidRPr="00F328E2">
        <w:rPr>
          <w:rFonts w:ascii="Times New Roman" w:eastAsia="TimesNewRomanPSMT" w:hAnsi="Times New Roman" w:cs="Times New Roman"/>
          <w:color w:val="000000"/>
          <w:kern w:val="0"/>
        </w:rPr>
        <w:t>orális alkalmazást követően</w:t>
      </w:r>
      <w:r w:rsidR="005E43A2">
        <w:rPr>
          <w:rFonts w:ascii="Times New Roman" w:eastAsia="TimesNewRomanPSMT" w:hAnsi="Times New Roman" w:cs="Times New Roman"/>
          <w:color w:val="000000"/>
          <w:kern w:val="0"/>
        </w:rPr>
        <w:t xml:space="preserve"> </w:t>
      </w:r>
      <w:r w:rsidRPr="00F328E2">
        <w:rPr>
          <w:rFonts w:ascii="Times New Roman" w:hAnsi="Times New Roman" w:cs="Times New Roman"/>
          <w:color w:val="000000"/>
          <w:kern w:val="0"/>
        </w:rPr>
        <w:t>csökkentette a tumortömeget, és meghosszabbította a túlélést.</w:t>
      </w:r>
    </w:p>
    <w:p w14:paraId="4689BB24" w14:textId="77777777" w:rsidR="001D7E21" w:rsidRDefault="001D7E21" w:rsidP="005E43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5921FF45" w14:textId="77777777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1D7E21">
        <w:rPr>
          <w:rFonts w:ascii="Times New Roman" w:hAnsi="Times New Roman" w:cs="Times New Roman"/>
          <w:kern w:val="0"/>
          <w:u w:val="single"/>
        </w:rPr>
        <w:t>Farmakodinámiás hatások</w:t>
      </w:r>
    </w:p>
    <w:p w14:paraId="1E18916E" w14:textId="77777777" w:rsidR="001D7E21" w:rsidRP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F269FF7" w14:textId="4DDF4380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hAnsi="Times New Roman" w:cs="Times New Roman"/>
          <w:kern w:val="0"/>
        </w:rPr>
        <w:t>A nilotinibnek csekély hatása van vagy nincs hatása az egyéb vizsgált proteinkinázok többség</w:t>
      </w:r>
      <w:r w:rsidR="00AE0590">
        <w:rPr>
          <w:rFonts w:ascii="Times New Roman" w:hAnsi="Times New Roman" w:cs="Times New Roman"/>
          <w:kern w:val="0"/>
        </w:rPr>
        <w:t>ére</w:t>
      </w:r>
      <w:r w:rsidRPr="001D7E21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beleértve az Src-t</w:t>
      </w:r>
      <w:r w:rsidR="00AE0590">
        <w:rPr>
          <w:rFonts w:ascii="Times New Roman" w:hAnsi="Times New Roman" w:cs="Times New Roman"/>
          <w:kern w:val="0"/>
        </w:rPr>
        <w:t xml:space="preserve">, </w:t>
      </w:r>
      <w:r w:rsidRPr="001D7E21">
        <w:rPr>
          <w:rFonts w:ascii="Times New Roman" w:hAnsi="Times New Roman" w:cs="Times New Roman"/>
          <w:kern w:val="0"/>
        </w:rPr>
        <w:t>kivéve</w:t>
      </w:r>
      <w:r w:rsidR="00AE0590">
        <w:rPr>
          <w:rFonts w:ascii="Times New Roman" w:hAnsi="Times New Roman" w:cs="Times New Roman"/>
          <w:kern w:val="0"/>
        </w:rPr>
        <w:t xml:space="preserve"> azonban</w:t>
      </w:r>
      <w:r w:rsidRPr="001D7E21">
        <w:rPr>
          <w:rFonts w:ascii="Times New Roman" w:hAnsi="Times New Roman" w:cs="Times New Roman"/>
          <w:kern w:val="0"/>
        </w:rPr>
        <w:t xml:space="preserve"> a PDGF-et, a KIT-et és az Ephrin receptor-kinázokat, amelyeket </w:t>
      </w:r>
      <w:r w:rsidR="00AE0590" w:rsidRPr="001D7E21">
        <w:rPr>
          <w:rFonts w:ascii="Times New Roman" w:hAnsi="Times New Roman" w:cs="Times New Roman"/>
          <w:kern w:val="0"/>
        </w:rPr>
        <w:t xml:space="preserve">gátol </w:t>
      </w:r>
      <w:r w:rsidRPr="001D7E21">
        <w:rPr>
          <w:rFonts w:ascii="Times New Roman" w:hAnsi="Times New Roman" w:cs="Times New Roman"/>
          <w:kern w:val="0"/>
        </w:rPr>
        <w:t>a CML</w:t>
      </w:r>
      <w:r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eastAsia="TimesNewRomanPSMT" w:hAnsi="Times New Roman" w:cs="Times New Roman"/>
          <w:kern w:val="0"/>
        </w:rPr>
        <w:t xml:space="preserve">kezelésére ajánlott </w:t>
      </w:r>
      <w:r w:rsidR="00AE0590" w:rsidRPr="008E68D3">
        <w:rPr>
          <w:rFonts w:ascii="Times New Roman" w:eastAsia="TimesNewRomanPSMT" w:hAnsi="Times New Roman" w:cs="Times New Roman"/>
          <w:i/>
          <w:iCs/>
          <w:kern w:val="0"/>
        </w:rPr>
        <w:t>per os</w:t>
      </w:r>
      <w:r w:rsidRPr="001D7E21">
        <w:rPr>
          <w:rFonts w:ascii="Times New Roman" w:eastAsia="TimesNewRomanPSMT" w:hAnsi="Times New Roman" w:cs="Times New Roman"/>
          <w:kern w:val="0"/>
        </w:rPr>
        <w:t xml:space="preserve"> terápiás dózisok adását követően elért tartományon belüli koncentrációkban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(lásd 4.</w:t>
      </w:r>
      <w:r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táblázat).</w:t>
      </w:r>
    </w:p>
    <w:p w14:paraId="6582AF23" w14:textId="77777777" w:rsidR="00B171C8" w:rsidRPr="001D7E21" w:rsidRDefault="00B171C8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7D37ACE" w14:textId="3DE7ABB9" w:rsidR="001D7E21" w:rsidRP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1D7E21">
        <w:rPr>
          <w:rFonts w:ascii="Times New Roman" w:hAnsi="Times New Roman" w:cs="Times New Roman"/>
          <w:b/>
          <w:bCs/>
          <w:kern w:val="0"/>
        </w:rPr>
        <w:t>4. táblázat A nilotinib kináz</w:t>
      </w:r>
      <w:r w:rsidR="00796A05">
        <w:rPr>
          <w:rFonts w:ascii="Times New Roman" w:hAnsi="Times New Roman" w:cs="Times New Roman"/>
          <w:b/>
          <w:bCs/>
          <w:kern w:val="0"/>
        </w:rPr>
        <w:t xml:space="preserve"> </w:t>
      </w:r>
      <w:r w:rsidRPr="001D7E21">
        <w:rPr>
          <w:rFonts w:ascii="Times New Roman" w:hAnsi="Times New Roman" w:cs="Times New Roman"/>
          <w:b/>
          <w:bCs/>
          <w:kern w:val="0"/>
        </w:rPr>
        <w:t>profilja (foszforiláció IC</w:t>
      </w:r>
      <w:r w:rsidRPr="00B171C8">
        <w:rPr>
          <w:rFonts w:ascii="Times New Roman" w:hAnsi="Times New Roman" w:cs="Times New Roman"/>
          <w:b/>
          <w:bCs/>
          <w:kern w:val="0"/>
          <w:vertAlign w:val="subscript"/>
        </w:rPr>
        <w:t>50</w:t>
      </w:r>
      <w:r w:rsidRPr="001D7E21">
        <w:rPr>
          <w:rFonts w:ascii="Times New Roman" w:hAnsi="Times New Roman" w:cs="Times New Roman"/>
          <w:b/>
          <w:bCs/>
          <w:kern w:val="0"/>
          <w:sz w:val="14"/>
          <w:szCs w:val="14"/>
        </w:rPr>
        <w:t xml:space="preserve"> </w:t>
      </w:r>
      <w:r w:rsidRPr="001D7E21">
        <w:rPr>
          <w:rFonts w:ascii="Times New Roman" w:hAnsi="Times New Roman" w:cs="Times New Roman"/>
          <w:b/>
          <w:bCs/>
          <w:kern w:val="0"/>
        </w:rPr>
        <w:t>nM)</w:t>
      </w:r>
    </w:p>
    <w:p w14:paraId="2986416B" w14:textId="77777777" w:rsidR="00B02991" w:rsidRDefault="00B0299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81"/>
        <w:gridCol w:w="2403"/>
        <w:gridCol w:w="2228"/>
      </w:tblGrid>
      <w:tr w:rsidR="001870CD" w:rsidRPr="00054B09" w14:paraId="10AF4BE2" w14:textId="77777777" w:rsidTr="00C619EF">
        <w:trPr>
          <w:trHeight w:val="253"/>
        </w:trPr>
        <w:tc>
          <w:tcPr>
            <w:tcW w:w="2081" w:type="dxa"/>
          </w:tcPr>
          <w:p w14:paraId="028652D2" w14:textId="77777777" w:rsidR="001870CD" w:rsidRPr="00054B09" w:rsidRDefault="001870CD" w:rsidP="00C619EF">
            <w:pPr>
              <w:pStyle w:val="TableParagraph"/>
              <w:spacing w:line="234" w:lineRule="exact"/>
              <w:ind w:left="553" w:right="547"/>
              <w:jc w:val="center"/>
            </w:pPr>
            <w:r w:rsidRPr="00054B09">
              <w:rPr>
                <w:spacing w:val="-2"/>
              </w:rPr>
              <w:t>BCR-</w:t>
            </w:r>
            <w:r w:rsidRPr="00054B09">
              <w:rPr>
                <w:spacing w:val="-5"/>
              </w:rPr>
              <w:t>ABL</w:t>
            </w:r>
          </w:p>
        </w:tc>
        <w:tc>
          <w:tcPr>
            <w:tcW w:w="2403" w:type="dxa"/>
          </w:tcPr>
          <w:p w14:paraId="7623FB32" w14:textId="77777777" w:rsidR="001870CD" w:rsidRPr="00054B09" w:rsidRDefault="001870CD" w:rsidP="00C619EF">
            <w:pPr>
              <w:pStyle w:val="TableParagraph"/>
              <w:spacing w:line="234" w:lineRule="exact"/>
              <w:ind w:left="829" w:right="823"/>
              <w:jc w:val="center"/>
            </w:pPr>
            <w:r w:rsidRPr="00054B09">
              <w:rPr>
                <w:spacing w:val="-2"/>
              </w:rPr>
              <w:t>PDGFR</w:t>
            </w:r>
          </w:p>
        </w:tc>
        <w:tc>
          <w:tcPr>
            <w:tcW w:w="2228" w:type="dxa"/>
          </w:tcPr>
          <w:p w14:paraId="5D689880" w14:textId="77777777" w:rsidR="001870CD" w:rsidRPr="00054B09" w:rsidRDefault="001870CD" w:rsidP="00C619EF">
            <w:pPr>
              <w:pStyle w:val="TableParagraph"/>
              <w:spacing w:line="234" w:lineRule="exact"/>
              <w:ind w:left="963" w:right="863"/>
              <w:jc w:val="center"/>
            </w:pPr>
            <w:r w:rsidRPr="00054B09">
              <w:rPr>
                <w:spacing w:val="-5"/>
              </w:rPr>
              <w:t>KIT</w:t>
            </w:r>
          </w:p>
        </w:tc>
      </w:tr>
      <w:tr w:rsidR="001870CD" w:rsidRPr="00054B09" w14:paraId="1D6C658E" w14:textId="77777777" w:rsidTr="00C619EF">
        <w:trPr>
          <w:trHeight w:val="251"/>
        </w:trPr>
        <w:tc>
          <w:tcPr>
            <w:tcW w:w="2081" w:type="dxa"/>
          </w:tcPr>
          <w:p w14:paraId="2FFEC75D" w14:textId="77777777" w:rsidR="001870CD" w:rsidRPr="00054B09" w:rsidRDefault="001870CD" w:rsidP="00C619EF">
            <w:pPr>
              <w:pStyle w:val="TableParagraph"/>
              <w:spacing w:line="232" w:lineRule="exact"/>
              <w:ind w:left="553" w:right="547"/>
              <w:jc w:val="center"/>
            </w:pPr>
            <w:r w:rsidRPr="00054B09">
              <w:rPr>
                <w:spacing w:val="-5"/>
              </w:rPr>
              <w:t>20</w:t>
            </w:r>
          </w:p>
        </w:tc>
        <w:tc>
          <w:tcPr>
            <w:tcW w:w="2403" w:type="dxa"/>
          </w:tcPr>
          <w:p w14:paraId="5C32FF58" w14:textId="77777777" w:rsidR="001870CD" w:rsidRPr="00054B09" w:rsidRDefault="001870CD" w:rsidP="00C619EF">
            <w:pPr>
              <w:pStyle w:val="TableParagraph"/>
              <w:spacing w:line="232" w:lineRule="exact"/>
              <w:ind w:left="829" w:right="822"/>
              <w:jc w:val="center"/>
            </w:pPr>
            <w:r w:rsidRPr="00054B09">
              <w:rPr>
                <w:spacing w:val="-5"/>
              </w:rPr>
              <w:t>69</w:t>
            </w:r>
          </w:p>
        </w:tc>
        <w:tc>
          <w:tcPr>
            <w:tcW w:w="2228" w:type="dxa"/>
          </w:tcPr>
          <w:p w14:paraId="2B7AB487" w14:textId="77777777" w:rsidR="001870CD" w:rsidRPr="00054B09" w:rsidRDefault="001870CD" w:rsidP="00C619EF">
            <w:pPr>
              <w:pStyle w:val="TableParagraph"/>
              <w:spacing w:line="232" w:lineRule="exact"/>
              <w:ind w:left="963" w:right="858"/>
              <w:jc w:val="center"/>
            </w:pPr>
            <w:r w:rsidRPr="00054B09">
              <w:rPr>
                <w:spacing w:val="-5"/>
              </w:rPr>
              <w:t>210</w:t>
            </w:r>
          </w:p>
        </w:tc>
      </w:tr>
    </w:tbl>
    <w:p w14:paraId="74411C67" w14:textId="77777777" w:rsidR="00B02991" w:rsidRDefault="00B0299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4D98843" w14:textId="11EAB57C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1870CD">
        <w:rPr>
          <w:rFonts w:ascii="Times New Roman" w:hAnsi="Times New Roman" w:cs="Times New Roman"/>
          <w:kern w:val="0"/>
          <w:u w:val="single"/>
        </w:rPr>
        <w:t>Klinikai hatásosság</w:t>
      </w:r>
    </w:p>
    <w:p w14:paraId="22AA4162" w14:textId="77777777" w:rsidR="001870CD" w:rsidRPr="001870CD" w:rsidRDefault="001870CD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4ACD3A2" w14:textId="413C78CA" w:rsidR="001870CD" w:rsidRP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1870CD">
        <w:rPr>
          <w:rFonts w:ascii="Times New Roman" w:hAnsi="Times New Roman" w:cs="Times New Roman"/>
          <w:i/>
          <w:iCs/>
          <w:kern w:val="0"/>
          <w:u w:val="single"/>
        </w:rPr>
        <w:t>Újonnan diagnosztizált, krónikus fázisú CML-ben végzett klinikai vizsgálatok</w:t>
      </w:r>
    </w:p>
    <w:p w14:paraId="266E978F" w14:textId="12AFAA20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hAnsi="Times New Roman" w:cs="Times New Roman"/>
          <w:kern w:val="0"/>
        </w:rPr>
        <w:t>A nilotinib és az imatinib egymáshoz viszonyított hatásosságának meghatározása érdekében egy nyílt,</w:t>
      </w:r>
      <w:r w:rsidR="001870CD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multicentrumos, randomizált, III. fázisú vizsgálatot végeztek 846, citogenetikailag igazolt, újonnan</w:t>
      </w:r>
      <w:r w:rsidR="00C341B8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diagnosztizált, Philadelphia-kromoszóma pozitív, krónikus fázisú CML-</w:t>
      </w:r>
      <w:r w:rsidRPr="001D7E21">
        <w:rPr>
          <w:rFonts w:ascii="Times New Roman" w:eastAsia="TimesNewRomanPSMT" w:hAnsi="Times New Roman" w:cs="Times New Roman"/>
          <w:kern w:val="0"/>
        </w:rPr>
        <w:t>ben szenvedő felnőtt beteggel.</w:t>
      </w:r>
      <w:r w:rsidR="00C341B8">
        <w:rPr>
          <w:rFonts w:ascii="Times New Roman" w:eastAsia="TimesNewRomanPSMT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A betegek a diagnózis felállításától számított 6 hónapon belül voltak, és korábban hidroxiurea és/vagy</w:t>
      </w:r>
      <w:r w:rsidR="00C374F4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anagrelid kivételével kezelést nem kaptak. A betegeket 1:1:1 arányban randomizálták naponta kétszer</w:t>
      </w:r>
      <w:r w:rsidR="00C374F4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300</w:t>
      </w:r>
      <w:r w:rsidR="00FF67B2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nilotinibre (n = 282), naponta kétszer 400</w:t>
      </w:r>
      <w:r w:rsidR="00C374F4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nilotinibre (n = 281) vagy naponta egyszer</w:t>
      </w:r>
      <w:r w:rsidR="00C374F4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400</w:t>
      </w:r>
      <w:r w:rsidR="00C374F4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 xml:space="preserve">mg imatinibre (n = </w:t>
      </w:r>
      <w:r w:rsidRPr="001D7E21">
        <w:rPr>
          <w:rFonts w:ascii="Times New Roman" w:eastAsia="TimesNewRomanPSMT" w:hAnsi="Times New Roman" w:cs="Times New Roman"/>
          <w:kern w:val="0"/>
        </w:rPr>
        <w:t>283). A randomizációt a diagnózis felállításának időpontjában a Sokal</w:t>
      </w:r>
      <w:r w:rsidRPr="001D7E21">
        <w:rPr>
          <w:rFonts w:ascii="Times New Roman" w:hAnsi="Times New Roman" w:cs="Times New Roman"/>
          <w:kern w:val="0"/>
        </w:rPr>
        <w:t>-féle</w:t>
      </w:r>
      <w:r w:rsidR="00C374F4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rizikópontszám szerint stratifikálták.</w:t>
      </w:r>
    </w:p>
    <w:p w14:paraId="552E92EB" w14:textId="77777777" w:rsidR="00C374F4" w:rsidRPr="001D7E21" w:rsidRDefault="00C374F4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1BD05A2" w14:textId="1E374874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eastAsia="TimesNewRomanPSMT" w:hAnsi="Times New Roman" w:cs="Times New Roman"/>
          <w:kern w:val="0"/>
        </w:rPr>
        <w:t xml:space="preserve">A három terápiás kar jellemzői </w:t>
      </w:r>
      <w:r w:rsidRPr="001D7E21">
        <w:rPr>
          <w:rFonts w:ascii="Times New Roman" w:hAnsi="Times New Roman" w:cs="Times New Roman"/>
          <w:kern w:val="0"/>
        </w:rPr>
        <w:t>a vizsgálat megkezdésekor egyensúlyban voltak. A medián életkor</w:t>
      </w:r>
      <w:r w:rsidR="005C10B9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mindkét nilotinib-karon 47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év, míg az imatinib-karon 46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eastAsia="TimesNewRomanPSMT" w:hAnsi="Times New Roman" w:cs="Times New Roman"/>
          <w:kern w:val="0"/>
        </w:rPr>
        <w:t>év volt. A betegek életkora ≥65</w:t>
      </w:r>
      <w:r w:rsidR="006979E5">
        <w:rPr>
          <w:rFonts w:ascii="Times New Roman" w:eastAsia="TimesNewRomanPSMT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év volt a</w:t>
      </w:r>
      <w:r w:rsidR="006979E5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naponta kétszer 300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nilotinib-</w:t>
      </w:r>
      <w:r w:rsidRPr="001D7E21">
        <w:rPr>
          <w:rFonts w:ascii="Times New Roman" w:eastAsia="TimesNewRomanPSMT" w:hAnsi="Times New Roman" w:cs="Times New Roman"/>
          <w:kern w:val="0"/>
        </w:rPr>
        <w:t>karon lévők 12,8%</w:t>
      </w:r>
      <w:r w:rsidRPr="001D7E21">
        <w:rPr>
          <w:rFonts w:ascii="Times New Roman" w:hAnsi="Times New Roman" w:cs="Times New Roman"/>
          <w:kern w:val="0"/>
        </w:rPr>
        <w:t>-ánál, a naponta kétszer 400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nilotinib-karon</w:t>
      </w:r>
      <w:r w:rsidR="006979E5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eastAsia="TimesNewRomanPSMT" w:hAnsi="Times New Roman" w:cs="Times New Roman"/>
          <w:kern w:val="0"/>
        </w:rPr>
        <w:t>lévők 10,0%</w:t>
      </w:r>
      <w:r w:rsidRPr="001D7E21">
        <w:rPr>
          <w:rFonts w:ascii="Times New Roman" w:hAnsi="Times New Roman" w:cs="Times New Roman"/>
          <w:kern w:val="0"/>
        </w:rPr>
        <w:t>-ánál és a naponta egyszer 400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imatinib-</w:t>
      </w:r>
      <w:r w:rsidRPr="001D7E21">
        <w:rPr>
          <w:rFonts w:ascii="Times New Roman" w:eastAsia="TimesNewRomanPSMT" w:hAnsi="Times New Roman" w:cs="Times New Roman"/>
          <w:kern w:val="0"/>
        </w:rPr>
        <w:t>karon lévők 12,4%</w:t>
      </w:r>
      <w:r w:rsidRPr="001D7E21">
        <w:rPr>
          <w:rFonts w:ascii="Times New Roman" w:hAnsi="Times New Roman" w:cs="Times New Roman"/>
          <w:kern w:val="0"/>
        </w:rPr>
        <w:t>-ánál. Egy kicsit több volt</w:t>
      </w:r>
      <w:r w:rsidR="006979E5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a férfi-</w:t>
      </w:r>
      <w:r w:rsidRPr="001D7E21">
        <w:rPr>
          <w:rFonts w:ascii="Times New Roman" w:eastAsia="TimesNewRomanPSMT" w:hAnsi="Times New Roman" w:cs="Times New Roman"/>
          <w:kern w:val="0"/>
        </w:rPr>
        <w:t>, mint a nőbeteg (a naponta kétszer 300</w:t>
      </w:r>
      <w:r w:rsidR="006979E5">
        <w:rPr>
          <w:rFonts w:ascii="Times New Roman" w:eastAsia="TimesNewRomanPSMT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nilotinib-karon 56,0%, a naponta kétszer 400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</w:t>
      </w:r>
      <w:r w:rsidR="006979E5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nilotinib-karon 62,3% és a naponta egyszer 400</w:t>
      </w:r>
      <w:r w:rsidR="006979E5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imatinib-karon 55,8%). Az összes beteg több mint</w:t>
      </w:r>
      <w:r w:rsidR="006979E5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60%-a volt fehér</w:t>
      </w:r>
      <w:r w:rsidR="00AE0590">
        <w:rPr>
          <w:rFonts w:ascii="Times New Roman" w:hAnsi="Times New Roman" w:cs="Times New Roman"/>
          <w:kern w:val="0"/>
        </w:rPr>
        <w:t xml:space="preserve"> bőrű</w:t>
      </w:r>
      <w:r w:rsidRPr="001D7E21">
        <w:rPr>
          <w:rFonts w:ascii="Times New Roman" w:hAnsi="Times New Roman" w:cs="Times New Roman"/>
          <w:kern w:val="0"/>
        </w:rPr>
        <w:t>, és az összes beteg 25%-a volt ázsiai.</w:t>
      </w:r>
    </w:p>
    <w:p w14:paraId="752894C5" w14:textId="77777777" w:rsidR="006979E5" w:rsidRPr="001D7E21" w:rsidRDefault="006979E5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8589693" w14:textId="49E35717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eastAsia="TimesNewRomanPSMT" w:hAnsi="Times New Roman" w:cs="Times New Roman"/>
          <w:kern w:val="0"/>
        </w:rPr>
        <w:t xml:space="preserve">Az adatok elsődleges analízisének időpontja akkor volt, amikor mind a 846 </w:t>
      </w:r>
      <w:r w:rsidRPr="001D7E21">
        <w:rPr>
          <w:rFonts w:ascii="Times New Roman" w:hAnsi="Times New Roman" w:cs="Times New Roman"/>
          <w:kern w:val="0"/>
        </w:rPr>
        <w:t>beteg befejezte a</w:t>
      </w:r>
      <w:r w:rsidR="00172AAA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12</w:t>
      </w:r>
      <w:r w:rsidR="00172AAA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 xml:space="preserve">hónapig tartó kezelést (vagy korábban megszakította azt). </w:t>
      </w:r>
      <w:r w:rsidRPr="001D7E21">
        <w:rPr>
          <w:rFonts w:ascii="Times New Roman" w:eastAsia="TimesNewRomanPSMT" w:hAnsi="Times New Roman" w:cs="Times New Roman"/>
          <w:kern w:val="0"/>
        </w:rPr>
        <w:t>A későbbi analízisek azt mutatják,</w:t>
      </w:r>
      <w:r w:rsidR="00172AAA">
        <w:rPr>
          <w:rFonts w:ascii="Times New Roman" w:eastAsia="TimesNewRomanPSMT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amikor a betegek befejezték a 24, 36, 48, 60 és 72</w:t>
      </w:r>
      <w:r w:rsidR="00A83CF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hónapig tartó kezelést (vagy azt korábban</w:t>
      </w:r>
      <w:r w:rsidR="00A83CFE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 xml:space="preserve">befejezték). </w:t>
      </w:r>
      <w:r w:rsidRPr="001D7E21">
        <w:rPr>
          <w:rFonts w:ascii="Times New Roman" w:eastAsia="TimesNewRomanPSMT" w:hAnsi="Times New Roman" w:cs="Times New Roman"/>
          <w:kern w:val="0"/>
        </w:rPr>
        <w:t>A kezelések medián időtartama megközelítőleg 70</w:t>
      </w:r>
      <w:r w:rsidR="00A83CFE">
        <w:rPr>
          <w:rFonts w:ascii="Times New Roman" w:eastAsia="TimesNewRomanPSMT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 volt a nilotinib terápiás</w:t>
      </w:r>
      <w:r w:rsidR="00A83CFE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csoportban, és 64 hónap volt az imatinib-csoportban. A tényleges dózisintenzitás medián</w:t>
      </w:r>
      <w:r w:rsidR="00AE0590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értéke</w:t>
      </w:r>
      <w:r w:rsidR="00A83CFE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593</w:t>
      </w:r>
      <w:r w:rsidR="00A83CF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mg/nap volt a naponta kétszer 300</w:t>
      </w:r>
      <w:r w:rsidR="000009A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nilotinib, 772</w:t>
      </w:r>
      <w:r w:rsidR="000009A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mg/nap a naponta kétszer 400</w:t>
      </w:r>
      <w:r w:rsidR="000009A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 és</w:t>
      </w:r>
      <w:r w:rsidR="00A83CFE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400</w:t>
      </w:r>
      <w:r w:rsidR="00A83CF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mg/nap a naponta egyszer 400</w:t>
      </w:r>
      <w:r w:rsidR="000009A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imatinib esetén. Ez a vizsgálat jelenleg is tart.</w:t>
      </w:r>
    </w:p>
    <w:p w14:paraId="2F043800" w14:textId="77777777" w:rsidR="00A83CFE" w:rsidRPr="001D7E21" w:rsidRDefault="00A83CFE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04940E3" w14:textId="5D88BC86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eastAsia="TimesNewRomanPSMT" w:hAnsi="Times New Roman" w:cs="Times New Roman"/>
          <w:kern w:val="0"/>
        </w:rPr>
        <w:t>Az elsődle</w:t>
      </w:r>
      <w:r w:rsidRPr="001D7E21">
        <w:rPr>
          <w:rFonts w:ascii="Times New Roman" w:hAnsi="Times New Roman" w:cs="Times New Roman"/>
          <w:kern w:val="0"/>
        </w:rPr>
        <w:t>ges hatásossági végpont a 12.</w:t>
      </w:r>
      <w:r w:rsidR="00F91207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eastAsia="TimesNewRomanPSMT" w:hAnsi="Times New Roman" w:cs="Times New Roman"/>
          <w:kern w:val="0"/>
        </w:rPr>
        <w:t>hónapban észlelt, jelentős molekuláris válasz (major</w:t>
      </w:r>
      <w:r w:rsidR="000009AE">
        <w:rPr>
          <w:rFonts w:ascii="Times New Roman" w:eastAsia="TimesNewRomanPSMT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 xml:space="preserve">molecular response </w:t>
      </w:r>
      <w:r w:rsidRPr="001D7E21">
        <w:rPr>
          <w:rFonts w:ascii="Times New Roman" w:eastAsia="TimesNewRomanPSMT" w:hAnsi="Times New Roman" w:cs="Times New Roman"/>
          <w:kern w:val="0"/>
        </w:rPr>
        <w:t>– MMR) volt. Az MMR definíciója a valós idejű kvantitatív polimeráz</w:t>
      </w:r>
      <w:r w:rsidR="000009AE">
        <w:rPr>
          <w:rFonts w:ascii="Times New Roman" w:eastAsia="TimesNewRomanPSMT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 xml:space="preserve">láncreakcióval (real-time quantitative polymerase chain reaction </w:t>
      </w:r>
      <w:r w:rsidRPr="001D7E21">
        <w:rPr>
          <w:rFonts w:ascii="Times New Roman" w:eastAsia="TimesNewRomanPSMT" w:hAnsi="Times New Roman" w:cs="Times New Roman"/>
          <w:kern w:val="0"/>
        </w:rPr>
        <w:t xml:space="preserve">– </w:t>
      </w:r>
      <w:r w:rsidRPr="001D7E21">
        <w:rPr>
          <w:rFonts w:ascii="Times New Roman" w:hAnsi="Times New Roman" w:cs="Times New Roman"/>
          <w:kern w:val="0"/>
        </w:rPr>
        <w:t>RQ-PCR) mért nemzetközi skála</w:t>
      </w:r>
      <w:r w:rsidR="000009AE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eastAsia="TimesNewRomanPSMT" w:hAnsi="Times New Roman" w:cs="Times New Roman"/>
          <w:kern w:val="0"/>
        </w:rPr>
        <w:t xml:space="preserve">(IS) szerinti ≤ </w:t>
      </w:r>
      <w:r w:rsidRPr="001D7E21">
        <w:rPr>
          <w:rFonts w:ascii="Times New Roman" w:hAnsi="Times New Roman" w:cs="Times New Roman"/>
          <w:kern w:val="0"/>
        </w:rPr>
        <w:t>0,1% BCR-ABL/ABL%, ami egy, a standardizált kiindulási BCR-ABL</w:t>
      </w:r>
      <w:r w:rsidR="000009AE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eastAsia="TimesNewRomanPSMT" w:hAnsi="Times New Roman" w:cs="Times New Roman"/>
          <w:kern w:val="0"/>
        </w:rPr>
        <w:t xml:space="preserve">transzkripcióhoz viszonyított, ≥ </w:t>
      </w:r>
      <w:r w:rsidRPr="001D7E21">
        <w:rPr>
          <w:rFonts w:ascii="Times New Roman" w:hAnsi="Times New Roman" w:cs="Times New Roman"/>
          <w:kern w:val="0"/>
        </w:rPr>
        <w:t>3 log csökkenésnek felel meg. A 12.</w:t>
      </w:r>
      <w:r w:rsidR="00F91207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az MMR-arány</w:t>
      </w:r>
      <w:r w:rsidR="00F91207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statisztikailag szignifikánsan magasabb volt a naponta kétszer 300</w:t>
      </w:r>
      <w:r w:rsidR="0095197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nilotinib, mint a naponta</w:t>
      </w:r>
      <w:r w:rsidR="00F91207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egyszer 400</w:t>
      </w:r>
      <w:r w:rsidR="0095197E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 xml:space="preserve">mg imatinib esetén (44,3% versus 22,3%, p </w:t>
      </w:r>
      <w:proofErr w:type="gramStart"/>
      <w:r w:rsidRPr="001D7E21">
        <w:rPr>
          <w:rFonts w:ascii="Times New Roman" w:hAnsi="Times New Roman" w:cs="Times New Roman"/>
          <w:kern w:val="0"/>
        </w:rPr>
        <w:t>&lt; 0</w:t>
      </w:r>
      <w:proofErr w:type="gramEnd"/>
      <w:r w:rsidRPr="001D7E21">
        <w:rPr>
          <w:rFonts w:ascii="Times New Roman" w:hAnsi="Times New Roman" w:cs="Times New Roman"/>
          <w:kern w:val="0"/>
        </w:rPr>
        <w:t>,0001). A 12. hónapban az MMR-arány</w:t>
      </w:r>
      <w:r w:rsidR="00F91207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szintén statisztikailag szignifikánsan magasabb volt a naponta kétszer 400 mg nilotinib, mint a naponta</w:t>
      </w:r>
      <w:r w:rsidR="00F91207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egyszer 400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 xml:space="preserve">mg imatinib esetén (42,7% versus 22,3%, p </w:t>
      </w:r>
      <w:proofErr w:type="gramStart"/>
      <w:r w:rsidRPr="001D7E21">
        <w:rPr>
          <w:rFonts w:ascii="Times New Roman" w:hAnsi="Times New Roman" w:cs="Times New Roman"/>
          <w:kern w:val="0"/>
        </w:rPr>
        <w:t>&lt; 0</w:t>
      </w:r>
      <w:proofErr w:type="gramEnd"/>
      <w:r w:rsidRPr="001D7E21">
        <w:rPr>
          <w:rFonts w:ascii="Times New Roman" w:hAnsi="Times New Roman" w:cs="Times New Roman"/>
          <w:kern w:val="0"/>
        </w:rPr>
        <w:t>,0001).</w:t>
      </w:r>
    </w:p>
    <w:p w14:paraId="0D11AC01" w14:textId="77777777" w:rsidR="000009AE" w:rsidRPr="001D7E21" w:rsidRDefault="000009AE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F24761C" w14:textId="152032F5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hAnsi="Times New Roman" w:cs="Times New Roman"/>
          <w:kern w:val="0"/>
        </w:rPr>
        <w:t>Az MMR-arány a naponta kétszer 300</w:t>
      </w:r>
      <w:r w:rsidR="00540E7A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 esetén a 3.</w:t>
      </w:r>
      <w:r w:rsidR="00540E7A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8,9%, a 6.</w:t>
      </w:r>
      <w:r w:rsidR="00986A53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33,0%,</w:t>
      </w:r>
      <w:r w:rsidR="00986A53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a 9.</w:t>
      </w:r>
      <w:r w:rsidR="00540E7A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43,3% és a 12.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44,3%, a naponta kétszer 400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nilotinib esetén a</w:t>
      </w:r>
      <w:r w:rsidR="00986A53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3.</w:t>
      </w:r>
      <w:r w:rsidR="00986A53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5,0%, a 6.</w:t>
      </w:r>
      <w:r w:rsidR="00986A53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29,5%, a 9.</w:t>
      </w:r>
      <w:r w:rsidR="00986A53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38,1% és a 12.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42,7%, míg a</w:t>
      </w:r>
      <w:r w:rsidR="00986A53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naponta egyszer 400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mg imatinib esetén a 3.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0,7%, a 6.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12,0%, a 9.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</w:t>
      </w:r>
      <w:r w:rsidR="00986A53">
        <w:rPr>
          <w:rFonts w:ascii="Times New Roman" w:hAnsi="Times New Roman" w:cs="Times New Roman"/>
          <w:kern w:val="0"/>
        </w:rPr>
        <w:t xml:space="preserve"> </w:t>
      </w:r>
      <w:r w:rsidRPr="001D7E21">
        <w:rPr>
          <w:rFonts w:ascii="Times New Roman" w:hAnsi="Times New Roman" w:cs="Times New Roman"/>
          <w:kern w:val="0"/>
        </w:rPr>
        <w:t>18,0% és a 12.</w:t>
      </w:r>
      <w:r w:rsidR="00AD3BBB">
        <w:rPr>
          <w:rFonts w:ascii="Times New Roman" w:hAnsi="Times New Roman" w:cs="Times New Roman"/>
          <w:kern w:val="0"/>
        </w:rPr>
        <w:t> </w:t>
      </w:r>
      <w:r w:rsidRPr="001D7E21">
        <w:rPr>
          <w:rFonts w:ascii="Times New Roman" w:hAnsi="Times New Roman" w:cs="Times New Roman"/>
          <w:kern w:val="0"/>
        </w:rPr>
        <w:t>hónapban 22,3% volt.</w:t>
      </w:r>
    </w:p>
    <w:p w14:paraId="72039633" w14:textId="77777777" w:rsidR="00F91207" w:rsidRPr="001D7E21" w:rsidRDefault="00F91207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ECF642B" w14:textId="54D3E5AA" w:rsidR="001D7E21" w:rsidRDefault="001D7E21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D7E21">
        <w:rPr>
          <w:rFonts w:ascii="Times New Roman" w:hAnsi="Times New Roman" w:cs="Times New Roman"/>
          <w:kern w:val="0"/>
        </w:rPr>
        <w:t>A 12., 24., 36., 48., 60. és 72. havi MMR-arányokat a 5. táblázat mutatja be.</w:t>
      </w:r>
    </w:p>
    <w:p w14:paraId="00117675" w14:textId="77777777" w:rsidR="002B5709" w:rsidRDefault="002B5709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C22B69B" w14:textId="0AC45571" w:rsidR="002B5709" w:rsidRDefault="002B5709" w:rsidP="00027697">
      <w:pPr>
        <w:autoSpaceDE w:val="0"/>
        <w:autoSpaceDN w:val="0"/>
        <w:adjustRightInd w:val="0"/>
        <w:spacing w:after="0" w:line="240" w:lineRule="auto"/>
        <w:ind w:left="238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5. táblázat MMR-arány</w:t>
      </w:r>
    </w:p>
    <w:p w14:paraId="73F6D875" w14:textId="77777777" w:rsidR="00D75A1F" w:rsidRDefault="00D75A1F" w:rsidP="001D7E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tbl>
      <w:tblPr>
        <w:tblW w:w="9064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1"/>
        <w:gridCol w:w="1995"/>
        <w:gridCol w:w="2040"/>
        <w:gridCol w:w="2038"/>
      </w:tblGrid>
      <w:tr w:rsidR="00D75A1F" w:rsidRPr="00202FCD" w14:paraId="68F5C993" w14:textId="77777777" w:rsidTr="00E70037">
        <w:trPr>
          <w:trHeight w:val="1012"/>
        </w:trPr>
        <w:tc>
          <w:tcPr>
            <w:tcW w:w="2991" w:type="dxa"/>
          </w:tcPr>
          <w:p w14:paraId="4528A78E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1995" w:type="dxa"/>
          </w:tcPr>
          <w:p w14:paraId="43B0D4BE" w14:textId="77777777" w:rsidR="00D75A1F" w:rsidRPr="00202FCD" w:rsidRDefault="00D75A1F" w:rsidP="00FF3E8F">
            <w:pPr>
              <w:pStyle w:val="TableParagraph"/>
              <w:spacing w:line="251" w:lineRule="exact"/>
              <w:ind w:left="148" w:right="138"/>
              <w:jc w:val="center"/>
              <w:rPr>
                <w:lang w:val="hu-HU"/>
              </w:rPr>
            </w:pPr>
            <w:r w:rsidRPr="00202FCD">
              <w:rPr>
                <w:spacing w:val="-2"/>
                <w:lang w:val="hu-HU"/>
              </w:rPr>
              <w:t>Nilotinib</w:t>
            </w:r>
          </w:p>
          <w:p w14:paraId="0C80B70B" w14:textId="77777777" w:rsidR="00FF3E8F" w:rsidRPr="00202FCD" w:rsidRDefault="00FF3E8F" w:rsidP="00FF3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202FCD">
              <w:rPr>
                <w:rFonts w:ascii="Times New Roman" w:hAnsi="Times New Roman" w:cs="Times New Roman"/>
                <w:kern w:val="0"/>
              </w:rPr>
              <w:t xml:space="preserve">naponta kétszer 300 mg </w:t>
            </w:r>
          </w:p>
          <w:p w14:paraId="0F4F84D8" w14:textId="05B504AB" w:rsidR="00FF3E8F" w:rsidRPr="00202FCD" w:rsidRDefault="00FF3E8F" w:rsidP="00FF3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202FCD">
              <w:rPr>
                <w:rFonts w:ascii="Times New Roman" w:hAnsi="Times New Roman" w:cs="Times New Roman"/>
                <w:kern w:val="0"/>
              </w:rPr>
              <w:t>n = 282</w:t>
            </w:r>
          </w:p>
          <w:p w14:paraId="796C7151" w14:textId="78A7F9CE" w:rsidR="00D75A1F" w:rsidRPr="00202FCD" w:rsidRDefault="00FF3E8F" w:rsidP="00FF3E8F">
            <w:pPr>
              <w:pStyle w:val="TableParagraph"/>
              <w:spacing w:before="1" w:line="233" w:lineRule="exact"/>
              <w:ind w:left="148" w:right="138"/>
              <w:jc w:val="center"/>
              <w:rPr>
                <w:lang w:val="hu-HU"/>
              </w:rPr>
            </w:pPr>
            <w:r w:rsidRPr="00202FCD">
              <w:rPr>
                <w:lang w:val="hu-HU"/>
              </w:rPr>
              <w:t>(%)</w:t>
            </w:r>
          </w:p>
        </w:tc>
        <w:tc>
          <w:tcPr>
            <w:tcW w:w="2040" w:type="dxa"/>
          </w:tcPr>
          <w:p w14:paraId="5044283C" w14:textId="77777777" w:rsidR="00D75A1F" w:rsidRPr="00202FCD" w:rsidRDefault="00D75A1F" w:rsidP="00C619EF">
            <w:pPr>
              <w:pStyle w:val="TableParagraph"/>
              <w:spacing w:line="251" w:lineRule="exact"/>
              <w:ind w:left="170" w:right="162"/>
              <w:jc w:val="center"/>
              <w:rPr>
                <w:lang w:val="hu-HU"/>
              </w:rPr>
            </w:pPr>
            <w:r w:rsidRPr="00202FCD">
              <w:rPr>
                <w:spacing w:val="-2"/>
                <w:lang w:val="hu-HU"/>
              </w:rPr>
              <w:t>Nilotinib</w:t>
            </w:r>
          </w:p>
          <w:p w14:paraId="5D10D9B2" w14:textId="58BC2323" w:rsidR="00FF3E8F" w:rsidRPr="00202FCD" w:rsidRDefault="00FF3E8F" w:rsidP="00FF3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202FCD">
              <w:rPr>
                <w:rFonts w:ascii="Times New Roman" w:hAnsi="Times New Roman" w:cs="Times New Roman"/>
                <w:kern w:val="0"/>
              </w:rPr>
              <w:t xml:space="preserve">naponta kétszer 400 mg </w:t>
            </w:r>
          </w:p>
          <w:p w14:paraId="6A7C6039" w14:textId="4F3507DC" w:rsidR="00FF3E8F" w:rsidRPr="00202FCD" w:rsidRDefault="00FF3E8F" w:rsidP="00FF3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202FCD">
              <w:rPr>
                <w:rFonts w:ascii="Times New Roman" w:hAnsi="Times New Roman" w:cs="Times New Roman"/>
                <w:kern w:val="0"/>
              </w:rPr>
              <w:t>n = 281</w:t>
            </w:r>
          </w:p>
          <w:p w14:paraId="61992466" w14:textId="40844D63" w:rsidR="00D75A1F" w:rsidRPr="00202FCD" w:rsidRDefault="00FF3E8F" w:rsidP="00FF3E8F">
            <w:pPr>
              <w:pStyle w:val="TableParagraph"/>
              <w:spacing w:before="1" w:line="233" w:lineRule="exact"/>
              <w:ind w:left="169" w:right="162"/>
              <w:jc w:val="center"/>
              <w:rPr>
                <w:lang w:val="hu-HU"/>
              </w:rPr>
            </w:pPr>
            <w:r w:rsidRPr="00202FCD">
              <w:rPr>
                <w:lang w:val="hu-HU"/>
              </w:rPr>
              <w:t>(%)</w:t>
            </w:r>
          </w:p>
        </w:tc>
        <w:tc>
          <w:tcPr>
            <w:tcW w:w="2038" w:type="dxa"/>
          </w:tcPr>
          <w:p w14:paraId="4B1649ED" w14:textId="77777777" w:rsidR="00D75A1F" w:rsidRPr="00202FCD" w:rsidRDefault="00D75A1F" w:rsidP="00C619EF">
            <w:pPr>
              <w:pStyle w:val="TableParagraph"/>
              <w:spacing w:line="251" w:lineRule="exact"/>
              <w:ind w:left="201" w:right="190"/>
              <w:jc w:val="center"/>
              <w:rPr>
                <w:lang w:val="hu-HU"/>
              </w:rPr>
            </w:pPr>
            <w:r w:rsidRPr="00202FCD">
              <w:rPr>
                <w:spacing w:val="-2"/>
                <w:lang w:val="hu-HU"/>
              </w:rPr>
              <w:t>Imatinib</w:t>
            </w:r>
          </w:p>
          <w:p w14:paraId="490D4649" w14:textId="737A2DA5" w:rsidR="00FF3E8F" w:rsidRPr="00202FCD" w:rsidRDefault="00FF3E8F" w:rsidP="00FF3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202FCD">
              <w:rPr>
                <w:rFonts w:ascii="Times New Roman" w:hAnsi="Times New Roman" w:cs="Times New Roman"/>
                <w:kern w:val="0"/>
              </w:rPr>
              <w:t xml:space="preserve">naponta egyszer </w:t>
            </w:r>
            <w:r w:rsidR="00392A1A" w:rsidRPr="00202FCD">
              <w:rPr>
                <w:rFonts w:ascii="Times New Roman" w:hAnsi="Times New Roman" w:cs="Times New Roman"/>
                <w:kern w:val="0"/>
              </w:rPr>
              <w:t>4</w:t>
            </w:r>
            <w:r w:rsidRPr="00202FCD">
              <w:rPr>
                <w:rFonts w:ascii="Times New Roman" w:hAnsi="Times New Roman" w:cs="Times New Roman"/>
                <w:kern w:val="0"/>
              </w:rPr>
              <w:t xml:space="preserve">00 mg </w:t>
            </w:r>
          </w:p>
          <w:p w14:paraId="1D4E325E" w14:textId="1BEFF97B" w:rsidR="00FF3E8F" w:rsidRPr="00202FCD" w:rsidRDefault="00FF3E8F" w:rsidP="00FF3E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202FCD">
              <w:rPr>
                <w:rFonts w:ascii="Times New Roman" w:hAnsi="Times New Roman" w:cs="Times New Roman"/>
                <w:kern w:val="0"/>
              </w:rPr>
              <w:t>n = 283</w:t>
            </w:r>
          </w:p>
          <w:p w14:paraId="0884C7E8" w14:textId="5BEEFD70" w:rsidR="00D75A1F" w:rsidRPr="00202FCD" w:rsidRDefault="00FF3E8F" w:rsidP="00FF3E8F">
            <w:pPr>
              <w:pStyle w:val="TableParagraph"/>
              <w:spacing w:before="1" w:line="233" w:lineRule="exact"/>
              <w:ind w:left="201" w:right="190"/>
              <w:jc w:val="center"/>
              <w:rPr>
                <w:lang w:val="hu-HU"/>
              </w:rPr>
            </w:pPr>
            <w:r w:rsidRPr="00202FCD">
              <w:rPr>
                <w:lang w:val="hu-HU"/>
              </w:rPr>
              <w:t>(%)</w:t>
            </w:r>
          </w:p>
        </w:tc>
      </w:tr>
      <w:tr w:rsidR="00D75A1F" w:rsidRPr="00202FCD" w14:paraId="622062F6" w14:textId="77777777" w:rsidTr="00E70037">
        <w:trPr>
          <w:trHeight w:val="254"/>
        </w:trPr>
        <w:tc>
          <w:tcPr>
            <w:tcW w:w="2991" w:type="dxa"/>
          </w:tcPr>
          <w:p w14:paraId="3842F261" w14:textId="72E1ECB4" w:rsidR="00D75A1F" w:rsidRPr="00202FCD" w:rsidRDefault="004612A6" w:rsidP="00C619EF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202FCD">
              <w:rPr>
                <w:b/>
                <w:lang w:val="hu-HU"/>
              </w:rPr>
              <w:t>MMR a 12. hónapban</w:t>
            </w:r>
          </w:p>
        </w:tc>
        <w:tc>
          <w:tcPr>
            <w:tcW w:w="1995" w:type="dxa"/>
          </w:tcPr>
          <w:p w14:paraId="7B59553E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40" w:type="dxa"/>
          </w:tcPr>
          <w:p w14:paraId="2D281BD8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38" w:type="dxa"/>
          </w:tcPr>
          <w:p w14:paraId="76C0EBBB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D75A1F" w:rsidRPr="00202FCD" w14:paraId="7A1844BA" w14:textId="77777777" w:rsidTr="00E70037">
        <w:trPr>
          <w:trHeight w:val="251"/>
        </w:trPr>
        <w:tc>
          <w:tcPr>
            <w:tcW w:w="2991" w:type="dxa"/>
          </w:tcPr>
          <w:p w14:paraId="0F81654A" w14:textId="1DC78620" w:rsidR="00D75A1F" w:rsidRPr="00202FCD" w:rsidRDefault="00202FCD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202FCD">
              <w:rPr>
                <w:lang w:val="hu-HU"/>
              </w:rPr>
              <w:t>Válaszreakció (95%-os CI)</w:t>
            </w:r>
          </w:p>
        </w:tc>
        <w:tc>
          <w:tcPr>
            <w:tcW w:w="1995" w:type="dxa"/>
          </w:tcPr>
          <w:p w14:paraId="72178D44" w14:textId="3927F135" w:rsidR="00D75A1F" w:rsidRPr="00202FCD" w:rsidRDefault="00D75A1F" w:rsidP="00C619EF">
            <w:pPr>
              <w:pStyle w:val="TableParagraph"/>
              <w:spacing w:line="232" w:lineRule="exact"/>
              <w:ind w:left="225"/>
              <w:rPr>
                <w:lang w:val="hu-HU"/>
              </w:rPr>
            </w:pPr>
            <w:r w:rsidRPr="00202FCD">
              <w:rPr>
                <w:lang w:val="hu-HU"/>
              </w:rPr>
              <w:t>44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3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18"/>
                <w:lang w:val="hu-HU"/>
              </w:rPr>
              <w:t xml:space="preserve"> </w:t>
            </w:r>
            <w:r w:rsidRPr="00202FCD">
              <w:rPr>
                <w:lang w:val="hu-HU"/>
              </w:rPr>
              <w:t>(38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4;</w:t>
            </w:r>
            <w:r w:rsidRPr="00202FCD">
              <w:rPr>
                <w:spacing w:val="-1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50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3)</w:t>
            </w:r>
          </w:p>
        </w:tc>
        <w:tc>
          <w:tcPr>
            <w:tcW w:w="2040" w:type="dxa"/>
          </w:tcPr>
          <w:p w14:paraId="0C934B30" w14:textId="57A639C9" w:rsidR="00D75A1F" w:rsidRPr="00202FCD" w:rsidRDefault="00D75A1F" w:rsidP="00C619EF">
            <w:pPr>
              <w:pStyle w:val="TableParagraph"/>
              <w:spacing w:line="232" w:lineRule="exact"/>
              <w:ind w:left="246"/>
              <w:rPr>
                <w:lang w:val="hu-HU"/>
              </w:rPr>
            </w:pPr>
            <w:r w:rsidRPr="00202FCD">
              <w:rPr>
                <w:lang w:val="hu-HU"/>
              </w:rPr>
              <w:t>42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7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18"/>
                <w:position w:val="8"/>
                <w:lang w:val="hu-HU"/>
              </w:rPr>
              <w:t xml:space="preserve"> </w:t>
            </w:r>
            <w:r w:rsidRPr="00202FCD">
              <w:rPr>
                <w:lang w:val="hu-HU"/>
              </w:rPr>
              <w:t>(36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8;</w:t>
            </w:r>
            <w:r w:rsidRPr="00202FCD">
              <w:rPr>
                <w:spacing w:val="-1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48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7)</w:t>
            </w:r>
          </w:p>
        </w:tc>
        <w:tc>
          <w:tcPr>
            <w:tcW w:w="2038" w:type="dxa"/>
          </w:tcPr>
          <w:p w14:paraId="09B8300E" w14:textId="69063F61" w:rsidR="00D75A1F" w:rsidRPr="00202FCD" w:rsidRDefault="00D75A1F" w:rsidP="00C619EF">
            <w:pPr>
              <w:pStyle w:val="TableParagraph"/>
              <w:spacing w:line="232" w:lineRule="exact"/>
              <w:ind w:left="280"/>
              <w:rPr>
                <w:lang w:val="hu-HU"/>
              </w:rPr>
            </w:pPr>
            <w:r w:rsidRPr="00202FCD">
              <w:rPr>
                <w:lang w:val="hu-HU"/>
              </w:rPr>
              <w:t>22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3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(17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6; </w:t>
            </w:r>
            <w:r w:rsidRPr="00202FCD">
              <w:rPr>
                <w:spacing w:val="-4"/>
                <w:lang w:val="hu-HU"/>
              </w:rPr>
              <w:t>27</w:t>
            </w:r>
            <w:r w:rsidR="00392A1A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6)</w:t>
            </w:r>
          </w:p>
        </w:tc>
      </w:tr>
      <w:tr w:rsidR="00D75A1F" w:rsidRPr="00202FCD" w14:paraId="42FC9352" w14:textId="77777777" w:rsidTr="00E70037">
        <w:trPr>
          <w:trHeight w:val="253"/>
        </w:trPr>
        <w:tc>
          <w:tcPr>
            <w:tcW w:w="2991" w:type="dxa"/>
          </w:tcPr>
          <w:p w14:paraId="101183E4" w14:textId="226B5929" w:rsidR="00D75A1F" w:rsidRPr="00202FCD" w:rsidRDefault="004612A6" w:rsidP="00C619EF">
            <w:pPr>
              <w:pStyle w:val="TableParagraph"/>
              <w:spacing w:line="234" w:lineRule="exact"/>
              <w:rPr>
                <w:b/>
                <w:lang w:val="hu-HU"/>
              </w:rPr>
            </w:pPr>
            <w:r w:rsidRPr="00202FCD">
              <w:rPr>
                <w:b/>
                <w:bCs/>
                <w:lang w:val="hu-HU"/>
              </w:rPr>
              <w:t>MMR a 24. hónapban</w:t>
            </w:r>
          </w:p>
        </w:tc>
        <w:tc>
          <w:tcPr>
            <w:tcW w:w="1995" w:type="dxa"/>
          </w:tcPr>
          <w:p w14:paraId="0AFD8019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40" w:type="dxa"/>
          </w:tcPr>
          <w:p w14:paraId="3A27F063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38" w:type="dxa"/>
          </w:tcPr>
          <w:p w14:paraId="293DCD60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D75A1F" w:rsidRPr="00202FCD" w14:paraId="7D5A5104" w14:textId="77777777" w:rsidTr="00E70037">
        <w:trPr>
          <w:trHeight w:val="251"/>
        </w:trPr>
        <w:tc>
          <w:tcPr>
            <w:tcW w:w="2991" w:type="dxa"/>
          </w:tcPr>
          <w:p w14:paraId="6EAC9A83" w14:textId="77E39A9B" w:rsidR="00D75A1F" w:rsidRPr="00202FCD" w:rsidRDefault="00202FCD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202FCD">
              <w:rPr>
                <w:lang w:val="hu-HU"/>
              </w:rPr>
              <w:t>Válaszreakció (95%-os CI)</w:t>
            </w:r>
          </w:p>
        </w:tc>
        <w:tc>
          <w:tcPr>
            <w:tcW w:w="1995" w:type="dxa"/>
          </w:tcPr>
          <w:p w14:paraId="6EB078BE" w14:textId="322F17BB" w:rsidR="00D75A1F" w:rsidRPr="00202FCD" w:rsidRDefault="00D75A1F" w:rsidP="00C619EF">
            <w:pPr>
              <w:pStyle w:val="TableParagraph"/>
              <w:spacing w:line="232" w:lineRule="exact"/>
              <w:ind w:left="234"/>
              <w:rPr>
                <w:lang w:val="hu-HU"/>
              </w:rPr>
            </w:pPr>
            <w:r w:rsidRPr="00202FCD">
              <w:rPr>
                <w:lang w:val="hu-HU"/>
              </w:rPr>
              <w:t>61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7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-1"/>
                <w:position w:val="8"/>
                <w:lang w:val="hu-HU"/>
              </w:rPr>
              <w:t xml:space="preserve"> </w:t>
            </w:r>
            <w:r w:rsidRPr="00202FCD">
              <w:rPr>
                <w:lang w:val="hu-HU"/>
              </w:rPr>
              <w:t>(55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8;</w:t>
            </w:r>
            <w:r w:rsidRPr="00202FCD">
              <w:rPr>
                <w:spacing w:val="-4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67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4)</w:t>
            </w:r>
          </w:p>
        </w:tc>
        <w:tc>
          <w:tcPr>
            <w:tcW w:w="2040" w:type="dxa"/>
          </w:tcPr>
          <w:p w14:paraId="0314F342" w14:textId="6E819C71" w:rsidR="00D75A1F" w:rsidRPr="00202FCD" w:rsidRDefault="00D75A1F" w:rsidP="00C619EF">
            <w:pPr>
              <w:pStyle w:val="TableParagraph"/>
              <w:spacing w:line="232" w:lineRule="exact"/>
              <w:ind w:left="258"/>
              <w:rPr>
                <w:lang w:val="hu-HU"/>
              </w:rPr>
            </w:pPr>
            <w:r w:rsidRPr="00202FCD">
              <w:rPr>
                <w:lang w:val="hu-HU"/>
              </w:rPr>
              <w:t>59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1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-1"/>
                <w:position w:val="8"/>
                <w:lang w:val="hu-HU"/>
              </w:rPr>
              <w:t xml:space="preserve"> </w:t>
            </w:r>
            <w:r w:rsidRPr="00202FCD">
              <w:rPr>
                <w:lang w:val="hu-HU"/>
              </w:rPr>
              <w:t>(53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1;</w:t>
            </w:r>
            <w:r w:rsidRPr="00202FCD">
              <w:rPr>
                <w:spacing w:val="-4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64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9)</w:t>
            </w:r>
          </w:p>
        </w:tc>
        <w:tc>
          <w:tcPr>
            <w:tcW w:w="2038" w:type="dxa"/>
          </w:tcPr>
          <w:p w14:paraId="55C4E38C" w14:textId="1A24A7A9" w:rsidR="00D75A1F" w:rsidRPr="00202FCD" w:rsidRDefault="00D75A1F" w:rsidP="00C619EF">
            <w:pPr>
              <w:pStyle w:val="TableParagraph"/>
              <w:spacing w:line="232" w:lineRule="exact"/>
              <w:ind w:left="280"/>
              <w:rPr>
                <w:lang w:val="hu-HU"/>
              </w:rPr>
            </w:pPr>
            <w:r w:rsidRPr="00202FCD">
              <w:rPr>
                <w:lang w:val="hu-HU"/>
              </w:rPr>
              <w:t>37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5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(31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8; </w:t>
            </w:r>
            <w:r w:rsidRPr="00202FCD">
              <w:rPr>
                <w:spacing w:val="-4"/>
                <w:lang w:val="hu-HU"/>
              </w:rPr>
              <w:t>43</w:t>
            </w:r>
            <w:r w:rsidR="00392A1A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4)</w:t>
            </w:r>
          </w:p>
        </w:tc>
      </w:tr>
      <w:tr w:rsidR="00D75A1F" w:rsidRPr="00202FCD" w14:paraId="277A121A" w14:textId="77777777" w:rsidTr="00E70037">
        <w:trPr>
          <w:trHeight w:val="253"/>
        </w:trPr>
        <w:tc>
          <w:tcPr>
            <w:tcW w:w="2991" w:type="dxa"/>
          </w:tcPr>
          <w:p w14:paraId="0CE31186" w14:textId="2105ABF8" w:rsidR="00D75A1F" w:rsidRPr="00202FCD" w:rsidRDefault="004612A6" w:rsidP="00C619EF">
            <w:pPr>
              <w:pStyle w:val="TableParagraph"/>
              <w:spacing w:before="1" w:line="233" w:lineRule="exact"/>
              <w:rPr>
                <w:b/>
                <w:lang w:val="hu-HU"/>
              </w:rPr>
            </w:pPr>
            <w:r w:rsidRPr="00202FCD">
              <w:rPr>
                <w:b/>
                <w:bCs/>
                <w:lang w:val="hu-HU"/>
              </w:rPr>
              <w:t xml:space="preserve">MMR a </w:t>
            </w:r>
            <w:r w:rsidR="00B77E3E" w:rsidRPr="00202FCD">
              <w:rPr>
                <w:b/>
                <w:bCs/>
                <w:lang w:val="hu-HU"/>
              </w:rPr>
              <w:t>36</w:t>
            </w:r>
            <w:r w:rsidRPr="00202FCD">
              <w:rPr>
                <w:b/>
                <w:bCs/>
                <w:lang w:val="hu-HU"/>
              </w:rPr>
              <w:t>. hónapban</w:t>
            </w:r>
            <w:r w:rsidR="00D75A1F" w:rsidRPr="00202FCD">
              <w:rPr>
                <w:b/>
                <w:spacing w:val="-2"/>
                <w:vertAlign w:val="superscript"/>
                <w:lang w:val="hu-HU"/>
              </w:rPr>
              <w:t>2</w:t>
            </w:r>
          </w:p>
        </w:tc>
        <w:tc>
          <w:tcPr>
            <w:tcW w:w="1995" w:type="dxa"/>
          </w:tcPr>
          <w:p w14:paraId="7E23F9F3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40" w:type="dxa"/>
          </w:tcPr>
          <w:p w14:paraId="4538C8ED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38" w:type="dxa"/>
          </w:tcPr>
          <w:p w14:paraId="2E810A6F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D75A1F" w:rsidRPr="00202FCD" w14:paraId="39CF85D2" w14:textId="77777777" w:rsidTr="00E70037">
        <w:trPr>
          <w:trHeight w:val="253"/>
        </w:trPr>
        <w:tc>
          <w:tcPr>
            <w:tcW w:w="2991" w:type="dxa"/>
          </w:tcPr>
          <w:p w14:paraId="111537C1" w14:textId="464A65B0" w:rsidR="00D75A1F" w:rsidRPr="00202FCD" w:rsidRDefault="00202FCD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202FCD">
              <w:rPr>
                <w:lang w:val="hu-HU"/>
              </w:rPr>
              <w:t>Válaszreakció (95%-os CI)</w:t>
            </w:r>
          </w:p>
        </w:tc>
        <w:tc>
          <w:tcPr>
            <w:tcW w:w="1995" w:type="dxa"/>
          </w:tcPr>
          <w:p w14:paraId="7608A573" w14:textId="5C6B029C" w:rsidR="00D75A1F" w:rsidRPr="00202FCD" w:rsidRDefault="00D75A1F" w:rsidP="00C619EF">
            <w:pPr>
              <w:pStyle w:val="TableParagraph"/>
              <w:spacing w:line="234" w:lineRule="exact"/>
              <w:ind w:left="225"/>
              <w:rPr>
                <w:lang w:val="hu-HU"/>
              </w:rPr>
            </w:pPr>
            <w:r w:rsidRPr="00202FCD">
              <w:rPr>
                <w:lang w:val="hu-HU"/>
              </w:rPr>
              <w:t>58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5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18"/>
                <w:position w:val="8"/>
                <w:lang w:val="hu-HU"/>
              </w:rPr>
              <w:t xml:space="preserve"> </w:t>
            </w:r>
            <w:r w:rsidRPr="00202FCD">
              <w:rPr>
                <w:lang w:val="hu-HU"/>
              </w:rPr>
              <w:t>(52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5;</w:t>
            </w:r>
            <w:r w:rsidRPr="00202FCD">
              <w:rPr>
                <w:spacing w:val="-1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64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3)</w:t>
            </w:r>
          </w:p>
        </w:tc>
        <w:tc>
          <w:tcPr>
            <w:tcW w:w="2040" w:type="dxa"/>
          </w:tcPr>
          <w:p w14:paraId="44C031C6" w14:textId="3A57ECB7" w:rsidR="00D75A1F" w:rsidRPr="00202FCD" w:rsidRDefault="00D75A1F" w:rsidP="00C619EF">
            <w:pPr>
              <w:pStyle w:val="TableParagraph"/>
              <w:spacing w:line="234" w:lineRule="exact"/>
              <w:ind w:left="246"/>
              <w:rPr>
                <w:lang w:val="hu-HU"/>
              </w:rPr>
            </w:pPr>
            <w:r w:rsidRPr="00202FCD">
              <w:rPr>
                <w:lang w:val="hu-HU"/>
              </w:rPr>
              <w:t>57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3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18"/>
                <w:position w:val="8"/>
                <w:lang w:val="hu-HU"/>
              </w:rPr>
              <w:t xml:space="preserve"> </w:t>
            </w:r>
            <w:r w:rsidRPr="00202FCD">
              <w:rPr>
                <w:lang w:val="hu-HU"/>
              </w:rPr>
              <w:t>(51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3;</w:t>
            </w:r>
            <w:r w:rsidRPr="00202FCD">
              <w:rPr>
                <w:spacing w:val="-1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63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2)</w:t>
            </w:r>
          </w:p>
        </w:tc>
        <w:tc>
          <w:tcPr>
            <w:tcW w:w="2038" w:type="dxa"/>
          </w:tcPr>
          <w:p w14:paraId="1C4262A8" w14:textId="4FB49E7D" w:rsidR="00D75A1F" w:rsidRPr="00202FCD" w:rsidRDefault="00D75A1F" w:rsidP="00C619EF">
            <w:pPr>
              <w:pStyle w:val="TableParagraph"/>
              <w:spacing w:line="234" w:lineRule="exact"/>
              <w:ind w:left="280"/>
              <w:rPr>
                <w:lang w:val="hu-HU"/>
              </w:rPr>
            </w:pPr>
            <w:r w:rsidRPr="00202FCD">
              <w:rPr>
                <w:lang w:val="hu-HU"/>
              </w:rPr>
              <w:t>38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5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(32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8; </w:t>
            </w:r>
            <w:r w:rsidRPr="00202FCD">
              <w:rPr>
                <w:spacing w:val="-4"/>
                <w:lang w:val="hu-HU"/>
              </w:rPr>
              <w:t>44</w:t>
            </w:r>
            <w:r w:rsidR="00392A1A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5)</w:t>
            </w:r>
          </w:p>
        </w:tc>
      </w:tr>
      <w:tr w:rsidR="00D75A1F" w:rsidRPr="00202FCD" w14:paraId="3B154E3B" w14:textId="77777777" w:rsidTr="00E70037">
        <w:trPr>
          <w:trHeight w:val="251"/>
        </w:trPr>
        <w:tc>
          <w:tcPr>
            <w:tcW w:w="2991" w:type="dxa"/>
          </w:tcPr>
          <w:p w14:paraId="694DAB5E" w14:textId="4ABA62BD" w:rsidR="00D75A1F" w:rsidRPr="00202FCD" w:rsidRDefault="00B77E3E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202FCD">
              <w:rPr>
                <w:b/>
                <w:bCs/>
                <w:lang w:val="hu-HU"/>
              </w:rPr>
              <w:t>MMR a 48. hónapban</w:t>
            </w:r>
            <w:r w:rsidR="00D75A1F" w:rsidRPr="00202FCD">
              <w:rPr>
                <w:b/>
                <w:spacing w:val="-2"/>
                <w:vertAlign w:val="superscript"/>
                <w:lang w:val="hu-HU"/>
              </w:rPr>
              <w:t>3</w:t>
            </w:r>
          </w:p>
        </w:tc>
        <w:tc>
          <w:tcPr>
            <w:tcW w:w="1995" w:type="dxa"/>
          </w:tcPr>
          <w:p w14:paraId="63B42C6F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40" w:type="dxa"/>
          </w:tcPr>
          <w:p w14:paraId="12197EC3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38" w:type="dxa"/>
          </w:tcPr>
          <w:p w14:paraId="7720A98C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D75A1F" w:rsidRPr="00202FCD" w14:paraId="55232766" w14:textId="77777777" w:rsidTr="00E70037">
        <w:trPr>
          <w:trHeight w:val="254"/>
        </w:trPr>
        <w:tc>
          <w:tcPr>
            <w:tcW w:w="2991" w:type="dxa"/>
          </w:tcPr>
          <w:p w14:paraId="3B66F657" w14:textId="44081EDE" w:rsidR="00D75A1F" w:rsidRPr="00202FCD" w:rsidRDefault="00202FCD" w:rsidP="00C619EF">
            <w:pPr>
              <w:pStyle w:val="TableParagraph"/>
              <w:spacing w:line="235" w:lineRule="exact"/>
              <w:rPr>
                <w:lang w:val="hu-HU"/>
              </w:rPr>
            </w:pPr>
            <w:r w:rsidRPr="00202FCD">
              <w:rPr>
                <w:lang w:val="hu-HU"/>
              </w:rPr>
              <w:t>Válaszreakció (95%-os CI)</w:t>
            </w:r>
          </w:p>
        </w:tc>
        <w:tc>
          <w:tcPr>
            <w:tcW w:w="1995" w:type="dxa"/>
          </w:tcPr>
          <w:p w14:paraId="78053753" w14:textId="6ADF03A9" w:rsidR="00D75A1F" w:rsidRPr="00202FCD" w:rsidRDefault="00D75A1F" w:rsidP="00C619EF">
            <w:pPr>
              <w:pStyle w:val="TableParagraph"/>
              <w:spacing w:line="235" w:lineRule="exact"/>
              <w:ind w:left="234"/>
              <w:rPr>
                <w:lang w:val="hu-HU"/>
              </w:rPr>
            </w:pPr>
            <w:r w:rsidRPr="00202FCD">
              <w:rPr>
                <w:lang w:val="hu-HU"/>
              </w:rPr>
              <w:t>59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9</w:t>
            </w:r>
            <w:r w:rsidRPr="00202FCD">
              <w:rPr>
                <w:vertAlign w:val="superscript"/>
                <w:lang w:val="hu-HU"/>
              </w:rPr>
              <w:t>1</w:t>
            </w:r>
            <w:r w:rsidRPr="00202FCD">
              <w:rPr>
                <w:spacing w:val="-1"/>
                <w:position w:val="8"/>
                <w:lang w:val="hu-HU"/>
              </w:rPr>
              <w:t xml:space="preserve"> </w:t>
            </w:r>
            <w:r w:rsidRPr="00202FCD">
              <w:rPr>
                <w:lang w:val="hu-HU"/>
              </w:rPr>
              <w:t>(54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0;</w:t>
            </w:r>
            <w:r w:rsidRPr="00202FCD">
              <w:rPr>
                <w:spacing w:val="-4"/>
                <w:lang w:val="hu-HU"/>
              </w:rPr>
              <w:t xml:space="preserve"> </w:t>
            </w:r>
            <w:r w:rsidRPr="00202FCD">
              <w:rPr>
                <w:spacing w:val="-2"/>
                <w:lang w:val="hu-HU"/>
              </w:rPr>
              <w:t>65</w:t>
            </w:r>
            <w:r w:rsidR="00C61DB6" w:rsidRPr="00202FCD">
              <w:rPr>
                <w:spacing w:val="-2"/>
                <w:lang w:val="hu-HU"/>
              </w:rPr>
              <w:t>,</w:t>
            </w:r>
            <w:r w:rsidRPr="00202FCD">
              <w:rPr>
                <w:spacing w:val="-2"/>
                <w:lang w:val="hu-HU"/>
              </w:rPr>
              <w:t>7)</w:t>
            </w:r>
          </w:p>
        </w:tc>
        <w:tc>
          <w:tcPr>
            <w:tcW w:w="2040" w:type="dxa"/>
          </w:tcPr>
          <w:p w14:paraId="7B28758B" w14:textId="3CD372F3" w:rsidR="00D75A1F" w:rsidRPr="00202FCD" w:rsidRDefault="00D75A1F" w:rsidP="00C619EF">
            <w:pPr>
              <w:pStyle w:val="TableParagraph"/>
              <w:spacing w:line="235" w:lineRule="exact"/>
              <w:ind w:left="282"/>
              <w:rPr>
                <w:lang w:val="hu-HU"/>
              </w:rPr>
            </w:pPr>
            <w:r w:rsidRPr="00202FCD">
              <w:rPr>
                <w:lang w:val="hu-HU"/>
              </w:rPr>
              <w:t>55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2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(49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1; </w:t>
            </w:r>
            <w:r w:rsidRPr="00202FCD">
              <w:rPr>
                <w:spacing w:val="-4"/>
                <w:lang w:val="hu-HU"/>
              </w:rPr>
              <w:t>61</w:t>
            </w:r>
            <w:r w:rsidR="00C61DB6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1)</w:t>
            </w:r>
          </w:p>
        </w:tc>
        <w:tc>
          <w:tcPr>
            <w:tcW w:w="2038" w:type="dxa"/>
          </w:tcPr>
          <w:p w14:paraId="5A324237" w14:textId="75C490AD" w:rsidR="00D75A1F" w:rsidRPr="00202FCD" w:rsidRDefault="00D75A1F" w:rsidP="00C619EF">
            <w:pPr>
              <w:pStyle w:val="TableParagraph"/>
              <w:spacing w:line="235" w:lineRule="exact"/>
              <w:ind w:left="280"/>
              <w:rPr>
                <w:lang w:val="hu-HU"/>
              </w:rPr>
            </w:pPr>
            <w:r w:rsidRPr="00202FCD">
              <w:rPr>
                <w:lang w:val="hu-HU"/>
              </w:rPr>
              <w:t>43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8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(38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0; </w:t>
            </w:r>
            <w:r w:rsidRPr="00202FCD">
              <w:rPr>
                <w:spacing w:val="-4"/>
                <w:lang w:val="hu-HU"/>
              </w:rPr>
              <w:t>49</w:t>
            </w:r>
            <w:r w:rsidR="00392A1A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8)</w:t>
            </w:r>
          </w:p>
        </w:tc>
      </w:tr>
      <w:tr w:rsidR="00D75A1F" w:rsidRPr="00202FCD" w14:paraId="51B0F179" w14:textId="77777777" w:rsidTr="00E70037">
        <w:trPr>
          <w:trHeight w:val="251"/>
        </w:trPr>
        <w:tc>
          <w:tcPr>
            <w:tcW w:w="2991" w:type="dxa"/>
          </w:tcPr>
          <w:p w14:paraId="40AB51B7" w14:textId="2B623A6E" w:rsidR="00D75A1F" w:rsidRPr="00202FCD" w:rsidRDefault="00B77E3E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202FCD">
              <w:rPr>
                <w:b/>
                <w:bCs/>
                <w:lang w:val="hu-HU"/>
              </w:rPr>
              <w:t>MMR a 60. hónapban</w:t>
            </w:r>
            <w:r w:rsidR="00D75A1F" w:rsidRPr="00202FCD">
              <w:rPr>
                <w:b/>
                <w:spacing w:val="-2"/>
                <w:vertAlign w:val="superscript"/>
                <w:lang w:val="hu-HU"/>
              </w:rPr>
              <w:t>4</w:t>
            </w:r>
          </w:p>
        </w:tc>
        <w:tc>
          <w:tcPr>
            <w:tcW w:w="1995" w:type="dxa"/>
          </w:tcPr>
          <w:p w14:paraId="076AB545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40" w:type="dxa"/>
          </w:tcPr>
          <w:p w14:paraId="23B8DF1A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38" w:type="dxa"/>
          </w:tcPr>
          <w:p w14:paraId="0653A36B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D75A1F" w:rsidRPr="00202FCD" w14:paraId="5E6411BD" w14:textId="77777777" w:rsidTr="00E70037">
        <w:trPr>
          <w:trHeight w:val="254"/>
        </w:trPr>
        <w:tc>
          <w:tcPr>
            <w:tcW w:w="2991" w:type="dxa"/>
          </w:tcPr>
          <w:p w14:paraId="0C2C923E" w14:textId="63D764FE" w:rsidR="00D75A1F" w:rsidRPr="00202FCD" w:rsidRDefault="00202FCD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202FCD">
              <w:rPr>
                <w:lang w:val="hu-HU"/>
              </w:rPr>
              <w:t>Válaszreakció (95%-os CI)</w:t>
            </w:r>
          </w:p>
        </w:tc>
        <w:tc>
          <w:tcPr>
            <w:tcW w:w="1995" w:type="dxa"/>
          </w:tcPr>
          <w:p w14:paraId="24F2FB7D" w14:textId="6EAD5B0F" w:rsidR="00D75A1F" w:rsidRPr="00202FCD" w:rsidRDefault="00D75A1F" w:rsidP="00C619EF">
            <w:pPr>
              <w:pStyle w:val="TableParagraph"/>
              <w:spacing w:line="234" w:lineRule="exact"/>
              <w:ind w:left="258"/>
              <w:rPr>
                <w:lang w:val="hu-HU"/>
              </w:rPr>
            </w:pPr>
            <w:r w:rsidRPr="00202FCD">
              <w:rPr>
                <w:lang w:val="hu-HU"/>
              </w:rPr>
              <w:t>62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8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(56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8; </w:t>
            </w:r>
            <w:r w:rsidRPr="00202FCD">
              <w:rPr>
                <w:spacing w:val="-4"/>
                <w:lang w:val="hu-HU"/>
              </w:rPr>
              <w:t>68</w:t>
            </w:r>
            <w:r w:rsidR="00C61DB6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4)</w:t>
            </w:r>
          </w:p>
        </w:tc>
        <w:tc>
          <w:tcPr>
            <w:tcW w:w="2040" w:type="dxa"/>
          </w:tcPr>
          <w:p w14:paraId="18A6AF46" w14:textId="3440E8F9" w:rsidR="00D75A1F" w:rsidRPr="00202FCD" w:rsidRDefault="00D75A1F" w:rsidP="00C619EF">
            <w:pPr>
              <w:pStyle w:val="TableParagraph"/>
              <w:spacing w:line="234" w:lineRule="exact"/>
              <w:ind w:left="282"/>
              <w:rPr>
                <w:lang w:val="hu-HU"/>
              </w:rPr>
            </w:pPr>
            <w:r w:rsidRPr="00202FCD">
              <w:rPr>
                <w:lang w:val="hu-HU"/>
              </w:rPr>
              <w:t>61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2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(55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2; </w:t>
            </w:r>
            <w:r w:rsidRPr="00202FCD">
              <w:rPr>
                <w:spacing w:val="-4"/>
                <w:lang w:val="hu-HU"/>
              </w:rPr>
              <w:t>66</w:t>
            </w:r>
            <w:r w:rsidR="00C61DB6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9)</w:t>
            </w:r>
          </w:p>
        </w:tc>
        <w:tc>
          <w:tcPr>
            <w:tcW w:w="2038" w:type="dxa"/>
          </w:tcPr>
          <w:p w14:paraId="4D9EC122" w14:textId="44DDAF48" w:rsidR="00D75A1F" w:rsidRPr="00202FCD" w:rsidRDefault="00D75A1F" w:rsidP="00C619EF">
            <w:pPr>
              <w:pStyle w:val="TableParagraph"/>
              <w:spacing w:line="234" w:lineRule="exact"/>
              <w:ind w:left="280"/>
              <w:rPr>
                <w:lang w:val="hu-HU"/>
              </w:rPr>
            </w:pPr>
            <w:r w:rsidRPr="00202FCD">
              <w:rPr>
                <w:lang w:val="hu-HU"/>
              </w:rPr>
              <w:t>49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1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(43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2; </w:t>
            </w:r>
            <w:r w:rsidRPr="00202FCD">
              <w:rPr>
                <w:spacing w:val="-4"/>
                <w:lang w:val="hu-HU"/>
              </w:rPr>
              <w:t>55</w:t>
            </w:r>
            <w:r w:rsidR="00392A1A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1)</w:t>
            </w:r>
          </w:p>
        </w:tc>
      </w:tr>
      <w:tr w:rsidR="00D75A1F" w:rsidRPr="00202FCD" w14:paraId="1D08E430" w14:textId="77777777" w:rsidTr="00E70037">
        <w:trPr>
          <w:trHeight w:val="251"/>
        </w:trPr>
        <w:tc>
          <w:tcPr>
            <w:tcW w:w="2991" w:type="dxa"/>
          </w:tcPr>
          <w:p w14:paraId="40095813" w14:textId="0F4F9BD3" w:rsidR="00D75A1F" w:rsidRPr="00202FCD" w:rsidRDefault="00B77E3E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202FCD">
              <w:rPr>
                <w:b/>
                <w:bCs/>
                <w:lang w:val="hu-HU"/>
              </w:rPr>
              <w:t>MMR a 7</w:t>
            </w:r>
            <w:r w:rsidR="00AD3BBB">
              <w:rPr>
                <w:b/>
                <w:bCs/>
                <w:lang w:val="hu-HU"/>
              </w:rPr>
              <w:t>2</w:t>
            </w:r>
            <w:r w:rsidRPr="00202FCD">
              <w:rPr>
                <w:b/>
                <w:bCs/>
                <w:lang w:val="hu-HU"/>
              </w:rPr>
              <w:t>. hónapban</w:t>
            </w:r>
            <w:r w:rsidR="00D75A1F" w:rsidRPr="00202FCD">
              <w:rPr>
                <w:b/>
                <w:spacing w:val="-2"/>
                <w:vertAlign w:val="superscript"/>
                <w:lang w:val="hu-HU"/>
              </w:rPr>
              <w:t>5</w:t>
            </w:r>
          </w:p>
        </w:tc>
        <w:tc>
          <w:tcPr>
            <w:tcW w:w="1995" w:type="dxa"/>
          </w:tcPr>
          <w:p w14:paraId="4184B7A1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40" w:type="dxa"/>
          </w:tcPr>
          <w:p w14:paraId="1B857674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038" w:type="dxa"/>
          </w:tcPr>
          <w:p w14:paraId="6A1E073F" w14:textId="77777777" w:rsidR="00D75A1F" w:rsidRPr="00202FCD" w:rsidRDefault="00D75A1F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D75A1F" w:rsidRPr="00202FCD" w14:paraId="2B8FAEED" w14:textId="77777777" w:rsidTr="00E70037">
        <w:trPr>
          <w:trHeight w:val="254"/>
        </w:trPr>
        <w:tc>
          <w:tcPr>
            <w:tcW w:w="2991" w:type="dxa"/>
          </w:tcPr>
          <w:p w14:paraId="7926D947" w14:textId="1657B89B" w:rsidR="00D75A1F" w:rsidRPr="00202FCD" w:rsidRDefault="00202FCD" w:rsidP="00C619EF">
            <w:pPr>
              <w:pStyle w:val="TableParagraph"/>
              <w:spacing w:before="1" w:line="233" w:lineRule="exact"/>
              <w:rPr>
                <w:lang w:val="hu-HU"/>
              </w:rPr>
            </w:pPr>
            <w:r w:rsidRPr="00202FCD">
              <w:rPr>
                <w:lang w:val="hu-HU"/>
              </w:rPr>
              <w:t>Válaszreakció (95%-os CI)</w:t>
            </w:r>
          </w:p>
        </w:tc>
        <w:tc>
          <w:tcPr>
            <w:tcW w:w="1995" w:type="dxa"/>
          </w:tcPr>
          <w:p w14:paraId="626A82CF" w14:textId="7A5DCE19" w:rsidR="00D75A1F" w:rsidRPr="00202FCD" w:rsidRDefault="00D75A1F" w:rsidP="00C619EF">
            <w:pPr>
              <w:pStyle w:val="TableParagraph"/>
              <w:spacing w:before="1" w:line="233" w:lineRule="exact"/>
              <w:ind w:left="258"/>
              <w:rPr>
                <w:lang w:val="hu-HU"/>
              </w:rPr>
            </w:pPr>
            <w:r w:rsidRPr="00202FCD">
              <w:rPr>
                <w:lang w:val="hu-HU"/>
              </w:rPr>
              <w:t>52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5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(46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5; </w:t>
            </w:r>
            <w:r w:rsidRPr="00202FCD">
              <w:rPr>
                <w:spacing w:val="-4"/>
                <w:lang w:val="hu-HU"/>
              </w:rPr>
              <w:t>58</w:t>
            </w:r>
            <w:r w:rsidR="00C61DB6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4)</w:t>
            </w:r>
          </w:p>
        </w:tc>
        <w:tc>
          <w:tcPr>
            <w:tcW w:w="2040" w:type="dxa"/>
          </w:tcPr>
          <w:p w14:paraId="2B292F85" w14:textId="7647BC3F" w:rsidR="00D75A1F" w:rsidRPr="00202FCD" w:rsidRDefault="00D75A1F" w:rsidP="00C619EF">
            <w:pPr>
              <w:pStyle w:val="TableParagraph"/>
              <w:spacing w:before="1" w:line="233" w:lineRule="exact"/>
              <w:ind w:left="282"/>
              <w:rPr>
                <w:lang w:val="hu-HU"/>
              </w:rPr>
            </w:pPr>
            <w:r w:rsidRPr="00202FCD">
              <w:rPr>
                <w:lang w:val="hu-HU"/>
              </w:rPr>
              <w:t>57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7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(51</w:t>
            </w:r>
            <w:r w:rsidR="00C61DB6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6; </w:t>
            </w:r>
            <w:r w:rsidRPr="00202FCD">
              <w:rPr>
                <w:spacing w:val="-4"/>
                <w:lang w:val="hu-HU"/>
              </w:rPr>
              <w:t>63</w:t>
            </w:r>
            <w:r w:rsidR="00C61DB6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5)</w:t>
            </w:r>
          </w:p>
        </w:tc>
        <w:tc>
          <w:tcPr>
            <w:tcW w:w="2038" w:type="dxa"/>
          </w:tcPr>
          <w:p w14:paraId="6610BF81" w14:textId="405C9BE8" w:rsidR="00D75A1F" w:rsidRPr="00202FCD" w:rsidRDefault="00D75A1F" w:rsidP="00C619EF">
            <w:pPr>
              <w:pStyle w:val="TableParagraph"/>
              <w:spacing w:before="1" w:line="233" w:lineRule="exact"/>
              <w:ind w:left="280"/>
              <w:rPr>
                <w:lang w:val="hu-HU"/>
              </w:rPr>
            </w:pPr>
            <w:r w:rsidRPr="00202FCD">
              <w:rPr>
                <w:lang w:val="hu-HU"/>
              </w:rPr>
              <w:t>41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>7</w:t>
            </w:r>
            <w:r w:rsidRPr="00202FCD">
              <w:rPr>
                <w:spacing w:val="-2"/>
                <w:lang w:val="hu-HU"/>
              </w:rPr>
              <w:t xml:space="preserve"> </w:t>
            </w:r>
            <w:r w:rsidRPr="00202FCD">
              <w:rPr>
                <w:lang w:val="hu-HU"/>
              </w:rPr>
              <w:t>(35</w:t>
            </w:r>
            <w:r w:rsidR="00392A1A" w:rsidRPr="00202FCD">
              <w:rPr>
                <w:lang w:val="hu-HU"/>
              </w:rPr>
              <w:t>,</w:t>
            </w:r>
            <w:r w:rsidRPr="00202FCD">
              <w:rPr>
                <w:lang w:val="hu-HU"/>
              </w:rPr>
              <w:t xml:space="preserve">9; </w:t>
            </w:r>
            <w:r w:rsidRPr="00202FCD">
              <w:rPr>
                <w:spacing w:val="-4"/>
                <w:lang w:val="hu-HU"/>
              </w:rPr>
              <w:t>47</w:t>
            </w:r>
            <w:r w:rsidR="00392A1A" w:rsidRPr="00202FCD">
              <w:rPr>
                <w:spacing w:val="-4"/>
                <w:lang w:val="hu-HU"/>
              </w:rPr>
              <w:t>,</w:t>
            </w:r>
            <w:r w:rsidRPr="00202FCD">
              <w:rPr>
                <w:spacing w:val="-4"/>
                <w:lang w:val="hu-HU"/>
              </w:rPr>
              <w:t>7)</w:t>
            </w:r>
          </w:p>
        </w:tc>
      </w:tr>
    </w:tbl>
    <w:p w14:paraId="0021A6B7" w14:textId="4E615BC1" w:rsidR="00E70037" w:rsidRPr="00E70037" w:rsidRDefault="00E70037" w:rsidP="00E7003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DD2056">
        <w:rPr>
          <w:rFonts w:ascii="Times New Roman" w:hAnsi="Times New Roman" w:cs="Times New Roman"/>
          <w:kern w:val="0"/>
          <w:vertAlign w:val="superscript"/>
        </w:rPr>
        <w:t>1</w:t>
      </w:r>
      <w:r w:rsidRPr="00E70037">
        <w:rPr>
          <w:rFonts w:ascii="Times New Roman" w:hAnsi="Times New Roman" w:cs="Times New Roman"/>
          <w:kern w:val="0"/>
        </w:rPr>
        <w:t xml:space="preserve"> A válaszadási arány Cochran-Mantel-Haenszel-féle (CMH) próba p-értéke (vs. imatinib 400</w:t>
      </w:r>
      <w:r w:rsidR="00DD2056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mg)</w:t>
      </w:r>
      <w:r w:rsidR="00DD2056">
        <w:rPr>
          <w:rFonts w:ascii="Times New Roman" w:hAnsi="Times New Roman" w:cs="Times New Roman"/>
          <w:kern w:val="0"/>
        </w:rPr>
        <w:t xml:space="preserve"> </w:t>
      </w:r>
      <w:proofErr w:type="gramStart"/>
      <w:r w:rsidRPr="00E70037">
        <w:rPr>
          <w:rFonts w:ascii="Times New Roman" w:hAnsi="Times New Roman" w:cs="Times New Roman"/>
          <w:kern w:val="0"/>
        </w:rPr>
        <w:t>&lt; 0</w:t>
      </w:r>
      <w:proofErr w:type="gramEnd"/>
      <w:r w:rsidRPr="00E70037">
        <w:rPr>
          <w:rFonts w:ascii="Times New Roman" w:hAnsi="Times New Roman" w:cs="Times New Roman"/>
          <w:kern w:val="0"/>
        </w:rPr>
        <w:t>,0001</w:t>
      </w:r>
    </w:p>
    <w:p w14:paraId="0DDAF192" w14:textId="037F5627" w:rsidR="00E70037" w:rsidRPr="00E70037" w:rsidRDefault="00E70037" w:rsidP="00E7003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55523A">
        <w:rPr>
          <w:rFonts w:ascii="Times New Roman" w:hAnsi="Times New Roman" w:cs="Times New Roman"/>
          <w:kern w:val="0"/>
          <w:vertAlign w:val="superscript"/>
        </w:rPr>
        <w:t>2</w:t>
      </w:r>
      <w:r w:rsidRPr="00E70037">
        <w:rPr>
          <w:rFonts w:ascii="Times New Roman" w:hAnsi="Times New Roman" w:cs="Times New Roman"/>
          <w:kern w:val="0"/>
        </w:rPr>
        <w:t xml:space="preserve"> Csak azok a betegek, akik egy meghatározott időpontban MMR-t </w:t>
      </w:r>
      <w:r w:rsidR="003E1DF5">
        <w:rPr>
          <w:rFonts w:ascii="Times New Roman" w:hAnsi="Times New Roman" w:cs="Times New Roman"/>
          <w:kern w:val="0"/>
        </w:rPr>
        <w:t>értek el</w:t>
      </w:r>
      <w:r w:rsidRPr="00E70037">
        <w:rPr>
          <w:rFonts w:ascii="Times New Roman" w:hAnsi="Times New Roman" w:cs="Times New Roman"/>
          <w:kern w:val="0"/>
        </w:rPr>
        <w:t>, beleértve azokat is, akik e</w:t>
      </w:r>
      <w:r w:rsidR="00FB693A">
        <w:rPr>
          <w:rFonts w:ascii="Times New Roman" w:hAnsi="Times New Roman" w:cs="Times New Roman"/>
          <w:kern w:val="0"/>
        </w:rPr>
        <w:t>bben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az időpont</w:t>
      </w:r>
      <w:r w:rsidR="00FB693A">
        <w:rPr>
          <w:rFonts w:ascii="Times New Roman" w:hAnsi="Times New Roman" w:cs="Times New Roman"/>
          <w:kern w:val="0"/>
        </w:rPr>
        <w:t>ban</w:t>
      </w:r>
      <w:r w:rsidRPr="00E70037">
        <w:rPr>
          <w:rFonts w:ascii="Times New Roman" w:hAnsi="Times New Roman" w:cs="Times New Roman"/>
          <w:kern w:val="0"/>
        </w:rPr>
        <w:t xml:space="preserve"> a kezelé</w:t>
      </w:r>
      <w:r w:rsidR="009B483C">
        <w:rPr>
          <w:rFonts w:ascii="Times New Roman" w:hAnsi="Times New Roman" w:cs="Times New Roman"/>
          <w:kern w:val="0"/>
        </w:rPr>
        <w:t>s</w:t>
      </w:r>
      <w:r w:rsidRPr="00E70037">
        <w:rPr>
          <w:rFonts w:ascii="Times New Roman" w:hAnsi="Times New Roman" w:cs="Times New Roman"/>
          <w:kern w:val="0"/>
        </w:rPr>
        <w:t>re reagálónak minősültek. A 36.</w:t>
      </w:r>
      <w:r w:rsidR="0055523A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hónapban hiányzó/értékelhetetlen PCR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(n = 17), a vizsgálat megkezdésekor atípusos transzkripciók (n = 7) vagy a kezelésnek a 36.</w:t>
      </w:r>
      <w:r w:rsidR="0055523A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előtti abbahagyása miatt (n = 175) az összes beteg közül 199-nél (35,2%) értékelhetetlen volt az MMR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(87 a naponta kétszer 300</w:t>
      </w:r>
      <w:r w:rsidR="0055523A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 és 112 az imatinib-csoportban).</w:t>
      </w:r>
    </w:p>
    <w:p w14:paraId="5D81A7F2" w14:textId="4718D110" w:rsidR="00E70037" w:rsidRPr="00E70037" w:rsidRDefault="00E70037" w:rsidP="00E7003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55523A">
        <w:rPr>
          <w:rFonts w:ascii="Times New Roman" w:hAnsi="Times New Roman" w:cs="Times New Roman"/>
          <w:kern w:val="0"/>
          <w:vertAlign w:val="superscript"/>
        </w:rPr>
        <w:t>3</w:t>
      </w:r>
      <w:r w:rsidRPr="00E70037">
        <w:rPr>
          <w:rFonts w:ascii="Times New Roman" w:hAnsi="Times New Roman" w:cs="Times New Roman"/>
          <w:kern w:val="0"/>
        </w:rPr>
        <w:t xml:space="preserve"> Csak azok a betegek, akik egy meghatározott időpontban </w:t>
      </w:r>
      <w:r w:rsidRPr="00D0273E">
        <w:rPr>
          <w:rFonts w:ascii="Times New Roman" w:hAnsi="Times New Roman" w:cs="Times New Roman"/>
          <w:kern w:val="0"/>
        </w:rPr>
        <w:t xml:space="preserve">MMR-t </w:t>
      </w:r>
      <w:r w:rsidR="00D0273E">
        <w:rPr>
          <w:rFonts w:ascii="Times New Roman" w:hAnsi="Times New Roman" w:cs="Times New Roman"/>
          <w:kern w:val="0"/>
        </w:rPr>
        <w:t>értek el</w:t>
      </w:r>
      <w:r w:rsidRPr="00D0273E">
        <w:rPr>
          <w:rFonts w:ascii="Times New Roman" w:hAnsi="Times New Roman" w:cs="Times New Roman"/>
          <w:kern w:val="0"/>
        </w:rPr>
        <w:t>,</w:t>
      </w:r>
      <w:r w:rsidRPr="00E70037">
        <w:rPr>
          <w:rFonts w:ascii="Times New Roman" w:hAnsi="Times New Roman" w:cs="Times New Roman"/>
          <w:kern w:val="0"/>
        </w:rPr>
        <w:t xml:space="preserve"> beleértve azokat is, akik ettől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az időponttól kezdve a kezelé</w:t>
      </w:r>
      <w:r w:rsidR="009B483C">
        <w:rPr>
          <w:rFonts w:ascii="Times New Roman" w:hAnsi="Times New Roman" w:cs="Times New Roman"/>
          <w:kern w:val="0"/>
        </w:rPr>
        <w:t>s</w:t>
      </w:r>
      <w:r w:rsidRPr="00E70037">
        <w:rPr>
          <w:rFonts w:ascii="Times New Roman" w:hAnsi="Times New Roman" w:cs="Times New Roman"/>
          <w:kern w:val="0"/>
        </w:rPr>
        <w:t>re reagálónak minősültek. A 48.</w:t>
      </w:r>
      <w:r w:rsidR="002717DE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hónapban hiányzó/értékelhetetlen PCR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(n = 18), a vizsgálat megkezdésekor atípusos transzkripciók (n = 8) vagy a kezelésnek a 48.</w:t>
      </w:r>
      <w:r w:rsidR="002717DE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előtti abbahagyása miatt (n = 279) az összes beteg közül 305-nél (36,1%) értékelhetetlen volt az MMR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(98 a naponta kétszer 300</w:t>
      </w:r>
      <w:r w:rsidR="009B483C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nilotinib-, 88 a naponta kétszer 400</w:t>
      </w:r>
      <w:r w:rsidR="009B483C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 és 119 az</w:t>
      </w:r>
      <w:r w:rsidR="0055523A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imatinib-csoportban).</w:t>
      </w:r>
    </w:p>
    <w:p w14:paraId="0F43D5A1" w14:textId="1E1923D0" w:rsidR="00E70037" w:rsidRPr="00E70037" w:rsidRDefault="00E70037" w:rsidP="00E7003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55523A">
        <w:rPr>
          <w:rFonts w:ascii="Times New Roman" w:hAnsi="Times New Roman" w:cs="Times New Roman"/>
          <w:kern w:val="0"/>
          <w:vertAlign w:val="superscript"/>
        </w:rPr>
        <w:t>4</w:t>
      </w:r>
      <w:r w:rsidRPr="00E70037">
        <w:rPr>
          <w:rFonts w:ascii="Times New Roman" w:hAnsi="Times New Roman" w:cs="Times New Roman"/>
          <w:kern w:val="0"/>
        </w:rPr>
        <w:t xml:space="preserve"> Csak azok a betegek, akik egy meghatározott időpontban </w:t>
      </w:r>
      <w:r w:rsidRPr="00D02651">
        <w:rPr>
          <w:rFonts w:ascii="Times New Roman" w:hAnsi="Times New Roman" w:cs="Times New Roman"/>
          <w:kern w:val="0"/>
        </w:rPr>
        <w:t xml:space="preserve">MMR-t </w:t>
      </w:r>
      <w:r w:rsidR="00D02651">
        <w:rPr>
          <w:rFonts w:ascii="Times New Roman" w:hAnsi="Times New Roman" w:cs="Times New Roman"/>
          <w:kern w:val="0"/>
        </w:rPr>
        <w:t>értek el</w:t>
      </w:r>
      <w:r w:rsidRPr="00E70037">
        <w:rPr>
          <w:rFonts w:ascii="Times New Roman" w:hAnsi="Times New Roman" w:cs="Times New Roman"/>
          <w:kern w:val="0"/>
        </w:rPr>
        <w:t>, beleértve azokat is, akik ettől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az időponttól kezdve a kezelésre reagálónak minősültek. A 60.</w:t>
      </w:r>
      <w:r w:rsidR="00737B6D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hónapban hiányzó/értékelhetetlen PCR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(n = 9), a vizsgálat megkezdésekor atípusos transzkripciók (n = 8) vagy a kezelésnek a 60.</w:t>
      </w:r>
      <w:r w:rsidR="002717DE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 előtti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 xml:space="preserve">abbahagyása miatt (n = 305) az összes beteg közül 322-nél </w:t>
      </w:r>
      <w:r w:rsidRPr="00E70037">
        <w:rPr>
          <w:rFonts w:ascii="Times New Roman" w:hAnsi="Times New Roman" w:cs="Times New Roman"/>
          <w:kern w:val="0"/>
        </w:rPr>
        <w:lastRenderedPageBreak/>
        <w:t>(38,1%) értékelhetetlen volt az MMR (99 a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naponta kétszer 300</w:t>
      </w:r>
      <w:r w:rsidR="00964D66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nilotinib-, 93 a naponta kétszer 400</w:t>
      </w:r>
      <w:r w:rsidR="00964D66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 és 130 az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imatinib-csoportban).</w:t>
      </w:r>
    </w:p>
    <w:p w14:paraId="2814E883" w14:textId="2632B6EC" w:rsidR="00D75A1F" w:rsidRDefault="00E70037" w:rsidP="00E7003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55523A">
        <w:rPr>
          <w:rFonts w:ascii="Times New Roman" w:hAnsi="Times New Roman" w:cs="Times New Roman"/>
          <w:kern w:val="0"/>
          <w:vertAlign w:val="superscript"/>
        </w:rPr>
        <w:t>5</w:t>
      </w:r>
      <w:r w:rsidRPr="00E70037">
        <w:rPr>
          <w:rFonts w:ascii="Times New Roman" w:hAnsi="Times New Roman" w:cs="Times New Roman"/>
          <w:kern w:val="0"/>
        </w:rPr>
        <w:t xml:space="preserve"> Csak azok a betegek, akik egy meghatározott időpontban MMR-t értek el, így ebben az időpontban a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kezelésre reagálónak minősültek. A 72.</w:t>
      </w:r>
      <w:r w:rsidR="00964D66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hónapban hiányzó/értékelhetetlen PCR (n = 25), a vizsgálat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megkezdésekor atípusos transzkripciók (n = 7) vagy a kezelésnek a 36.</w:t>
      </w:r>
      <w:r w:rsidR="00DF039F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hónap előtti abbahagyása miatt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(n = 362) az összes beteg közül 395 nél (46,7%) értékelhetetlen volt az MMR (130 a naponta kétszer</w:t>
      </w:r>
      <w:r w:rsidR="009B483C">
        <w:rPr>
          <w:rFonts w:ascii="Times New Roman" w:hAnsi="Times New Roman" w:cs="Times New Roman"/>
          <w:kern w:val="0"/>
        </w:rPr>
        <w:t xml:space="preserve"> </w:t>
      </w:r>
      <w:r w:rsidRPr="00E70037">
        <w:rPr>
          <w:rFonts w:ascii="Times New Roman" w:hAnsi="Times New Roman" w:cs="Times New Roman"/>
          <w:kern w:val="0"/>
        </w:rPr>
        <w:t>300</w:t>
      </w:r>
      <w:r w:rsidR="00964D66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 és 110 a naponta kétszer 400</w:t>
      </w:r>
      <w:r w:rsidR="00964D66">
        <w:rPr>
          <w:rFonts w:ascii="Times New Roman" w:hAnsi="Times New Roman" w:cs="Times New Roman"/>
          <w:kern w:val="0"/>
        </w:rPr>
        <w:t> </w:t>
      </w:r>
      <w:r w:rsidRPr="00E70037">
        <w:rPr>
          <w:rFonts w:ascii="Times New Roman" w:hAnsi="Times New Roman" w:cs="Times New Roman"/>
          <w:kern w:val="0"/>
        </w:rPr>
        <w:t>mg nilotinib- és 155 az imatinib-csoportban).</w:t>
      </w:r>
    </w:p>
    <w:p w14:paraId="444B57D7" w14:textId="77777777" w:rsidR="00937A48" w:rsidRDefault="00937A48" w:rsidP="00E7003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</w:p>
    <w:p w14:paraId="551093B6" w14:textId="118C5EC2" w:rsidR="00937A48" w:rsidRDefault="00937A48" w:rsidP="00937A4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937A48">
        <w:rPr>
          <w:rFonts w:ascii="Times New Roman" w:eastAsia="TimesNewRomanPSMT" w:hAnsi="Times New Roman" w:cs="Times New Roman"/>
          <w:kern w:val="0"/>
        </w:rPr>
        <w:t>A különböző időpontokban észlelt MMR-arányok (beleértve azokat a betegeket is, akik a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937A48">
        <w:rPr>
          <w:rFonts w:ascii="Times New Roman" w:eastAsia="TimesNewRomanPSMT" w:hAnsi="Times New Roman" w:cs="Times New Roman"/>
          <w:kern w:val="0"/>
        </w:rPr>
        <w:t>meghatározott időpontokban vagy azokat megelőzően MMR-t értek el, és abban az időpontban a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937A48">
        <w:rPr>
          <w:rFonts w:ascii="Times New Roman" w:eastAsia="TimesNewRomanPSMT" w:hAnsi="Times New Roman" w:cs="Times New Roman"/>
          <w:kern w:val="0"/>
        </w:rPr>
        <w:t>kezelé</w:t>
      </w:r>
      <w:r w:rsidR="00FC2060">
        <w:rPr>
          <w:rFonts w:ascii="Times New Roman" w:eastAsia="TimesNewRomanPSMT" w:hAnsi="Times New Roman" w:cs="Times New Roman"/>
          <w:kern w:val="0"/>
        </w:rPr>
        <w:t>s</w:t>
      </w:r>
      <w:r w:rsidRPr="00937A48">
        <w:rPr>
          <w:rFonts w:ascii="Times New Roman" w:eastAsia="TimesNewRomanPSMT" w:hAnsi="Times New Roman" w:cs="Times New Roman"/>
          <w:kern w:val="0"/>
        </w:rPr>
        <w:t>re reagálónak minősültek) az MMR kumulatív incidenciájában kerülnek bemutatásra (lásd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937A48">
        <w:rPr>
          <w:rFonts w:ascii="Times New Roman" w:eastAsia="TimesNewRomanPSMT" w:hAnsi="Times New Roman" w:cs="Times New Roman"/>
          <w:kern w:val="0"/>
        </w:rPr>
        <w:t>1.</w:t>
      </w:r>
      <w:r>
        <w:rPr>
          <w:rFonts w:ascii="Times New Roman" w:eastAsia="TimesNewRomanPSMT" w:hAnsi="Times New Roman" w:cs="Times New Roman"/>
          <w:kern w:val="0"/>
        </w:rPr>
        <w:t> </w:t>
      </w:r>
      <w:r w:rsidRPr="00937A48">
        <w:rPr>
          <w:rFonts w:ascii="Times New Roman" w:eastAsia="TimesNewRomanPSMT" w:hAnsi="Times New Roman" w:cs="Times New Roman"/>
          <w:kern w:val="0"/>
        </w:rPr>
        <w:t>ábra).</w:t>
      </w:r>
    </w:p>
    <w:p w14:paraId="7993ADC3" w14:textId="77777777" w:rsidR="00303EA4" w:rsidRDefault="00303EA4" w:rsidP="00937A48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666480DB" w14:textId="459C0F60" w:rsidR="00121B00" w:rsidRPr="00121B00" w:rsidRDefault="00121B00" w:rsidP="00121B00">
      <w:pPr>
        <w:pStyle w:val="Listaszerbekezds"/>
        <w:keepNext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121B00">
        <w:rPr>
          <w:rFonts w:ascii="Times New Roman" w:hAnsi="Times New Roman" w:cs="Times New Roman"/>
          <w:b/>
          <w:bCs/>
          <w:kern w:val="0"/>
        </w:rPr>
        <w:t>ábra Az MMR kumulatív incidenciája</w:t>
      </w:r>
    </w:p>
    <w:p w14:paraId="4AA5618C" w14:textId="77777777" w:rsidR="00121B00" w:rsidRPr="00D46177" w:rsidRDefault="00121B00" w:rsidP="00D46177">
      <w:pPr>
        <w:keepNext/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NewRomanPSMT" w:hAnsi="Times New Roman" w:cs="Times New Roman"/>
          <w:kern w:val="0"/>
        </w:rPr>
      </w:pPr>
    </w:p>
    <w:p w14:paraId="4CF9FC92" w14:textId="27D184DD" w:rsidR="00303EA4" w:rsidRDefault="00303EA4" w:rsidP="00937A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noProof/>
        </w:rPr>
        <w:drawing>
          <wp:inline distT="0" distB="0" distL="0" distR="0" wp14:anchorId="2BE2D712" wp14:editId="5C30C2D4">
            <wp:extent cx="5759450" cy="3264535"/>
            <wp:effectExtent l="0" t="0" r="0" b="0"/>
            <wp:docPr id="1960648999" name="Kép 1" descr="A képen szöveg, diagram, sor, Tervrajz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0648999" name="Kép 1" descr="A képen szöveg, diagram, sor, Tervrajz látható&#10;&#10;Automatikusan generált leírás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264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D5A11" w14:textId="77777777" w:rsidR="00153C1B" w:rsidRDefault="00153C1B" w:rsidP="00937A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4EFC423" w14:textId="740D006E" w:rsidR="00153C1B" w:rsidRDefault="00153C1B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53C1B">
        <w:rPr>
          <w:rFonts w:ascii="Times New Roman" w:hAnsi="Times New Roman" w:cs="Times New Roman"/>
          <w:kern w:val="0"/>
        </w:rPr>
        <w:t>Az MMR-arányok az összes Sokal-féle rizikócsoportban minden időpontban következetesen</w:t>
      </w:r>
      <w:r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magasabbak maradtak a két nilotinib-csoportban, mint az imatinib-csoportban.</w:t>
      </w:r>
    </w:p>
    <w:p w14:paraId="0BE1EEF5" w14:textId="77777777" w:rsidR="00153C1B" w:rsidRPr="00153C1B" w:rsidRDefault="00153C1B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89EDFED" w14:textId="48E69ED1" w:rsidR="00153C1B" w:rsidRDefault="00153C1B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53C1B">
        <w:rPr>
          <w:rFonts w:ascii="Times New Roman" w:hAnsi="Times New Roman" w:cs="Times New Roman"/>
          <w:kern w:val="0"/>
        </w:rPr>
        <w:t>Egy retrospektív analízisben a naponta kétszer 300</w:t>
      </w:r>
      <w:r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nilotinibet kapó betegek 91%-a (234/258) ért el</w:t>
      </w:r>
      <w:r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a kezelés 3. hónapjára ≤ 10%-os BCR-ABL-szintet, a naponta egyszer 400</w:t>
      </w:r>
      <w:r w:rsidR="00F157F9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imatinibet kapó</w:t>
      </w:r>
      <w:r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betegek 67%-ához (176/264) viszonyítva. Azok a betegek, akiknél a kezelés 3. hónapjára a</w:t>
      </w:r>
      <w:r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BCR-ABL-szint ≤ 10%-os volt, magasabb teljes túlélést mutatnak a 72.</w:t>
      </w:r>
      <w:r w:rsidR="00D9447E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hónapban, mint azok, akik</w:t>
      </w:r>
      <w:r w:rsidR="00AE6941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nem érték el ezt a molekuláris válaszreakció szintet (sorrendben 94,5% vs. 77,1%, [p = 0,0005]).</w:t>
      </w:r>
    </w:p>
    <w:p w14:paraId="4236F127" w14:textId="77777777" w:rsidR="00153C1B" w:rsidRPr="00153C1B" w:rsidRDefault="00153C1B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01868E3" w14:textId="2C53626B" w:rsidR="00153C1B" w:rsidRDefault="00153C1B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53C1B">
        <w:rPr>
          <w:rFonts w:ascii="Times New Roman" w:hAnsi="Times New Roman" w:cs="Times New Roman"/>
          <w:kern w:val="0"/>
        </w:rPr>
        <w:t>Az első MMR-ig eltelt idő Kaplan</w:t>
      </w:r>
      <w:r w:rsidR="00AE6941">
        <w:rPr>
          <w:rFonts w:ascii="Times New Roman" w:hAnsi="Times New Roman" w:cs="Times New Roman"/>
          <w:kern w:val="0"/>
        </w:rPr>
        <w:t>–</w:t>
      </w:r>
      <w:r w:rsidRPr="00153C1B">
        <w:rPr>
          <w:rFonts w:ascii="Times New Roman" w:hAnsi="Times New Roman" w:cs="Times New Roman"/>
          <w:kern w:val="0"/>
        </w:rPr>
        <w:t>Meier-féle elemzése alapján az MMR különböző időpontokban</w:t>
      </w:r>
      <w:r w:rsidR="00AE6941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való elérésének valószínűsége egyaránt magasabb volt a naponta kétszer 300</w:t>
      </w:r>
      <w:r w:rsidR="00693411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és 400</w:t>
      </w:r>
      <w:r w:rsidR="0070619A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nilotinib,</w:t>
      </w:r>
      <w:r w:rsidR="00AE6941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mint a naponta egyszer 400</w:t>
      </w:r>
      <w:r w:rsidR="003426D9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 xml:space="preserve">mg imatinib esetén (relatív hazárd </w:t>
      </w:r>
      <w:r w:rsidR="00C075A6" w:rsidRPr="008E68D3">
        <w:rPr>
          <w:rFonts w:ascii="Times New Roman" w:hAnsi="Times New Roman" w:cs="Times New Roman"/>
          <w:kern w:val="0"/>
        </w:rPr>
        <w:t>[HR] </w:t>
      </w:r>
      <w:r w:rsidRPr="00153C1B">
        <w:rPr>
          <w:rFonts w:ascii="Times New Roman" w:hAnsi="Times New Roman" w:cs="Times New Roman"/>
          <w:kern w:val="0"/>
        </w:rPr>
        <w:t>=</w:t>
      </w:r>
      <w:r w:rsidR="00C075A6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2,17 és a stratifikált</w:t>
      </w:r>
      <w:r w:rsidR="00AE6941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logran</w:t>
      </w:r>
      <w:r w:rsidR="003224A5">
        <w:rPr>
          <w:rFonts w:ascii="Times New Roman" w:hAnsi="Times New Roman" w:cs="Times New Roman"/>
          <w:kern w:val="0"/>
        </w:rPr>
        <w:t>g</w:t>
      </w:r>
      <w:r w:rsidRPr="00153C1B">
        <w:rPr>
          <w:rFonts w:ascii="Times New Roman" w:hAnsi="Times New Roman" w:cs="Times New Roman"/>
          <w:kern w:val="0"/>
        </w:rPr>
        <w:t>-próba p &lt; 0,0001 a naponta kétszer 300</w:t>
      </w:r>
      <w:r w:rsidR="0070619A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nilotinib és a naponta egyszer 400</w:t>
      </w:r>
      <w:r w:rsidR="0070619A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imatinib</w:t>
      </w:r>
      <w:r w:rsidR="00AE6941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között, míg a HR = 1,88 és a stratifikált logran</w:t>
      </w:r>
      <w:r w:rsidR="003224A5">
        <w:rPr>
          <w:rFonts w:ascii="Times New Roman" w:hAnsi="Times New Roman" w:cs="Times New Roman"/>
          <w:kern w:val="0"/>
        </w:rPr>
        <w:t>g</w:t>
      </w:r>
      <w:r w:rsidRPr="00153C1B">
        <w:rPr>
          <w:rFonts w:ascii="Times New Roman" w:hAnsi="Times New Roman" w:cs="Times New Roman"/>
          <w:kern w:val="0"/>
        </w:rPr>
        <w:t>-próba p &lt; 0,0001 a naponta kétszer 400</w:t>
      </w:r>
      <w:r w:rsidR="0070619A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nilotinib</w:t>
      </w:r>
      <w:r w:rsidR="0070619A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és a naponta egyszer 400</w:t>
      </w:r>
      <w:r w:rsidR="0070619A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mg imatinib között).</w:t>
      </w:r>
    </w:p>
    <w:p w14:paraId="671BB97F" w14:textId="77777777" w:rsidR="00AE6941" w:rsidRPr="00153C1B" w:rsidRDefault="00AE6941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D97B569" w14:textId="35B709D0" w:rsidR="00C355DA" w:rsidRDefault="00153C1B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53C1B">
        <w:rPr>
          <w:rFonts w:ascii="Times New Roman" w:hAnsi="Times New Roman" w:cs="Times New Roman"/>
          <w:kern w:val="0"/>
        </w:rPr>
        <w:t>Azoknak a betegeknek az aránya, akiknek a különböző időpontokban a nemzetközi skála szerinti</w:t>
      </w:r>
      <w:r w:rsidR="008F11E3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≤</w:t>
      </w:r>
      <w:r w:rsidR="008F11E3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 xml:space="preserve">0,01%-os és ≤ 0,0032%-os molekuláris válaszreakciója volt, a 6. táblázatban kerül bemutatásra, </w:t>
      </w:r>
      <w:r w:rsidR="00C075A6">
        <w:rPr>
          <w:rFonts w:ascii="Times New Roman" w:hAnsi="Times New Roman" w:cs="Times New Roman"/>
          <w:kern w:val="0"/>
        </w:rPr>
        <w:t xml:space="preserve">míg </w:t>
      </w:r>
      <w:r w:rsidRPr="00153C1B">
        <w:rPr>
          <w:rFonts w:ascii="Times New Roman" w:hAnsi="Times New Roman" w:cs="Times New Roman"/>
          <w:kern w:val="0"/>
        </w:rPr>
        <w:t>azoknak a betegeknek az eltérő időpontok szerint arányát, akiknek a különböző időpontokban a</w:t>
      </w:r>
      <w:r w:rsidR="008F11E3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lastRenderedPageBreak/>
        <w:t>nemzetközi skála szerinti ≤ 0,01%-os és ≤ 0,0032%-os molekuláris válaszreakciója volt, a 2. és a</w:t>
      </w:r>
      <w:r w:rsidR="008F11E3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3.</w:t>
      </w:r>
      <w:r w:rsidR="000C4D45">
        <w:rPr>
          <w:rFonts w:ascii="Times New Roman" w:hAnsi="Times New Roman" w:cs="Times New Roman"/>
          <w:kern w:val="0"/>
        </w:rPr>
        <w:t> </w:t>
      </w:r>
      <w:r w:rsidRPr="00153C1B">
        <w:rPr>
          <w:rFonts w:ascii="Times New Roman" w:hAnsi="Times New Roman" w:cs="Times New Roman"/>
          <w:kern w:val="0"/>
        </w:rPr>
        <w:t>ábra szemlélteti. A nemzetközi skála szerinti ≤ 0,01%-os és ≤ 0,0032%-os molekuláris</w:t>
      </w:r>
      <w:r w:rsidR="008F11E3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válaszreakciók sorrendben a BCR-ABL transzkripcióknak egy standardizált kiindulási értékhez</w:t>
      </w:r>
      <w:r w:rsidR="008F11E3">
        <w:rPr>
          <w:rFonts w:ascii="Times New Roman" w:hAnsi="Times New Roman" w:cs="Times New Roman"/>
          <w:kern w:val="0"/>
        </w:rPr>
        <w:t xml:space="preserve"> </w:t>
      </w:r>
      <w:r w:rsidRPr="00153C1B">
        <w:rPr>
          <w:rFonts w:ascii="Times New Roman" w:hAnsi="Times New Roman" w:cs="Times New Roman"/>
          <w:kern w:val="0"/>
        </w:rPr>
        <w:t>viszonyított, ≥ 4 log csökkenésnek és ≥ 4,5 log csökkenésnek felel meg.</w:t>
      </w:r>
    </w:p>
    <w:p w14:paraId="587AA424" w14:textId="77777777" w:rsidR="005F0121" w:rsidRDefault="005F0121" w:rsidP="00153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921F7F4" w14:textId="63D2C7A7" w:rsidR="005F0121" w:rsidRDefault="005F0121" w:rsidP="005F0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5F0121">
        <w:rPr>
          <w:rFonts w:ascii="Times New Roman" w:hAnsi="Times New Roman" w:cs="Times New Roman"/>
          <w:b/>
          <w:bCs/>
          <w:kern w:val="0"/>
        </w:rPr>
        <w:t xml:space="preserve">6. táblázat </w:t>
      </w:r>
      <w:r w:rsidRPr="005F0121">
        <w:rPr>
          <w:rFonts w:ascii="Times New Roman" w:eastAsia="TimesNewRomanPS-BoldMT" w:hAnsi="Times New Roman" w:cs="Times New Roman"/>
          <w:b/>
          <w:bCs/>
          <w:kern w:val="0"/>
        </w:rPr>
        <w:t>Azoknak a betegeknek az aránya, akik ≤0,01%</w:t>
      </w:r>
      <w:r w:rsidRPr="005F0121">
        <w:rPr>
          <w:rFonts w:ascii="Times New Roman" w:hAnsi="Times New Roman" w:cs="Times New Roman"/>
          <w:b/>
          <w:bCs/>
          <w:kern w:val="0"/>
        </w:rPr>
        <w:t xml:space="preserve">-os (4 </w:t>
      </w:r>
      <w:r w:rsidRPr="005F0121">
        <w:rPr>
          <w:rFonts w:ascii="Times New Roman" w:eastAsia="TimesNewRomanPS-BoldMT" w:hAnsi="Times New Roman" w:cs="Times New Roman"/>
          <w:b/>
          <w:bCs/>
          <w:kern w:val="0"/>
        </w:rPr>
        <w:t>log csökkenés) és ≤0,0032%</w:t>
      </w:r>
      <w:r w:rsidRPr="005F0121">
        <w:rPr>
          <w:rFonts w:ascii="Times New Roman" w:hAnsi="Times New Roman" w:cs="Times New Roman"/>
          <w:b/>
          <w:bCs/>
          <w:kern w:val="0"/>
        </w:rPr>
        <w:t>-os</w:t>
      </w:r>
      <w:r>
        <w:rPr>
          <w:rFonts w:ascii="Times New Roman" w:hAnsi="Times New Roman" w:cs="Times New Roman"/>
          <w:b/>
          <w:bCs/>
          <w:kern w:val="0"/>
        </w:rPr>
        <w:t xml:space="preserve"> </w:t>
      </w:r>
      <w:r w:rsidRPr="005F0121">
        <w:rPr>
          <w:rFonts w:ascii="Times New Roman" w:hAnsi="Times New Roman" w:cs="Times New Roman"/>
          <w:b/>
          <w:bCs/>
          <w:kern w:val="0"/>
        </w:rPr>
        <w:t>(4,5 log csökkenés) molekuláris válaszreakciót mutattak</w:t>
      </w:r>
    </w:p>
    <w:p w14:paraId="1A690D49" w14:textId="77777777" w:rsidR="00147C10" w:rsidRDefault="00147C10" w:rsidP="005F0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9123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1134"/>
        <w:gridCol w:w="1276"/>
        <w:gridCol w:w="1134"/>
        <w:gridCol w:w="1417"/>
        <w:gridCol w:w="1134"/>
        <w:gridCol w:w="1276"/>
      </w:tblGrid>
      <w:tr w:rsidR="00147C10" w:rsidRPr="00B746ED" w14:paraId="517D5DE4" w14:textId="77777777" w:rsidTr="00027697">
        <w:trPr>
          <w:trHeight w:val="1012"/>
        </w:trPr>
        <w:tc>
          <w:tcPr>
            <w:tcW w:w="1752" w:type="dxa"/>
          </w:tcPr>
          <w:p w14:paraId="18D33710" w14:textId="77777777" w:rsidR="00147C10" w:rsidRPr="00B746ED" w:rsidRDefault="00147C10" w:rsidP="00C619EF">
            <w:pPr>
              <w:pStyle w:val="TableParagraph"/>
              <w:ind w:left="0"/>
              <w:rPr>
                <w:sz w:val="20"/>
                <w:lang w:val="hu-HU"/>
              </w:rPr>
            </w:pPr>
          </w:p>
        </w:tc>
        <w:tc>
          <w:tcPr>
            <w:tcW w:w="2410" w:type="dxa"/>
            <w:gridSpan w:val="2"/>
          </w:tcPr>
          <w:p w14:paraId="79F42C69" w14:textId="4A0039EB" w:rsidR="00147C10" w:rsidRPr="00B746ED" w:rsidRDefault="00E03484" w:rsidP="00C619EF">
            <w:pPr>
              <w:pStyle w:val="TableParagraph"/>
              <w:spacing w:line="251" w:lineRule="exact"/>
              <w:ind w:left="388" w:right="382"/>
              <w:jc w:val="center"/>
              <w:rPr>
                <w:lang w:val="hu-HU"/>
              </w:rPr>
            </w:pPr>
            <w:r>
              <w:rPr>
                <w:spacing w:val="-2"/>
                <w:lang w:val="hu-HU"/>
              </w:rPr>
              <w:t>n</w:t>
            </w:r>
            <w:r w:rsidR="00147C10" w:rsidRPr="00B746ED">
              <w:rPr>
                <w:spacing w:val="-2"/>
                <w:lang w:val="hu-HU"/>
              </w:rPr>
              <w:t>ilotinib</w:t>
            </w:r>
          </w:p>
          <w:p w14:paraId="3271D7A5" w14:textId="77777777" w:rsidR="00B33FE0" w:rsidRPr="00B746ED" w:rsidRDefault="00B33FE0" w:rsidP="00C619EF">
            <w:pPr>
              <w:pStyle w:val="TableParagraph"/>
              <w:ind w:left="390" w:right="382"/>
              <w:jc w:val="center"/>
              <w:rPr>
                <w:lang w:val="hu-HU"/>
              </w:rPr>
            </w:pPr>
            <w:r w:rsidRPr="00B746ED">
              <w:rPr>
                <w:lang w:val="hu-HU"/>
              </w:rPr>
              <w:t xml:space="preserve">naponta kétszer 300 mg </w:t>
            </w:r>
          </w:p>
          <w:p w14:paraId="2758C2EA" w14:textId="6D5D617D" w:rsidR="00147C10" w:rsidRPr="00B746ED" w:rsidRDefault="00147C10" w:rsidP="00C619EF">
            <w:pPr>
              <w:pStyle w:val="TableParagraph"/>
              <w:ind w:left="390" w:right="382"/>
              <w:jc w:val="center"/>
              <w:rPr>
                <w:lang w:val="hu-HU"/>
              </w:rPr>
            </w:pPr>
            <w:r w:rsidRPr="00B746ED">
              <w:rPr>
                <w:spacing w:val="-2"/>
                <w:lang w:val="hu-HU"/>
              </w:rPr>
              <w:t>n=282</w:t>
            </w:r>
          </w:p>
          <w:p w14:paraId="133A4DC6" w14:textId="77777777" w:rsidR="00147C10" w:rsidRPr="00B746ED" w:rsidRDefault="00147C10" w:rsidP="00C619EF">
            <w:pPr>
              <w:pStyle w:val="TableParagraph"/>
              <w:spacing w:line="236" w:lineRule="exact"/>
              <w:ind w:left="388" w:right="382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(%)</w:t>
            </w:r>
          </w:p>
        </w:tc>
        <w:tc>
          <w:tcPr>
            <w:tcW w:w="2551" w:type="dxa"/>
            <w:gridSpan w:val="2"/>
          </w:tcPr>
          <w:p w14:paraId="3EC65256" w14:textId="05BABF8C" w:rsidR="00147C10" w:rsidRPr="00B746ED" w:rsidRDefault="00E03484" w:rsidP="00C619EF">
            <w:pPr>
              <w:pStyle w:val="TableParagraph"/>
              <w:spacing w:line="251" w:lineRule="exact"/>
              <w:ind w:left="385" w:right="382"/>
              <w:jc w:val="center"/>
              <w:rPr>
                <w:lang w:val="hu-HU"/>
              </w:rPr>
            </w:pPr>
            <w:r>
              <w:rPr>
                <w:spacing w:val="-2"/>
                <w:lang w:val="hu-HU"/>
              </w:rPr>
              <w:t>n</w:t>
            </w:r>
            <w:r w:rsidR="00147C10" w:rsidRPr="00B746ED">
              <w:rPr>
                <w:spacing w:val="-2"/>
                <w:lang w:val="hu-HU"/>
              </w:rPr>
              <w:t>ilotinib</w:t>
            </w:r>
          </w:p>
          <w:p w14:paraId="3F06AD28" w14:textId="77777777" w:rsidR="00B33FE0" w:rsidRPr="00B746ED" w:rsidRDefault="00B33FE0" w:rsidP="00C619EF">
            <w:pPr>
              <w:pStyle w:val="TableParagraph"/>
              <w:ind w:left="388" w:right="384"/>
              <w:jc w:val="center"/>
              <w:rPr>
                <w:lang w:val="hu-HU"/>
              </w:rPr>
            </w:pPr>
            <w:r w:rsidRPr="00B746ED">
              <w:rPr>
                <w:lang w:val="hu-HU"/>
              </w:rPr>
              <w:t xml:space="preserve">naponta kétszer 400 mg </w:t>
            </w:r>
          </w:p>
          <w:p w14:paraId="595189ED" w14:textId="62A3BFEC" w:rsidR="00147C10" w:rsidRPr="00B746ED" w:rsidRDefault="00147C10" w:rsidP="00C619EF">
            <w:pPr>
              <w:pStyle w:val="TableParagraph"/>
              <w:ind w:left="388" w:right="384"/>
              <w:jc w:val="center"/>
              <w:rPr>
                <w:lang w:val="hu-HU"/>
              </w:rPr>
            </w:pPr>
            <w:r w:rsidRPr="00B746ED">
              <w:rPr>
                <w:spacing w:val="-2"/>
                <w:lang w:val="hu-HU"/>
              </w:rPr>
              <w:t>n=281</w:t>
            </w:r>
          </w:p>
          <w:p w14:paraId="28253D63" w14:textId="77777777" w:rsidR="00147C10" w:rsidRPr="00B746ED" w:rsidRDefault="00147C10" w:rsidP="00C619EF">
            <w:pPr>
              <w:pStyle w:val="TableParagraph"/>
              <w:spacing w:line="236" w:lineRule="exact"/>
              <w:ind w:left="384" w:right="382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(%)</w:t>
            </w:r>
          </w:p>
        </w:tc>
        <w:tc>
          <w:tcPr>
            <w:tcW w:w="2410" w:type="dxa"/>
            <w:gridSpan w:val="2"/>
          </w:tcPr>
          <w:p w14:paraId="37B0D535" w14:textId="685302CC" w:rsidR="00147C10" w:rsidRPr="00B746ED" w:rsidRDefault="00E03484" w:rsidP="00C619EF">
            <w:pPr>
              <w:pStyle w:val="TableParagraph"/>
              <w:spacing w:line="251" w:lineRule="exact"/>
              <w:ind w:left="417" w:right="417"/>
              <w:jc w:val="center"/>
              <w:rPr>
                <w:lang w:val="hu-HU"/>
              </w:rPr>
            </w:pPr>
            <w:r>
              <w:rPr>
                <w:spacing w:val="-2"/>
                <w:lang w:val="hu-HU"/>
              </w:rPr>
              <w:t>i</w:t>
            </w:r>
            <w:r w:rsidR="00147C10" w:rsidRPr="00B746ED">
              <w:rPr>
                <w:spacing w:val="-2"/>
                <w:lang w:val="hu-HU"/>
              </w:rPr>
              <w:t>matinib</w:t>
            </w:r>
          </w:p>
          <w:p w14:paraId="63B0588E" w14:textId="77777777" w:rsidR="00955039" w:rsidRPr="00B746ED" w:rsidRDefault="00955039" w:rsidP="00C619EF">
            <w:pPr>
              <w:pStyle w:val="TableParagraph"/>
              <w:ind w:left="418" w:right="417"/>
              <w:jc w:val="center"/>
              <w:rPr>
                <w:lang w:val="hu-HU"/>
              </w:rPr>
            </w:pPr>
            <w:r w:rsidRPr="00B746ED">
              <w:rPr>
                <w:lang w:val="hu-HU"/>
              </w:rPr>
              <w:t xml:space="preserve">naponta egyszer 400 mg </w:t>
            </w:r>
          </w:p>
          <w:p w14:paraId="15F02EB8" w14:textId="41653BB5" w:rsidR="00147C10" w:rsidRPr="00B746ED" w:rsidRDefault="00147C10" w:rsidP="00C619EF">
            <w:pPr>
              <w:pStyle w:val="TableParagraph"/>
              <w:ind w:left="418" w:right="417"/>
              <w:jc w:val="center"/>
              <w:rPr>
                <w:lang w:val="hu-HU"/>
              </w:rPr>
            </w:pPr>
            <w:r w:rsidRPr="00B746ED">
              <w:rPr>
                <w:spacing w:val="-2"/>
                <w:lang w:val="hu-HU"/>
              </w:rPr>
              <w:t>n=283</w:t>
            </w:r>
          </w:p>
          <w:p w14:paraId="3A3D01DD" w14:textId="77777777" w:rsidR="00147C10" w:rsidRPr="00B746ED" w:rsidRDefault="00147C10" w:rsidP="00C619EF">
            <w:pPr>
              <w:pStyle w:val="TableParagraph"/>
              <w:spacing w:line="236" w:lineRule="exact"/>
              <w:ind w:left="416" w:right="417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(%)</w:t>
            </w:r>
          </w:p>
        </w:tc>
      </w:tr>
      <w:tr w:rsidR="00376A6B" w:rsidRPr="00B746ED" w14:paraId="084B13B7" w14:textId="77777777" w:rsidTr="00376A6B">
        <w:trPr>
          <w:trHeight w:val="193"/>
        </w:trPr>
        <w:tc>
          <w:tcPr>
            <w:tcW w:w="1752" w:type="dxa"/>
          </w:tcPr>
          <w:p w14:paraId="5187CF2A" w14:textId="77777777" w:rsidR="00147C10" w:rsidRPr="00B746ED" w:rsidRDefault="00147C10" w:rsidP="00C619EF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  <w:tc>
          <w:tcPr>
            <w:tcW w:w="1134" w:type="dxa"/>
          </w:tcPr>
          <w:p w14:paraId="62236834" w14:textId="6B1BF338" w:rsidR="00147C10" w:rsidRPr="00B746ED" w:rsidRDefault="00147C10" w:rsidP="00C619EF">
            <w:pPr>
              <w:pStyle w:val="TableParagraph"/>
              <w:spacing w:line="232" w:lineRule="exact"/>
              <w:ind w:left="176" w:right="167"/>
              <w:jc w:val="center"/>
              <w:rPr>
                <w:b/>
                <w:lang w:val="hu-HU"/>
              </w:rPr>
            </w:pPr>
            <w:r w:rsidRPr="00B746ED">
              <w:rPr>
                <w:b/>
                <w:spacing w:val="-2"/>
                <w:lang w:val="hu-HU"/>
              </w:rPr>
              <w:t>≤0</w:t>
            </w:r>
            <w:r w:rsidR="00B04EB1" w:rsidRPr="00B746ED">
              <w:rPr>
                <w:b/>
                <w:spacing w:val="-2"/>
                <w:lang w:val="hu-HU"/>
              </w:rPr>
              <w:t>,</w:t>
            </w:r>
            <w:r w:rsidRPr="00B746ED">
              <w:rPr>
                <w:b/>
                <w:spacing w:val="-2"/>
                <w:lang w:val="hu-HU"/>
              </w:rPr>
              <w:t>01%</w:t>
            </w:r>
          </w:p>
        </w:tc>
        <w:tc>
          <w:tcPr>
            <w:tcW w:w="1276" w:type="dxa"/>
          </w:tcPr>
          <w:p w14:paraId="03618CF4" w14:textId="493412B2" w:rsidR="00147C10" w:rsidRPr="00B746ED" w:rsidRDefault="00147C10" w:rsidP="00C619EF">
            <w:pPr>
              <w:pStyle w:val="TableParagraph"/>
              <w:spacing w:line="232" w:lineRule="exact"/>
              <w:ind w:left="166" w:right="158"/>
              <w:jc w:val="center"/>
              <w:rPr>
                <w:b/>
                <w:lang w:val="hu-HU"/>
              </w:rPr>
            </w:pPr>
            <w:r w:rsidRPr="00B746ED">
              <w:rPr>
                <w:b/>
                <w:spacing w:val="-2"/>
                <w:lang w:val="hu-HU"/>
              </w:rPr>
              <w:t>≤0</w:t>
            </w:r>
            <w:r w:rsidR="004B5CCE" w:rsidRPr="00B746ED">
              <w:rPr>
                <w:b/>
                <w:spacing w:val="-2"/>
                <w:lang w:val="hu-HU"/>
              </w:rPr>
              <w:t>,</w:t>
            </w:r>
            <w:r w:rsidRPr="00B746ED">
              <w:rPr>
                <w:b/>
                <w:spacing w:val="-2"/>
                <w:lang w:val="hu-HU"/>
              </w:rPr>
              <w:t>0032%</w:t>
            </w:r>
          </w:p>
        </w:tc>
        <w:tc>
          <w:tcPr>
            <w:tcW w:w="1134" w:type="dxa"/>
          </w:tcPr>
          <w:p w14:paraId="50691BFF" w14:textId="30DA9123" w:rsidR="00147C10" w:rsidRPr="00B746ED" w:rsidRDefault="00147C10" w:rsidP="00C619EF">
            <w:pPr>
              <w:pStyle w:val="TableParagraph"/>
              <w:spacing w:line="232" w:lineRule="exact"/>
              <w:ind w:left="174" w:right="168"/>
              <w:jc w:val="center"/>
              <w:rPr>
                <w:b/>
                <w:lang w:val="hu-HU"/>
              </w:rPr>
            </w:pPr>
            <w:r w:rsidRPr="00B746ED">
              <w:rPr>
                <w:b/>
                <w:spacing w:val="-2"/>
                <w:lang w:val="hu-HU"/>
              </w:rPr>
              <w:t>≤0</w:t>
            </w:r>
            <w:r w:rsidR="004B5CCE" w:rsidRPr="00B746ED">
              <w:rPr>
                <w:b/>
                <w:spacing w:val="-2"/>
                <w:lang w:val="hu-HU"/>
              </w:rPr>
              <w:t>,</w:t>
            </w:r>
            <w:r w:rsidRPr="00B746ED">
              <w:rPr>
                <w:b/>
                <w:spacing w:val="-2"/>
                <w:lang w:val="hu-HU"/>
              </w:rPr>
              <w:t>01%</w:t>
            </w:r>
          </w:p>
        </w:tc>
        <w:tc>
          <w:tcPr>
            <w:tcW w:w="1417" w:type="dxa"/>
          </w:tcPr>
          <w:p w14:paraId="6B63D7AE" w14:textId="3DC5221B" w:rsidR="00147C10" w:rsidRPr="00B746ED" w:rsidRDefault="00147C10" w:rsidP="00C619EF">
            <w:pPr>
              <w:pStyle w:val="TableParagraph"/>
              <w:spacing w:line="232" w:lineRule="exact"/>
              <w:ind w:left="166" w:right="164"/>
              <w:jc w:val="center"/>
              <w:rPr>
                <w:b/>
                <w:lang w:val="hu-HU"/>
              </w:rPr>
            </w:pPr>
            <w:r w:rsidRPr="00B746ED">
              <w:rPr>
                <w:b/>
                <w:lang w:val="hu-HU"/>
              </w:rPr>
              <w:t>≤</w:t>
            </w:r>
            <w:r w:rsidRPr="00B746ED">
              <w:rPr>
                <w:b/>
                <w:spacing w:val="1"/>
                <w:lang w:val="hu-HU"/>
              </w:rPr>
              <w:t xml:space="preserve"> </w:t>
            </w:r>
            <w:r w:rsidRPr="00B746ED">
              <w:rPr>
                <w:b/>
                <w:spacing w:val="-2"/>
                <w:lang w:val="hu-HU"/>
              </w:rPr>
              <w:t>0</w:t>
            </w:r>
            <w:r w:rsidR="004B5CCE" w:rsidRPr="00B746ED">
              <w:rPr>
                <w:b/>
                <w:spacing w:val="-2"/>
                <w:lang w:val="hu-HU"/>
              </w:rPr>
              <w:t>,</w:t>
            </w:r>
            <w:r w:rsidRPr="00B746ED">
              <w:rPr>
                <w:b/>
                <w:spacing w:val="-2"/>
                <w:lang w:val="hu-HU"/>
              </w:rPr>
              <w:t>0032%</w:t>
            </w:r>
          </w:p>
        </w:tc>
        <w:tc>
          <w:tcPr>
            <w:tcW w:w="1134" w:type="dxa"/>
          </w:tcPr>
          <w:p w14:paraId="70562A70" w14:textId="62B5433E" w:rsidR="00147C10" w:rsidRPr="00B746ED" w:rsidRDefault="00147C10" w:rsidP="00C619EF">
            <w:pPr>
              <w:pStyle w:val="TableParagraph"/>
              <w:spacing w:line="232" w:lineRule="exact"/>
              <w:ind w:left="174" w:right="174"/>
              <w:jc w:val="center"/>
              <w:rPr>
                <w:b/>
                <w:lang w:val="hu-HU"/>
              </w:rPr>
            </w:pPr>
            <w:r w:rsidRPr="00B746ED">
              <w:rPr>
                <w:b/>
                <w:spacing w:val="-2"/>
                <w:lang w:val="hu-HU"/>
              </w:rPr>
              <w:t>≤0</w:t>
            </w:r>
            <w:r w:rsidR="004B5CCE" w:rsidRPr="00B746ED">
              <w:rPr>
                <w:b/>
                <w:spacing w:val="-2"/>
                <w:lang w:val="hu-HU"/>
              </w:rPr>
              <w:t>,</w:t>
            </w:r>
            <w:r w:rsidRPr="00B746ED">
              <w:rPr>
                <w:b/>
                <w:spacing w:val="-2"/>
                <w:lang w:val="hu-HU"/>
              </w:rPr>
              <w:t>01%</w:t>
            </w:r>
          </w:p>
        </w:tc>
        <w:tc>
          <w:tcPr>
            <w:tcW w:w="1276" w:type="dxa"/>
          </w:tcPr>
          <w:p w14:paraId="34A7112F" w14:textId="484D874E" w:rsidR="00147C10" w:rsidRPr="00B746ED" w:rsidRDefault="00147C10" w:rsidP="00C619EF">
            <w:pPr>
              <w:pStyle w:val="TableParagraph"/>
              <w:spacing w:line="232" w:lineRule="exact"/>
              <w:ind w:left="162" w:right="164"/>
              <w:jc w:val="center"/>
              <w:rPr>
                <w:b/>
                <w:lang w:val="hu-HU"/>
              </w:rPr>
            </w:pPr>
            <w:r w:rsidRPr="00B746ED">
              <w:rPr>
                <w:b/>
                <w:spacing w:val="-2"/>
                <w:lang w:val="hu-HU"/>
              </w:rPr>
              <w:t>≤0</w:t>
            </w:r>
            <w:r w:rsidR="004B5CCE" w:rsidRPr="00B746ED">
              <w:rPr>
                <w:b/>
                <w:spacing w:val="-2"/>
                <w:lang w:val="hu-HU"/>
              </w:rPr>
              <w:t>,</w:t>
            </w:r>
            <w:r w:rsidRPr="00B746ED">
              <w:rPr>
                <w:b/>
                <w:spacing w:val="-2"/>
                <w:lang w:val="hu-HU"/>
              </w:rPr>
              <w:t>0032%</w:t>
            </w:r>
          </w:p>
        </w:tc>
      </w:tr>
      <w:tr w:rsidR="00147C10" w:rsidRPr="00B746ED" w14:paraId="556E03BC" w14:textId="77777777" w:rsidTr="00027697">
        <w:trPr>
          <w:trHeight w:val="253"/>
        </w:trPr>
        <w:tc>
          <w:tcPr>
            <w:tcW w:w="1752" w:type="dxa"/>
          </w:tcPr>
          <w:p w14:paraId="43400C93" w14:textId="27C1923D" w:rsidR="00147C10" w:rsidRPr="00B746ED" w:rsidRDefault="00B04EB1" w:rsidP="00B04EB1">
            <w:pPr>
              <w:pStyle w:val="TableParagraph"/>
              <w:spacing w:line="234" w:lineRule="exact"/>
              <w:ind w:left="215"/>
              <w:rPr>
                <w:lang w:val="hu-HU"/>
              </w:rPr>
            </w:pPr>
            <w:r w:rsidRPr="00B746ED">
              <w:rPr>
                <w:lang w:val="hu-HU"/>
              </w:rPr>
              <w:t>A 12. hónapban</w:t>
            </w:r>
          </w:p>
        </w:tc>
        <w:tc>
          <w:tcPr>
            <w:tcW w:w="1134" w:type="dxa"/>
          </w:tcPr>
          <w:p w14:paraId="0B2F4CFB" w14:textId="22D67C8C" w:rsidR="00147C10" w:rsidRPr="00B746ED" w:rsidRDefault="00147C10" w:rsidP="00C619EF">
            <w:pPr>
              <w:pStyle w:val="TableParagraph"/>
              <w:spacing w:line="234" w:lineRule="exact"/>
              <w:ind w:left="176" w:right="167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11</w:t>
            </w:r>
            <w:r w:rsidR="00B04EB1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7</w:t>
            </w:r>
          </w:p>
        </w:tc>
        <w:tc>
          <w:tcPr>
            <w:tcW w:w="1276" w:type="dxa"/>
          </w:tcPr>
          <w:p w14:paraId="30A8EA0A" w14:textId="32ADF274" w:rsidR="00147C10" w:rsidRPr="00B746ED" w:rsidRDefault="00147C10" w:rsidP="00C619EF">
            <w:pPr>
              <w:pStyle w:val="TableParagraph"/>
              <w:spacing w:line="234" w:lineRule="exact"/>
              <w:ind w:left="166" w:right="162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4</w:t>
            </w:r>
            <w:r w:rsidR="004B5CCE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3</w:t>
            </w:r>
          </w:p>
        </w:tc>
        <w:tc>
          <w:tcPr>
            <w:tcW w:w="1134" w:type="dxa"/>
          </w:tcPr>
          <w:p w14:paraId="5B274597" w14:textId="04A09049" w:rsidR="00147C10" w:rsidRPr="00B746ED" w:rsidRDefault="00147C10" w:rsidP="00C619EF">
            <w:pPr>
              <w:pStyle w:val="TableParagraph"/>
              <w:spacing w:line="234" w:lineRule="exact"/>
              <w:ind w:left="169" w:right="168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8</w:t>
            </w:r>
            <w:r w:rsidR="004B5CCE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5</w:t>
            </w:r>
          </w:p>
        </w:tc>
        <w:tc>
          <w:tcPr>
            <w:tcW w:w="1417" w:type="dxa"/>
          </w:tcPr>
          <w:p w14:paraId="0CA5A865" w14:textId="5A98AFEE" w:rsidR="00147C10" w:rsidRPr="00B746ED" w:rsidRDefault="00147C10" w:rsidP="00C619EF">
            <w:pPr>
              <w:pStyle w:val="TableParagraph"/>
              <w:spacing w:line="234" w:lineRule="exact"/>
              <w:ind w:left="164" w:right="164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4</w:t>
            </w:r>
            <w:r w:rsidR="004B5CCE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6</w:t>
            </w:r>
          </w:p>
        </w:tc>
        <w:tc>
          <w:tcPr>
            <w:tcW w:w="1134" w:type="dxa"/>
          </w:tcPr>
          <w:p w14:paraId="4A39EBCE" w14:textId="0B82CDBF" w:rsidR="00147C10" w:rsidRPr="00B746ED" w:rsidRDefault="00147C10" w:rsidP="00C619EF">
            <w:pPr>
              <w:pStyle w:val="TableParagraph"/>
              <w:spacing w:line="234" w:lineRule="exact"/>
              <w:ind w:left="172" w:right="174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3</w:t>
            </w:r>
            <w:r w:rsidR="004B5CCE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9</w:t>
            </w:r>
          </w:p>
        </w:tc>
        <w:tc>
          <w:tcPr>
            <w:tcW w:w="1276" w:type="dxa"/>
          </w:tcPr>
          <w:p w14:paraId="2B1811C2" w14:textId="7E7E8C29" w:rsidR="00147C10" w:rsidRPr="00B746ED" w:rsidRDefault="00147C10" w:rsidP="00C619EF">
            <w:pPr>
              <w:pStyle w:val="TableParagraph"/>
              <w:spacing w:line="234" w:lineRule="exact"/>
              <w:ind w:left="158" w:right="164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0</w:t>
            </w:r>
            <w:r w:rsidR="00B746ED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4</w:t>
            </w:r>
          </w:p>
        </w:tc>
      </w:tr>
      <w:tr w:rsidR="00147C10" w:rsidRPr="00B746ED" w14:paraId="09B1C580" w14:textId="77777777" w:rsidTr="00027697">
        <w:trPr>
          <w:trHeight w:val="251"/>
        </w:trPr>
        <w:tc>
          <w:tcPr>
            <w:tcW w:w="1752" w:type="dxa"/>
          </w:tcPr>
          <w:p w14:paraId="78922F57" w14:textId="776FDD30" w:rsidR="00147C10" w:rsidRPr="00B746ED" w:rsidRDefault="00B04EB1" w:rsidP="00B04EB1">
            <w:pPr>
              <w:pStyle w:val="TableParagraph"/>
              <w:spacing w:line="232" w:lineRule="exact"/>
              <w:ind w:left="215"/>
              <w:rPr>
                <w:lang w:val="hu-HU"/>
              </w:rPr>
            </w:pPr>
            <w:r w:rsidRPr="00B746ED">
              <w:rPr>
                <w:lang w:val="hu-HU"/>
              </w:rPr>
              <w:t>A 24. hónapban</w:t>
            </w:r>
          </w:p>
        </w:tc>
        <w:tc>
          <w:tcPr>
            <w:tcW w:w="1134" w:type="dxa"/>
          </w:tcPr>
          <w:p w14:paraId="1B2F19F7" w14:textId="3225387D" w:rsidR="00147C10" w:rsidRPr="00B746ED" w:rsidRDefault="00147C10" w:rsidP="00C619EF">
            <w:pPr>
              <w:pStyle w:val="TableParagraph"/>
              <w:spacing w:line="232" w:lineRule="exact"/>
              <w:ind w:left="176" w:right="167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24</w:t>
            </w:r>
            <w:r w:rsidR="00B04EB1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5</w:t>
            </w:r>
          </w:p>
        </w:tc>
        <w:tc>
          <w:tcPr>
            <w:tcW w:w="1276" w:type="dxa"/>
          </w:tcPr>
          <w:p w14:paraId="7903C7DB" w14:textId="36499E90" w:rsidR="00147C10" w:rsidRPr="00B746ED" w:rsidRDefault="00147C10" w:rsidP="00C619EF">
            <w:pPr>
              <w:pStyle w:val="TableParagraph"/>
              <w:spacing w:line="232" w:lineRule="exact"/>
              <w:ind w:left="166" w:right="15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12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4</w:t>
            </w:r>
          </w:p>
        </w:tc>
        <w:tc>
          <w:tcPr>
            <w:tcW w:w="1134" w:type="dxa"/>
          </w:tcPr>
          <w:p w14:paraId="2117266E" w14:textId="0EE3EBC3" w:rsidR="00147C10" w:rsidRPr="00B746ED" w:rsidRDefault="00147C10" w:rsidP="00C619EF">
            <w:pPr>
              <w:pStyle w:val="TableParagraph"/>
              <w:spacing w:line="232" w:lineRule="exact"/>
              <w:ind w:left="174" w:right="16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22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1</w:t>
            </w:r>
          </w:p>
        </w:tc>
        <w:tc>
          <w:tcPr>
            <w:tcW w:w="1417" w:type="dxa"/>
          </w:tcPr>
          <w:p w14:paraId="102A05D5" w14:textId="1FFC61C1" w:rsidR="00147C10" w:rsidRPr="00B746ED" w:rsidRDefault="00147C10" w:rsidP="00C619EF">
            <w:pPr>
              <w:pStyle w:val="TableParagraph"/>
              <w:spacing w:line="232" w:lineRule="exact"/>
              <w:ind w:left="164" w:right="164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7</w:t>
            </w:r>
            <w:r w:rsidR="004B5CCE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8</w:t>
            </w:r>
          </w:p>
        </w:tc>
        <w:tc>
          <w:tcPr>
            <w:tcW w:w="1134" w:type="dxa"/>
          </w:tcPr>
          <w:p w14:paraId="372E74E0" w14:textId="27DEE0AD" w:rsidR="00147C10" w:rsidRPr="00B746ED" w:rsidRDefault="00147C10" w:rsidP="00C619EF">
            <w:pPr>
              <w:pStyle w:val="TableParagraph"/>
              <w:spacing w:line="232" w:lineRule="exact"/>
              <w:ind w:left="174" w:right="17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10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2</w:t>
            </w:r>
          </w:p>
        </w:tc>
        <w:tc>
          <w:tcPr>
            <w:tcW w:w="1276" w:type="dxa"/>
          </w:tcPr>
          <w:p w14:paraId="0C468D92" w14:textId="7C999E0C" w:rsidR="00147C10" w:rsidRPr="00B746ED" w:rsidRDefault="00147C10" w:rsidP="00C619EF">
            <w:pPr>
              <w:pStyle w:val="TableParagraph"/>
              <w:spacing w:line="232" w:lineRule="exact"/>
              <w:ind w:left="158" w:right="164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2</w:t>
            </w:r>
            <w:r w:rsidR="00B746ED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8</w:t>
            </w:r>
          </w:p>
        </w:tc>
      </w:tr>
      <w:tr w:rsidR="00147C10" w:rsidRPr="00B746ED" w14:paraId="4C545812" w14:textId="77777777" w:rsidTr="00027697">
        <w:trPr>
          <w:trHeight w:val="254"/>
        </w:trPr>
        <w:tc>
          <w:tcPr>
            <w:tcW w:w="1752" w:type="dxa"/>
          </w:tcPr>
          <w:p w14:paraId="03F28078" w14:textId="77854B40" w:rsidR="00147C10" w:rsidRPr="00B746ED" w:rsidRDefault="00B04EB1" w:rsidP="00B04EB1">
            <w:pPr>
              <w:pStyle w:val="TableParagraph"/>
              <w:spacing w:line="234" w:lineRule="exact"/>
              <w:ind w:left="215"/>
              <w:rPr>
                <w:lang w:val="hu-HU"/>
              </w:rPr>
            </w:pPr>
            <w:r w:rsidRPr="00B746ED">
              <w:rPr>
                <w:lang w:val="hu-HU"/>
              </w:rPr>
              <w:t>A 36. hónapban</w:t>
            </w:r>
          </w:p>
        </w:tc>
        <w:tc>
          <w:tcPr>
            <w:tcW w:w="1134" w:type="dxa"/>
          </w:tcPr>
          <w:p w14:paraId="09371B38" w14:textId="43EE8813" w:rsidR="00147C10" w:rsidRPr="00B746ED" w:rsidRDefault="00147C10" w:rsidP="00C619EF">
            <w:pPr>
              <w:pStyle w:val="TableParagraph"/>
              <w:spacing w:line="234" w:lineRule="exact"/>
              <w:ind w:left="176" w:right="167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29</w:t>
            </w:r>
            <w:r w:rsidR="00B04EB1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4</w:t>
            </w:r>
          </w:p>
        </w:tc>
        <w:tc>
          <w:tcPr>
            <w:tcW w:w="1276" w:type="dxa"/>
          </w:tcPr>
          <w:p w14:paraId="221BD97C" w14:textId="6DDD3387" w:rsidR="00147C10" w:rsidRPr="00B746ED" w:rsidRDefault="00147C10" w:rsidP="00C619EF">
            <w:pPr>
              <w:pStyle w:val="TableParagraph"/>
              <w:spacing w:line="234" w:lineRule="exact"/>
              <w:ind w:left="166" w:right="15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13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8</w:t>
            </w:r>
          </w:p>
        </w:tc>
        <w:tc>
          <w:tcPr>
            <w:tcW w:w="1134" w:type="dxa"/>
          </w:tcPr>
          <w:p w14:paraId="21732EFC" w14:textId="00604AFA" w:rsidR="00147C10" w:rsidRPr="00B746ED" w:rsidRDefault="00147C10" w:rsidP="00C619EF">
            <w:pPr>
              <w:pStyle w:val="TableParagraph"/>
              <w:spacing w:line="234" w:lineRule="exact"/>
              <w:ind w:left="174" w:right="16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23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8</w:t>
            </w:r>
          </w:p>
        </w:tc>
        <w:tc>
          <w:tcPr>
            <w:tcW w:w="1417" w:type="dxa"/>
          </w:tcPr>
          <w:p w14:paraId="5ADE3138" w14:textId="76EEFB08" w:rsidR="00147C10" w:rsidRPr="00B746ED" w:rsidRDefault="00147C10" w:rsidP="00C619EF">
            <w:pPr>
              <w:pStyle w:val="TableParagraph"/>
              <w:spacing w:line="234" w:lineRule="exact"/>
              <w:ind w:left="166" w:right="161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12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1</w:t>
            </w:r>
          </w:p>
        </w:tc>
        <w:tc>
          <w:tcPr>
            <w:tcW w:w="1134" w:type="dxa"/>
          </w:tcPr>
          <w:p w14:paraId="1913099D" w14:textId="314CF324" w:rsidR="00147C10" w:rsidRPr="00B746ED" w:rsidRDefault="00147C10" w:rsidP="00C619EF">
            <w:pPr>
              <w:pStyle w:val="TableParagraph"/>
              <w:spacing w:line="234" w:lineRule="exact"/>
              <w:ind w:left="174" w:right="17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14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1</w:t>
            </w:r>
          </w:p>
        </w:tc>
        <w:tc>
          <w:tcPr>
            <w:tcW w:w="1276" w:type="dxa"/>
          </w:tcPr>
          <w:p w14:paraId="0A647E77" w14:textId="426C6BB7" w:rsidR="00147C10" w:rsidRPr="00B746ED" w:rsidRDefault="00147C10" w:rsidP="00C619EF">
            <w:pPr>
              <w:pStyle w:val="TableParagraph"/>
              <w:spacing w:line="234" w:lineRule="exact"/>
              <w:ind w:left="158" w:right="164"/>
              <w:jc w:val="center"/>
              <w:rPr>
                <w:lang w:val="hu-HU"/>
              </w:rPr>
            </w:pPr>
            <w:r w:rsidRPr="00B746ED">
              <w:rPr>
                <w:spacing w:val="-5"/>
                <w:lang w:val="hu-HU"/>
              </w:rPr>
              <w:t>8</w:t>
            </w:r>
            <w:r w:rsidR="00B746ED" w:rsidRPr="00B746ED">
              <w:rPr>
                <w:spacing w:val="-5"/>
                <w:lang w:val="hu-HU"/>
              </w:rPr>
              <w:t>,</w:t>
            </w:r>
            <w:r w:rsidRPr="00B746ED">
              <w:rPr>
                <w:spacing w:val="-5"/>
                <w:lang w:val="hu-HU"/>
              </w:rPr>
              <w:t>1</w:t>
            </w:r>
          </w:p>
        </w:tc>
      </w:tr>
      <w:tr w:rsidR="00147C10" w:rsidRPr="00B746ED" w14:paraId="3EC230FC" w14:textId="77777777" w:rsidTr="00027697">
        <w:trPr>
          <w:trHeight w:val="251"/>
        </w:trPr>
        <w:tc>
          <w:tcPr>
            <w:tcW w:w="1752" w:type="dxa"/>
          </w:tcPr>
          <w:p w14:paraId="5AC39742" w14:textId="26BB283D" w:rsidR="00147C10" w:rsidRPr="00B746ED" w:rsidRDefault="00B04EB1" w:rsidP="00B04EB1">
            <w:pPr>
              <w:pStyle w:val="TableParagraph"/>
              <w:spacing w:line="232" w:lineRule="exact"/>
              <w:ind w:left="215"/>
              <w:rPr>
                <w:lang w:val="hu-HU"/>
              </w:rPr>
            </w:pPr>
            <w:r w:rsidRPr="00B746ED">
              <w:rPr>
                <w:lang w:val="hu-HU"/>
              </w:rPr>
              <w:t>A 48. hónapban</w:t>
            </w:r>
          </w:p>
        </w:tc>
        <w:tc>
          <w:tcPr>
            <w:tcW w:w="1134" w:type="dxa"/>
          </w:tcPr>
          <w:p w14:paraId="1C8EAE53" w14:textId="2B1F7209" w:rsidR="00147C10" w:rsidRPr="00B746ED" w:rsidRDefault="00147C10" w:rsidP="00C619EF">
            <w:pPr>
              <w:pStyle w:val="TableParagraph"/>
              <w:spacing w:line="232" w:lineRule="exact"/>
              <w:ind w:left="176" w:right="167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33</w:t>
            </w:r>
            <w:r w:rsidR="00B04EB1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0</w:t>
            </w:r>
          </w:p>
        </w:tc>
        <w:tc>
          <w:tcPr>
            <w:tcW w:w="1276" w:type="dxa"/>
          </w:tcPr>
          <w:p w14:paraId="28C2567C" w14:textId="019B0F85" w:rsidR="00147C10" w:rsidRPr="00B746ED" w:rsidRDefault="00147C10" w:rsidP="00C619EF">
            <w:pPr>
              <w:pStyle w:val="TableParagraph"/>
              <w:spacing w:line="232" w:lineRule="exact"/>
              <w:ind w:left="166" w:right="15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16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3</w:t>
            </w:r>
          </w:p>
        </w:tc>
        <w:tc>
          <w:tcPr>
            <w:tcW w:w="1134" w:type="dxa"/>
          </w:tcPr>
          <w:p w14:paraId="427C8C98" w14:textId="05CC9CAB" w:rsidR="00147C10" w:rsidRPr="00B746ED" w:rsidRDefault="00147C10" w:rsidP="00C619EF">
            <w:pPr>
              <w:pStyle w:val="TableParagraph"/>
              <w:spacing w:line="232" w:lineRule="exact"/>
              <w:ind w:left="174" w:right="16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29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9</w:t>
            </w:r>
          </w:p>
        </w:tc>
        <w:tc>
          <w:tcPr>
            <w:tcW w:w="1417" w:type="dxa"/>
          </w:tcPr>
          <w:p w14:paraId="3F2A69E0" w14:textId="213EF807" w:rsidR="00147C10" w:rsidRPr="00B746ED" w:rsidRDefault="00147C10" w:rsidP="00C619EF">
            <w:pPr>
              <w:pStyle w:val="TableParagraph"/>
              <w:spacing w:line="232" w:lineRule="exact"/>
              <w:ind w:left="166" w:right="161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17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1</w:t>
            </w:r>
          </w:p>
        </w:tc>
        <w:tc>
          <w:tcPr>
            <w:tcW w:w="1134" w:type="dxa"/>
          </w:tcPr>
          <w:p w14:paraId="592C9B3A" w14:textId="734A2E6B" w:rsidR="00147C10" w:rsidRPr="00B746ED" w:rsidRDefault="00147C10" w:rsidP="00C619EF">
            <w:pPr>
              <w:pStyle w:val="TableParagraph"/>
              <w:spacing w:line="232" w:lineRule="exact"/>
              <w:ind w:left="174" w:right="17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19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8</w:t>
            </w:r>
          </w:p>
        </w:tc>
        <w:tc>
          <w:tcPr>
            <w:tcW w:w="1276" w:type="dxa"/>
          </w:tcPr>
          <w:p w14:paraId="1F4BECA5" w14:textId="103BED8E" w:rsidR="00147C10" w:rsidRPr="00B746ED" w:rsidRDefault="00147C10" w:rsidP="00C619EF">
            <w:pPr>
              <w:pStyle w:val="TableParagraph"/>
              <w:spacing w:line="232" w:lineRule="exact"/>
              <w:ind w:left="163" w:right="16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10</w:t>
            </w:r>
            <w:r w:rsidR="00B746ED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2</w:t>
            </w:r>
          </w:p>
        </w:tc>
      </w:tr>
      <w:tr w:rsidR="00147C10" w:rsidRPr="00B746ED" w14:paraId="3796798A" w14:textId="77777777" w:rsidTr="00027697">
        <w:trPr>
          <w:trHeight w:val="254"/>
        </w:trPr>
        <w:tc>
          <w:tcPr>
            <w:tcW w:w="1752" w:type="dxa"/>
          </w:tcPr>
          <w:p w14:paraId="3ADE127B" w14:textId="65E9B338" w:rsidR="00147C10" w:rsidRPr="00B746ED" w:rsidRDefault="00B04EB1" w:rsidP="00B04EB1">
            <w:pPr>
              <w:pStyle w:val="TableParagraph"/>
              <w:spacing w:before="1" w:line="233" w:lineRule="exact"/>
              <w:ind w:left="215"/>
              <w:rPr>
                <w:lang w:val="hu-HU"/>
              </w:rPr>
            </w:pPr>
            <w:r w:rsidRPr="00B746ED">
              <w:rPr>
                <w:lang w:val="hu-HU"/>
              </w:rPr>
              <w:t>A 60. hónapban</w:t>
            </w:r>
          </w:p>
        </w:tc>
        <w:tc>
          <w:tcPr>
            <w:tcW w:w="1134" w:type="dxa"/>
          </w:tcPr>
          <w:p w14:paraId="7477D7D7" w14:textId="17E3F29F" w:rsidR="00147C10" w:rsidRPr="00B746ED" w:rsidRDefault="00147C10" w:rsidP="00C619EF">
            <w:pPr>
              <w:pStyle w:val="TableParagraph"/>
              <w:spacing w:before="1" w:line="233" w:lineRule="exact"/>
              <w:ind w:left="176" w:right="167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47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9</w:t>
            </w:r>
          </w:p>
        </w:tc>
        <w:tc>
          <w:tcPr>
            <w:tcW w:w="1276" w:type="dxa"/>
          </w:tcPr>
          <w:p w14:paraId="34A0472C" w14:textId="3AE5EB1F" w:rsidR="00147C10" w:rsidRPr="00B746ED" w:rsidRDefault="00147C10" w:rsidP="00C619EF">
            <w:pPr>
              <w:pStyle w:val="TableParagraph"/>
              <w:spacing w:before="1" w:line="233" w:lineRule="exact"/>
              <w:ind w:left="166" w:right="15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32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3</w:t>
            </w:r>
          </w:p>
        </w:tc>
        <w:tc>
          <w:tcPr>
            <w:tcW w:w="1134" w:type="dxa"/>
          </w:tcPr>
          <w:p w14:paraId="03D72467" w14:textId="2825D26E" w:rsidR="00147C10" w:rsidRPr="00B746ED" w:rsidRDefault="00147C10" w:rsidP="00C619EF">
            <w:pPr>
              <w:pStyle w:val="TableParagraph"/>
              <w:spacing w:before="1" w:line="233" w:lineRule="exact"/>
              <w:ind w:left="174" w:right="16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43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4</w:t>
            </w:r>
          </w:p>
        </w:tc>
        <w:tc>
          <w:tcPr>
            <w:tcW w:w="1417" w:type="dxa"/>
          </w:tcPr>
          <w:p w14:paraId="6F9C267B" w14:textId="19F81F46" w:rsidR="00147C10" w:rsidRPr="00B746ED" w:rsidRDefault="00147C10" w:rsidP="00C619EF">
            <w:pPr>
              <w:pStyle w:val="TableParagraph"/>
              <w:spacing w:before="1" w:line="233" w:lineRule="exact"/>
              <w:ind w:left="166" w:right="161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29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5</w:t>
            </w:r>
          </w:p>
        </w:tc>
        <w:tc>
          <w:tcPr>
            <w:tcW w:w="1134" w:type="dxa"/>
          </w:tcPr>
          <w:p w14:paraId="547D3D2F" w14:textId="5C406F04" w:rsidR="00147C10" w:rsidRPr="00B746ED" w:rsidRDefault="00147C10" w:rsidP="00C619EF">
            <w:pPr>
              <w:pStyle w:val="TableParagraph"/>
              <w:spacing w:before="1" w:line="233" w:lineRule="exact"/>
              <w:ind w:left="174" w:right="17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31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1</w:t>
            </w:r>
          </w:p>
        </w:tc>
        <w:tc>
          <w:tcPr>
            <w:tcW w:w="1276" w:type="dxa"/>
          </w:tcPr>
          <w:p w14:paraId="63A121B1" w14:textId="529B30E1" w:rsidR="00147C10" w:rsidRPr="00B746ED" w:rsidRDefault="00147C10" w:rsidP="00C619EF">
            <w:pPr>
              <w:pStyle w:val="TableParagraph"/>
              <w:spacing w:before="1" w:line="233" w:lineRule="exact"/>
              <w:ind w:left="163" w:right="16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19</w:t>
            </w:r>
            <w:r w:rsidR="00B746ED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8</w:t>
            </w:r>
          </w:p>
        </w:tc>
      </w:tr>
      <w:tr w:rsidR="00147C10" w:rsidRPr="00B746ED" w14:paraId="17DEC4D0" w14:textId="77777777" w:rsidTr="00027697">
        <w:trPr>
          <w:trHeight w:val="254"/>
        </w:trPr>
        <w:tc>
          <w:tcPr>
            <w:tcW w:w="1752" w:type="dxa"/>
          </w:tcPr>
          <w:p w14:paraId="22C16EBD" w14:textId="7ADDB3AC" w:rsidR="00147C10" w:rsidRPr="00B746ED" w:rsidRDefault="00B04EB1" w:rsidP="00B04EB1">
            <w:pPr>
              <w:pStyle w:val="TableParagraph"/>
              <w:spacing w:line="235" w:lineRule="exact"/>
              <w:ind w:left="215"/>
              <w:rPr>
                <w:lang w:val="hu-HU"/>
              </w:rPr>
            </w:pPr>
            <w:r w:rsidRPr="00B746ED">
              <w:rPr>
                <w:lang w:val="hu-HU"/>
              </w:rPr>
              <w:t>A 72. hónapban</w:t>
            </w:r>
          </w:p>
        </w:tc>
        <w:tc>
          <w:tcPr>
            <w:tcW w:w="1134" w:type="dxa"/>
          </w:tcPr>
          <w:p w14:paraId="71C206B3" w14:textId="7F49C8D5" w:rsidR="00147C10" w:rsidRPr="00B746ED" w:rsidRDefault="00147C10" w:rsidP="00C619EF">
            <w:pPr>
              <w:pStyle w:val="TableParagraph"/>
              <w:spacing w:line="235" w:lineRule="exact"/>
              <w:ind w:left="176" w:right="167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44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3</w:t>
            </w:r>
          </w:p>
        </w:tc>
        <w:tc>
          <w:tcPr>
            <w:tcW w:w="1276" w:type="dxa"/>
          </w:tcPr>
          <w:p w14:paraId="3B87EA27" w14:textId="5785F878" w:rsidR="00147C10" w:rsidRPr="00B746ED" w:rsidRDefault="00147C10" w:rsidP="00C619EF">
            <w:pPr>
              <w:pStyle w:val="TableParagraph"/>
              <w:spacing w:line="235" w:lineRule="exact"/>
              <w:ind w:left="166" w:right="15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31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2</w:t>
            </w:r>
          </w:p>
        </w:tc>
        <w:tc>
          <w:tcPr>
            <w:tcW w:w="1134" w:type="dxa"/>
          </w:tcPr>
          <w:p w14:paraId="682EAE03" w14:textId="6AB8207C" w:rsidR="00147C10" w:rsidRPr="00B746ED" w:rsidRDefault="00147C10" w:rsidP="00C619EF">
            <w:pPr>
              <w:pStyle w:val="TableParagraph"/>
              <w:spacing w:line="235" w:lineRule="exact"/>
              <w:ind w:left="174" w:right="168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45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2</w:t>
            </w:r>
          </w:p>
        </w:tc>
        <w:tc>
          <w:tcPr>
            <w:tcW w:w="1417" w:type="dxa"/>
          </w:tcPr>
          <w:p w14:paraId="61D68CBE" w14:textId="1A521BB8" w:rsidR="00147C10" w:rsidRPr="00B746ED" w:rsidRDefault="00147C10" w:rsidP="00C619EF">
            <w:pPr>
              <w:pStyle w:val="TableParagraph"/>
              <w:spacing w:line="235" w:lineRule="exact"/>
              <w:ind w:left="166" w:right="161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28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8</w:t>
            </w:r>
          </w:p>
        </w:tc>
        <w:tc>
          <w:tcPr>
            <w:tcW w:w="1134" w:type="dxa"/>
          </w:tcPr>
          <w:p w14:paraId="7EE24530" w14:textId="3EF0446B" w:rsidR="00147C10" w:rsidRPr="00B746ED" w:rsidRDefault="00147C10" w:rsidP="00C619EF">
            <w:pPr>
              <w:pStyle w:val="TableParagraph"/>
              <w:spacing w:line="235" w:lineRule="exact"/>
              <w:ind w:left="174" w:right="17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27</w:t>
            </w:r>
            <w:r w:rsidR="004B5CCE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2</w:t>
            </w:r>
          </w:p>
        </w:tc>
        <w:tc>
          <w:tcPr>
            <w:tcW w:w="1276" w:type="dxa"/>
          </w:tcPr>
          <w:p w14:paraId="49853F6B" w14:textId="23E4D08B" w:rsidR="00147C10" w:rsidRPr="00B746ED" w:rsidRDefault="00147C10" w:rsidP="00C619EF">
            <w:pPr>
              <w:pStyle w:val="TableParagraph"/>
              <w:spacing w:line="235" w:lineRule="exact"/>
              <w:ind w:left="163" w:right="164"/>
              <w:jc w:val="center"/>
              <w:rPr>
                <w:lang w:val="hu-HU"/>
              </w:rPr>
            </w:pPr>
            <w:r w:rsidRPr="00B746ED">
              <w:rPr>
                <w:spacing w:val="-4"/>
                <w:lang w:val="hu-HU"/>
              </w:rPr>
              <w:t>18</w:t>
            </w:r>
            <w:r w:rsidR="00B746ED" w:rsidRPr="00B746ED">
              <w:rPr>
                <w:spacing w:val="-4"/>
                <w:lang w:val="hu-HU"/>
              </w:rPr>
              <w:t>,</w:t>
            </w:r>
            <w:r w:rsidRPr="00B746ED">
              <w:rPr>
                <w:spacing w:val="-4"/>
                <w:lang w:val="hu-HU"/>
              </w:rPr>
              <w:t>0</w:t>
            </w:r>
          </w:p>
        </w:tc>
      </w:tr>
    </w:tbl>
    <w:p w14:paraId="672530EF" w14:textId="77777777" w:rsidR="00147C10" w:rsidRDefault="00147C10" w:rsidP="005F0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4C516FA" w14:textId="20858F90" w:rsidR="00F97540" w:rsidRDefault="00D47132" w:rsidP="005F0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D47132">
        <w:rPr>
          <w:rFonts w:ascii="Times New Roman" w:hAnsi="Times New Roman" w:cs="Times New Roman"/>
          <w:b/>
          <w:bCs/>
          <w:kern w:val="0"/>
        </w:rPr>
        <w:t xml:space="preserve">2. ábra </w:t>
      </w:r>
      <w:r w:rsidRPr="00D47132">
        <w:rPr>
          <w:rFonts w:ascii="Times New Roman" w:eastAsia="TimesNewRomanPS-BoldMT" w:hAnsi="Times New Roman" w:cs="Times New Roman"/>
          <w:b/>
          <w:bCs/>
          <w:kern w:val="0"/>
        </w:rPr>
        <w:t>≤0,01%</w:t>
      </w:r>
      <w:r w:rsidRPr="00D47132">
        <w:rPr>
          <w:rFonts w:ascii="Times New Roman" w:hAnsi="Times New Roman" w:cs="Times New Roman"/>
          <w:b/>
          <w:bCs/>
          <w:kern w:val="0"/>
        </w:rPr>
        <w:t>-os molekuláris válasz kumulatív incidenciája (4 log csökkenés)</w:t>
      </w:r>
    </w:p>
    <w:p w14:paraId="2AD1099A" w14:textId="7952E2CE" w:rsidR="00E049D7" w:rsidRDefault="0016108E" w:rsidP="005F0121">
      <w:pPr>
        <w:autoSpaceDE w:val="0"/>
        <w:autoSpaceDN w:val="0"/>
        <w:adjustRightInd w:val="0"/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25ABD97E" wp14:editId="71E34170">
            <wp:extent cx="5308979" cy="2976576"/>
            <wp:effectExtent l="0" t="0" r="6350" b="0"/>
            <wp:docPr id="99056671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148" cy="298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36176" w14:textId="77777777" w:rsidR="003235E6" w:rsidRDefault="003235E6" w:rsidP="005F01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7C8AB22" w14:textId="1E44A529" w:rsidR="003235E6" w:rsidRDefault="003235E6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235E6">
        <w:rPr>
          <w:rFonts w:ascii="Times New Roman" w:hAnsi="Times New Roman" w:cs="Times New Roman"/>
          <w:b/>
          <w:bCs/>
          <w:kern w:val="0"/>
        </w:rPr>
        <w:lastRenderedPageBreak/>
        <w:t xml:space="preserve">3. ábra </w:t>
      </w:r>
      <w:r w:rsidRPr="003235E6">
        <w:rPr>
          <w:rFonts w:ascii="Times New Roman" w:eastAsia="TimesNewRomanPS-BoldMT" w:hAnsi="Times New Roman" w:cs="Times New Roman"/>
          <w:b/>
          <w:bCs/>
          <w:kern w:val="0"/>
        </w:rPr>
        <w:t>≤0,0032%</w:t>
      </w:r>
      <w:r w:rsidRPr="003235E6">
        <w:rPr>
          <w:rFonts w:ascii="Times New Roman" w:hAnsi="Times New Roman" w:cs="Times New Roman"/>
          <w:b/>
          <w:bCs/>
          <w:kern w:val="0"/>
        </w:rPr>
        <w:t>-os molekuláris válasz kumulatív incidenciája (4,5 log csökkenés)</w:t>
      </w:r>
    </w:p>
    <w:p w14:paraId="0C8147A8" w14:textId="77777777" w:rsidR="003235E6" w:rsidRDefault="003235E6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6D8D102" w14:textId="2617A333" w:rsidR="003235E6" w:rsidRDefault="00704584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noProof/>
        </w:rPr>
        <w:drawing>
          <wp:inline distT="0" distB="0" distL="0" distR="0" wp14:anchorId="73DCACF9" wp14:editId="5C2E61F7">
            <wp:extent cx="5759450" cy="3420745"/>
            <wp:effectExtent l="0" t="0" r="0" b="8255"/>
            <wp:docPr id="574447389" name="Kép 1" descr="A képen szöveg, diagram, sor, Betűtípu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447389" name="Kép 1" descr="A képen szöveg, diagram, sor, Betűtípus látható&#10;&#10;Automatikusan generált leírás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E97F9" w14:textId="71112C1F" w:rsidR="007A65FC" w:rsidRDefault="007A65FC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A65FC">
        <w:rPr>
          <w:rFonts w:ascii="Times New Roman" w:hAnsi="Times New Roman" w:cs="Times New Roman"/>
          <w:kern w:val="0"/>
        </w:rPr>
        <w:t xml:space="preserve">Az </w:t>
      </w:r>
      <w:r w:rsidRPr="007A65FC">
        <w:rPr>
          <w:rFonts w:ascii="Times New Roman" w:eastAsia="TimesNewRomanPSMT" w:hAnsi="Times New Roman" w:cs="Times New Roman"/>
          <w:kern w:val="0"/>
        </w:rPr>
        <w:t>első MMR időtartamának Kaplan—</w:t>
      </w:r>
      <w:r w:rsidRPr="007A65FC">
        <w:rPr>
          <w:rFonts w:ascii="Times New Roman" w:hAnsi="Times New Roman" w:cs="Times New Roman"/>
          <w:kern w:val="0"/>
        </w:rPr>
        <w:t>Meier-féle becslése alapján a válaszreakciót 72</w:t>
      </w:r>
      <w:r w:rsidR="00A818B3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hónapig is</w:t>
      </w:r>
      <w:r w:rsidR="00A818B3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fenntartó betegek aránya azok körében, akik elérték az MMR-t 92,5% (95%-os CI: 88,6</w:t>
      </w:r>
      <w:r w:rsidRPr="007A65FC">
        <w:rPr>
          <w:rFonts w:ascii="Times New Roman" w:eastAsia="TimesNewRomanPSMT" w:hAnsi="Times New Roman" w:cs="Times New Roman"/>
          <w:kern w:val="0"/>
        </w:rPr>
        <w:t>–</w:t>
      </w:r>
      <w:r w:rsidRPr="007A65FC">
        <w:rPr>
          <w:rFonts w:ascii="Times New Roman" w:hAnsi="Times New Roman" w:cs="Times New Roman"/>
          <w:kern w:val="0"/>
        </w:rPr>
        <w:t>96,4%) volt a</w:t>
      </w:r>
      <w:r w:rsidR="00A818B3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naponta kétszer 300</w:t>
      </w:r>
      <w:r w:rsidR="00A818B3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 nilotinib-csoportban, 92,2% (95%-os CI: 88,5-95,9%) volt a naponta kétszer</w:t>
      </w:r>
      <w:r w:rsidR="00A818B3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400</w:t>
      </w:r>
      <w:r w:rsidR="00A818B3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 nilotinib-csoportban, és 88,0% (95%-os CI: 83,0-93,1%) volt a naponta egyszer 400</w:t>
      </w:r>
      <w:r w:rsidR="00EF1667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</w:t>
      </w:r>
      <w:r w:rsidR="00A818B3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imatinib-csoportban.</w:t>
      </w:r>
    </w:p>
    <w:p w14:paraId="6A761BAE" w14:textId="77777777" w:rsidR="00A818B3" w:rsidRPr="007A65FC" w:rsidRDefault="00A818B3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754FE1C" w14:textId="30F95C94" w:rsidR="007A65FC" w:rsidRDefault="007A65FC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A65FC">
        <w:rPr>
          <w:rFonts w:ascii="Times New Roman" w:hAnsi="Times New Roman" w:cs="Times New Roman"/>
          <w:kern w:val="0"/>
        </w:rPr>
        <w:t xml:space="preserve">A teljes citogenetikai válasz (Complete cytogenetic response </w:t>
      </w:r>
      <w:r w:rsidRPr="007A65FC">
        <w:rPr>
          <w:rFonts w:ascii="Times New Roman" w:eastAsia="TimesNewRomanPSMT" w:hAnsi="Times New Roman" w:cs="Times New Roman"/>
          <w:kern w:val="0"/>
        </w:rPr>
        <w:t xml:space="preserve">– </w:t>
      </w:r>
      <w:r w:rsidRPr="007A65FC">
        <w:rPr>
          <w:rFonts w:ascii="Times New Roman" w:hAnsi="Times New Roman" w:cs="Times New Roman"/>
          <w:kern w:val="0"/>
        </w:rPr>
        <w:t>CCyR) definíciója a minimum</w:t>
      </w:r>
      <w:r w:rsidR="00117C3F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20</w:t>
      </w:r>
      <w:r w:rsidR="00117C3F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metafázis értékelés</w:t>
      </w:r>
      <w:r w:rsidRPr="007A65FC">
        <w:rPr>
          <w:rFonts w:ascii="Times New Roman" w:eastAsia="TimesNewRomanPSMT" w:hAnsi="Times New Roman" w:cs="Times New Roman"/>
          <w:kern w:val="0"/>
        </w:rPr>
        <w:t>e alapján a csontvelőben észlelt 0% Ph+ metafázis volt. A 12.</w:t>
      </w:r>
      <w:r w:rsidR="00F36946">
        <w:rPr>
          <w:rFonts w:ascii="Times New Roman" w:eastAsia="TimesNewRomanPSMT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hónapra elért</w:t>
      </w:r>
      <w:r w:rsidR="00117C3F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legjobb CCyR-arány (azokat, a kezelésre reagálónak tekintett betegeket beleértve, akik CCyR</w:t>
      </w:r>
      <w:r w:rsidR="009F136C">
        <w:rPr>
          <w:rFonts w:ascii="Times New Roman" w:hAnsi="Times New Roman" w:cs="Times New Roman"/>
          <w:kern w:val="0"/>
        </w:rPr>
        <w:t>-t</w:t>
      </w:r>
      <w:r w:rsidRPr="007A65FC">
        <w:rPr>
          <w:rFonts w:ascii="Times New Roman" w:hAnsi="Times New Roman" w:cs="Times New Roman"/>
          <w:kern w:val="0"/>
        </w:rPr>
        <w:t xml:space="preserve"> értek el</w:t>
      </w:r>
      <w:r w:rsidR="00117C3F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a 12.</w:t>
      </w:r>
      <w:r w:rsidR="00F36946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hónapban vagy korábban) statisztikailag egyaránt nagyobb volt a naponta kétszer adott 300</w:t>
      </w:r>
      <w:r w:rsidR="00117C3F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</w:t>
      </w:r>
      <w:r w:rsidR="00117C3F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és 400</w:t>
      </w:r>
      <w:r w:rsidR="00117C3F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 nilotinib, mint a naponta egyszer adott 400</w:t>
      </w:r>
      <w:r w:rsidR="00F36946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 imatinib esetén, lásd 7.</w:t>
      </w:r>
      <w:r w:rsidR="00D50A29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táblázat.</w:t>
      </w:r>
    </w:p>
    <w:p w14:paraId="35CC83A6" w14:textId="77777777" w:rsidR="00117C3F" w:rsidRPr="007A65FC" w:rsidRDefault="00117C3F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289EB51" w14:textId="18C510FA" w:rsidR="007A65FC" w:rsidRDefault="007A65FC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A65FC">
        <w:rPr>
          <w:rFonts w:ascii="Times New Roman" w:hAnsi="Times New Roman" w:cs="Times New Roman"/>
          <w:kern w:val="0"/>
        </w:rPr>
        <w:t>A 24.</w:t>
      </w:r>
      <w:r w:rsidR="00117C3F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hónapra a CCyR-arány (azokat, a kezelésre reagálónak tekintett betegeket is beleértve, akik a</w:t>
      </w:r>
      <w:r w:rsidR="00F36946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CCyR-t a 24.</w:t>
      </w:r>
      <w:r w:rsidR="00F36946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eastAsia="TimesNewRomanPSMT" w:hAnsi="Times New Roman" w:cs="Times New Roman"/>
          <w:kern w:val="0"/>
        </w:rPr>
        <w:t>hónapos vagy egy azt megelőző időpontra érték el) statisztikailag magasabb volt mind a</w:t>
      </w:r>
      <w:r w:rsidR="00F36946">
        <w:rPr>
          <w:rFonts w:ascii="Times New Roman" w:eastAsia="TimesNewRomanPSMT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naponta kétszer 300</w:t>
      </w:r>
      <w:r w:rsidR="00F36946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mg, mind pedig a naponta kétszer 400</w:t>
      </w:r>
      <w:r w:rsidR="00183444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 nilotinib-csoportban, mint a naponta</w:t>
      </w:r>
      <w:r w:rsidR="00F36946">
        <w:rPr>
          <w:rFonts w:ascii="Times New Roman" w:hAnsi="Times New Roman" w:cs="Times New Roman"/>
          <w:kern w:val="0"/>
        </w:rPr>
        <w:t xml:space="preserve"> </w:t>
      </w:r>
      <w:r w:rsidRPr="007A65FC">
        <w:rPr>
          <w:rFonts w:ascii="Times New Roman" w:hAnsi="Times New Roman" w:cs="Times New Roman"/>
          <w:kern w:val="0"/>
        </w:rPr>
        <w:t>egyszer 400</w:t>
      </w:r>
      <w:r w:rsidR="00F36946">
        <w:rPr>
          <w:rFonts w:ascii="Times New Roman" w:hAnsi="Times New Roman" w:cs="Times New Roman"/>
          <w:kern w:val="0"/>
        </w:rPr>
        <w:t> </w:t>
      </w:r>
      <w:r w:rsidRPr="007A65FC">
        <w:rPr>
          <w:rFonts w:ascii="Times New Roman" w:hAnsi="Times New Roman" w:cs="Times New Roman"/>
          <w:kern w:val="0"/>
        </w:rPr>
        <w:t>mg imatinib-csoportban.</w:t>
      </w:r>
    </w:p>
    <w:p w14:paraId="289ADF54" w14:textId="77777777" w:rsidR="0051536E" w:rsidRDefault="0051536E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B04DFB8" w14:textId="605D7371" w:rsidR="0051536E" w:rsidRDefault="00E766A4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7. táblázat A legjobb CCyR arány</w:t>
      </w:r>
    </w:p>
    <w:p w14:paraId="4FDE8224" w14:textId="77777777" w:rsidR="0051536E" w:rsidRDefault="0051536E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9015" w:type="dxa"/>
        <w:tblInd w:w="3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2"/>
        <w:gridCol w:w="2033"/>
        <w:gridCol w:w="2139"/>
        <w:gridCol w:w="1701"/>
      </w:tblGrid>
      <w:tr w:rsidR="00A12346" w:rsidRPr="005C207F" w14:paraId="6D2380BB" w14:textId="77777777" w:rsidTr="00027697">
        <w:trPr>
          <w:trHeight w:val="1266"/>
        </w:trPr>
        <w:tc>
          <w:tcPr>
            <w:tcW w:w="0" w:type="auto"/>
          </w:tcPr>
          <w:p w14:paraId="7180F518" w14:textId="77777777" w:rsidR="0051536E" w:rsidRPr="005C207F" w:rsidRDefault="0051536E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0" w:type="auto"/>
          </w:tcPr>
          <w:p w14:paraId="652EBD65" w14:textId="539F3B01" w:rsidR="00E766A4" w:rsidRPr="005C207F" w:rsidRDefault="00423997" w:rsidP="00420F26">
            <w:pPr>
              <w:pStyle w:val="TableParagraph"/>
              <w:ind w:left="337" w:right="242" w:firstLine="204"/>
              <w:jc w:val="center"/>
              <w:rPr>
                <w:lang w:val="hu-HU"/>
              </w:rPr>
            </w:pPr>
            <w:r>
              <w:rPr>
                <w:spacing w:val="-2"/>
                <w:lang w:val="hu-HU"/>
              </w:rPr>
              <w:t>n</w:t>
            </w:r>
            <w:r w:rsidR="0051536E" w:rsidRPr="005C207F">
              <w:rPr>
                <w:spacing w:val="-2"/>
                <w:lang w:val="hu-HU"/>
              </w:rPr>
              <w:t xml:space="preserve">ilotinib </w:t>
            </w:r>
            <w:r w:rsidR="00E766A4" w:rsidRPr="005C207F">
              <w:rPr>
                <w:lang w:val="hu-HU"/>
              </w:rPr>
              <w:t>naponta kétszer 300 mg</w:t>
            </w:r>
          </w:p>
          <w:p w14:paraId="15BD983D" w14:textId="4A6FDA9D" w:rsidR="00E766A4" w:rsidRPr="005C207F" w:rsidRDefault="0051536E" w:rsidP="00420F26">
            <w:pPr>
              <w:pStyle w:val="TableParagraph"/>
              <w:ind w:left="337" w:right="242" w:firstLine="204"/>
              <w:jc w:val="center"/>
              <w:rPr>
                <w:spacing w:val="-2"/>
                <w:lang w:val="hu-HU"/>
              </w:rPr>
            </w:pPr>
            <w:r w:rsidRPr="005C207F">
              <w:rPr>
                <w:spacing w:val="-2"/>
                <w:lang w:val="hu-HU"/>
              </w:rPr>
              <w:t>n=282</w:t>
            </w:r>
          </w:p>
          <w:p w14:paraId="09308E26" w14:textId="4D24BEEE" w:rsidR="0051536E" w:rsidRPr="005C207F" w:rsidRDefault="0051536E" w:rsidP="00420F26">
            <w:pPr>
              <w:pStyle w:val="TableParagraph"/>
              <w:ind w:left="337" w:right="242" w:firstLine="204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(%)</w:t>
            </w:r>
          </w:p>
        </w:tc>
        <w:tc>
          <w:tcPr>
            <w:tcW w:w="2139" w:type="dxa"/>
          </w:tcPr>
          <w:p w14:paraId="5A1505EE" w14:textId="1EA7689C" w:rsidR="00420F26" w:rsidRPr="005C207F" w:rsidRDefault="00423997" w:rsidP="00A123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n</w:t>
            </w:r>
            <w:r w:rsidR="0051536E" w:rsidRPr="005C207F">
              <w:rPr>
                <w:rFonts w:ascii="Times New Roman" w:hAnsi="Times New Roman" w:cs="Times New Roman"/>
                <w:spacing w:val="-2"/>
              </w:rPr>
              <w:t>ilotinib</w:t>
            </w:r>
          </w:p>
          <w:p w14:paraId="0062AF25" w14:textId="49B5AF5B" w:rsidR="00420F26" w:rsidRPr="005C207F" w:rsidRDefault="00420F26" w:rsidP="00A123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kern w:val="0"/>
              </w:rPr>
            </w:pPr>
            <w:r w:rsidRPr="005C207F">
              <w:rPr>
                <w:rFonts w:ascii="Times New Roman" w:hAnsi="Times New Roman" w:cs="Times New Roman"/>
                <w:kern w:val="0"/>
              </w:rPr>
              <w:t>naponta kétszer</w:t>
            </w:r>
          </w:p>
          <w:p w14:paraId="63D25E43" w14:textId="4CEDF5BB" w:rsidR="0051536E" w:rsidRPr="005C207F" w:rsidRDefault="00420F26" w:rsidP="00A12346">
            <w:pPr>
              <w:pStyle w:val="TableParagraph"/>
              <w:spacing w:line="252" w:lineRule="exact"/>
              <w:ind w:left="822" w:right="643" w:hanging="166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400</w:t>
            </w:r>
            <w:r w:rsidR="001B0775" w:rsidRPr="005C207F">
              <w:rPr>
                <w:lang w:val="hu-HU"/>
              </w:rPr>
              <w:t> </w:t>
            </w:r>
            <w:r w:rsidRPr="005C207F">
              <w:rPr>
                <w:lang w:val="hu-HU"/>
              </w:rPr>
              <w:t xml:space="preserve">mg </w:t>
            </w:r>
            <w:r w:rsidR="0051536E" w:rsidRPr="005C207F">
              <w:rPr>
                <w:spacing w:val="-2"/>
                <w:lang w:val="hu-HU"/>
              </w:rPr>
              <w:t xml:space="preserve">n=281 </w:t>
            </w:r>
            <w:r w:rsidR="0051536E" w:rsidRPr="005C207F">
              <w:rPr>
                <w:spacing w:val="-4"/>
                <w:lang w:val="hu-HU"/>
              </w:rPr>
              <w:t>(%)</w:t>
            </w:r>
          </w:p>
        </w:tc>
        <w:tc>
          <w:tcPr>
            <w:tcW w:w="1701" w:type="dxa"/>
          </w:tcPr>
          <w:p w14:paraId="18772771" w14:textId="1764FAF2" w:rsidR="0051536E" w:rsidRPr="005C207F" w:rsidRDefault="00423997" w:rsidP="00A12346">
            <w:pPr>
              <w:pStyle w:val="TableParagraph"/>
              <w:spacing w:line="251" w:lineRule="exact"/>
              <w:ind w:left="119" w:right="114"/>
              <w:jc w:val="center"/>
              <w:rPr>
                <w:lang w:val="hu-HU"/>
              </w:rPr>
            </w:pPr>
            <w:r>
              <w:rPr>
                <w:spacing w:val="-2"/>
                <w:lang w:val="hu-HU"/>
              </w:rPr>
              <w:t>i</w:t>
            </w:r>
            <w:r w:rsidR="0051536E" w:rsidRPr="005C207F">
              <w:rPr>
                <w:spacing w:val="-2"/>
                <w:lang w:val="hu-HU"/>
              </w:rPr>
              <w:t>matinib</w:t>
            </w:r>
          </w:p>
          <w:p w14:paraId="2351082B" w14:textId="5106E75A" w:rsidR="00A12346" w:rsidRPr="005C207F" w:rsidRDefault="00420F26" w:rsidP="00A12346">
            <w:pPr>
              <w:pStyle w:val="TableParagraph"/>
              <w:spacing w:before="1"/>
              <w:ind w:left="119" w:right="114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naponta egy</w:t>
            </w:r>
            <w:r w:rsidR="00A12346" w:rsidRPr="005C207F">
              <w:rPr>
                <w:lang w:val="hu-HU"/>
              </w:rPr>
              <w:t>szer 400 mg</w:t>
            </w:r>
          </w:p>
          <w:p w14:paraId="2E30D5D8" w14:textId="67A0EA7F" w:rsidR="0051536E" w:rsidRPr="005C207F" w:rsidRDefault="0051536E" w:rsidP="00A12346">
            <w:pPr>
              <w:pStyle w:val="TableParagraph"/>
              <w:spacing w:before="1"/>
              <w:ind w:left="119" w:right="114"/>
              <w:jc w:val="center"/>
              <w:rPr>
                <w:lang w:val="hu-HU"/>
              </w:rPr>
            </w:pPr>
            <w:r w:rsidRPr="005C207F">
              <w:rPr>
                <w:spacing w:val="-2"/>
                <w:lang w:val="hu-HU"/>
              </w:rPr>
              <w:t>n=283</w:t>
            </w:r>
          </w:p>
          <w:p w14:paraId="2288975D" w14:textId="77777777" w:rsidR="0051536E" w:rsidRPr="005C207F" w:rsidRDefault="0051536E" w:rsidP="00A12346">
            <w:pPr>
              <w:pStyle w:val="TableParagraph"/>
              <w:spacing w:before="1"/>
              <w:ind w:left="119" w:right="18"/>
              <w:jc w:val="center"/>
              <w:rPr>
                <w:lang w:val="hu-HU"/>
              </w:rPr>
            </w:pPr>
            <w:r w:rsidRPr="005C207F">
              <w:rPr>
                <w:spacing w:val="-5"/>
                <w:lang w:val="hu-HU"/>
              </w:rPr>
              <w:t>(%)</w:t>
            </w:r>
          </w:p>
        </w:tc>
      </w:tr>
      <w:tr w:rsidR="00A12346" w:rsidRPr="005C207F" w14:paraId="24FBBCE4" w14:textId="77777777" w:rsidTr="00027697">
        <w:trPr>
          <w:trHeight w:val="251"/>
        </w:trPr>
        <w:tc>
          <w:tcPr>
            <w:tcW w:w="0" w:type="auto"/>
          </w:tcPr>
          <w:p w14:paraId="060E7DBF" w14:textId="7D86D742" w:rsidR="0051536E" w:rsidRPr="005C207F" w:rsidRDefault="00A12346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5C207F">
              <w:rPr>
                <w:b/>
                <w:bCs/>
                <w:lang w:val="hu-HU"/>
              </w:rPr>
              <w:t>A 12. hónapra</w:t>
            </w:r>
          </w:p>
        </w:tc>
        <w:tc>
          <w:tcPr>
            <w:tcW w:w="0" w:type="auto"/>
          </w:tcPr>
          <w:p w14:paraId="74FACCF1" w14:textId="77777777" w:rsidR="0051536E" w:rsidRPr="005C207F" w:rsidRDefault="0051536E" w:rsidP="00420F2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  <w:tc>
          <w:tcPr>
            <w:tcW w:w="2139" w:type="dxa"/>
          </w:tcPr>
          <w:p w14:paraId="54954178" w14:textId="77777777" w:rsidR="0051536E" w:rsidRPr="005C207F" w:rsidRDefault="0051536E" w:rsidP="00A1234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  <w:tc>
          <w:tcPr>
            <w:tcW w:w="1701" w:type="dxa"/>
          </w:tcPr>
          <w:p w14:paraId="7CFD859C" w14:textId="77777777" w:rsidR="0051536E" w:rsidRPr="005C207F" w:rsidRDefault="0051536E" w:rsidP="00A1234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</w:tr>
      <w:tr w:rsidR="00A12346" w:rsidRPr="005C207F" w14:paraId="573A3B5D" w14:textId="77777777" w:rsidTr="00027697">
        <w:trPr>
          <w:trHeight w:val="253"/>
        </w:trPr>
        <w:tc>
          <w:tcPr>
            <w:tcW w:w="0" w:type="auto"/>
          </w:tcPr>
          <w:p w14:paraId="688A3D2F" w14:textId="71ECFF40" w:rsidR="0051536E" w:rsidRPr="005C207F" w:rsidRDefault="00DB4DEF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C207F">
              <w:rPr>
                <w:lang w:val="hu-HU"/>
              </w:rPr>
              <w:t>Válaszarány</w:t>
            </w:r>
            <w:r w:rsidR="0051536E" w:rsidRPr="005C207F">
              <w:rPr>
                <w:spacing w:val="-3"/>
                <w:lang w:val="hu-HU"/>
              </w:rPr>
              <w:t xml:space="preserve"> </w:t>
            </w:r>
            <w:r w:rsidR="0051536E" w:rsidRPr="005C207F">
              <w:rPr>
                <w:lang w:val="hu-HU"/>
              </w:rPr>
              <w:t>(95%</w:t>
            </w:r>
            <w:r w:rsidR="0051536E" w:rsidRPr="005C207F">
              <w:rPr>
                <w:spacing w:val="-2"/>
                <w:lang w:val="hu-HU"/>
              </w:rPr>
              <w:t xml:space="preserve"> </w:t>
            </w:r>
            <w:r w:rsidR="0051536E" w:rsidRPr="005C207F">
              <w:rPr>
                <w:spacing w:val="-5"/>
                <w:lang w:val="hu-HU"/>
              </w:rPr>
              <w:t>CI)</w:t>
            </w:r>
          </w:p>
        </w:tc>
        <w:tc>
          <w:tcPr>
            <w:tcW w:w="0" w:type="auto"/>
          </w:tcPr>
          <w:p w14:paraId="1A5A236C" w14:textId="7325CCC0" w:rsidR="0051536E" w:rsidRPr="005C207F" w:rsidRDefault="0051536E" w:rsidP="00420F26">
            <w:pPr>
              <w:pStyle w:val="TableParagraph"/>
              <w:spacing w:line="234" w:lineRule="exact"/>
              <w:ind w:left="201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80</w:t>
            </w:r>
            <w:r w:rsidR="008C3243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>1</w:t>
            </w:r>
            <w:r w:rsidRPr="005C207F">
              <w:rPr>
                <w:spacing w:val="-2"/>
                <w:lang w:val="hu-HU"/>
              </w:rPr>
              <w:t xml:space="preserve"> </w:t>
            </w:r>
            <w:r w:rsidRPr="005C207F">
              <w:rPr>
                <w:lang w:val="hu-HU"/>
              </w:rPr>
              <w:t>(75</w:t>
            </w:r>
            <w:r w:rsidR="008C3243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 xml:space="preserve">0; </w:t>
            </w:r>
            <w:r w:rsidRPr="005C207F">
              <w:rPr>
                <w:spacing w:val="-4"/>
                <w:lang w:val="hu-HU"/>
              </w:rPr>
              <w:t>84</w:t>
            </w:r>
            <w:r w:rsidR="008C3243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6)</w:t>
            </w:r>
          </w:p>
        </w:tc>
        <w:tc>
          <w:tcPr>
            <w:tcW w:w="2139" w:type="dxa"/>
          </w:tcPr>
          <w:p w14:paraId="0F0D9691" w14:textId="23B8FFAE" w:rsidR="0051536E" w:rsidRPr="005C207F" w:rsidRDefault="0051536E" w:rsidP="00A12346">
            <w:pPr>
              <w:pStyle w:val="TableParagraph"/>
              <w:spacing w:line="234" w:lineRule="exact"/>
              <w:ind w:left="251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77</w:t>
            </w:r>
            <w:r w:rsidR="001B0775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>9</w:t>
            </w:r>
            <w:r w:rsidRPr="005C207F">
              <w:rPr>
                <w:spacing w:val="-2"/>
                <w:lang w:val="hu-HU"/>
              </w:rPr>
              <w:t xml:space="preserve"> </w:t>
            </w:r>
            <w:r w:rsidRPr="005C207F">
              <w:rPr>
                <w:lang w:val="hu-HU"/>
              </w:rPr>
              <w:t>(72</w:t>
            </w:r>
            <w:r w:rsidR="001B0775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 xml:space="preserve">6; </w:t>
            </w:r>
            <w:r w:rsidRPr="005C207F">
              <w:rPr>
                <w:spacing w:val="-4"/>
                <w:lang w:val="hu-HU"/>
              </w:rPr>
              <w:t>82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6)</w:t>
            </w:r>
          </w:p>
        </w:tc>
        <w:tc>
          <w:tcPr>
            <w:tcW w:w="1701" w:type="dxa"/>
          </w:tcPr>
          <w:p w14:paraId="1755F239" w14:textId="4C9CBC59" w:rsidR="0051536E" w:rsidRPr="005C207F" w:rsidRDefault="0051536E" w:rsidP="00A12346">
            <w:pPr>
              <w:pStyle w:val="TableParagraph"/>
              <w:spacing w:line="234" w:lineRule="exact"/>
              <w:ind w:left="246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65</w:t>
            </w:r>
            <w:r w:rsidR="005C207F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>0</w:t>
            </w:r>
            <w:r w:rsidRPr="005C207F">
              <w:rPr>
                <w:spacing w:val="-2"/>
                <w:lang w:val="hu-HU"/>
              </w:rPr>
              <w:t xml:space="preserve"> </w:t>
            </w:r>
            <w:r w:rsidRPr="005C207F">
              <w:rPr>
                <w:lang w:val="hu-HU"/>
              </w:rPr>
              <w:t>(59</w:t>
            </w:r>
            <w:r w:rsidR="005C207F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 xml:space="preserve">2; </w:t>
            </w:r>
            <w:r w:rsidRPr="005C207F">
              <w:rPr>
                <w:spacing w:val="-4"/>
                <w:lang w:val="hu-HU"/>
              </w:rPr>
              <w:t>70</w:t>
            </w:r>
            <w:r w:rsidR="005C207F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6)</w:t>
            </w:r>
          </w:p>
        </w:tc>
      </w:tr>
      <w:tr w:rsidR="00A12346" w:rsidRPr="005C207F" w14:paraId="6733DE53" w14:textId="77777777" w:rsidTr="00027697">
        <w:trPr>
          <w:trHeight w:val="251"/>
        </w:trPr>
        <w:tc>
          <w:tcPr>
            <w:tcW w:w="0" w:type="auto"/>
          </w:tcPr>
          <w:p w14:paraId="700443A3" w14:textId="4F931CB1" w:rsidR="0051536E" w:rsidRPr="005C207F" w:rsidRDefault="00DB4DEF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C207F">
              <w:rPr>
                <w:lang w:val="hu-HU"/>
              </w:rPr>
              <w:t>Nincs válasz</w:t>
            </w:r>
          </w:p>
        </w:tc>
        <w:tc>
          <w:tcPr>
            <w:tcW w:w="0" w:type="auto"/>
          </w:tcPr>
          <w:p w14:paraId="6EA3B0C9" w14:textId="41EB317C" w:rsidR="0051536E" w:rsidRPr="005C207F" w:rsidRDefault="0051536E" w:rsidP="00420F26">
            <w:pPr>
              <w:pStyle w:val="TableParagraph"/>
              <w:spacing w:line="232" w:lineRule="exact"/>
              <w:ind w:left="119" w:right="111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19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9</w:t>
            </w:r>
          </w:p>
        </w:tc>
        <w:tc>
          <w:tcPr>
            <w:tcW w:w="2139" w:type="dxa"/>
          </w:tcPr>
          <w:p w14:paraId="18C1F081" w14:textId="1D2F7F13" w:rsidR="0051536E" w:rsidRPr="005C207F" w:rsidRDefault="0051536E" w:rsidP="00A12346">
            <w:pPr>
              <w:pStyle w:val="TableParagraph"/>
              <w:spacing w:line="232" w:lineRule="exact"/>
              <w:ind w:left="624" w:right="520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22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1</w:t>
            </w:r>
          </w:p>
        </w:tc>
        <w:tc>
          <w:tcPr>
            <w:tcW w:w="1701" w:type="dxa"/>
          </w:tcPr>
          <w:p w14:paraId="6334447A" w14:textId="5783FFEC" w:rsidR="0051536E" w:rsidRPr="005C207F" w:rsidRDefault="0051536E" w:rsidP="00A12346">
            <w:pPr>
              <w:pStyle w:val="TableParagraph"/>
              <w:spacing w:line="232" w:lineRule="exact"/>
              <w:ind w:left="119" w:right="20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35</w:t>
            </w:r>
            <w:r w:rsidR="005C207F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0</w:t>
            </w:r>
          </w:p>
        </w:tc>
      </w:tr>
      <w:tr w:rsidR="00A12346" w:rsidRPr="005C207F" w14:paraId="35071316" w14:textId="77777777" w:rsidTr="00027697">
        <w:trPr>
          <w:trHeight w:val="760"/>
        </w:trPr>
        <w:tc>
          <w:tcPr>
            <w:tcW w:w="0" w:type="auto"/>
          </w:tcPr>
          <w:p w14:paraId="2C360E26" w14:textId="0EC4A8C5" w:rsidR="0051536E" w:rsidRPr="005C207F" w:rsidRDefault="00DB4DEF" w:rsidP="00DB4DEF">
            <w:pPr>
              <w:pStyle w:val="TableParagraph"/>
              <w:spacing w:line="251" w:lineRule="exact"/>
              <w:rPr>
                <w:lang w:val="hu-HU"/>
              </w:rPr>
            </w:pPr>
            <w:r w:rsidRPr="005C207F">
              <w:rPr>
                <w:lang w:val="hu-HU"/>
              </w:rPr>
              <w:t>A válaszarányra vonatkozó CMH teszt p-értéke (a naponta egyszer 400 mg imatinibhez képest)</w:t>
            </w:r>
          </w:p>
        </w:tc>
        <w:tc>
          <w:tcPr>
            <w:tcW w:w="0" w:type="auto"/>
          </w:tcPr>
          <w:p w14:paraId="30C99881" w14:textId="161A2A3D" w:rsidR="0051536E" w:rsidRPr="005C207F" w:rsidRDefault="0051536E" w:rsidP="00420F26">
            <w:pPr>
              <w:pStyle w:val="TableParagraph"/>
              <w:spacing w:line="251" w:lineRule="exact"/>
              <w:ind w:left="119" w:right="112"/>
              <w:jc w:val="center"/>
              <w:rPr>
                <w:lang w:val="hu-HU"/>
              </w:rPr>
            </w:pPr>
            <w:r w:rsidRPr="005C207F">
              <w:rPr>
                <w:spacing w:val="-2"/>
                <w:lang w:val="hu-HU"/>
              </w:rPr>
              <w:t>&lt;0</w:t>
            </w:r>
            <w:r w:rsidR="001B0775" w:rsidRPr="005C207F">
              <w:rPr>
                <w:spacing w:val="-2"/>
                <w:lang w:val="hu-HU"/>
              </w:rPr>
              <w:t>,</w:t>
            </w:r>
            <w:r w:rsidRPr="005C207F">
              <w:rPr>
                <w:spacing w:val="-2"/>
                <w:lang w:val="hu-HU"/>
              </w:rPr>
              <w:t>0001</w:t>
            </w:r>
          </w:p>
        </w:tc>
        <w:tc>
          <w:tcPr>
            <w:tcW w:w="2139" w:type="dxa"/>
          </w:tcPr>
          <w:p w14:paraId="40EC5864" w14:textId="7D1AD0F0" w:rsidR="0051536E" w:rsidRPr="005C207F" w:rsidRDefault="0051536E" w:rsidP="00A12346">
            <w:pPr>
              <w:pStyle w:val="TableParagraph"/>
              <w:spacing w:line="251" w:lineRule="exact"/>
              <w:ind w:left="624" w:right="616"/>
              <w:jc w:val="center"/>
              <w:rPr>
                <w:lang w:val="hu-HU"/>
              </w:rPr>
            </w:pPr>
            <w:r w:rsidRPr="005C207F">
              <w:rPr>
                <w:spacing w:val="-2"/>
                <w:lang w:val="hu-HU"/>
              </w:rPr>
              <w:t>0</w:t>
            </w:r>
            <w:r w:rsidR="001B0775" w:rsidRPr="005C207F">
              <w:rPr>
                <w:spacing w:val="-2"/>
                <w:lang w:val="hu-HU"/>
              </w:rPr>
              <w:t>,</w:t>
            </w:r>
            <w:r w:rsidRPr="005C207F">
              <w:rPr>
                <w:spacing w:val="-2"/>
                <w:lang w:val="hu-HU"/>
              </w:rPr>
              <w:t>0005</w:t>
            </w:r>
          </w:p>
        </w:tc>
        <w:tc>
          <w:tcPr>
            <w:tcW w:w="1701" w:type="dxa"/>
          </w:tcPr>
          <w:p w14:paraId="4607D1C3" w14:textId="77777777" w:rsidR="0051536E" w:rsidRPr="005C207F" w:rsidRDefault="0051536E" w:rsidP="00A1234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</w:tr>
      <w:tr w:rsidR="00A12346" w:rsidRPr="005C207F" w14:paraId="4E5421DC" w14:textId="77777777" w:rsidTr="00027697">
        <w:trPr>
          <w:trHeight w:val="252"/>
        </w:trPr>
        <w:tc>
          <w:tcPr>
            <w:tcW w:w="0" w:type="auto"/>
          </w:tcPr>
          <w:p w14:paraId="6B740663" w14:textId="5E4216DC" w:rsidR="0051536E" w:rsidRPr="005C207F" w:rsidRDefault="00A12346" w:rsidP="00C619EF">
            <w:pPr>
              <w:pStyle w:val="TableParagraph"/>
              <w:spacing w:line="232" w:lineRule="exact"/>
              <w:rPr>
                <w:b/>
                <w:lang w:val="hu-HU"/>
              </w:rPr>
            </w:pPr>
            <w:r w:rsidRPr="005C207F">
              <w:rPr>
                <w:b/>
                <w:bCs/>
                <w:lang w:val="hu-HU"/>
              </w:rPr>
              <w:t>A 24. hónapra</w:t>
            </w:r>
          </w:p>
        </w:tc>
        <w:tc>
          <w:tcPr>
            <w:tcW w:w="0" w:type="auto"/>
          </w:tcPr>
          <w:p w14:paraId="5D25E42C" w14:textId="77777777" w:rsidR="0051536E" w:rsidRPr="005C207F" w:rsidRDefault="0051536E" w:rsidP="00420F2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  <w:tc>
          <w:tcPr>
            <w:tcW w:w="2139" w:type="dxa"/>
          </w:tcPr>
          <w:p w14:paraId="11AF4E85" w14:textId="77777777" w:rsidR="0051536E" w:rsidRPr="005C207F" w:rsidRDefault="0051536E" w:rsidP="00A1234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  <w:tc>
          <w:tcPr>
            <w:tcW w:w="1701" w:type="dxa"/>
          </w:tcPr>
          <w:p w14:paraId="0D63F253" w14:textId="77777777" w:rsidR="0051536E" w:rsidRPr="005C207F" w:rsidRDefault="0051536E" w:rsidP="00A1234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</w:tr>
      <w:tr w:rsidR="00A12346" w:rsidRPr="005C207F" w14:paraId="1B7776CD" w14:textId="77777777" w:rsidTr="00027697">
        <w:trPr>
          <w:trHeight w:val="254"/>
        </w:trPr>
        <w:tc>
          <w:tcPr>
            <w:tcW w:w="0" w:type="auto"/>
          </w:tcPr>
          <w:p w14:paraId="0CA3C83F" w14:textId="42851845" w:rsidR="0051536E" w:rsidRPr="005C207F" w:rsidRDefault="00197E07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5C207F">
              <w:rPr>
                <w:lang w:val="hu-HU"/>
              </w:rPr>
              <w:t>Válaszarány</w:t>
            </w:r>
            <w:r w:rsidR="0051536E" w:rsidRPr="005C207F">
              <w:rPr>
                <w:spacing w:val="-3"/>
                <w:lang w:val="hu-HU"/>
              </w:rPr>
              <w:t xml:space="preserve"> </w:t>
            </w:r>
            <w:r w:rsidR="0051536E" w:rsidRPr="005C207F">
              <w:rPr>
                <w:lang w:val="hu-HU"/>
              </w:rPr>
              <w:t>(95%</w:t>
            </w:r>
            <w:r w:rsidR="0051536E" w:rsidRPr="005C207F">
              <w:rPr>
                <w:spacing w:val="-2"/>
                <w:lang w:val="hu-HU"/>
              </w:rPr>
              <w:t xml:space="preserve"> </w:t>
            </w:r>
            <w:r w:rsidR="0051536E" w:rsidRPr="005C207F">
              <w:rPr>
                <w:spacing w:val="-5"/>
                <w:lang w:val="hu-HU"/>
              </w:rPr>
              <w:t>CI)</w:t>
            </w:r>
          </w:p>
        </w:tc>
        <w:tc>
          <w:tcPr>
            <w:tcW w:w="0" w:type="auto"/>
          </w:tcPr>
          <w:p w14:paraId="0245CBC4" w14:textId="100729D9" w:rsidR="0051536E" w:rsidRPr="005C207F" w:rsidRDefault="0051536E" w:rsidP="00420F26">
            <w:pPr>
              <w:pStyle w:val="TableParagraph"/>
              <w:spacing w:line="234" w:lineRule="exact"/>
              <w:ind w:left="201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86</w:t>
            </w:r>
            <w:r w:rsidR="001B0775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>9</w:t>
            </w:r>
            <w:r w:rsidRPr="005C207F">
              <w:rPr>
                <w:spacing w:val="-2"/>
                <w:lang w:val="hu-HU"/>
              </w:rPr>
              <w:t xml:space="preserve"> </w:t>
            </w:r>
            <w:r w:rsidRPr="005C207F">
              <w:rPr>
                <w:lang w:val="hu-HU"/>
              </w:rPr>
              <w:t>(82</w:t>
            </w:r>
            <w:r w:rsidR="001B0775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 xml:space="preserve">4; </w:t>
            </w:r>
            <w:r w:rsidRPr="005C207F">
              <w:rPr>
                <w:spacing w:val="-4"/>
                <w:lang w:val="hu-HU"/>
              </w:rPr>
              <w:t>90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6)</w:t>
            </w:r>
          </w:p>
        </w:tc>
        <w:tc>
          <w:tcPr>
            <w:tcW w:w="2139" w:type="dxa"/>
          </w:tcPr>
          <w:p w14:paraId="4AA6DE7E" w14:textId="04AEAC71" w:rsidR="0051536E" w:rsidRPr="005C207F" w:rsidRDefault="0051536E" w:rsidP="00A12346">
            <w:pPr>
              <w:pStyle w:val="TableParagraph"/>
              <w:spacing w:line="234" w:lineRule="exact"/>
              <w:ind w:left="203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84</w:t>
            </w:r>
            <w:r w:rsidR="001B0775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>7</w:t>
            </w:r>
            <w:r w:rsidRPr="005C207F">
              <w:rPr>
                <w:spacing w:val="-2"/>
                <w:lang w:val="hu-HU"/>
              </w:rPr>
              <w:t xml:space="preserve"> </w:t>
            </w:r>
            <w:r w:rsidRPr="005C207F">
              <w:rPr>
                <w:lang w:val="hu-HU"/>
              </w:rPr>
              <w:t>(79</w:t>
            </w:r>
            <w:r w:rsidR="001B0775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 xml:space="preserve">9; </w:t>
            </w:r>
            <w:r w:rsidRPr="005C207F">
              <w:rPr>
                <w:spacing w:val="-4"/>
                <w:lang w:val="hu-HU"/>
              </w:rPr>
              <w:t>88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7)</w:t>
            </w:r>
          </w:p>
        </w:tc>
        <w:tc>
          <w:tcPr>
            <w:tcW w:w="1701" w:type="dxa"/>
          </w:tcPr>
          <w:p w14:paraId="7EB25BC4" w14:textId="29967EEA" w:rsidR="0051536E" w:rsidRPr="005C207F" w:rsidRDefault="0051536E" w:rsidP="00A12346">
            <w:pPr>
              <w:pStyle w:val="TableParagraph"/>
              <w:spacing w:line="234" w:lineRule="exact"/>
              <w:ind w:left="198"/>
              <w:jc w:val="center"/>
              <w:rPr>
                <w:lang w:val="hu-HU"/>
              </w:rPr>
            </w:pPr>
            <w:r w:rsidRPr="005C207F">
              <w:rPr>
                <w:lang w:val="hu-HU"/>
              </w:rPr>
              <w:t>77</w:t>
            </w:r>
            <w:r w:rsidR="005C207F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>0</w:t>
            </w:r>
            <w:r w:rsidRPr="005C207F">
              <w:rPr>
                <w:spacing w:val="-2"/>
                <w:lang w:val="hu-HU"/>
              </w:rPr>
              <w:t xml:space="preserve"> </w:t>
            </w:r>
            <w:r w:rsidRPr="005C207F">
              <w:rPr>
                <w:lang w:val="hu-HU"/>
              </w:rPr>
              <w:t>(71</w:t>
            </w:r>
            <w:r w:rsidR="005C207F" w:rsidRPr="005C207F">
              <w:rPr>
                <w:lang w:val="hu-HU"/>
              </w:rPr>
              <w:t>,</w:t>
            </w:r>
            <w:r w:rsidRPr="005C207F">
              <w:rPr>
                <w:lang w:val="hu-HU"/>
              </w:rPr>
              <w:t xml:space="preserve">7; </w:t>
            </w:r>
            <w:r w:rsidRPr="005C207F">
              <w:rPr>
                <w:spacing w:val="-4"/>
                <w:lang w:val="hu-HU"/>
              </w:rPr>
              <w:t>81</w:t>
            </w:r>
            <w:r w:rsidR="005C207F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8)</w:t>
            </w:r>
          </w:p>
        </w:tc>
      </w:tr>
      <w:tr w:rsidR="00A12346" w:rsidRPr="005C207F" w14:paraId="260FA82E" w14:textId="77777777" w:rsidTr="00027697">
        <w:trPr>
          <w:trHeight w:val="251"/>
        </w:trPr>
        <w:tc>
          <w:tcPr>
            <w:tcW w:w="0" w:type="auto"/>
          </w:tcPr>
          <w:p w14:paraId="51154F0B" w14:textId="4991494E" w:rsidR="0051536E" w:rsidRPr="005C207F" w:rsidRDefault="00197E07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5C207F">
              <w:rPr>
                <w:lang w:val="hu-HU"/>
              </w:rPr>
              <w:lastRenderedPageBreak/>
              <w:t xml:space="preserve">Nincs </w:t>
            </w:r>
            <w:r w:rsidR="008C3243" w:rsidRPr="005C207F">
              <w:rPr>
                <w:lang w:val="hu-HU"/>
              </w:rPr>
              <w:t>válasz</w:t>
            </w:r>
          </w:p>
        </w:tc>
        <w:tc>
          <w:tcPr>
            <w:tcW w:w="0" w:type="auto"/>
          </w:tcPr>
          <w:p w14:paraId="39863828" w14:textId="28FED740" w:rsidR="0051536E" w:rsidRPr="005C207F" w:rsidRDefault="0051536E" w:rsidP="00420F26">
            <w:pPr>
              <w:pStyle w:val="TableParagraph"/>
              <w:spacing w:line="232" w:lineRule="exact"/>
              <w:ind w:left="119" w:right="111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13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1</w:t>
            </w:r>
          </w:p>
        </w:tc>
        <w:tc>
          <w:tcPr>
            <w:tcW w:w="2139" w:type="dxa"/>
          </w:tcPr>
          <w:p w14:paraId="6D25243B" w14:textId="53289AA9" w:rsidR="0051536E" w:rsidRPr="005C207F" w:rsidRDefault="0051536E" w:rsidP="00A12346">
            <w:pPr>
              <w:pStyle w:val="TableParagraph"/>
              <w:spacing w:line="232" w:lineRule="exact"/>
              <w:ind w:left="624" w:right="616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15</w:t>
            </w:r>
            <w:r w:rsidR="001B0775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3</w:t>
            </w:r>
          </w:p>
        </w:tc>
        <w:tc>
          <w:tcPr>
            <w:tcW w:w="1701" w:type="dxa"/>
          </w:tcPr>
          <w:p w14:paraId="44EBD322" w14:textId="055216BB" w:rsidR="0051536E" w:rsidRPr="005C207F" w:rsidRDefault="0051536E" w:rsidP="00A12346">
            <w:pPr>
              <w:pStyle w:val="TableParagraph"/>
              <w:spacing w:line="232" w:lineRule="exact"/>
              <w:ind w:left="117" w:right="114"/>
              <w:jc w:val="center"/>
              <w:rPr>
                <w:lang w:val="hu-HU"/>
              </w:rPr>
            </w:pPr>
            <w:r w:rsidRPr="005C207F">
              <w:rPr>
                <w:spacing w:val="-4"/>
                <w:lang w:val="hu-HU"/>
              </w:rPr>
              <w:t>23</w:t>
            </w:r>
            <w:r w:rsidR="005C207F" w:rsidRPr="005C207F">
              <w:rPr>
                <w:spacing w:val="-4"/>
                <w:lang w:val="hu-HU"/>
              </w:rPr>
              <w:t>,</w:t>
            </w:r>
            <w:r w:rsidRPr="005C207F">
              <w:rPr>
                <w:spacing w:val="-4"/>
                <w:lang w:val="hu-HU"/>
              </w:rPr>
              <w:t>0</w:t>
            </w:r>
          </w:p>
        </w:tc>
      </w:tr>
      <w:tr w:rsidR="00A12346" w:rsidRPr="005C207F" w14:paraId="2E7F08A8" w14:textId="77777777" w:rsidTr="00027697">
        <w:trPr>
          <w:trHeight w:val="760"/>
        </w:trPr>
        <w:tc>
          <w:tcPr>
            <w:tcW w:w="0" w:type="auto"/>
          </w:tcPr>
          <w:p w14:paraId="41B3A49C" w14:textId="6FFAED5D" w:rsidR="0051536E" w:rsidRPr="005C207F" w:rsidRDefault="008C3243" w:rsidP="008C3243">
            <w:pPr>
              <w:pStyle w:val="TableParagraph"/>
              <w:spacing w:line="252" w:lineRule="exact"/>
              <w:ind w:right="103"/>
              <w:rPr>
                <w:lang w:val="hu-HU"/>
              </w:rPr>
            </w:pPr>
            <w:r w:rsidRPr="005C207F">
              <w:rPr>
                <w:lang w:val="hu-HU"/>
              </w:rPr>
              <w:t>A válaszarányra vonatkozó CMH teszt p-értéke (a naponta egyszer 400 mg imatinibhez képest)</w:t>
            </w:r>
          </w:p>
        </w:tc>
        <w:tc>
          <w:tcPr>
            <w:tcW w:w="0" w:type="auto"/>
          </w:tcPr>
          <w:p w14:paraId="23BEBB7B" w14:textId="00B8CF1B" w:rsidR="0051536E" w:rsidRPr="005C207F" w:rsidRDefault="0051536E" w:rsidP="00420F26">
            <w:pPr>
              <w:pStyle w:val="TableParagraph"/>
              <w:spacing w:before="1"/>
              <w:ind w:left="119" w:right="111"/>
              <w:jc w:val="center"/>
              <w:rPr>
                <w:lang w:val="hu-HU"/>
              </w:rPr>
            </w:pPr>
            <w:r w:rsidRPr="005C207F">
              <w:rPr>
                <w:spacing w:val="-2"/>
                <w:lang w:val="hu-HU"/>
              </w:rPr>
              <w:t>0</w:t>
            </w:r>
            <w:r w:rsidR="001B0775" w:rsidRPr="005C207F">
              <w:rPr>
                <w:spacing w:val="-2"/>
                <w:lang w:val="hu-HU"/>
              </w:rPr>
              <w:t>,</w:t>
            </w:r>
            <w:r w:rsidRPr="005C207F">
              <w:rPr>
                <w:spacing w:val="-2"/>
                <w:lang w:val="hu-HU"/>
              </w:rPr>
              <w:t>0018</w:t>
            </w:r>
          </w:p>
        </w:tc>
        <w:tc>
          <w:tcPr>
            <w:tcW w:w="2139" w:type="dxa"/>
          </w:tcPr>
          <w:p w14:paraId="672B2A1C" w14:textId="4D4091F3" w:rsidR="0051536E" w:rsidRPr="005C207F" w:rsidRDefault="0051536E" w:rsidP="00A12346">
            <w:pPr>
              <w:pStyle w:val="TableParagraph"/>
              <w:spacing w:before="1"/>
              <w:ind w:left="624" w:right="616"/>
              <w:jc w:val="center"/>
              <w:rPr>
                <w:lang w:val="hu-HU"/>
              </w:rPr>
            </w:pPr>
            <w:r w:rsidRPr="005C207F">
              <w:rPr>
                <w:spacing w:val="-2"/>
                <w:lang w:val="hu-HU"/>
              </w:rPr>
              <w:t>0</w:t>
            </w:r>
            <w:r w:rsidR="001B0775" w:rsidRPr="005C207F">
              <w:rPr>
                <w:spacing w:val="-2"/>
                <w:lang w:val="hu-HU"/>
              </w:rPr>
              <w:t>,</w:t>
            </w:r>
            <w:r w:rsidRPr="005C207F">
              <w:rPr>
                <w:spacing w:val="-2"/>
                <w:lang w:val="hu-HU"/>
              </w:rPr>
              <w:t>0160</w:t>
            </w:r>
          </w:p>
        </w:tc>
        <w:tc>
          <w:tcPr>
            <w:tcW w:w="1701" w:type="dxa"/>
          </w:tcPr>
          <w:p w14:paraId="7DFB587F" w14:textId="77777777" w:rsidR="0051536E" w:rsidRPr="005C207F" w:rsidRDefault="0051536E" w:rsidP="00A12346">
            <w:pPr>
              <w:pStyle w:val="TableParagraph"/>
              <w:ind w:left="0"/>
              <w:jc w:val="center"/>
              <w:rPr>
                <w:lang w:val="hu-HU"/>
              </w:rPr>
            </w:pPr>
          </w:p>
        </w:tc>
      </w:tr>
    </w:tbl>
    <w:p w14:paraId="11D9F461" w14:textId="77777777" w:rsidR="0051536E" w:rsidRDefault="0051536E" w:rsidP="007A65F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624BB59" w14:textId="6F26CD7B" w:rsidR="00B21C6D" w:rsidRDefault="00B21C6D" w:rsidP="00B21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21C6D">
        <w:rPr>
          <w:rFonts w:ascii="Times New Roman" w:hAnsi="Times New Roman" w:cs="Times New Roman"/>
          <w:kern w:val="0"/>
        </w:rPr>
        <w:t>A Kaplan</w:t>
      </w:r>
      <w:r w:rsidRPr="00B21C6D">
        <w:rPr>
          <w:rFonts w:ascii="Times New Roman" w:eastAsia="TimesNewRomanPSMT" w:hAnsi="Times New Roman" w:cs="Times New Roman"/>
          <w:kern w:val="0"/>
        </w:rPr>
        <w:t>—</w:t>
      </w:r>
      <w:r w:rsidRPr="00B21C6D">
        <w:rPr>
          <w:rFonts w:ascii="Times New Roman" w:hAnsi="Times New Roman" w:cs="Times New Roman"/>
          <w:kern w:val="0"/>
        </w:rPr>
        <w:t>Meier-féle becslés alapján a válaszreakciót 72 hónapig is fenntartó betegek aránya azok</w:t>
      </w:r>
      <w:r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körében, akik elérték a CCyR-t 99,1% (95%-os CI: 97,9-100%) volt a naponta kétszer 300</w:t>
      </w:r>
      <w:r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</w:t>
      </w:r>
      <w:r w:rsidR="00E87683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nilotinib-csoportban, 98,7% (95%-os CI: 97,1-100%) volt a naponta kétszer 400</w:t>
      </w:r>
      <w:r w:rsidR="00E87683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</w:t>
      </w:r>
      <w:r w:rsidR="00E87683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nilotinib-csoportban, és 97,0% (95%-os CI: 94,7-99,4%) volt a naponta egyszer 400</w:t>
      </w:r>
      <w:r w:rsidR="00E87683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</w:t>
      </w:r>
      <w:r w:rsidR="00E87683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imatinib-csoportban.</w:t>
      </w:r>
    </w:p>
    <w:p w14:paraId="6414C68A" w14:textId="77777777" w:rsidR="00E87683" w:rsidRPr="00B21C6D" w:rsidRDefault="00E87683" w:rsidP="00B21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607C990" w14:textId="15C6B3AB" w:rsidR="00B21C6D" w:rsidRDefault="00B21C6D" w:rsidP="00B21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21C6D">
        <w:rPr>
          <w:rFonts w:ascii="Times New Roman" w:hAnsi="Times New Roman" w:cs="Times New Roman"/>
          <w:kern w:val="0"/>
        </w:rPr>
        <w:t xml:space="preserve">A kezelés alatt </w:t>
      </w:r>
      <w:r w:rsidRPr="00B21C6D">
        <w:rPr>
          <w:rFonts w:ascii="Times New Roman" w:eastAsia="TimesNewRomanPSMT" w:hAnsi="Times New Roman" w:cs="Times New Roman"/>
          <w:kern w:val="0"/>
        </w:rPr>
        <w:t>akcelerált fázisba (AP) vagy blasztos krízisbe (BC) történő progresszió meghatározása</w:t>
      </w:r>
      <w:r w:rsidR="00FC4324">
        <w:rPr>
          <w:rFonts w:ascii="Times New Roman" w:eastAsia="TimesNewRomanPSMT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a randomizáció dátumától a betegségnek az akcelerált fázisba vagy blasztos krízisbe vagy a CML-lel</w:t>
      </w:r>
      <w:r w:rsidR="00FC4324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eastAsia="TimesNewRomanPSMT" w:hAnsi="Times New Roman" w:cs="Times New Roman"/>
          <w:kern w:val="0"/>
        </w:rPr>
        <w:t>összefüggő halálig történő első, dokumentált progressziójáig eltelt idő</w:t>
      </w:r>
      <w:r w:rsidRPr="00B21C6D">
        <w:rPr>
          <w:rFonts w:ascii="Times New Roman" w:hAnsi="Times New Roman" w:cs="Times New Roman"/>
          <w:kern w:val="0"/>
        </w:rPr>
        <w:t>. A kezelés alatt akcelerált</w:t>
      </w:r>
      <w:r w:rsidR="00FC4324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eastAsia="TimesNewRomanPSMT" w:hAnsi="Times New Roman" w:cs="Times New Roman"/>
          <w:kern w:val="0"/>
        </w:rPr>
        <w:t xml:space="preserve">fázisba vagy blasztos krízisbe történő progressziót összesen 17 </w:t>
      </w:r>
      <w:r w:rsidRPr="00B21C6D">
        <w:rPr>
          <w:rFonts w:ascii="Times New Roman" w:hAnsi="Times New Roman" w:cs="Times New Roman"/>
          <w:kern w:val="0"/>
        </w:rPr>
        <w:t>betegnél észleltek: a naponta kétszer</w:t>
      </w:r>
      <w:r w:rsidR="002C6BA6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300</w:t>
      </w:r>
      <w:r w:rsidR="002C6BA6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nilotinibet kapó betegek közül 2-nél, a naponta kétszer 400</w:t>
      </w:r>
      <w:r w:rsidR="002C6BA6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nilotinibet kapó betegek közül</w:t>
      </w:r>
      <w:r w:rsidR="002C6BA6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3-nál, míg a naponta egyszer 400</w:t>
      </w:r>
      <w:r w:rsidR="002C6BA6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imatinibet kapó betegek közül 12-nél. A 72.</w:t>
      </w:r>
      <w:r w:rsidR="002C6BA6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hónapban akcelerált</w:t>
      </w:r>
      <w:r w:rsidR="002C6BA6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eastAsia="TimesNewRomanPSMT" w:hAnsi="Times New Roman" w:cs="Times New Roman"/>
          <w:kern w:val="0"/>
        </w:rPr>
        <w:t>fázisba vagy blasztos krízisbe történő progressziótól mentes betegek becsült aránya sorrendben 99,3%,</w:t>
      </w:r>
      <w:r w:rsidR="002C6BA6">
        <w:rPr>
          <w:rFonts w:ascii="Times New Roman" w:eastAsia="TimesNewRomanPSMT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98,7% és 95,2% volt (HR = 0,1599 és a stratifikált lograng p = 0,0059 a naponta kétszer 300</w:t>
      </w:r>
      <w:r w:rsidR="002C6BA6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</w:t>
      </w:r>
      <w:r w:rsidR="002C6BA6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nilotinib és a napi egyszeri imatinib között, HR = 0,2457 és a stratifikált lograng p = 0,0185 a naponta</w:t>
      </w:r>
      <w:r w:rsidR="002C6BA6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kétszer 400</w:t>
      </w:r>
      <w:r w:rsidR="007C3700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 és a napi egyszeri imatinib között). AP/BC-</w:t>
      </w:r>
      <w:r w:rsidRPr="00B21C6D">
        <w:rPr>
          <w:rFonts w:ascii="Times New Roman" w:eastAsia="TimesNewRomanPSMT" w:hAnsi="Times New Roman" w:cs="Times New Roman"/>
          <w:kern w:val="0"/>
        </w:rPr>
        <w:t>be történő új progresszió esetéről</w:t>
      </w:r>
      <w:r w:rsidR="002C6BA6">
        <w:rPr>
          <w:rFonts w:ascii="Times New Roman" w:eastAsia="TimesNewRomanPSMT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a kezelést kapóknál a 2</w:t>
      </w:r>
      <w:r w:rsidR="007C3700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éves analízis óta nem számoltak be.</w:t>
      </w:r>
    </w:p>
    <w:p w14:paraId="47D5D42F" w14:textId="77777777" w:rsidR="00FC4324" w:rsidRPr="00B21C6D" w:rsidRDefault="00FC4324" w:rsidP="00B21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E624C30" w14:textId="0320AB40" w:rsidR="00B21C6D" w:rsidRPr="00B21C6D" w:rsidRDefault="00B21C6D" w:rsidP="00B21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21C6D">
        <w:rPr>
          <w:rFonts w:ascii="Times New Roman" w:hAnsi="Times New Roman" w:cs="Times New Roman"/>
          <w:kern w:val="0"/>
        </w:rPr>
        <w:t>A progresszió kritériumaként a klonális evolúciót is beleértve, a kezelés alatt az adatok lezárásának</w:t>
      </w:r>
      <w:r w:rsidR="00286C4C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eastAsia="TimesNewRomanPSMT" w:hAnsi="Times New Roman" w:cs="Times New Roman"/>
          <w:kern w:val="0"/>
        </w:rPr>
        <w:t>időpontjáig összesen 25 betegnél történt akcelerált fázisba vagy blasztos krízisbe történő progresszió</w:t>
      </w:r>
      <w:r w:rsidR="00286C4C">
        <w:rPr>
          <w:rFonts w:ascii="Times New Roman" w:eastAsia="TimesNewRomanPSMT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(3 a naponta kétszer 300</w:t>
      </w:r>
      <w:r w:rsidR="00286C4C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nilotinib-csoportban, 5 a naponta kétszer 400</w:t>
      </w:r>
      <w:r w:rsidR="00286C4C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nilotinib-csoportban és</w:t>
      </w:r>
      <w:r w:rsidR="00286C4C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17 a naponta egyszer 400</w:t>
      </w:r>
      <w:r w:rsidR="00286C4C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imatinib-csoportban). A 72.</w:t>
      </w:r>
      <w:r w:rsidR="00286C4C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hónapban akcelerált fázisba vagy blasztos</w:t>
      </w:r>
      <w:r w:rsidR="00CE5AA4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 xml:space="preserve">krízisbe </w:t>
      </w:r>
      <w:r w:rsidRPr="00B21C6D">
        <w:rPr>
          <w:rFonts w:ascii="Times New Roman" w:eastAsia="TimesNewRomanPSMT" w:hAnsi="Times New Roman" w:cs="Times New Roman"/>
          <w:kern w:val="0"/>
        </w:rPr>
        <w:t xml:space="preserve">– </w:t>
      </w:r>
      <w:r w:rsidRPr="00B21C6D">
        <w:rPr>
          <w:rFonts w:ascii="Times New Roman" w:hAnsi="Times New Roman" w:cs="Times New Roman"/>
          <w:kern w:val="0"/>
        </w:rPr>
        <w:t xml:space="preserve">a klonális evolúciót is beleértve </w:t>
      </w:r>
      <w:r w:rsidRPr="00B21C6D">
        <w:rPr>
          <w:rFonts w:ascii="Times New Roman" w:eastAsia="TimesNewRomanPSMT" w:hAnsi="Times New Roman" w:cs="Times New Roman"/>
          <w:kern w:val="0"/>
        </w:rPr>
        <w:t>– történő progressziótól mentes b</w:t>
      </w:r>
      <w:r w:rsidRPr="00B21C6D">
        <w:rPr>
          <w:rFonts w:ascii="Times New Roman" w:hAnsi="Times New Roman" w:cs="Times New Roman"/>
          <w:kern w:val="0"/>
        </w:rPr>
        <w:t>etegek becsült aránya</w:t>
      </w:r>
      <w:r w:rsidR="00CE5AA4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sorrendben 98,7%, 97,9% és 93,2% volt (HR = 0,1626 és a stratifikált lograng p = 0,0009 a naponta</w:t>
      </w:r>
      <w:r w:rsidR="00CE5AA4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kétszer 300</w:t>
      </w:r>
      <w:r w:rsidR="00CE5AA4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 és a napi egyszeri imatinib között, HR = 0,2848 és a stratifikált logran</w:t>
      </w:r>
      <w:r w:rsidR="003224A5">
        <w:rPr>
          <w:rFonts w:ascii="Times New Roman" w:hAnsi="Times New Roman" w:cs="Times New Roman"/>
          <w:kern w:val="0"/>
        </w:rPr>
        <w:t>g</w:t>
      </w:r>
      <w:r w:rsidR="00CE5AA4">
        <w:rPr>
          <w:rFonts w:ascii="Times New Roman" w:hAnsi="Times New Roman" w:cs="Times New Roman"/>
          <w:kern w:val="0"/>
        </w:rPr>
        <w:t xml:space="preserve"> </w:t>
      </w:r>
      <w:r w:rsidRPr="00B21C6D">
        <w:rPr>
          <w:rFonts w:ascii="Times New Roman" w:hAnsi="Times New Roman" w:cs="Times New Roman"/>
          <w:kern w:val="0"/>
        </w:rPr>
        <w:t>p</w:t>
      </w:r>
      <w:r w:rsidR="00CE5AA4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=</w:t>
      </w:r>
      <w:r w:rsidR="00CE5AA4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0,0085 a naponta kétszer 400</w:t>
      </w:r>
      <w:r w:rsidR="00CE5AA4">
        <w:rPr>
          <w:rFonts w:ascii="Times New Roman" w:hAnsi="Times New Roman" w:cs="Times New Roman"/>
          <w:kern w:val="0"/>
        </w:rPr>
        <w:t> </w:t>
      </w:r>
      <w:r w:rsidRPr="00B21C6D">
        <w:rPr>
          <w:rFonts w:ascii="Times New Roman" w:hAnsi="Times New Roman" w:cs="Times New Roman"/>
          <w:kern w:val="0"/>
        </w:rPr>
        <w:t>mg nilotinib és a napi egyszeri imatinib között).</w:t>
      </w:r>
    </w:p>
    <w:p w14:paraId="18C2BFBC" w14:textId="77777777" w:rsidR="00B21C6D" w:rsidRDefault="00B21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AD1BB87" w14:textId="7C2243A4" w:rsidR="003E1B07" w:rsidRDefault="003E1B07" w:rsidP="003E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E1B07">
        <w:rPr>
          <w:rFonts w:ascii="Times New Roman" w:hAnsi="Times New Roman" w:cs="Times New Roman"/>
          <w:kern w:val="0"/>
        </w:rPr>
        <w:t>A kezelés alatt vagy a kezelés befejezése utáni követés ideje alatt összesen 55 beteg halt meg (21 a</w:t>
      </w:r>
      <w:r w:rsidR="0041099C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naponta kétszer 300</w:t>
      </w:r>
      <w:r w:rsidR="0041099C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nilotinib-csoportban, 11</w:t>
      </w:r>
      <w:r w:rsidR="00336705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a naponta kétszer 400</w:t>
      </w:r>
      <w:r w:rsidR="00336705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nilotinib-csoportban és</w:t>
      </w:r>
      <w:r w:rsidR="0041099C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23 a naponta egyszer 400</w:t>
      </w:r>
      <w:r w:rsidR="0041099C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imatinib-</w:t>
      </w:r>
      <w:r w:rsidRPr="003E1B07">
        <w:rPr>
          <w:rFonts w:ascii="Times New Roman" w:eastAsia="TimesNewRomanPSMT" w:hAnsi="Times New Roman" w:cs="Times New Roman"/>
          <w:kern w:val="0"/>
        </w:rPr>
        <w:t xml:space="preserve">csoportban). Ebből az 55 halálesetből 26 </w:t>
      </w:r>
      <w:r w:rsidRPr="003E1B07">
        <w:rPr>
          <w:rFonts w:ascii="Times New Roman" w:hAnsi="Times New Roman" w:cs="Times New Roman"/>
          <w:kern w:val="0"/>
        </w:rPr>
        <w:t>volt összefüggésben a</w:t>
      </w:r>
      <w:r w:rsidR="0041099C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CML-lel (6 a naponta kétszer 300</w:t>
      </w:r>
      <w:r w:rsidR="0041099C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nilotinib-csoportban, 4 a naponta kétszer 400</w:t>
      </w:r>
      <w:r w:rsidR="0041099C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</w:t>
      </w:r>
      <w:r w:rsidR="0041099C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nilotinib-csoportban és 16 a naponta egyszer 400</w:t>
      </w:r>
      <w:r w:rsidR="0041099C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imatinib-csoportban). A 72.</w:t>
      </w:r>
      <w:r w:rsidR="0041099C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eastAsia="TimesNewRomanPSMT" w:hAnsi="Times New Roman" w:cs="Times New Roman"/>
          <w:kern w:val="0"/>
        </w:rPr>
        <w:t>hónapban élő</w:t>
      </w:r>
      <w:r w:rsidR="007C102D">
        <w:rPr>
          <w:rFonts w:ascii="Times New Roman" w:eastAsia="TimesNewRomanPSMT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betegek becsült aránya sorrendben 91,6%, 95,8% és 91,4% volt (HR = 0,8934 és stratifikált lograng</w:t>
      </w:r>
      <w:r w:rsidR="007C102D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p = 0,7085 a naponta kétszer 300</w:t>
      </w:r>
      <w:r w:rsidR="0041261B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nilotinib és imatinib között, HR = 0,4632 és stratifikált lograng</w:t>
      </w:r>
      <w:r w:rsidR="007C102D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p = 0,0314 a naponta kétszer 400</w:t>
      </w:r>
      <w:r w:rsidR="0041261B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nilotinib és imatinib között). Csak a CML-lel összefüggésben</w:t>
      </w:r>
      <w:r w:rsidR="007C102D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eastAsia="TimesNewRomanPSMT" w:hAnsi="Times New Roman" w:cs="Times New Roman"/>
          <w:kern w:val="0"/>
        </w:rPr>
        <w:t>lévő haláleseteket tekintve eseménynek, a 72.</w:t>
      </w:r>
      <w:r w:rsidR="007C102D">
        <w:rPr>
          <w:rFonts w:ascii="Times New Roman" w:eastAsia="TimesNewRomanPSMT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hónapban a teljes túlélés becsült aránya sorrendben</w:t>
      </w:r>
      <w:r w:rsidR="007C102D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97,7%, 98,5% és 93,9% volt (HR = 0,3694 és stratifikált lograng p = 0,0302 a naponta kétszer 300</w:t>
      </w:r>
      <w:r w:rsidR="007C102D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</w:t>
      </w:r>
      <w:r w:rsidR="007C102D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nilotinib és imatinib között, HR = 0,2433 és stratifikált lograng p = 0,0061 a naponta kétszer 400</w:t>
      </w:r>
      <w:r w:rsidR="007C102D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</w:t>
      </w:r>
      <w:r w:rsidR="007C102D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nilotinib és imatinib között).</w:t>
      </w:r>
    </w:p>
    <w:p w14:paraId="36BA9CA4" w14:textId="77777777" w:rsidR="007C102D" w:rsidRPr="003E1B07" w:rsidRDefault="007C102D" w:rsidP="003E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74804E7" w14:textId="18D418A7" w:rsidR="003E1B07" w:rsidRPr="007C102D" w:rsidRDefault="003E1B07" w:rsidP="003E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7C102D">
        <w:rPr>
          <w:rFonts w:ascii="Times New Roman" w:hAnsi="Times New Roman" w:cs="Times New Roman"/>
          <w:i/>
          <w:iCs/>
          <w:kern w:val="0"/>
          <w:u w:val="single"/>
        </w:rPr>
        <w:t xml:space="preserve">Imatinib-rezisztens vagy intoleráns, a CML krónikus </w:t>
      </w:r>
      <w:r w:rsidR="006A301C">
        <w:rPr>
          <w:rFonts w:ascii="Times New Roman" w:hAnsi="Times New Roman" w:cs="Times New Roman"/>
          <w:i/>
          <w:iCs/>
          <w:kern w:val="0"/>
          <w:u w:val="single"/>
        </w:rPr>
        <w:t>és</w:t>
      </w:r>
      <w:r w:rsidRPr="007C102D">
        <w:rPr>
          <w:rFonts w:ascii="Times New Roman" w:hAnsi="Times New Roman" w:cs="Times New Roman"/>
          <w:i/>
          <w:iCs/>
          <w:kern w:val="0"/>
          <w:u w:val="single"/>
        </w:rPr>
        <w:t xml:space="preserve"> akcelerált fázisában végzett klinikai</w:t>
      </w:r>
      <w:r w:rsidR="006A275E">
        <w:rPr>
          <w:rFonts w:ascii="Times New Roman" w:hAnsi="Times New Roman" w:cs="Times New Roman"/>
          <w:i/>
          <w:iCs/>
          <w:kern w:val="0"/>
          <w:u w:val="single"/>
        </w:rPr>
        <w:t xml:space="preserve"> </w:t>
      </w:r>
      <w:r w:rsidRPr="007C102D">
        <w:rPr>
          <w:rFonts w:ascii="Times New Roman" w:hAnsi="Times New Roman" w:cs="Times New Roman"/>
          <w:i/>
          <w:iCs/>
          <w:kern w:val="0"/>
          <w:u w:val="single"/>
        </w:rPr>
        <w:t>vizsgálatok</w:t>
      </w:r>
    </w:p>
    <w:p w14:paraId="25FC661A" w14:textId="1A391862" w:rsidR="003E1B07" w:rsidRDefault="003E1B07" w:rsidP="003E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E1B07">
        <w:rPr>
          <w:rFonts w:ascii="Times New Roman" w:hAnsi="Times New Roman" w:cs="Times New Roman"/>
          <w:kern w:val="0"/>
        </w:rPr>
        <w:t>Egy nyílt elren</w:t>
      </w:r>
      <w:r w:rsidRPr="003E1B07">
        <w:rPr>
          <w:rFonts w:ascii="Times New Roman" w:eastAsia="TimesNewRomanPSMT" w:hAnsi="Times New Roman" w:cs="Times New Roman"/>
          <w:kern w:val="0"/>
        </w:rPr>
        <w:t xml:space="preserve">dezésű, nem kontrollos, multicentrumos </w:t>
      </w:r>
      <w:r w:rsidRPr="003E1B07">
        <w:rPr>
          <w:rFonts w:ascii="Times New Roman" w:hAnsi="Times New Roman" w:cs="Times New Roman"/>
          <w:kern w:val="0"/>
        </w:rPr>
        <w:t>II. fázisú vizsgálatot indítottak a nilotinib</w:t>
      </w:r>
      <w:r w:rsidR="006A275E">
        <w:rPr>
          <w:rFonts w:ascii="Times New Roman" w:hAnsi="Times New Roman" w:cs="Times New Roman"/>
          <w:kern w:val="0"/>
        </w:rPr>
        <w:t xml:space="preserve"> </w:t>
      </w:r>
      <w:r w:rsidR="00423997">
        <w:rPr>
          <w:rFonts w:ascii="Times New Roman" w:hAnsi="Times New Roman" w:cs="Times New Roman"/>
          <w:kern w:val="0"/>
        </w:rPr>
        <w:t>hatásosságá</w:t>
      </w:r>
      <w:r w:rsidR="00423997" w:rsidRPr="003E1B07">
        <w:rPr>
          <w:rFonts w:ascii="Times New Roman" w:hAnsi="Times New Roman" w:cs="Times New Roman"/>
          <w:kern w:val="0"/>
        </w:rPr>
        <w:t xml:space="preserve">nak </w:t>
      </w:r>
      <w:r w:rsidRPr="003E1B07">
        <w:rPr>
          <w:rFonts w:ascii="Times New Roman" w:hAnsi="Times New Roman" w:cs="Times New Roman"/>
          <w:kern w:val="0"/>
        </w:rPr>
        <w:t>tanulmányozására imatinibre rezisztens vagy intoleráns CML-</w:t>
      </w:r>
      <w:r w:rsidR="00B8478C">
        <w:rPr>
          <w:rFonts w:ascii="Times New Roman" w:hAnsi="Times New Roman" w:cs="Times New Roman"/>
          <w:kern w:val="0"/>
        </w:rPr>
        <w:t>e</w:t>
      </w:r>
      <w:r w:rsidRPr="003E1B07">
        <w:rPr>
          <w:rFonts w:ascii="Times New Roman" w:hAnsi="Times New Roman" w:cs="Times New Roman"/>
          <w:kern w:val="0"/>
        </w:rPr>
        <w:t xml:space="preserve">s </w:t>
      </w:r>
      <w:r w:rsidRPr="003E1B07">
        <w:rPr>
          <w:rFonts w:ascii="Times New Roman" w:eastAsia="TimesNewRomanPSMT" w:hAnsi="Times New Roman" w:cs="Times New Roman"/>
          <w:kern w:val="0"/>
        </w:rPr>
        <w:t xml:space="preserve">felnőtt </w:t>
      </w:r>
      <w:r w:rsidRPr="003E1B07">
        <w:rPr>
          <w:rFonts w:ascii="Times New Roman" w:hAnsi="Times New Roman" w:cs="Times New Roman"/>
          <w:kern w:val="0"/>
        </w:rPr>
        <w:t>betegek</w:t>
      </w:r>
      <w:r w:rsidR="006A275E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eastAsia="TimesNewRomanPSMT" w:hAnsi="Times New Roman" w:cs="Times New Roman"/>
          <w:kern w:val="0"/>
        </w:rPr>
        <w:t>körében, külön kezelési ágakkal a krónikus és az akcelerált fázisban lévők sz</w:t>
      </w:r>
      <w:r w:rsidRPr="003E1B07">
        <w:rPr>
          <w:rFonts w:ascii="Times New Roman" w:hAnsi="Times New Roman" w:cs="Times New Roman"/>
          <w:kern w:val="0"/>
        </w:rPr>
        <w:t xml:space="preserve">ámára. A </w:t>
      </w:r>
      <w:r w:rsidR="00423997">
        <w:rPr>
          <w:rFonts w:ascii="Times New Roman" w:hAnsi="Times New Roman" w:cs="Times New Roman"/>
          <w:kern w:val="0"/>
        </w:rPr>
        <w:t xml:space="preserve">hatásosság </w:t>
      </w:r>
      <w:r w:rsidRPr="003E1B07">
        <w:rPr>
          <w:rFonts w:ascii="Times New Roman" w:hAnsi="Times New Roman" w:cs="Times New Roman"/>
          <w:kern w:val="0"/>
        </w:rPr>
        <w:t>vizsgálata 321 CP és 137 AP-</w:t>
      </w:r>
      <w:r w:rsidRPr="003E1B07">
        <w:rPr>
          <w:rFonts w:ascii="Times New Roman" w:eastAsia="TimesNewRomanPSMT" w:hAnsi="Times New Roman" w:cs="Times New Roman"/>
          <w:kern w:val="0"/>
        </w:rPr>
        <w:t>beteg bevonásával történ</w:t>
      </w:r>
      <w:r w:rsidR="00423997">
        <w:rPr>
          <w:rFonts w:ascii="Times New Roman" w:eastAsia="TimesNewRomanPSMT" w:hAnsi="Times New Roman" w:cs="Times New Roman"/>
          <w:kern w:val="0"/>
        </w:rPr>
        <w:t>t</w:t>
      </w:r>
      <w:r w:rsidRPr="003E1B07">
        <w:rPr>
          <w:rFonts w:ascii="Times New Roman" w:eastAsia="TimesNewRomanPSMT" w:hAnsi="Times New Roman" w:cs="Times New Roman"/>
          <w:kern w:val="0"/>
        </w:rPr>
        <w:t xml:space="preserve">. A kezelés medián időtartama 561 </w:t>
      </w:r>
      <w:r w:rsidRPr="003E1B07">
        <w:rPr>
          <w:rFonts w:ascii="Times New Roman" w:hAnsi="Times New Roman" w:cs="Times New Roman"/>
          <w:kern w:val="0"/>
        </w:rPr>
        <w:t>nap a</w:t>
      </w:r>
      <w:r w:rsidR="006A275E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CP-s, illetve 264</w:t>
      </w:r>
      <w:r w:rsidR="004D4A06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 xml:space="preserve">nap az AP-betegek esetén (lásd 8. táblázat). A </w:t>
      </w:r>
      <w:r w:rsidR="004D4A06">
        <w:rPr>
          <w:rFonts w:ascii="Times New Roman" w:hAnsi="Times New Roman" w:cs="Times New Roman"/>
          <w:kern w:val="0"/>
        </w:rPr>
        <w:t>nilotinibe</w:t>
      </w:r>
      <w:r w:rsidRPr="003E1B07">
        <w:rPr>
          <w:rFonts w:ascii="Times New Roman" w:hAnsi="Times New Roman" w:cs="Times New Roman"/>
          <w:kern w:val="0"/>
        </w:rPr>
        <w:t>t folyamatosan alkalmazták</w:t>
      </w:r>
      <w:r w:rsidR="006A275E">
        <w:rPr>
          <w:rFonts w:ascii="Times New Roman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(naponta kétszer, 2</w:t>
      </w:r>
      <w:r w:rsidR="004D4A06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órával valamelyik étk</w:t>
      </w:r>
      <w:r w:rsidRPr="003E1B07">
        <w:rPr>
          <w:rFonts w:ascii="Times New Roman" w:eastAsia="TimesNewRomanPSMT" w:hAnsi="Times New Roman" w:cs="Times New Roman"/>
          <w:kern w:val="0"/>
        </w:rPr>
        <w:t>ezés után és a bevételt követően legalább egy órán át</w:t>
      </w:r>
      <w:r w:rsidR="006A275E">
        <w:rPr>
          <w:rFonts w:ascii="Times New Roman" w:eastAsia="TimesNewRomanPSMT" w:hAnsi="Times New Roman" w:cs="Times New Roman"/>
          <w:kern w:val="0"/>
        </w:rPr>
        <w:t xml:space="preserve"> </w:t>
      </w:r>
      <w:r w:rsidRPr="003E1B07">
        <w:rPr>
          <w:rFonts w:ascii="Times New Roman" w:eastAsia="TimesNewRomanPSMT" w:hAnsi="Times New Roman" w:cs="Times New Roman"/>
          <w:kern w:val="0"/>
        </w:rPr>
        <w:t>táplálékfogyasztás nélkül), kivéve, ha bebizonyosodott a nem megfelelő terápiás válasz vagy a</w:t>
      </w:r>
      <w:r w:rsidR="006A275E">
        <w:rPr>
          <w:rFonts w:ascii="Times New Roman" w:eastAsia="TimesNewRomanPSMT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betegség progressziója. A dózis naponta kétszer 400</w:t>
      </w:r>
      <w:r w:rsidR="004D4A06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 volt, és a dózis napi kétszer 600</w:t>
      </w:r>
      <w:r w:rsidR="006A275E">
        <w:rPr>
          <w:rFonts w:ascii="Times New Roman" w:hAnsi="Times New Roman" w:cs="Times New Roman"/>
          <w:kern w:val="0"/>
        </w:rPr>
        <w:t> </w:t>
      </w:r>
      <w:r w:rsidRPr="003E1B07">
        <w:rPr>
          <w:rFonts w:ascii="Times New Roman" w:hAnsi="Times New Roman" w:cs="Times New Roman"/>
          <w:kern w:val="0"/>
        </w:rPr>
        <w:t>mg-</w:t>
      </w:r>
      <w:r w:rsidRPr="003E1B07">
        <w:rPr>
          <w:rFonts w:ascii="Times New Roman" w:eastAsia="TimesNewRomanPSMT" w:hAnsi="Times New Roman" w:cs="Times New Roman"/>
          <w:kern w:val="0"/>
        </w:rPr>
        <w:t>ra történő</w:t>
      </w:r>
      <w:r w:rsidR="006A275E">
        <w:rPr>
          <w:rFonts w:ascii="Times New Roman" w:eastAsia="TimesNewRomanPSMT" w:hAnsi="Times New Roman" w:cs="Times New Roman"/>
          <w:kern w:val="0"/>
        </w:rPr>
        <w:t xml:space="preserve"> </w:t>
      </w:r>
      <w:r w:rsidRPr="003E1B07">
        <w:rPr>
          <w:rFonts w:ascii="Times New Roman" w:hAnsi="Times New Roman" w:cs="Times New Roman"/>
          <w:kern w:val="0"/>
        </w:rPr>
        <w:t>növelése megengedett volt.</w:t>
      </w:r>
    </w:p>
    <w:p w14:paraId="798DA973" w14:textId="77777777" w:rsidR="00F677F9" w:rsidRPr="003E1B07" w:rsidRDefault="00F677F9" w:rsidP="003E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8A0AD1D" w14:textId="5EE5C617" w:rsidR="00326556" w:rsidRDefault="003E1B07" w:rsidP="003E1B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3E1B07">
        <w:rPr>
          <w:rFonts w:ascii="Times New Roman" w:hAnsi="Times New Roman" w:cs="Times New Roman"/>
          <w:b/>
          <w:bCs/>
          <w:kern w:val="0"/>
        </w:rPr>
        <w:lastRenderedPageBreak/>
        <w:t>8. táblázat A nilotinib-</w:t>
      </w:r>
      <w:r w:rsidRPr="003E1B07">
        <w:rPr>
          <w:rFonts w:ascii="Times New Roman" w:eastAsia="TimesNewRomanPS-BoldMT" w:hAnsi="Times New Roman" w:cs="Times New Roman"/>
          <w:b/>
          <w:bCs/>
          <w:kern w:val="0"/>
        </w:rPr>
        <w:t>expozíció időtartama</w:t>
      </w:r>
    </w:p>
    <w:p w14:paraId="2861BE01" w14:textId="77777777" w:rsidR="002A49B0" w:rsidRDefault="002A49B0" w:rsidP="003E1B07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60"/>
        <w:gridCol w:w="2573"/>
        <w:gridCol w:w="2631"/>
      </w:tblGrid>
      <w:tr w:rsidR="002A49B0" w:rsidRPr="00080179" w14:paraId="2C8FB503" w14:textId="77777777" w:rsidTr="00C619EF">
        <w:trPr>
          <w:trHeight w:val="636"/>
        </w:trPr>
        <w:tc>
          <w:tcPr>
            <w:tcW w:w="3860" w:type="dxa"/>
          </w:tcPr>
          <w:p w14:paraId="0E2FB2B5" w14:textId="77777777" w:rsidR="002A49B0" w:rsidRPr="00080179" w:rsidRDefault="002A49B0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2573" w:type="dxa"/>
          </w:tcPr>
          <w:p w14:paraId="56E77EBA" w14:textId="53D413BD" w:rsidR="002A49B0" w:rsidRPr="00080179" w:rsidRDefault="002A49B0" w:rsidP="002A49B0">
            <w:pPr>
              <w:pStyle w:val="TableParagraph"/>
              <w:spacing w:before="1"/>
              <w:ind w:left="1029" w:right="501" w:hanging="522"/>
              <w:rPr>
                <w:lang w:val="hu-HU"/>
              </w:rPr>
            </w:pPr>
            <w:r w:rsidRPr="00080179">
              <w:rPr>
                <w:lang w:val="hu-HU"/>
              </w:rPr>
              <w:t>Krónikus fázis n=321</w:t>
            </w:r>
          </w:p>
        </w:tc>
        <w:tc>
          <w:tcPr>
            <w:tcW w:w="2631" w:type="dxa"/>
          </w:tcPr>
          <w:p w14:paraId="09F58F86" w14:textId="32FAEC8C" w:rsidR="002A49B0" w:rsidRPr="00080179" w:rsidRDefault="00080179" w:rsidP="00C619EF">
            <w:pPr>
              <w:pStyle w:val="TableParagraph"/>
              <w:spacing w:before="1"/>
              <w:ind w:left="1029" w:right="501" w:hanging="522"/>
              <w:rPr>
                <w:lang w:val="hu-HU"/>
              </w:rPr>
            </w:pPr>
            <w:r w:rsidRPr="00080179">
              <w:rPr>
                <w:lang w:val="hu-HU"/>
              </w:rPr>
              <w:t xml:space="preserve">Akcelerált fázis </w:t>
            </w:r>
            <w:r w:rsidR="002A49B0" w:rsidRPr="00080179">
              <w:rPr>
                <w:spacing w:val="-2"/>
                <w:lang w:val="hu-HU"/>
              </w:rPr>
              <w:t>n=137</w:t>
            </w:r>
          </w:p>
        </w:tc>
      </w:tr>
      <w:tr w:rsidR="002A49B0" w:rsidRPr="00080179" w14:paraId="7D0F427C" w14:textId="77777777" w:rsidTr="00C619EF">
        <w:trPr>
          <w:trHeight w:val="505"/>
        </w:trPr>
        <w:tc>
          <w:tcPr>
            <w:tcW w:w="3860" w:type="dxa"/>
          </w:tcPr>
          <w:p w14:paraId="5B2F74A1" w14:textId="77777777" w:rsidR="002A49B0" w:rsidRPr="00080179" w:rsidRDefault="002A49B0" w:rsidP="002A49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 w:cs="Times New Roman"/>
                <w:kern w:val="0"/>
              </w:rPr>
            </w:pPr>
            <w:r w:rsidRPr="00080179">
              <w:rPr>
                <w:rFonts w:ascii="Times New Roman" w:eastAsia="TimesNewRomanPSMT" w:hAnsi="Times New Roman" w:cs="Times New Roman"/>
                <w:kern w:val="0"/>
              </w:rPr>
              <w:t>A kezelés medián időtartama napokban</w:t>
            </w:r>
          </w:p>
          <w:p w14:paraId="202009CF" w14:textId="469A2B71" w:rsidR="002A49B0" w:rsidRPr="00080179" w:rsidRDefault="002A49B0" w:rsidP="002A49B0">
            <w:pPr>
              <w:pStyle w:val="TableParagraph"/>
              <w:spacing w:line="252" w:lineRule="exact"/>
              <w:ind w:right="641"/>
              <w:rPr>
                <w:lang w:val="hu-HU"/>
              </w:rPr>
            </w:pPr>
            <w:r w:rsidRPr="00080179">
              <w:rPr>
                <w:rFonts w:eastAsia="TimesNewRomanPSMT"/>
                <w:lang w:val="hu-HU"/>
              </w:rPr>
              <w:t>(25.-75. percentilis)</w:t>
            </w:r>
          </w:p>
        </w:tc>
        <w:tc>
          <w:tcPr>
            <w:tcW w:w="2573" w:type="dxa"/>
          </w:tcPr>
          <w:p w14:paraId="08251C40" w14:textId="77777777" w:rsidR="002A49B0" w:rsidRPr="00080179" w:rsidRDefault="002A49B0" w:rsidP="00C619EF">
            <w:pPr>
              <w:pStyle w:val="TableParagraph"/>
              <w:spacing w:line="251" w:lineRule="exact"/>
              <w:ind w:left="836" w:right="832"/>
              <w:jc w:val="center"/>
              <w:rPr>
                <w:lang w:val="hu-HU"/>
              </w:rPr>
            </w:pPr>
            <w:r w:rsidRPr="00080179">
              <w:rPr>
                <w:spacing w:val="-5"/>
                <w:lang w:val="hu-HU"/>
              </w:rPr>
              <w:t>561</w:t>
            </w:r>
          </w:p>
          <w:p w14:paraId="12B972C2" w14:textId="77777777" w:rsidR="002A49B0" w:rsidRPr="00080179" w:rsidRDefault="002A49B0" w:rsidP="00C619EF">
            <w:pPr>
              <w:pStyle w:val="TableParagraph"/>
              <w:spacing w:line="235" w:lineRule="exact"/>
              <w:ind w:left="836" w:right="833"/>
              <w:jc w:val="center"/>
              <w:rPr>
                <w:lang w:val="hu-HU"/>
              </w:rPr>
            </w:pPr>
            <w:r w:rsidRPr="00080179">
              <w:rPr>
                <w:spacing w:val="-2"/>
                <w:lang w:val="hu-HU"/>
              </w:rPr>
              <w:t>(196-</w:t>
            </w:r>
            <w:r w:rsidRPr="00080179">
              <w:rPr>
                <w:spacing w:val="-4"/>
                <w:lang w:val="hu-HU"/>
              </w:rPr>
              <w:t>852)</w:t>
            </w:r>
          </w:p>
        </w:tc>
        <w:tc>
          <w:tcPr>
            <w:tcW w:w="2631" w:type="dxa"/>
          </w:tcPr>
          <w:p w14:paraId="6F743618" w14:textId="77777777" w:rsidR="002A49B0" w:rsidRPr="00080179" w:rsidRDefault="002A49B0" w:rsidP="00C619EF">
            <w:pPr>
              <w:pStyle w:val="TableParagraph"/>
              <w:spacing w:line="251" w:lineRule="exact"/>
              <w:ind w:left="865" w:right="860"/>
              <w:jc w:val="center"/>
              <w:rPr>
                <w:lang w:val="hu-HU"/>
              </w:rPr>
            </w:pPr>
            <w:r w:rsidRPr="00080179">
              <w:rPr>
                <w:spacing w:val="-5"/>
                <w:lang w:val="hu-HU"/>
              </w:rPr>
              <w:t>264</w:t>
            </w:r>
          </w:p>
          <w:p w14:paraId="584C2AB5" w14:textId="77777777" w:rsidR="002A49B0" w:rsidRPr="00080179" w:rsidRDefault="002A49B0" w:rsidP="00C619EF">
            <w:pPr>
              <w:pStyle w:val="TableParagraph"/>
              <w:spacing w:line="235" w:lineRule="exact"/>
              <w:ind w:left="865" w:right="862"/>
              <w:jc w:val="center"/>
              <w:rPr>
                <w:lang w:val="hu-HU"/>
              </w:rPr>
            </w:pPr>
            <w:r w:rsidRPr="00080179">
              <w:rPr>
                <w:spacing w:val="-2"/>
                <w:lang w:val="hu-HU"/>
              </w:rPr>
              <w:t>(115-</w:t>
            </w:r>
            <w:r w:rsidRPr="00080179">
              <w:rPr>
                <w:spacing w:val="-4"/>
                <w:lang w:val="hu-HU"/>
              </w:rPr>
              <w:t>595)</w:t>
            </w:r>
          </w:p>
        </w:tc>
      </w:tr>
    </w:tbl>
    <w:p w14:paraId="789BDB0E" w14:textId="77777777" w:rsidR="002A49B0" w:rsidRDefault="002A49B0" w:rsidP="003E1B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FC7EE0D" w14:textId="47FCE653" w:rsidR="00851E02" w:rsidRDefault="00851E02" w:rsidP="00851E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851E02">
        <w:rPr>
          <w:rFonts w:ascii="Times New Roman" w:hAnsi="Times New Roman" w:cs="Times New Roman"/>
          <w:kern w:val="0"/>
        </w:rPr>
        <w:t>Az imatinib-rezisztencia magában foglalja a teljes hematológiai válasz (a 3.</w:t>
      </w:r>
      <w:r>
        <w:rPr>
          <w:rFonts w:ascii="Times New Roman" w:hAnsi="Times New Roman" w:cs="Times New Roman"/>
          <w:kern w:val="0"/>
        </w:rPr>
        <w:t> </w:t>
      </w:r>
      <w:r w:rsidRPr="00851E02">
        <w:rPr>
          <w:rFonts w:ascii="Times New Roman" w:hAnsi="Times New Roman" w:cs="Times New Roman"/>
          <w:kern w:val="0"/>
        </w:rPr>
        <w:t>hónap után), a</w:t>
      </w:r>
      <w:r>
        <w:rPr>
          <w:rFonts w:ascii="Times New Roman" w:hAnsi="Times New Roman" w:cs="Times New Roman"/>
          <w:kern w:val="0"/>
        </w:rPr>
        <w:t xml:space="preserve"> </w:t>
      </w:r>
      <w:r w:rsidRPr="00851E02">
        <w:rPr>
          <w:rFonts w:ascii="Times New Roman" w:hAnsi="Times New Roman" w:cs="Times New Roman"/>
          <w:kern w:val="0"/>
        </w:rPr>
        <w:t>citogenetikai válasz (a 6.</w:t>
      </w:r>
      <w:r>
        <w:rPr>
          <w:rFonts w:ascii="Times New Roman" w:hAnsi="Times New Roman" w:cs="Times New Roman"/>
          <w:kern w:val="0"/>
        </w:rPr>
        <w:t> </w:t>
      </w:r>
      <w:r w:rsidRPr="00851E02">
        <w:rPr>
          <w:rFonts w:ascii="Times New Roman" w:hAnsi="Times New Roman" w:cs="Times New Roman"/>
          <w:kern w:val="0"/>
        </w:rPr>
        <w:t>hónap után), illetve a major citogenetikai válasz (a 12.</w:t>
      </w:r>
      <w:r>
        <w:rPr>
          <w:rFonts w:ascii="Times New Roman" w:hAnsi="Times New Roman" w:cs="Times New Roman"/>
          <w:kern w:val="0"/>
        </w:rPr>
        <w:t> </w:t>
      </w:r>
      <w:r w:rsidRPr="00851E02">
        <w:rPr>
          <w:rFonts w:ascii="Times New Roman" w:hAnsi="Times New Roman" w:cs="Times New Roman"/>
          <w:kern w:val="0"/>
        </w:rPr>
        <w:t>hónap után),</w:t>
      </w:r>
      <w:r>
        <w:rPr>
          <w:rFonts w:ascii="Times New Roman" w:hAnsi="Times New Roman" w:cs="Times New Roman"/>
          <w:kern w:val="0"/>
        </w:rPr>
        <w:t xml:space="preserve"> </w:t>
      </w:r>
      <w:r w:rsidRPr="00851E02">
        <w:rPr>
          <w:rFonts w:ascii="Times New Roman" w:hAnsi="Times New Roman" w:cs="Times New Roman"/>
          <w:kern w:val="0"/>
        </w:rPr>
        <w:t>elérésének kudarcát, továbbá a betegség progresszióját korábbi citogenetikai vagy hematológiai</w:t>
      </w:r>
      <w:r>
        <w:rPr>
          <w:rFonts w:ascii="Times New Roman" w:hAnsi="Times New Roman" w:cs="Times New Roman"/>
          <w:kern w:val="0"/>
        </w:rPr>
        <w:t xml:space="preserve"> </w:t>
      </w:r>
      <w:r w:rsidRPr="00851E02">
        <w:rPr>
          <w:rFonts w:ascii="Times New Roman" w:hAnsi="Times New Roman" w:cs="Times New Roman"/>
          <w:kern w:val="0"/>
        </w:rPr>
        <w:t>választ követően. Az imatinib-intolerancia fogalma olyan betegeket foglal magában, akik toxicitás</w:t>
      </w:r>
      <w:r>
        <w:rPr>
          <w:rFonts w:ascii="Times New Roman" w:hAnsi="Times New Roman" w:cs="Times New Roman"/>
          <w:kern w:val="0"/>
        </w:rPr>
        <w:t xml:space="preserve"> </w:t>
      </w:r>
      <w:r w:rsidRPr="00851E02">
        <w:rPr>
          <w:rFonts w:ascii="Times New Roman" w:hAnsi="Times New Roman" w:cs="Times New Roman"/>
          <w:kern w:val="0"/>
        </w:rPr>
        <w:t>miatt megszakították az imatinib-kezelést, és a vizsgálatba való belépéskor nem mutattak major</w:t>
      </w:r>
      <w:r>
        <w:rPr>
          <w:rFonts w:ascii="Times New Roman" w:hAnsi="Times New Roman" w:cs="Times New Roman"/>
          <w:kern w:val="0"/>
        </w:rPr>
        <w:t xml:space="preserve"> </w:t>
      </w:r>
      <w:r w:rsidRPr="00851E02">
        <w:rPr>
          <w:rFonts w:ascii="Times New Roman" w:hAnsi="Times New Roman" w:cs="Times New Roman"/>
          <w:kern w:val="0"/>
        </w:rPr>
        <w:t>citogenetikai választ.</w:t>
      </w:r>
    </w:p>
    <w:p w14:paraId="68CB3115" w14:textId="77777777" w:rsidR="00851E02" w:rsidRPr="00851E02" w:rsidRDefault="00851E02" w:rsidP="00851E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5DB83B3" w14:textId="61E9C046" w:rsidR="00080179" w:rsidRPr="00B110E9" w:rsidRDefault="00851E02" w:rsidP="00851E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B110E9">
        <w:rPr>
          <w:rFonts w:ascii="Times New Roman" w:hAnsi="Times New Roman" w:cs="Times New Roman"/>
          <w:kern w:val="0"/>
        </w:rPr>
        <w:t>Összességében a betegek 73%-a volt imatinib-rezisztens és 27%-a intoleráns az imatinibbel szemben.</w:t>
      </w:r>
      <w:r w:rsidR="00B110E9">
        <w:rPr>
          <w:rFonts w:ascii="Times New Roman" w:hAnsi="Times New Roman" w:cs="Times New Roman"/>
          <w:kern w:val="0"/>
        </w:rPr>
        <w:t xml:space="preserve"> </w:t>
      </w:r>
      <w:r w:rsidRPr="00B110E9">
        <w:rPr>
          <w:rFonts w:ascii="Times New Roman" w:hAnsi="Times New Roman" w:cs="Times New Roman"/>
          <w:kern w:val="0"/>
        </w:rPr>
        <w:t xml:space="preserve">A betegek többsége hosszú idő óta szenvedett CML-ben és egyéb daganatellenes </w:t>
      </w:r>
      <w:r w:rsidR="003D4E72">
        <w:rPr>
          <w:rFonts w:ascii="Times New Roman" w:hAnsi="Times New Roman" w:cs="Times New Roman"/>
          <w:kern w:val="0"/>
        </w:rPr>
        <w:t>gyógy</w:t>
      </w:r>
      <w:r w:rsidRPr="00B110E9">
        <w:rPr>
          <w:rFonts w:ascii="Times New Roman" w:hAnsi="Times New Roman" w:cs="Times New Roman"/>
          <w:kern w:val="0"/>
        </w:rPr>
        <w:t>szerekkel (köztük</w:t>
      </w:r>
      <w:r w:rsidR="00B110E9">
        <w:rPr>
          <w:rFonts w:ascii="Times New Roman" w:hAnsi="Times New Roman" w:cs="Times New Roman"/>
          <w:kern w:val="0"/>
        </w:rPr>
        <w:t xml:space="preserve"> </w:t>
      </w:r>
      <w:r w:rsidRPr="00B110E9">
        <w:rPr>
          <w:rFonts w:ascii="Times New Roman" w:hAnsi="Times New Roman" w:cs="Times New Roman"/>
          <w:kern w:val="0"/>
        </w:rPr>
        <w:t>imatinibbel, hidroxiureával, interferonnal) már jelentős mértékű kezeléseket kapott, és egyeseknél még</w:t>
      </w:r>
      <w:r w:rsidR="00B110E9">
        <w:rPr>
          <w:rFonts w:ascii="Times New Roman" w:hAnsi="Times New Roman" w:cs="Times New Roman"/>
          <w:kern w:val="0"/>
        </w:rPr>
        <w:t xml:space="preserve"> </w:t>
      </w:r>
      <w:r w:rsidRPr="00B110E9">
        <w:rPr>
          <w:rFonts w:ascii="Times New Roman" w:hAnsi="Times New Roman" w:cs="Times New Roman"/>
          <w:kern w:val="0"/>
        </w:rPr>
        <w:t>sikertelen szervátültetés is történt (9. táblázat). A legnagyobb korábbi imatinib dózis medián értéke</w:t>
      </w:r>
      <w:r w:rsidR="00B110E9">
        <w:rPr>
          <w:rFonts w:ascii="Times New Roman" w:hAnsi="Times New Roman" w:cs="Times New Roman"/>
          <w:kern w:val="0"/>
        </w:rPr>
        <w:t xml:space="preserve"> </w:t>
      </w:r>
      <w:r w:rsidRPr="00B110E9">
        <w:rPr>
          <w:rFonts w:ascii="Times New Roman" w:hAnsi="Times New Roman" w:cs="Times New Roman"/>
          <w:kern w:val="0"/>
        </w:rPr>
        <w:t>600</w:t>
      </w:r>
      <w:r w:rsidR="005917A4">
        <w:rPr>
          <w:rFonts w:ascii="Times New Roman" w:hAnsi="Times New Roman" w:cs="Times New Roman"/>
          <w:kern w:val="0"/>
        </w:rPr>
        <w:t> </w:t>
      </w:r>
      <w:r w:rsidRPr="00B110E9">
        <w:rPr>
          <w:rFonts w:ascii="Times New Roman" w:hAnsi="Times New Roman" w:cs="Times New Roman"/>
          <w:kern w:val="0"/>
        </w:rPr>
        <w:t xml:space="preserve">mg/nap volt. Az összes beteg 74%-ánál a legnagyobb korábbi imatinib dózis </w:t>
      </w:r>
      <w:r w:rsidR="00B110E9" w:rsidRPr="00B110E9">
        <w:rPr>
          <w:rFonts w:ascii="Times New Roman" w:hAnsi="Times New Roman" w:cs="Times New Roman"/>
        </w:rPr>
        <w:t>≥</w:t>
      </w:r>
      <w:r w:rsidRPr="00B110E9">
        <w:rPr>
          <w:rFonts w:ascii="Times New Roman" w:hAnsi="Times New Roman" w:cs="Times New Roman"/>
          <w:kern w:val="0"/>
        </w:rPr>
        <w:t xml:space="preserve"> 600</w:t>
      </w:r>
      <w:r w:rsidR="005917A4">
        <w:rPr>
          <w:rFonts w:ascii="Times New Roman" w:hAnsi="Times New Roman" w:cs="Times New Roman"/>
          <w:kern w:val="0"/>
        </w:rPr>
        <w:t> </w:t>
      </w:r>
      <w:r w:rsidRPr="00B110E9">
        <w:rPr>
          <w:rFonts w:ascii="Times New Roman" w:hAnsi="Times New Roman" w:cs="Times New Roman"/>
          <w:kern w:val="0"/>
        </w:rPr>
        <w:t>mg/nap volt,</w:t>
      </w:r>
      <w:r w:rsidR="00B110E9">
        <w:rPr>
          <w:rFonts w:ascii="Times New Roman" w:hAnsi="Times New Roman" w:cs="Times New Roman"/>
          <w:kern w:val="0"/>
        </w:rPr>
        <w:t xml:space="preserve"> </w:t>
      </w:r>
      <w:r w:rsidRPr="00B110E9">
        <w:rPr>
          <w:rFonts w:ascii="Times New Roman" w:hAnsi="Times New Roman" w:cs="Times New Roman"/>
          <w:kern w:val="0"/>
        </w:rPr>
        <w:t xml:space="preserve">míg 40%-uk kapott </w:t>
      </w:r>
      <w:r w:rsidR="00B110E9" w:rsidRPr="00B110E9">
        <w:rPr>
          <w:rFonts w:ascii="Times New Roman" w:hAnsi="Times New Roman" w:cs="Times New Roman"/>
        </w:rPr>
        <w:t xml:space="preserve">≥ </w:t>
      </w:r>
      <w:r w:rsidRPr="00B110E9">
        <w:rPr>
          <w:rFonts w:ascii="Times New Roman" w:hAnsi="Times New Roman" w:cs="Times New Roman"/>
          <w:kern w:val="0"/>
        </w:rPr>
        <w:t>800</w:t>
      </w:r>
      <w:r w:rsidR="005917A4">
        <w:rPr>
          <w:rFonts w:ascii="Times New Roman" w:hAnsi="Times New Roman" w:cs="Times New Roman"/>
          <w:kern w:val="0"/>
        </w:rPr>
        <w:t> </w:t>
      </w:r>
      <w:r w:rsidRPr="00B110E9">
        <w:rPr>
          <w:rFonts w:ascii="Times New Roman" w:hAnsi="Times New Roman" w:cs="Times New Roman"/>
          <w:kern w:val="0"/>
        </w:rPr>
        <w:t>mg/nap dózist.</w:t>
      </w:r>
    </w:p>
    <w:p w14:paraId="29A69272" w14:textId="77777777" w:rsidR="00B40DAC" w:rsidRDefault="00B40DAC" w:rsidP="00851E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0D531DE" w14:textId="6AB1DC73" w:rsidR="00B40DAC" w:rsidRDefault="00B40DAC" w:rsidP="00F62CD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F62CDF">
        <w:rPr>
          <w:rFonts w:ascii="Times New Roman" w:hAnsi="Times New Roman" w:cs="Times New Roman"/>
          <w:b/>
          <w:bCs/>
          <w:kern w:val="0"/>
        </w:rPr>
        <w:t xml:space="preserve">9. táblázat CML </w:t>
      </w:r>
      <w:r w:rsidRPr="00F62CDF">
        <w:rPr>
          <w:rFonts w:ascii="Times New Roman" w:eastAsia="TimesNewRomanPS-BoldMT" w:hAnsi="Times New Roman" w:cs="Times New Roman"/>
          <w:b/>
          <w:bCs/>
          <w:kern w:val="0"/>
        </w:rPr>
        <w:t>kórtörténeti jellemzők</w:t>
      </w:r>
    </w:p>
    <w:p w14:paraId="5DCD1DF9" w14:textId="77777777" w:rsidR="00A73995" w:rsidRDefault="00A73995" w:rsidP="00F62CDF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tbl>
      <w:tblPr>
        <w:tblW w:w="9064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6"/>
        <w:gridCol w:w="2199"/>
        <w:gridCol w:w="3099"/>
      </w:tblGrid>
      <w:tr w:rsidR="00A73995" w:rsidRPr="004F37BF" w14:paraId="725A48BE" w14:textId="77777777" w:rsidTr="002935DB">
        <w:trPr>
          <w:trHeight w:val="506"/>
        </w:trPr>
        <w:tc>
          <w:tcPr>
            <w:tcW w:w="3766" w:type="dxa"/>
          </w:tcPr>
          <w:p w14:paraId="6235C567" w14:textId="77777777" w:rsidR="00A73995" w:rsidRPr="004F37BF" w:rsidRDefault="00A73995" w:rsidP="00A73995">
            <w:pPr>
              <w:pStyle w:val="TableParagraph"/>
              <w:keepNext/>
              <w:ind w:left="0"/>
              <w:rPr>
                <w:lang w:val="hu-HU"/>
              </w:rPr>
            </w:pPr>
          </w:p>
        </w:tc>
        <w:tc>
          <w:tcPr>
            <w:tcW w:w="2199" w:type="dxa"/>
          </w:tcPr>
          <w:p w14:paraId="43E2E113" w14:textId="4B98426C" w:rsidR="00A73995" w:rsidRPr="004F37BF" w:rsidRDefault="00CF1613" w:rsidP="00CF1613">
            <w:pPr>
              <w:pStyle w:val="TableParagraph"/>
              <w:keepNext/>
              <w:spacing w:line="254" w:lineRule="exact"/>
              <w:ind w:left="816" w:right="454" w:hanging="425"/>
              <w:rPr>
                <w:lang w:val="hu-HU"/>
              </w:rPr>
            </w:pPr>
            <w:r w:rsidRPr="004F37BF">
              <w:rPr>
                <w:lang w:val="hu-HU"/>
              </w:rPr>
              <w:t>Krónikus fázis</w:t>
            </w:r>
            <w:r w:rsidR="00A73995" w:rsidRPr="004F37BF">
              <w:rPr>
                <w:lang w:val="hu-HU"/>
              </w:rPr>
              <w:t xml:space="preserve"> </w:t>
            </w:r>
            <w:r w:rsidR="00A73995" w:rsidRPr="004F37BF">
              <w:rPr>
                <w:spacing w:val="-2"/>
                <w:lang w:val="hu-HU"/>
              </w:rPr>
              <w:t>(n=321)</w:t>
            </w:r>
          </w:p>
        </w:tc>
        <w:tc>
          <w:tcPr>
            <w:tcW w:w="3099" w:type="dxa"/>
          </w:tcPr>
          <w:p w14:paraId="71E17BE1" w14:textId="2CD2A529" w:rsidR="00A73995" w:rsidRPr="004F37BF" w:rsidRDefault="002935DB" w:rsidP="00A73995">
            <w:pPr>
              <w:pStyle w:val="TableParagraph"/>
              <w:keepNext/>
              <w:spacing w:line="254" w:lineRule="exact"/>
              <w:ind w:left="1137" w:right="733" w:hanging="394"/>
              <w:rPr>
                <w:lang w:val="hu-HU"/>
              </w:rPr>
            </w:pPr>
            <w:r w:rsidRPr="004F37BF">
              <w:rPr>
                <w:lang w:val="hu-HU"/>
              </w:rPr>
              <w:t>Akcelerált fázis</w:t>
            </w:r>
            <w:r w:rsidRPr="004F37BF">
              <w:rPr>
                <w:spacing w:val="-2"/>
                <w:lang w:val="hu-HU"/>
              </w:rPr>
              <w:t xml:space="preserve"> </w:t>
            </w:r>
            <w:r w:rsidR="00A73995" w:rsidRPr="004F37BF">
              <w:rPr>
                <w:spacing w:val="-2"/>
                <w:lang w:val="hu-HU"/>
              </w:rPr>
              <w:t>(n=</w:t>
            </w:r>
            <w:proofErr w:type="gramStart"/>
            <w:r w:rsidR="00A73995" w:rsidRPr="004F37BF">
              <w:rPr>
                <w:spacing w:val="-2"/>
                <w:lang w:val="hu-HU"/>
              </w:rPr>
              <w:t>137)*</w:t>
            </w:r>
            <w:proofErr w:type="gramEnd"/>
          </w:p>
        </w:tc>
      </w:tr>
      <w:tr w:rsidR="002935DB" w:rsidRPr="004F37BF" w14:paraId="4940B0A3" w14:textId="77777777" w:rsidTr="002935DB">
        <w:trPr>
          <w:trHeight w:val="254"/>
        </w:trPr>
        <w:tc>
          <w:tcPr>
            <w:tcW w:w="3766" w:type="dxa"/>
            <w:tcBorders>
              <w:bottom w:val="nil"/>
            </w:tcBorders>
          </w:tcPr>
          <w:p w14:paraId="0CA59158" w14:textId="092198CA" w:rsidR="002935DB" w:rsidRPr="004F37BF" w:rsidRDefault="002935DB" w:rsidP="002935DB">
            <w:pPr>
              <w:pStyle w:val="TableParagraph"/>
              <w:spacing w:line="235" w:lineRule="exact"/>
              <w:rPr>
                <w:lang w:val="hu-HU"/>
              </w:rPr>
            </w:pPr>
            <w:r w:rsidRPr="004F37BF">
              <w:rPr>
                <w:rFonts w:eastAsia="TimesNewRomanPSMT"/>
                <w:lang w:val="hu-HU"/>
              </w:rPr>
              <w:t>A diagnózis óta eltelt idő medián értéke</w:t>
            </w:r>
          </w:p>
        </w:tc>
        <w:tc>
          <w:tcPr>
            <w:tcW w:w="2199" w:type="dxa"/>
            <w:tcBorders>
              <w:bottom w:val="nil"/>
            </w:tcBorders>
          </w:tcPr>
          <w:p w14:paraId="46C59B3C" w14:textId="77777777" w:rsidR="002935DB" w:rsidRPr="004F37BF" w:rsidRDefault="002935DB" w:rsidP="002935DB">
            <w:pPr>
              <w:pStyle w:val="TableParagraph"/>
              <w:spacing w:line="235" w:lineRule="exact"/>
              <w:ind w:left="567" w:right="558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58</w:t>
            </w:r>
          </w:p>
        </w:tc>
        <w:tc>
          <w:tcPr>
            <w:tcW w:w="3099" w:type="dxa"/>
            <w:tcBorders>
              <w:bottom w:val="nil"/>
            </w:tcBorders>
          </w:tcPr>
          <w:p w14:paraId="25E12477" w14:textId="77777777" w:rsidR="002935DB" w:rsidRPr="004F37BF" w:rsidRDefault="002935DB" w:rsidP="002935DB">
            <w:pPr>
              <w:pStyle w:val="TableParagraph"/>
              <w:spacing w:line="235" w:lineRule="exact"/>
              <w:ind w:left="1016" w:right="1009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71</w:t>
            </w:r>
          </w:p>
        </w:tc>
      </w:tr>
      <w:tr w:rsidR="002935DB" w:rsidRPr="004F37BF" w14:paraId="3960D99F" w14:textId="77777777" w:rsidTr="002935DB">
        <w:trPr>
          <w:trHeight w:val="249"/>
        </w:trPr>
        <w:tc>
          <w:tcPr>
            <w:tcW w:w="3766" w:type="dxa"/>
            <w:tcBorders>
              <w:top w:val="nil"/>
            </w:tcBorders>
          </w:tcPr>
          <w:p w14:paraId="51C53B06" w14:textId="3D0F6420" w:rsidR="002935DB" w:rsidRPr="004F37BF" w:rsidRDefault="002935DB" w:rsidP="002935DB">
            <w:pPr>
              <w:pStyle w:val="TableParagraph"/>
              <w:spacing w:line="229" w:lineRule="exact"/>
              <w:rPr>
                <w:lang w:val="hu-HU"/>
              </w:rPr>
            </w:pPr>
            <w:r w:rsidRPr="004F37BF">
              <w:rPr>
                <w:rFonts w:eastAsia="TimesNewRomanPSMT"/>
                <w:lang w:val="hu-HU"/>
              </w:rPr>
              <w:t>hónapokban (tartomány)</w:t>
            </w:r>
          </w:p>
        </w:tc>
        <w:tc>
          <w:tcPr>
            <w:tcW w:w="2199" w:type="dxa"/>
            <w:tcBorders>
              <w:top w:val="nil"/>
            </w:tcBorders>
          </w:tcPr>
          <w:p w14:paraId="16763EE8" w14:textId="77777777" w:rsidR="002935DB" w:rsidRPr="004F37BF" w:rsidRDefault="002935DB" w:rsidP="002935DB">
            <w:pPr>
              <w:pStyle w:val="TableParagraph"/>
              <w:spacing w:line="229" w:lineRule="exact"/>
              <w:ind w:left="567" w:right="557"/>
              <w:jc w:val="center"/>
              <w:rPr>
                <w:lang w:val="hu-HU"/>
              </w:rPr>
            </w:pPr>
            <w:r w:rsidRPr="004F37BF">
              <w:rPr>
                <w:spacing w:val="-2"/>
                <w:lang w:val="hu-HU"/>
              </w:rPr>
              <w:t>(5–275)</w:t>
            </w:r>
          </w:p>
        </w:tc>
        <w:tc>
          <w:tcPr>
            <w:tcW w:w="3099" w:type="dxa"/>
            <w:tcBorders>
              <w:top w:val="nil"/>
            </w:tcBorders>
          </w:tcPr>
          <w:p w14:paraId="51580912" w14:textId="77777777" w:rsidR="002935DB" w:rsidRPr="004F37BF" w:rsidRDefault="002935DB" w:rsidP="002935DB">
            <w:pPr>
              <w:pStyle w:val="TableParagraph"/>
              <w:spacing w:line="229" w:lineRule="exact"/>
              <w:ind w:left="1016" w:right="1008"/>
              <w:jc w:val="center"/>
              <w:rPr>
                <w:lang w:val="hu-HU"/>
              </w:rPr>
            </w:pPr>
            <w:r w:rsidRPr="004F37BF">
              <w:rPr>
                <w:spacing w:val="-2"/>
                <w:lang w:val="hu-HU"/>
              </w:rPr>
              <w:t>(2–298)</w:t>
            </w:r>
          </w:p>
        </w:tc>
      </w:tr>
      <w:tr w:rsidR="002935DB" w:rsidRPr="004F37BF" w14:paraId="3A59D07B" w14:textId="77777777" w:rsidTr="002935DB">
        <w:trPr>
          <w:trHeight w:val="256"/>
        </w:trPr>
        <w:tc>
          <w:tcPr>
            <w:tcW w:w="3766" w:type="dxa"/>
            <w:tcBorders>
              <w:bottom w:val="nil"/>
            </w:tcBorders>
          </w:tcPr>
          <w:p w14:paraId="538979AF" w14:textId="30472C29" w:rsidR="002935DB" w:rsidRPr="004F37BF" w:rsidRDefault="002935DB" w:rsidP="002935DB">
            <w:pPr>
              <w:pStyle w:val="TableParagraph"/>
              <w:spacing w:line="237" w:lineRule="exact"/>
              <w:rPr>
                <w:lang w:val="hu-HU"/>
              </w:rPr>
            </w:pPr>
            <w:r w:rsidRPr="004F37BF">
              <w:rPr>
                <w:lang w:val="hu-HU"/>
              </w:rPr>
              <w:t>Imatinib</w:t>
            </w:r>
          </w:p>
        </w:tc>
        <w:tc>
          <w:tcPr>
            <w:tcW w:w="2199" w:type="dxa"/>
            <w:tcBorders>
              <w:bottom w:val="nil"/>
            </w:tcBorders>
          </w:tcPr>
          <w:p w14:paraId="5C0E0F01" w14:textId="77777777" w:rsidR="002935DB" w:rsidRPr="004F37BF" w:rsidRDefault="002935DB" w:rsidP="002935DB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  <w:tc>
          <w:tcPr>
            <w:tcW w:w="3099" w:type="dxa"/>
            <w:tcBorders>
              <w:bottom w:val="nil"/>
            </w:tcBorders>
          </w:tcPr>
          <w:p w14:paraId="226290CD" w14:textId="77777777" w:rsidR="002935DB" w:rsidRPr="004F37BF" w:rsidRDefault="002935DB" w:rsidP="002935DB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</w:tr>
      <w:tr w:rsidR="002935DB" w:rsidRPr="004F37BF" w14:paraId="363C0831" w14:textId="77777777" w:rsidTr="002935DB">
        <w:trPr>
          <w:trHeight w:val="253"/>
        </w:trPr>
        <w:tc>
          <w:tcPr>
            <w:tcW w:w="3766" w:type="dxa"/>
            <w:tcBorders>
              <w:top w:val="nil"/>
              <w:bottom w:val="nil"/>
            </w:tcBorders>
          </w:tcPr>
          <w:p w14:paraId="229FC784" w14:textId="1B6916BC" w:rsidR="002935DB" w:rsidRPr="004F37BF" w:rsidRDefault="00423997" w:rsidP="002935DB">
            <w:pPr>
              <w:pStyle w:val="TableParagraph"/>
              <w:spacing w:line="234" w:lineRule="exact"/>
              <w:ind w:left="674"/>
              <w:rPr>
                <w:lang w:val="hu-HU"/>
              </w:rPr>
            </w:pPr>
            <w:r>
              <w:rPr>
                <w:lang w:val="hu-HU"/>
              </w:rPr>
              <w:t>r</w:t>
            </w:r>
            <w:r w:rsidR="002935DB" w:rsidRPr="004F37BF">
              <w:rPr>
                <w:lang w:val="hu-HU"/>
              </w:rPr>
              <w:t>e</w:t>
            </w:r>
            <w:r w:rsidR="006D6DB0">
              <w:rPr>
                <w:lang w:val="hu-HU"/>
              </w:rPr>
              <w:t>z</w:t>
            </w:r>
            <w:r w:rsidR="002935DB" w:rsidRPr="004F37BF">
              <w:rPr>
                <w:lang w:val="hu-HU"/>
              </w:rPr>
              <w:t>isztens</w:t>
            </w:r>
          </w:p>
        </w:tc>
        <w:tc>
          <w:tcPr>
            <w:tcW w:w="2199" w:type="dxa"/>
            <w:tcBorders>
              <w:top w:val="nil"/>
              <w:bottom w:val="nil"/>
            </w:tcBorders>
          </w:tcPr>
          <w:p w14:paraId="66B5DBB5" w14:textId="77777777" w:rsidR="002935DB" w:rsidRPr="004F37BF" w:rsidRDefault="002935DB" w:rsidP="002935DB">
            <w:pPr>
              <w:pStyle w:val="TableParagraph"/>
              <w:spacing w:line="234" w:lineRule="exact"/>
              <w:ind w:left="567" w:right="557"/>
              <w:jc w:val="center"/>
              <w:rPr>
                <w:lang w:val="hu-HU"/>
              </w:rPr>
            </w:pPr>
            <w:r w:rsidRPr="004F37BF">
              <w:rPr>
                <w:lang w:val="hu-HU"/>
              </w:rPr>
              <w:t xml:space="preserve">226 </w:t>
            </w:r>
            <w:r w:rsidRPr="004F37BF">
              <w:rPr>
                <w:spacing w:val="-2"/>
                <w:lang w:val="hu-HU"/>
              </w:rPr>
              <w:t>(70%)</w:t>
            </w:r>
          </w:p>
        </w:tc>
        <w:tc>
          <w:tcPr>
            <w:tcW w:w="3099" w:type="dxa"/>
            <w:tcBorders>
              <w:top w:val="nil"/>
              <w:bottom w:val="nil"/>
            </w:tcBorders>
          </w:tcPr>
          <w:p w14:paraId="69BA96E7" w14:textId="77777777" w:rsidR="002935DB" w:rsidRPr="004F37BF" w:rsidRDefault="002935DB" w:rsidP="002935DB">
            <w:pPr>
              <w:pStyle w:val="TableParagraph"/>
              <w:spacing w:line="234" w:lineRule="exact"/>
              <w:ind w:left="1016" w:right="1009"/>
              <w:jc w:val="center"/>
              <w:rPr>
                <w:lang w:val="hu-HU"/>
              </w:rPr>
            </w:pPr>
            <w:r w:rsidRPr="004F37BF">
              <w:rPr>
                <w:lang w:val="hu-HU"/>
              </w:rPr>
              <w:t xml:space="preserve">109 </w:t>
            </w:r>
            <w:r w:rsidRPr="004F37BF">
              <w:rPr>
                <w:spacing w:val="-2"/>
                <w:lang w:val="hu-HU"/>
              </w:rPr>
              <w:t>(80%)</w:t>
            </w:r>
          </w:p>
        </w:tc>
      </w:tr>
      <w:tr w:rsidR="002935DB" w:rsidRPr="004F37BF" w14:paraId="2EF7F4DB" w14:textId="77777777" w:rsidTr="002935DB">
        <w:trPr>
          <w:trHeight w:val="250"/>
        </w:trPr>
        <w:tc>
          <w:tcPr>
            <w:tcW w:w="3766" w:type="dxa"/>
            <w:tcBorders>
              <w:top w:val="nil"/>
            </w:tcBorders>
          </w:tcPr>
          <w:p w14:paraId="38130556" w14:textId="2999E771" w:rsidR="002935DB" w:rsidRPr="004F37BF" w:rsidRDefault="00423997" w:rsidP="002935DB">
            <w:pPr>
              <w:pStyle w:val="TableParagraph"/>
              <w:spacing w:line="231" w:lineRule="exact"/>
              <w:ind w:left="674"/>
              <w:rPr>
                <w:lang w:val="hu-HU"/>
              </w:rPr>
            </w:pPr>
            <w:r>
              <w:rPr>
                <w:lang w:val="hu-HU"/>
              </w:rPr>
              <w:t>i</w:t>
            </w:r>
            <w:r w:rsidR="002935DB" w:rsidRPr="004F37BF">
              <w:rPr>
                <w:lang w:val="hu-HU"/>
              </w:rPr>
              <w:t>ntoleráns MCyR válasz nélkül</w:t>
            </w:r>
          </w:p>
        </w:tc>
        <w:tc>
          <w:tcPr>
            <w:tcW w:w="2199" w:type="dxa"/>
            <w:tcBorders>
              <w:top w:val="nil"/>
            </w:tcBorders>
          </w:tcPr>
          <w:p w14:paraId="4CC07D4C" w14:textId="77777777" w:rsidR="002935DB" w:rsidRPr="004F37BF" w:rsidRDefault="002935DB" w:rsidP="002935DB">
            <w:pPr>
              <w:pStyle w:val="TableParagraph"/>
              <w:spacing w:line="231" w:lineRule="exact"/>
              <w:ind w:left="567" w:right="557"/>
              <w:jc w:val="center"/>
              <w:rPr>
                <w:lang w:val="hu-HU"/>
              </w:rPr>
            </w:pPr>
            <w:r w:rsidRPr="004F37BF">
              <w:rPr>
                <w:lang w:val="hu-HU"/>
              </w:rPr>
              <w:t xml:space="preserve">95 </w:t>
            </w:r>
            <w:r w:rsidRPr="004F37BF">
              <w:rPr>
                <w:spacing w:val="-2"/>
                <w:lang w:val="hu-HU"/>
              </w:rPr>
              <w:t>(30%)</w:t>
            </w:r>
          </w:p>
        </w:tc>
        <w:tc>
          <w:tcPr>
            <w:tcW w:w="3099" w:type="dxa"/>
            <w:tcBorders>
              <w:top w:val="nil"/>
            </w:tcBorders>
          </w:tcPr>
          <w:p w14:paraId="0F93AA46" w14:textId="77777777" w:rsidR="002935DB" w:rsidRPr="004F37BF" w:rsidRDefault="002935DB" w:rsidP="002935DB">
            <w:pPr>
              <w:pStyle w:val="TableParagraph"/>
              <w:spacing w:line="231" w:lineRule="exact"/>
              <w:ind w:left="1016" w:right="1009"/>
              <w:jc w:val="center"/>
              <w:rPr>
                <w:lang w:val="hu-HU"/>
              </w:rPr>
            </w:pPr>
            <w:r w:rsidRPr="004F37BF">
              <w:rPr>
                <w:lang w:val="hu-HU"/>
              </w:rPr>
              <w:t xml:space="preserve">27 </w:t>
            </w:r>
            <w:r w:rsidRPr="004F37BF">
              <w:rPr>
                <w:spacing w:val="-2"/>
                <w:lang w:val="hu-HU"/>
              </w:rPr>
              <w:t>(20%)</w:t>
            </w:r>
          </w:p>
        </w:tc>
      </w:tr>
      <w:tr w:rsidR="00355874" w:rsidRPr="004F37BF" w14:paraId="78D5B591" w14:textId="77777777" w:rsidTr="002935DB">
        <w:trPr>
          <w:trHeight w:val="255"/>
        </w:trPr>
        <w:tc>
          <w:tcPr>
            <w:tcW w:w="3766" w:type="dxa"/>
            <w:tcBorders>
              <w:bottom w:val="nil"/>
            </w:tcBorders>
          </w:tcPr>
          <w:p w14:paraId="79793C96" w14:textId="635B4527" w:rsidR="00355874" w:rsidRPr="004F37BF" w:rsidRDefault="00355874" w:rsidP="00355874">
            <w:pPr>
              <w:pStyle w:val="TableParagraph"/>
              <w:spacing w:line="235" w:lineRule="exact"/>
              <w:rPr>
                <w:lang w:val="hu-HU"/>
              </w:rPr>
            </w:pPr>
            <w:r w:rsidRPr="004F37BF">
              <w:rPr>
                <w:lang w:val="hu-HU"/>
              </w:rPr>
              <w:t>Az imatinib-</w:t>
            </w:r>
            <w:r w:rsidRPr="004F37BF">
              <w:rPr>
                <w:rFonts w:eastAsia="TimesNewRomanPSMT"/>
                <w:lang w:val="hu-HU"/>
              </w:rPr>
              <w:t>kezelés medián időtartama</w:t>
            </w:r>
          </w:p>
        </w:tc>
        <w:tc>
          <w:tcPr>
            <w:tcW w:w="2199" w:type="dxa"/>
            <w:tcBorders>
              <w:bottom w:val="nil"/>
            </w:tcBorders>
          </w:tcPr>
          <w:p w14:paraId="3B164E30" w14:textId="77777777" w:rsidR="00355874" w:rsidRPr="004F37BF" w:rsidRDefault="00355874" w:rsidP="00355874">
            <w:pPr>
              <w:pStyle w:val="TableParagraph"/>
              <w:spacing w:line="235" w:lineRule="exact"/>
              <w:ind w:left="567" w:right="558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975</w:t>
            </w:r>
          </w:p>
        </w:tc>
        <w:tc>
          <w:tcPr>
            <w:tcW w:w="3099" w:type="dxa"/>
            <w:tcBorders>
              <w:bottom w:val="nil"/>
            </w:tcBorders>
          </w:tcPr>
          <w:p w14:paraId="61C25F7A" w14:textId="77777777" w:rsidR="00355874" w:rsidRPr="004F37BF" w:rsidRDefault="00355874" w:rsidP="00355874">
            <w:pPr>
              <w:pStyle w:val="TableParagraph"/>
              <w:spacing w:line="235" w:lineRule="exact"/>
              <w:ind w:left="1016" w:right="1010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857</w:t>
            </w:r>
          </w:p>
        </w:tc>
      </w:tr>
      <w:tr w:rsidR="00355874" w:rsidRPr="004F37BF" w14:paraId="67B24BDE" w14:textId="77777777" w:rsidTr="002935DB">
        <w:trPr>
          <w:trHeight w:val="253"/>
        </w:trPr>
        <w:tc>
          <w:tcPr>
            <w:tcW w:w="3766" w:type="dxa"/>
            <w:tcBorders>
              <w:top w:val="nil"/>
              <w:bottom w:val="nil"/>
            </w:tcBorders>
          </w:tcPr>
          <w:p w14:paraId="39A36B3F" w14:textId="1A6A4C89" w:rsidR="00355874" w:rsidRPr="004F37BF" w:rsidRDefault="00355874" w:rsidP="00355874">
            <w:pPr>
              <w:pStyle w:val="TableParagraph"/>
              <w:spacing w:line="233" w:lineRule="exact"/>
              <w:rPr>
                <w:lang w:val="hu-HU"/>
              </w:rPr>
            </w:pPr>
            <w:r w:rsidRPr="004F37BF">
              <w:rPr>
                <w:lang w:val="hu-HU"/>
              </w:rPr>
              <w:t>napokban</w:t>
            </w:r>
          </w:p>
        </w:tc>
        <w:tc>
          <w:tcPr>
            <w:tcW w:w="2199" w:type="dxa"/>
            <w:tcBorders>
              <w:top w:val="nil"/>
              <w:bottom w:val="nil"/>
            </w:tcBorders>
          </w:tcPr>
          <w:p w14:paraId="4D561532" w14:textId="100EAB2F" w:rsidR="00355874" w:rsidRPr="004F37BF" w:rsidRDefault="00355874" w:rsidP="00355874">
            <w:pPr>
              <w:pStyle w:val="TableParagraph"/>
              <w:spacing w:line="233" w:lineRule="exact"/>
              <w:ind w:left="567" w:right="559"/>
              <w:jc w:val="center"/>
              <w:rPr>
                <w:lang w:val="hu-HU"/>
              </w:rPr>
            </w:pPr>
            <w:r w:rsidRPr="004F37BF">
              <w:rPr>
                <w:spacing w:val="-2"/>
                <w:lang w:val="hu-HU"/>
              </w:rPr>
              <w:t>(519-1488)</w:t>
            </w:r>
          </w:p>
        </w:tc>
        <w:tc>
          <w:tcPr>
            <w:tcW w:w="3099" w:type="dxa"/>
            <w:tcBorders>
              <w:top w:val="nil"/>
              <w:bottom w:val="nil"/>
            </w:tcBorders>
          </w:tcPr>
          <w:p w14:paraId="7A77F9AD" w14:textId="1DC9D54F" w:rsidR="00355874" w:rsidRPr="004F37BF" w:rsidRDefault="00355874" w:rsidP="00355874">
            <w:pPr>
              <w:pStyle w:val="TableParagraph"/>
              <w:spacing w:line="233" w:lineRule="exact"/>
              <w:ind w:left="1016" w:right="1010"/>
              <w:jc w:val="center"/>
              <w:rPr>
                <w:lang w:val="hu-HU"/>
              </w:rPr>
            </w:pPr>
            <w:r w:rsidRPr="004F37BF">
              <w:rPr>
                <w:spacing w:val="-2"/>
                <w:lang w:val="hu-HU"/>
              </w:rPr>
              <w:t>(424-1497)</w:t>
            </w:r>
          </w:p>
        </w:tc>
      </w:tr>
      <w:tr w:rsidR="00355874" w:rsidRPr="004F37BF" w14:paraId="67DCE14A" w14:textId="77777777" w:rsidTr="002935DB">
        <w:trPr>
          <w:trHeight w:val="249"/>
        </w:trPr>
        <w:tc>
          <w:tcPr>
            <w:tcW w:w="3766" w:type="dxa"/>
            <w:tcBorders>
              <w:top w:val="nil"/>
            </w:tcBorders>
          </w:tcPr>
          <w:p w14:paraId="3E1584C0" w14:textId="50BB9AB6" w:rsidR="00355874" w:rsidRPr="004F37BF" w:rsidRDefault="00355874" w:rsidP="00355874">
            <w:pPr>
              <w:pStyle w:val="TableParagraph"/>
              <w:spacing w:line="229" w:lineRule="exact"/>
              <w:rPr>
                <w:lang w:val="hu-HU"/>
              </w:rPr>
            </w:pPr>
            <w:r w:rsidRPr="004F37BF">
              <w:rPr>
                <w:lang w:val="hu-HU"/>
              </w:rPr>
              <w:t>(25.-75. percentilis)</w:t>
            </w:r>
          </w:p>
        </w:tc>
        <w:tc>
          <w:tcPr>
            <w:tcW w:w="2199" w:type="dxa"/>
            <w:tcBorders>
              <w:top w:val="nil"/>
            </w:tcBorders>
          </w:tcPr>
          <w:p w14:paraId="5A929250" w14:textId="77777777" w:rsidR="00355874" w:rsidRPr="004F37BF" w:rsidRDefault="00355874" w:rsidP="00355874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  <w:tc>
          <w:tcPr>
            <w:tcW w:w="3099" w:type="dxa"/>
            <w:tcBorders>
              <w:top w:val="nil"/>
            </w:tcBorders>
          </w:tcPr>
          <w:p w14:paraId="4403FBBA" w14:textId="77777777" w:rsidR="00355874" w:rsidRPr="004F37BF" w:rsidRDefault="00355874" w:rsidP="00355874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</w:tr>
      <w:tr w:rsidR="00A73995" w:rsidRPr="004F37BF" w14:paraId="71205F5D" w14:textId="77777777" w:rsidTr="002935DB">
        <w:trPr>
          <w:trHeight w:val="253"/>
        </w:trPr>
        <w:tc>
          <w:tcPr>
            <w:tcW w:w="3766" w:type="dxa"/>
          </w:tcPr>
          <w:p w14:paraId="1FBBC21B" w14:textId="4A1CC336" w:rsidR="00A73995" w:rsidRPr="004F37BF" w:rsidRDefault="00355874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4F37BF">
              <w:rPr>
                <w:rFonts w:eastAsia="TimesNewRomanPSMT"/>
                <w:lang w:val="hu-HU"/>
              </w:rPr>
              <w:t>Előzetes hidroxiurea-kezelés</w:t>
            </w:r>
          </w:p>
        </w:tc>
        <w:tc>
          <w:tcPr>
            <w:tcW w:w="2199" w:type="dxa"/>
          </w:tcPr>
          <w:p w14:paraId="011240B5" w14:textId="77777777" w:rsidR="00A73995" w:rsidRPr="004F37BF" w:rsidRDefault="00A73995" w:rsidP="00C619EF">
            <w:pPr>
              <w:pStyle w:val="TableParagraph"/>
              <w:spacing w:line="234" w:lineRule="exact"/>
              <w:ind w:left="567" w:right="557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83%</w:t>
            </w:r>
          </w:p>
        </w:tc>
        <w:tc>
          <w:tcPr>
            <w:tcW w:w="3099" w:type="dxa"/>
          </w:tcPr>
          <w:p w14:paraId="34490A64" w14:textId="77777777" w:rsidR="00A73995" w:rsidRPr="004F37BF" w:rsidRDefault="00A73995" w:rsidP="00C619EF">
            <w:pPr>
              <w:pStyle w:val="TableParagraph"/>
              <w:spacing w:line="234" w:lineRule="exact"/>
              <w:ind w:left="1016" w:right="1009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91%</w:t>
            </w:r>
          </w:p>
        </w:tc>
      </w:tr>
      <w:tr w:rsidR="00A73995" w:rsidRPr="004F37BF" w14:paraId="7CC50C9E" w14:textId="77777777" w:rsidTr="002935DB">
        <w:trPr>
          <w:trHeight w:val="251"/>
        </w:trPr>
        <w:tc>
          <w:tcPr>
            <w:tcW w:w="3766" w:type="dxa"/>
          </w:tcPr>
          <w:p w14:paraId="01F7719B" w14:textId="5230CBAD" w:rsidR="00A73995" w:rsidRPr="004F37BF" w:rsidRDefault="00355874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4F37BF">
              <w:rPr>
                <w:rFonts w:eastAsia="TimesNewRomanPSMT"/>
                <w:lang w:val="hu-HU"/>
              </w:rPr>
              <w:t>Előzetes interferon-kezelés</w:t>
            </w:r>
          </w:p>
        </w:tc>
        <w:tc>
          <w:tcPr>
            <w:tcW w:w="2199" w:type="dxa"/>
          </w:tcPr>
          <w:p w14:paraId="0CCDF817" w14:textId="77777777" w:rsidR="00A73995" w:rsidRPr="004F37BF" w:rsidRDefault="00A73995" w:rsidP="00C619EF">
            <w:pPr>
              <w:pStyle w:val="TableParagraph"/>
              <w:spacing w:line="232" w:lineRule="exact"/>
              <w:ind w:left="567" w:right="557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58%</w:t>
            </w:r>
          </w:p>
        </w:tc>
        <w:tc>
          <w:tcPr>
            <w:tcW w:w="3099" w:type="dxa"/>
          </w:tcPr>
          <w:p w14:paraId="54B34759" w14:textId="77777777" w:rsidR="00A73995" w:rsidRPr="004F37BF" w:rsidRDefault="00A73995" w:rsidP="00C619EF">
            <w:pPr>
              <w:pStyle w:val="TableParagraph"/>
              <w:spacing w:line="232" w:lineRule="exact"/>
              <w:ind w:left="1016" w:right="1009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50%</w:t>
            </w:r>
          </w:p>
        </w:tc>
      </w:tr>
      <w:tr w:rsidR="00A73995" w:rsidRPr="004F37BF" w14:paraId="7E4DC77C" w14:textId="77777777" w:rsidTr="002935DB">
        <w:trPr>
          <w:trHeight w:val="253"/>
        </w:trPr>
        <w:tc>
          <w:tcPr>
            <w:tcW w:w="3766" w:type="dxa"/>
          </w:tcPr>
          <w:p w14:paraId="2E81FE83" w14:textId="63090A1E" w:rsidR="00A73995" w:rsidRPr="004F37BF" w:rsidRDefault="00765C54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4F37BF">
              <w:rPr>
                <w:rFonts w:eastAsia="TimesNewRomanPSMT"/>
                <w:lang w:val="hu-HU"/>
              </w:rPr>
              <w:t xml:space="preserve">Előzetes </w:t>
            </w:r>
            <w:r w:rsidR="003D4E72">
              <w:rPr>
                <w:rFonts w:eastAsia="TimesNewRomanPSMT"/>
                <w:lang w:val="hu-HU"/>
              </w:rPr>
              <w:t>csontvelő-transzplantáció</w:t>
            </w:r>
          </w:p>
        </w:tc>
        <w:tc>
          <w:tcPr>
            <w:tcW w:w="2199" w:type="dxa"/>
          </w:tcPr>
          <w:p w14:paraId="4C0DBDD5" w14:textId="77777777" w:rsidR="00A73995" w:rsidRPr="004F37BF" w:rsidRDefault="00A73995" w:rsidP="00C619EF">
            <w:pPr>
              <w:pStyle w:val="TableParagraph"/>
              <w:spacing w:line="234" w:lineRule="exact"/>
              <w:ind w:left="567" w:right="557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7%</w:t>
            </w:r>
          </w:p>
        </w:tc>
        <w:tc>
          <w:tcPr>
            <w:tcW w:w="3099" w:type="dxa"/>
          </w:tcPr>
          <w:p w14:paraId="463870D7" w14:textId="77777777" w:rsidR="00A73995" w:rsidRPr="004F37BF" w:rsidRDefault="00A73995" w:rsidP="00C619EF">
            <w:pPr>
              <w:pStyle w:val="TableParagraph"/>
              <w:spacing w:line="234" w:lineRule="exact"/>
              <w:ind w:left="1016" w:right="1009"/>
              <w:jc w:val="center"/>
              <w:rPr>
                <w:lang w:val="hu-HU"/>
              </w:rPr>
            </w:pPr>
            <w:r w:rsidRPr="004F37BF">
              <w:rPr>
                <w:spacing w:val="-5"/>
                <w:lang w:val="hu-HU"/>
              </w:rPr>
              <w:t>8%</w:t>
            </w:r>
          </w:p>
        </w:tc>
      </w:tr>
      <w:tr w:rsidR="00A73995" w:rsidRPr="004F37BF" w14:paraId="36FA19CB" w14:textId="77777777" w:rsidTr="002935DB">
        <w:trPr>
          <w:trHeight w:val="251"/>
        </w:trPr>
        <w:tc>
          <w:tcPr>
            <w:tcW w:w="9064" w:type="dxa"/>
            <w:gridSpan w:val="3"/>
          </w:tcPr>
          <w:p w14:paraId="08EAE905" w14:textId="105095EC" w:rsidR="00A73995" w:rsidRPr="004F37BF" w:rsidRDefault="00765C54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4F37BF">
              <w:rPr>
                <w:lang w:val="hu-HU"/>
              </w:rPr>
              <w:t>* Egy betegnél hiányz</w:t>
            </w:r>
            <w:r w:rsidR="00423997">
              <w:rPr>
                <w:lang w:val="hu-HU"/>
              </w:rPr>
              <w:t>ott</w:t>
            </w:r>
            <w:r w:rsidRPr="004F37BF">
              <w:rPr>
                <w:lang w:val="hu-HU"/>
              </w:rPr>
              <w:t xml:space="preserve"> az imatinib-rezisztencia/intolerancia státuszra vonatkozó információ.</w:t>
            </w:r>
          </w:p>
        </w:tc>
      </w:tr>
    </w:tbl>
    <w:p w14:paraId="1FD8FB84" w14:textId="77777777" w:rsidR="00A73995" w:rsidRDefault="00A73995" w:rsidP="00F62CDF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A05FCD8" w14:textId="06BF7BD4" w:rsidR="00E91443" w:rsidRDefault="00E91443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1443">
        <w:rPr>
          <w:rFonts w:ascii="Times New Roman" w:hAnsi="Times New Roman" w:cs="Times New Roman"/>
          <w:kern w:val="0"/>
        </w:rPr>
        <w:t>A CP-betegek primer végpontjaként a major citogenetikai válasz (MCyR) szolgált, definíciója szerint</w:t>
      </w:r>
      <w:r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 xml:space="preserve">a Ph+ haemopoetikus sejtek eliminációja (CCyR, teljes citogenetikai válasz) vagy </w:t>
      </w:r>
      <w:r w:rsidRPr="00E91443">
        <w:rPr>
          <w:rFonts w:ascii="Times New Roman" w:eastAsia="TimesNewRomanPSMT" w:hAnsi="Times New Roman" w:cs="Times New Roman"/>
          <w:kern w:val="0"/>
        </w:rPr>
        <w:t>jelentős csökkenése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proofErr w:type="gramStart"/>
      <w:r w:rsidRPr="00E91443">
        <w:rPr>
          <w:rFonts w:ascii="Times New Roman" w:hAnsi="Times New Roman" w:cs="Times New Roman"/>
          <w:kern w:val="0"/>
        </w:rPr>
        <w:t>&lt; 35</w:t>
      </w:r>
      <w:proofErr w:type="gramEnd"/>
      <w:r w:rsidRPr="00E91443">
        <w:rPr>
          <w:rFonts w:ascii="Times New Roman" w:hAnsi="Times New Roman" w:cs="Times New Roman"/>
          <w:kern w:val="0"/>
        </w:rPr>
        <w:t>% Ph+ metafázisig (részleges citogenetikai válasz). A teljes hematológiai választ (CHR)</w:t>
      </w:r>
      <w:r w:rsidR="00D34123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CP-betegek esetében másodlagos végpontként definiálták. Az AP-betegek esetében a primer végpont</w:t>
      </w:r>
      <w:r w:rsidR="00D34123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az általános diagnosztizált hematológiai válasz (HR), definíciója szerint vagy teljes hematológiai</w:t>
      </w:r>
      <w:r w:rsidR="00D34123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válasz a leukaemiára utaló bizonyítékok hiányával, vagy a krónikus fázisba való visszatérés.</w:t>
      </w:r>
    </w:p>
    <w:p w14:paraId="1CE99A7F" w14:textId="77777777" w:rsidR="00D34123" w:rsidRPr="00E91443" w:rsidRDefault="00D34123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2C1F157" w14:textId="77777777" w:rsidR="00E91443" w:rsidRPr="00E91443" w:rsidRDefault="00E91443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E91443">
        <w:rPr>
          <w:rFonts w:ascii="Times New Roman" w:hAnsi="Times New Roman" w:cs="Times New Roman"/>
          <w:i/>
          <w:iCs/>
          <w:kern w:val="0"/>
        </w:rPr>
        <w:t>Krónikus fázis</w:t>
      </w:r>
    </w:p>
    <w:p w14:paraId="610731C5" w14:textId="0DB34A72" w:rsidR="00E91443" w:rsidRDefault="00E91443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1443">
        <w:rPr>
          <w:rFonts w:ascii="Times New Roman" w:hAnsi="Times New Roman" w:cs="Times New Roman"/>
          <w:kern w:val="0"/>
        </w:rPr>
        <w:t>Az MCyR-ráta a 321 CP-beteg esetében 51% volt. A válaszadók többsége az MCyR-t gyorsan, a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nilotinib-</w:t>
      </w:r>
      <w:r w:rsidRPr="00E91443">
        <w:rPr>
          <w:rFonts w:ascii="Times New Roman" w:eastAsia="TimesNewRomanPSMT" w:hAnsi="Times New Roman" w:cs="Times New Roman"/>
          <w:kern w:val="0"/>
        </w:rPr>
        <w:t>kezelés kezdetét követő 3</w:t>
      </w:r>
      <w:r w:rsidR="00915ACF">
        <w:rPr>
          <w:rFonts w:ascii="Times New Roman" w:eastAsia="TimesNewRomanPSMT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hónapon (2,8</w:t>
      </w:r>
      <w:r w:rsidR="00747D5E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hónapos medián értéken) belül elérte, és ez tartós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eastAsia="TimesNewRomanPSMT" w:hAnsi="Times New Roman" w:cs="Times New Roman"/>
          <w:kern w:val="0"/>
        </w:rPr>
        <w:t>volt. A CCyR eléréséhez szükséges medián időtartam alig több, mint 3</w:t>
      </w:r>
      <w:r w:rsidR="00915ACF">
        <w:rPr>
          <w:rFonts w:ascii="Times New Roman" w:eastAsia="TimesNewRomanPSMT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 volt (medián: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3,4</w:t>
      </w:r>
      <w:r w:rsidR="001D4833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hónap). A MCyR-</w:t>
      </w:r>
      <w:r w:rsidRPr="00E91443">
        <w:rPr>
          <w:rFonts w:ascii="Times New Roman" w:eastAsia="TimesNewRomanPSMT" w:hAnsi="Times New Roman" w:cs="Times New Roman"/>
          <w:kern w:val="0"/>
        </w:rPr>
        <w:t>t elérő betegek közül 77%</w:t>
      </w:r>
      <w:r w:rsidRPr="00E91443">
        <w:rPr>
          <w:rFonts w:ascii="Times New Roman" w:hAnsi="Times New Roman" w:cs="Times New Roman"/>
          <w:kern w:val="0"/>
        </w:rPr>
        <w:t>-nál (95% CI: 70%</w:t>
      </w:r>
      <w:r w:rsidRPr="00E91443">
        <w:rPr>
          <w:rFonts w:ascii="Times New Roman" w:eastAsia="TimesNewRomanPSMT" w:hAnsi="Times New Roman" w:cs="Times New Roman"/>
          <w:kern w:val="0"/>
        </w:rPr>
        <w:t>–</w:t>
      </w:r>
      <w:r w:rsidRPr="00E91443">
        <w:rPr>
          <w:rFonts w:ascii="Times New Roman" w:hAnsi="Times New Roman" w:cs="Times New Roman"/>
          <w:kern w:val="0"/>
        </w:rPr>
        <w:t>84%) maradt fent a terápiás válasz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a 24.</w:t>
      </w:r>
      <w:r w:rsidR="00915ACF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 xml:space="preserve">hónapban. A MCyR </w:t>
      </w:r>
      <w:r w:rsidRPr="00E91443">
        <w:rPr>
          <w:rFonts w:ascii="Times New Roman" w:eastAsia="TimesNewRomanPSMT" w:hAnsi="Times New Roman" w:cs="Times New Roman"/>
          <w:kern w:val="0"/>
        </w:rPr>
        <w:t>medián időtartamát nem érte el. A CCyR</w:t>
      </w:r>
      <w:r w:rsidRPr="00E91443">
        <w:rPr>
          <w:rFonts w:ascii="Times New Roman" w:hAnsi="Times New Roman" w:cs="Times New Roman"/>
          <w:kern w:val="0"/>
        </w:rPr>
        <w:t>-</w:t>
      </w:r>
      <w:r w:rsidRPr="00E91443">
        <w:rPr>
          <w:rFonts w:ascii="Times New Roman" w:eastAsia="TimesNewRomanPSMT" w:hAnsi="Times New Roman" w:cs="Times New Roman"/>
          <w:kern w:val="0"/>
        </w:rPr>
        <w:t>t elérő betegek közül 85%</w:t>
      </w:r>
      <w:r w:rsidRPr="00E91443">
        <w:rPr>
          <w:rFonts w:ascii="Times New Roman" w:hAnsi="Times New Roman" w:cs="Times New Roman"/>
          <w:kern w:val="0"/>
        </w:rPr>
        <w:t>-nál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(95%-os CI: 78%</w:t>
      </w:r>
      <w:r w:rsidRPr="00E91443">
        <w:rPr>
          <w:rFonts w:ascii="Times New Roman" w:eastAsia="TimesNewRomanPSMT" w:hAnsi="Times New Roman" w:cs="Times New Roman"/>
          <w:kern w:val="0"/>
        </w:rPr>
        <w:t>–</w:t>
      </w:r>
      <w:r w:rsidRPr="00E91443">
        <w:rPr>
          <w:rFonts w:ascii="Times New Roman" w:hAnsi="Times New Roman" w:cs="Times New Roman"/>
          <w:kern w:val="0"/>
        </w:rPr>
        <w:t>93%) maradt fent a terápiás válasz a 24.</w:t>
      </w:r>
      <w:r w:rsidR="0009546B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eastAsia="TimesNewRomanPSMT" w:hAnsi="Times New Roman" w:cs="Times New Roman"/>
          <w:kern w:val="0"/>
        </w:rPr>
        <w:t>hónapban. A CCyR medián időtartamát</w:t>
      </w:r>
      <w:r w:rsidR="0009546B">
        <w:rPr>
          <w:rFonts w:ascii="Times New Roman" w:eastAsia="TimesNewRomanPSMT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nem érte el. A kiindulási id</w:t>
      </w:r>
      <w:r w:rsidRPr="00E91443">
        <w:rPr>
          <w:rFonts w:ascii="Times New Roman" w:eastAsia="TimesNewRomanPSMT" w:hAnsi="Times New Roman" w:cs="Times New Roman"/>
          <w:kern w:val="0"/>
        </w:rPr>
        <w:t>őpontban CHR</w:t>
      </w:r>
      <w:r w:rsidRPr="00E91443">
        <w:rPr>
          <w:rFonts w:ascii="Times New Roman" w:hAnsi="Times New Roman" w:cs="Times New Roman"/>
          <w:kern w:val="0"/>
        </w:rPr>
        <w:t>-s betegek az MCyR-t gyorsabban érték el (1,9 versus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2,8</w:t>
      </w:r>
      <w:r w:rsidR="0009546B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hónap). A kiindulási CHR nélküli CP-betegek 70%-a ért el CHR-t, és a CHR-</w:t>
      </w:r>
      <w:r w:rsidRPr="00E91443">
        <w:rPr>
          <w:rFonts w:ascii="Times New Roman" w:eastAsia="TimesNewRomanPSMT" w:hAnsi="Times New Roman" w:cs="Times New Roman"/>
          <w:kern w:val="0"/>
        </w:rPr>
        <w:t>ig tartó medián idő</w:t>
      </w:r>
      <w:r w:rsidR="0009546B">
        <w:rPr>
          <w:rFonts w:ascii="Times New Roman" w:eastAsia="TimesNewRomanPSMT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1</w:t>
      </w:r>
      <w:r w:rsidR="0009546B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eastAsia="TimesNewRomanPSMT" w:hAnsi="Times New Roman" w:cs="Times New Roman"/>
          <w:kern w:val="0"/>
        </w:rPr>
        <w:t>hónap volt, és a CHR időartamának medián értéke 32,8</w:t>
      </w:r>
      <w:r w:rsidR="0009546B">
        <w:rPr>
          <w:rFonts w:ascii="Times New Roman" w:eastAsia="TimesNewRomanPSMT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 volt. A CML-CP betegek becsült</w:t>
      </w:r>
      <w:r w:rsidR="0009546B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24</w:t>
      </w:r>
      <w:r w:rsidR="0009546B">
        <w:rPr>
          <w:rFonts w:ascii="Times New Roman" w:hAnsi="Times New Roman" w:cs="Times New Roman"/>
          <w:kern w:val="0"/>
        </w:rPr>
        <w:noBreakHyphen/>
      </w:r>
      <w:r w:rsidRPr="00E91443">
        <w:rPr>
          <w:rFonts w:ascii="Times New Roman" w:hAnsi="Times New Roman" w:cs="Times New Roman"/>
          <w:kern w:val="0"/>
        </w:rPr>
        <w:t>hónapos teljes túlélési aránya 87% volt.</w:t>
      </w:r>
    </w:p>
    <w:p w14:paraId="379AABC3" w14:textId="77777777" w:rsidR="0009546B" w:rsidRPr="00E91443" w:rsidRDefault="0009546B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C0D2F5A" w14:textId="77777777" w:rsidR="00E91443" w:rsidRPr="00E91443" w:rsidRDefault="00E91443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</w:rPr>
      </w:pPr>
      <w:r w:rsidRPr="004E0015">
        <w:rPr>
          <w:rFonts w:ascii="Times New Roman" w:hAnsi="Times New Roman" w:cs="Times New Roman"/>
          <w:i/>
          <w:iCs/>
          <w:kern w:val="0"/>
        </w:rPr>
        <w:t>Akcelerált fázis</w:t>
      </w:r>
    </w:p>
    <w:p w14:paraId="4EA4BACE" w14:textId="797CDD90" w:rsidR="00E91443" w:rsidRDefault="00E91443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1443">
        <w:rPr>
          <w:rFonts w:ascii="Times New Roman" w:hAnsi="Times New Roman" w:cs="Times New Roman"/>
          <w:kern w:val="0"/>
        </w:rPr>
        <w:t>Az általános diagnosztizált HR-ráta 137 AP-beteg esetében 50% volt. A terápiás választ adók</w:t>
      </w:r>
      <w:r w:rsidR="00915ACF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legtöbbje a HR-t a nilotinib-</w:t>
      </w:r>
      <w:r w:rsidRPr="00E91443">
        <w:rPr>
          <w:rFonts w:ascii="Times New Roman" w:eastAsia="TimesNewRomanPSMT" w:hAnsi="Times New Roman" w:cs="Times New Roman"/>
          <w:kern w:val="0"/>
        </w:rPr>
        <w:t>kezelés megkezdését követően gyorsan (1,0</w:t>
      </w:r>
      <w:r w:rsidR="00915ACF">
        <w:rPr>
          <w:rFonts w:ascii="Times New Roman" w:eastAsia="TimesNewRomanPSMT" w:hAnsi="Times New Roman" w:cs="Times New Roman"/>
          <w:kern w:val="0"/>
        </w:rPr>
        <w:t> </w:t>
      </w:r>
      <w:r w:rsidRPr="00E91443">
        <w:rPr>
          <w:rFonts w:ascii="Times New Roman" w:eastAsia="TimesNewRomanPSMT" w:hAnsi="Times New Roman" w:cs="Times New Roman"/>
          <w:kern w:val="0"/>
        </w:rPr>
        <w:t>hónapos medián időtartam</w:t>
      </w:r>
      <w:r w:rsidR="00915ACF">
        <w:rPr>
          <w:rFonts w:ascii="Times New Roman" w:eastAsia="TimesNewRomanPSMT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 xml:space="preserve">alatt) </w:t>
      </w:r>
      <w:r w:rsidRPr="00E91443">
        <w:rPr>
          <w:rFonts w:ascii="Times New Roman" w:eastAsia="TimesNewRomanPSMT" w:hAnsi="Times New Roman" w:cs="Times New Roman"/>
          <w:kern w:val="0"/>
        </w:rPr>
        <w:t>érte el, ami tartósan fennmaradt (a bizonyított HR medián időtartama 24,2</w:t>
      </w:r>
      <w:r w:rsidR="00201EA3">
        <w:rPr>
          <w:rFonts w:ascii="Times New Roman" w:eastAsia="TimesNewRomanPSMT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 volt). A HR-t</w:t>
      </w:r>
      <w:r w:rsidR="00915ACF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eastAsia="TimesNewRomanPSMT" w:hAnsi="Times New Roman" w:cs="Times New Roman"/>
          <w:kern w:val="0"/>
        </w:rPr>
        <w:t xml:space="preserve">elérő betegek közül </w:t>
      </w:r>
      <w:r w:rsidRPr="00E91443">
        <w:rPr>
          <w:rFonts w:ascii="Times New Roman" w:hAnsi="Times New Roman" w:cs="Times New Roman"/>
          <w:kern w:val="0"/>
        </w:rPr>
        <w:t>53%-nál (95%-os CI: 39%</w:t>
      </w:r>
      <w:r w:rsidRPr="00E91443">
        <w:rPr>
          <w:rFonts w:ascii="Times New Roman" w:eastAsia="TimesNewRomanPSMT" w:hAnsi="Times New Roman" w:cs="Times New Roman"/>
          <w:kern w:val="0"/>
        </w:rPr>
        <w:t>–</w:t>
      </w:r>
      <w:r w:rsidRPr="00E91443">
        <w:rPr>
          <w:rFonts w:ascii="Times New Roman" w:hAnsi="Times New Roman" w:cs="Times New Roman"/>
          <w:kern w:val="0"/>
        </w:rPr>
        <w:t>67%) maradt fent a válasz a 24.</w:t>
      </w:r>
      <w:r w:rsidR="00915ACF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hónapban. Az</w:t>
      </w:r>
      <w:r w:rsidR="00915ACF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MCyR-ráta 30% volt, 2,8</w:t>
      </w:r>
      <w:r w:rsidR="00915ACF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eastAsia="TimesNewRomanPSMT" w:hAnsi="Times New Roman" w:cs="Times New Roman"/>
          <w:kern w:val="0"/>
        </w:rPr>
        <w:t xml:space="preserve">hónapos medián időtartammal a terápiás válaszig. </w:t>
      </w:r>
      <w:r w:rsidRPr="00E91443">
        <w:rPr>
          <w:rFonts w:ascii="Times New Roman" w:hAnsi="Times New Roman" w:cs="Times New Roman"/>
          <w:kern w:val="0"/>
        </w:rPr>
        <w:t>A MCyR-</w:t>
      </w:r>
      <w:r w:rsidRPr="00E91443">
        <w:rPr>
          <w:rFonts w:ascii="Times New Roman" w:eastAsia="TimesNewRomanPSMT" w:hAnsi="Times New Roman" w:cs="Times New Roman"/>
          <w:kern w:val="0"/>
        </w:rPr>
        <w:t>t elérő betegek</w:t>
      </w:r>
      <w:r w:rsidR="00915ACF">
        <w:rPr>
          <w:rFonts w:ascii="Times New Roman" w:eastAsia="TimesNewRomanPSMT" w:hAnsi="Times New Roman" w:cs="Times New Roman"/>
          <w:kern w:val="0"/>
        </w:rPr>
        <w:t xml:space="preserve"> </w:t>
      </w:r>
      <w:r w:rsidRPr="00E91443">
        <w:rPr>
          <w:rFonts w:ascii="Times New Roman" w:hAnsi="Times New Roman" w:cs="Times New Roman"/>
          <w:kern w:val="0"/>
        </w:rPr>
        <w:t>közül 63%-nál (95%-os CI: 45%</w:t>
      </w:r>
      <w:r w:rsidRPr="00E91443">
        <w:rPr>
          <w:rFonts w:ascii="Times New Roman" w:eastAsia="TimesNewRomanPSMT" w:hAnsi="Times New Roman" w:cs="Times New Roman"/>
          <w:kern w:val="0"/>
        </w:rPr>
        <w:t>–</w:t>
      </w:r>
      <w:r w:rsidRPr="00E91443">
        <w:rPr>
          <w:rFonts w:ascii="Times New Roman" w:hAnsi="Times New Roman" w:cs="Times New Roman"/>
          <w:kern w:val="0"/>
        </w:rPr>
        <w:t>80%) maradt fent a válasz a 24.</w:t>
      </w:r>
      <w:r w:rsidR="00915ACF">
        <w:rPr>
          <w:rFonts w:ascii="Times New Roman" w:hAnsi="Times New Roman" w:cs="Times New Roman"/>
          <w:kern w:val="0"/>
        </w:rPr>
        <w:t> </w:t>
      </w:r>
      <w:r w:rsidRPr="00E91443">
        <w:rPr>
          <w:rFonts w:ascii="Times New Roman" w:hAnsi="Times New Roman" w:cs="Times New Roman"/>
          <w:kern w:val="0"/>
        </w:rPr>
        <w:t>hónapban. A MCyR medián</w:t>
      </w:r>
      <w:r w:rsidR="00915ACF">
        <w:rPr>
          <w:rFonts w:ascii="Times New Roman" w:hAnsi="Times New Roman" w:cs="Times New Roman"/>
          <w:kern w:val="0"/>
        </w:rPr>
        <w:t xml:space="preserve"> </w:t>
      </w:r>
      <w:r w:rsidRPr="00E91443">
        <w:rPr>
          <w:rFonts w:ascii="Times New Roman" w:eastAsia="TimesNewRomanPSMT" w:hAnsi="Times New Roman" w:cs="Times New Roman"/>
          <w:kern w:val="0"/>
        </w:rPr>
        <w:t xml:space="preserve">időtartama 32,7 </w:t>
      </w:r>
      <w:r w:rsidRPr="00E91443">
        <w:rPr>
          <w:rFonts w:ascii="Times New Roman" w:hAnsi="Times New Roman" w:cs="Times New Roman"/>
          <w:kern w:val="0"/>
        </w:rPr>
        <w:t>hónap volt. A CML-AP betegek becsült, 24-hónapos teljes túlélési aránya 70% volt.</w:t>
      </w:r>
    </w:p>
    <w:p w14:paraId="6D05FBAE" w14:textId="77777777" w:rsidR="00915ACF" w:rsidRPr="00E91443" w:rsidRDefault="00915ACF" w:rsidP="00E9144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5E92CBB" w14:textId="6CD6199B" w:rsidR="00233B7F" w:rsidRDefault="00E91443" w:rsidP="00E9144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1443">
        <w:rPr>
          <w:rFonts w:ascii="Times New Roman" w:hAnsi="Times New Roman" w:cs="Times New Roman"/>
          <w:kern w:val="0"/>
        </w:rPr>
        <w:t>A 10. táblázat mutatja a két kezelési ágban megfigyelt terápiás válaszok arányait.</w:t>
      </w:r>
    </w:p>
    <w:p w14:paraId="10D91AFA" w14:textId="652BC9AA" w:rsidR="009066AE" w:rsidRPr="00027697" w:rsidRDefault="00233B7F" w:rsidP="00027697">
      <w:pPr>
        <w:keepNext/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 w:cs="Times New Roman"/>
          <w:b/>
          <w:bCs/>
          <w:kern w:val="0"/>
        </w:rPr>
      </w:pPr>
      <w:r w:rsidRPr="00027697">
        <w:rPr>
          <w:rFonts w:ascii="Times New Roman" w:hAnsi="Times New Roman" w:cs="Times New Roman"/>
          <w:b/>
          <w:bCs/>
          <w:kern w:val="0"/>
        </w:rPr>
        <w:t>10. táblázat Terápiás válasz CML-ben</w:t>
      </w:r>
    </w:p>
    <w:p w14:paraId="75AF54B4" w14:textId="77777777" w:rsidR="00233B7F" w:rsidRDefault="00233B7F" w:rsidP="00E9144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tbl>
      <w:tblPr>
        <w:tblW w:w="9115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7"/>
        <w:gridCol w:w="1148"/>
        <w:gridCol w:w="1152"/>
        <w:gridCol w:w="1200"/>
        <w:gridCol w:w="1149"/>
        <w:gridCol w:w="1150"/>
        <w:gridCol w:w="1149"/>
      </w:tblGrid>
      <w:tr w:rsidR="009066AE" w:rsidRPr="00876F1C" w14:paraId="3C9A7856" w14:textId="77777777" w:rsidTr="00AF0E34">
        <w:trPr>
          <w:trHeight w:val="506"/>
        </w:trPr>
        <w:tc>
          <w:tcPr>
            <w:tcW w:w="2167" w:type="dxa"/>
          </w:tcPr>
          <w:p w14:paraId="73B8FF44" w14:textId="77777777" w:rsidR="00876F1C" w:rsidRPr="00876F1C" w:rsidRDefault="00876F1C" w:rsidP="00876F1C">
            <w:pPr>
              <w:pStyle w:val="TableParagraph"/>
              <w:spacing w:line="251" w:lineRule="exact"/>
              <w:rPr>
                <w:lang w:val="hu-HU"/>
              </w:rPr>
            </w:pPr>
            <w:r w:rsidRPr="00876F1C">
              <w:rPr>
                <w:lang w:val="hu-HU"/>
              </w:rPr>
              <w:t>(Legjobb terápiás</w:t>
            </w:r>
          </w:p>
          <w:p w14:paraId="33F0824E" w14:textId="1B25B616" w:rsidR="009066AE" w:rsidRPr="00876F1C" w:rsidRDefault="00876F1C" w:rsidP="00876F1C">
            <w:pPr>
              <w:pStyle w:val="TableParagraph"/>
              <w:spacing w:line="251" w:lineRule="exact"/>
              <w:rPr>
                <w:lang w:val="hu-HU"/>
              </w:rPr>
            </w:pPr>
            <w:r w:rsidRPr="00876F1C">
              <w:rPr>
                <w:lang w:val="hu-HU"/>
              </w:rPr>
              <w:t>válaszarány)</w:t>
            </w:r>
          </w:p>
        </w:tc>
        <w:tc>
          <w:tcPr>
            <w:tcW w:w="3500" w:type="dxa"/>
            <w:gridSpan w:val="3"/>
          </w:tcPr>
          <w:p w14:paraId="2CC3AD79" w14:textId="31800C76" w:rsidR="009066AE" w:rsidRPr="00876F1C" w:rsidRDefault="009066AE" w:rsidP="00C619EF">
            <w:pPr>
              <w:pStyle w:val="TableParagraph"/>
              <w:spacing w:line="251" w:lineRule="exact"/>
              <w:ind w:left="1066"/>
              <w:rPr>
                <w:b/>
                <w:lang w:val="hu-HU"/>
              </w:rPr>
            </w:pPr>
            <w:r w:rsidRPr="00876F1C">
              <w:rPr>
                <w:b/>
                <w:lang w:val="hu-HU"/>
              </w:rPr>
              <w:t>Krónikus fázis</w:t>
            </w:r>
          </w:p>
        </w:tc>
        <w:tc>
          <w:tcPr>
            <w:tcW w:w="3448" w:type="dxa"/>
            <w:gridSpan w:val="3"/>
          </w:tcPr>
          <w:p w14:paraId="69E2CB34" w14:textId="1E5ABEF7" w:rsidR="009066AE" w:rsidRPr="00876F1C" w:rsidRDefault="009066AE" w:rsidP="00C619EF">
            <w:pPr>
              <w:pStyle w:val="TableParagraph"/>
              <w:spacing w:line="251" w:lineRule="exact"/>
              <w:ind w:left="871"/>
              <w:rPr>
                <w:b/>
                <w:lang w:val="hu-HU"/>
              </w:rPr>
            </w:pPr>
            <w:r w:rsidRPr="00876F1C">
              <w:rPr>
                <w:b/>
                <w:lang w:val="hu-HU"/>
              </w:rPr>
              <w:t>Akcerelált fázis</w:t>
            </w:r>
          </w:p>
        </w:tc>
      </w:tr>
      <w:tr w:rsidR="009066AE" w:rsidRPr="00876F1C" w14:paraId="41A39C55" w14:textId="77777777" w:rsidTr="00AF0E34">
        <w:trPr>
          <w:trHeight w:val="760"/>
        </w:trPr>
        <w:tc>
          <w:tcPr>
            <w:tcW w:w="2167" w:type="dxa"/>
          </w:tcPr>
          <w:p w14:paraId="0D074B0B" w14:textId="77777777" w:rsidR="009066AE" w:rsidRPr="00876F1C" w:rsidRDefault="009066AE" w:rsidP="009066AE">
            <w:pPr>
              <w:pStyle w:val="TableParagraph"/>
              <w:spacing w:line="236" w:lineRule="exact"/>
              <w:ind w:left="105"/>
              <w:rPr>
                <w:b/>
                <w:lang w:val="hu-HU"/>
              </w:rPr>
            </w:pPr>
          </w:p>
        </w:tc>
        <w:tc>
          <w:tcPr>
            <w:tcW w:w="1148" w:type="dxa"/>
          </w:tcPr>
          <w:p w14:paraId="6BD6A9A1" w14:textId="64F3DF8D" w:rsidR="009066AE" w:rsidRPr="00876F1C" w:rsidRDefault="009066AE" w:rsidP="009066AE">
            <w:pPr>
              <w:pStyle w:val="TableParagraph"/>
              <w:spacing w:line="236" w:lineRule="exact"/>
              <w:ind w:left="105" w:right="127"/>
              <w:rPr>
                <w:b/>
                <w:lang w:val="hu-HU"/>
              </w:rPr>
            </w:pPr>
            <w:r w:rsidRPr="00876F1C">
              <w:rPr>
                <w:b/>
                <w:lang w:val="hu-HU"/>
              </w:rPr>
              <w:t>Intole</w:t>
            </w:r>
            <w:r w:rsidRPr="00876F1C">
              <w:rPr>
                <w:b/>
                <w:lang w:val="hu-HU"/>
              </w:rPr>
              <w:softHyphen/>
              <w:t>ráns</w:t>
            </w:r>
          </w:p>
          <w:p w14:paraId="25366E04" w14:textId="77777777" w:rsidR="009066AE" w:rsidRPr="00876F1C" w:rsidRDefault="009066AE" w:rsidP="009066AE">
            <w:pPr>
              <w:pStyle w:val="TableParagraph"/>
              <w:spacing w:line="236" w:lineRule="exact"/>
              <w:ind w:left="105"/>
              <w:rPr>
                <w:b/>
                <w:lang w:val="hu-HU"/>
              </w:rPr>
            </w:pPr>
            <w:r w:rsidRPr="00876F1C">
              <w:rPr>
                <w:b/>
                <w:lang w:val="hu-HU"/>
              </w:rPr>
              <w:t>(n=95)</w:t>
            </w:r>
          </w:p>
        </w:tc>
        <w:tc>
          <w:tcPr>
            <w:tcW w:w="1152" w:type="dxa"/>
          </w:tcPr>
          <w:p w14:paraId="342751EA" w14:textId="6FFD56B2" w:rsidR="009066AE" w:rsidRPr="00876F1C" w:rsidRDefault="009066AE" w:rsidP="00C619EF">
            <w:pPr>
              <w:pStyle w:val="TableParagraph"/>
              <w:rPr>
                <w:b/>
                <w:lang w:val="hu-HU"/>
              </w:rPr>
            </w:pPr>
            <w:r w:rsidRPr="00876F1C">
              <w:rPr>
                <w:b/>
                <w:spacing w:val="-2"/>
                <w:lang w:val="hu-HU"/>
              </w:rPr>
              <w:t>Rezisztens (n=226)</w:t>
            </w:r>
          </w:p>
        </w:tc>
        <w:tc>
          <w:tcPr>
            <w:tcW w:w="1200" w:type="dxa"/>
          </w:tcPr>
          <w:p w14:paraId="637E5C44" w14:textId="4F9B205F" w:rsidR="009066AE" w:rsidRPr="00876F1C" w:rsidRDefault="009066AE" w:rsidP="00C619EF">
            <w:pPr>
              <w:pStyle w:val="TableParagraph"/>
              <w:ind w:left="105" w:right="354"/>
              <w:rPr>
                <w:b/>
                <w:lang w:val="hu-HU"/>
              </w:rPr>
            </w:pPr>
            <w:r w:rsidRPr="00876F1C">
              <w:rPr>
                <w:b/>
                <w:spacing w:val="-2"/>
                <w:lang w:val="hu-HU"/>
              </w:rPr>
              <w:t>Összes (n=321)</w:t>
            </w:r>
          </w:p>
        </w:tc>
        <w:tc>
          <w:tcPr>
            <w:tcW w:w="1149" w:type="dxa"/>
          </w:tcPr>
          <w:p w14:paraId="6D0422CD" w14:textId="375179D0" w:rsidR="009066AE" w:rsidRPr="00876F1C" w:rsidRDefault="009066AE" w:rsidP="00C619EF">
            <w:pPr>
              <w:pStyle w:val="TableParagraph"/>
              <w:spacing w:line="236" w:lineRule="exact"/>
              <w:ind w:left="108"/>
              <w:rPr>
                <w:b/>
                <w:lang w:val="hu-HU"/>
              </w:rPr>
            </w:pPr>
            <w:r w:rsidRPr="00876F1C">
              <w:rPr>
                <w:b/>
                <w:spacing w:val="-2"/>
                <w:lang w:val="hu-HU"/>
              </w:rPr>
              <w:t>Intoleráns (n=27)</w:t>
            </w:r>
          </w:p>
        </w:tc>
        <w:tc>
          <w:tcPr>
            <w:tcW w:w="1150" w:type="dxa"/>
          </w:tcPr>
          <w:p w14:paraId="52B7F6CD" w14:textId="24951798" w:rsidR="009066AE" w:rsidRPr="00876F1C" w:rsidRDefault="009066AE" w:rsidP="00C619EF">
            <w:pPr>
              <w:pStyle w:val="TableParagraph"/>
              <w:ind w:left="108"/>
              <w:rPr>
                <w:b/>
                <w:lang w:val="hu-HU"/>
              </w:rPr>
            </w:pPr>
            <w:r w:rsidRPr="00876F1C">
              <w:rPr>
                <w:b/>
                <w:spacing w:val="-2"/>
                <w:lang w:val="hu-HU"/>
              </w:rPr>
              <w:t>Rezisztens (n=109)</w:t>
            </w:r>
          </w:p>
        </w:tc>
        <w:tc>
          <w:tcPr>
            <w:tcW w:w="1149" w:type="dxa"/>
          </w:tcPr>
          <w:p w14:paraId="7684043D" w14:textId="0BF46AEC" w:rsidR="009066AE" w:rsidRPr="00876F1C" w:rsidRDefault="009066AE" w:rsidP="00C619EF">
            <w:pPr>
              <w:pStyle w:val="TableParagraph"/>
              <w:ind w:left="108" w:right="300"/>
              <w:rPr>
                <w:b/>
                <w:lang w:val="hu-HU"/>
              </w:rPr>
            </w:pPr>
            <w:r w:rsidRPr="00876F1C">
              <w:rPr>
                <w:b/>
                <w:spacing w:val="-2"/>
                <w:lang w:val="hu-HU"/>
              </w:rPr>
              <w:t>Összes* (n=137)</w:t>
            </w:r>
          </w:p>
        </w:tc>
      </w:tr>
      <w:tr w:rsidR="009066AE" w:rsidRPr="00876F1C" w14:paraId="79BAC318" w14:textId="77777777" w:rsidTr="00AF0E34">
        <w:trPr>
          <w:trHeight w:val="506"/>
        </w:trPr>
        <w:tc>
          <w:tcPr>
            <w:tcW w:w="9115" w:type="dxa"/>
            <w:gridSpan w:val="7"/>
          </w:tcPr>
          <w:p w14:paraId="3CB1529A" w14:textId="0C96DE0F" w:rsidR="009066AE" w:rsidRPr="00876F1C" w:rsidRDefault="00042309" w:rsidP="00322D66">
            <w:pPr>
              <w:autoSpaceDE w:val="0"/>
              <w:autoSpaceDN w:val="0"/>
              <w:adjustRightInd w:val="0"/>
              <w:spacing w:after="0" w:line="240" w:lineRule="auto"/>
            </w:pPr>
            <w:r w:rsidRPr="00876F1C">
              <w:rPr>
                <w:rFonts w:ascii="Times New Roman" w:hAnsi="Times New Roman" w:cs="Times New Roman"/>
                <w:kern w:val="0"/>
              </w:rPr>
              <w:t>Hematológiai</w:t>
            </w:r>
            <w:r w:rsidR="00322D66" w:rsidRPr="00876F1C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876F1C">
              <w:rPr>
                <w:rFonts w:ascii="Times New Roman" w:hAnsi="Times New Roman" w:cs="Times New Roman"/>
                <w:kern w:val="0"/>
              </w:rPr>
              <w:t>válasz (%)</w:t>
            </w:r>
          </w:p>
        </w:tc>
      </w:tr>
      <w:tr w:rsidR="009066AE" w:rsidRPr="00876F1C" w14:paraId="15F23B4F" w14:textId="77777777" w:rsidTr="00AF0E34">
        <w:trPr>
          <w:trHeight w:val="1264"/>
        </w:trPr>
        <w:tc>
          <w:tcPr>
            <w:tcW w:w="2167" w:type="dxa"/>
          </w:tcPr>
          <w:p w14:paraId="229552D1" w14:textId="77777777" w:rsidR="00042309" w:rsidRPr="00876F1C" w:rsidRDefault="00042309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Általános (95%CI)</w:t>
            </w:r>
          </w:p>
          <w:p w14:paraId="5596D3D2" w14:textId="77777777" w:rsidR="00042309" w:rsidRPr="00876F1C" w:rsidRDefault="00042309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Teljes</w:t>
            </w:r>
          </w:p>
          <w:p w14:paraId="16490C76" w14:textId="77777777" w:rsidR="00042309" w:rsidRPr="00876F1C" w:rsidRDefault="00042309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NEL</w:t>
            </w:r>
          </w:p>
          <w:p w14:paraId="6F190903" w14:textId="7E94373A" w:rsidR="009066AE" w:rsidRPr="00876F1C" w:rsidRDefault="00042309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Visszatérés CP-b</w:t>
            </w:r>
            <w:r w:rsidR="004E0015">
              <w:rPr>
                <w:spacing w:val="-10"/>
                <w:lang w:val="hu-HU"/>
              </w:rPr>
              <w:t>e</w:t>
            </w:r>
          </w:p>
        </w:tc>
        <w:tc>
          <w:tcPr>
            <w:tcW w:w="1148" w:type="dxa"/>
          </w:tcPr>
          <w:p w14:paraId="4B67D234" w14:textId="77777777" w:rsidR="00986F45" w:rsidRPr="00876F1C" w:rsidRDefault="009066AE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 xml:space="preserve">- </w:t>
            </w:r>
          </w:p>
          <w:p w14:paraId="0C4BD990" w14:textId="77777777" w:rsidR="00986F45" w:rsidRPr="00876F1C" w:rsidRDefault="009066AE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87</w:t>
            </w:r>
            <w:r w:rsidR="00322D66" w:rsidRPr="00876F1C">
              <w:rPr>
                <w:spacing w:val="-10"/>
                <w:lang w:val="hu-HU"/>
              </w:rPr>
              <w:t xml:space="preserve"> </w:t>
            </w:r>
            <w:r w:rsidRPr="00876F1C">
              <w:rPr>
                <w:spacing w:val="-10"/>
                <w:lang w:val="hu-HU"/>
              </w:rPr>
              <w:t>(74-94)</w:t>
            </w:r>
          </w:p>
          <w:p w14:paraId="1719F31F" w14:textId="3BF9272B" w:rsidR="00803041" w:rsidRPr="00876F1C" w:rsidRDefault="009066AE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-</w:t>
            </w:r>
            <w:r w:rsidR="00803041" w:rsidRPr="00876F1C">
              <w:rPr>
                <w:spacing w:val="-10"/>
                <w:lang w:val="hu-HU"/>
              </w:rPr>
              <w:t xml:space="preserve"> </w:t>
            </w:r>
          </w:p>
          <w:p w14:paraId="0763F415" w14:textId="6266A6CD" w:rsidR="009066AE" w:rsidRPr="00876F1C" w:rsidRDefault="009066AE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-</w:t>
            </w:r>
          </w:p>
        </w:tc>
        <w:tc>
          <w:tcPr>
            <w:tcW w:w="1152" w:type="dxa"/>
          </w:tcPr>
          <w:p w14:paraId="1CDC8CAF" w14:textId="77777777" w:rsidR="00986F45" w:rsidRPr="00876F1C" w:rsidRDefault="009066AE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 xml:space="preserve">- </w:t>
            </w:r>
          </w:p>
          <w:p w14:paraId="712289E6" w14:textId="54E629C0" w:rsidR="009066AE" w:rsidRPr="00876F1C" w:rsidRDefault="009066AE" w:rsidP="00803041">
            <w:pPr>
              <w:pStyle w:val="TableParagraph"/>
              <w:ind w:right="17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65</w:t>
            </w:r>
            <w:r w:rsidR="00803041" w:rsidRPr="00876F1C">
              <w:rPr>
                <w:spacing w:val="-10"/>
                <w:lang w:val="hu-HU"/>
              </w:rPr>
              <w:t xml:space="preserve"> </w:t>
            </w:r>
            <w:r w:rsidRPr="00876F1C">
              <w:rPr>
                <w:spacing w:val="-10"/>
                <w:lang w:val="hu-HU"/>
              </w:rPr>
              <w:t>(56-72)</w:t>
            </w:r>
          </w:p>
          <w:p w14:paraId="55111FE9" w14:textId="77777777" w:rsidR="009066AE" w:rsidRPr="00876F1C" w:rsidRDefault="009066AE" w:rsidP="00C619EF">
            <w:pPr>
              <w:pStyle w:val="TableParagraph"/>
              <w:spacing w:line="252" w:lineRule="exact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-</w:t>
            </w:r>
          </w:p>
          <w:p w14:paraId="0D020218" w14:textId="77777777" w:rsidR="009066AE" w:rsidRPr="00876F1C" w:rsidRDefault="009066AE" w:rsidP="00C619EF">
            <w:pPr>
              <w:pStyle w:val="TableParagraph"/>
              <w:spacing w:line="235" w:lineRule="exact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-</w:t>
            </w:r>
          </w:p>
        </w:tc>
        <w:tc>
          <w:tcPr>
            <w:tcW w:w="1200" w:type="dxa"/>
          </w:tcPr>
          <w:p w14:paraId="7D1FD3EC" w14:textId="77777777" w:rsidR="007B4DEE" w:rsidRPr="00876F1C" w:rsidRDefault="009066AE" w:rsidP="007B4DEE">
            <w:pPr>
              <w:pStyle w:val="TableParagraph"/>
              <w:tabs>
                <w:tab w:val="left" w:pos="267"/>
              </w:tabs>
              <w:ind w:left="105" w:right="366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 xml:space="preserve">- </w:t>
            </w:r>
          </w:p>
          <w:p w14:paraId="7F0C2529" w14:textId="2421839D" w:rsidR="00843653" w:rsidRPr="00876F1C" w:rsidRDefault="009066AE" w:rsidP="00843653">
            <w:pPr>
              <w:pStyle w:val="TableParagraph"/>
              <w:tabs>
                <w:tab w:val="left" w:pos="125"/>
              </w:tabs>
              <w:ind w:left="105" w:right="225" w:hanging="105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70</w:t>
            </w:r>
            <w:r w:rsidRPr="00876F1C">
              <w:rPr>
                <w:spacing w:val="-10"/>
                <w:vertAlign w:val="superscript"/>
                <w:lang w:val="hu-HU"/>
              </w:rPr>
              <w:t>1</w:t>
            </w:r>
            <w:r w:rsidR="00986F45" w:rsidRPr="00876F1C">
              <w:rPr>
                <w:spacing w:val="-10"/>
                <w:lang w:val="hu-HU"/>
              </w:rPr>
              <w:t xml:space="preserve"> </w:t>
            </w:r>
            <w:r w:rsidRPr="00876F1C">
              <w:rPr>
                <w:spacing w:val="-10"/>
                <w:lang w:val="hu-HU"/>
              </w:rPr>
              <w:t>(63-76</w:t>
            </w:r>
            <w:r w:rsidR="00843653" w:rsidRPr="00876F1C">
              <w:rPr>
                <w:spacing w:val="-10"/>
                <w:lang w:val="hu-HU"/>
              </w:rPr>
              <w:t>)</w:t>
            </w:r>
          </w:p>
          <w:p w14:paraId="7AE6ABBE" w14:textId="77777777" w:rsidR="009066AE" w:rsidRPr="00876F1C" w:rsidRDefault="009066AE" w:rsidP="00C619EF">
            <w:pPr>
              <w:pStyle w:val="TableParagraph"/>
              <w:spacing w:line="252" w:lineRule="exact"/>
              <w:ind w:left="105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-</w:t>
            </w:r>
          </w:p>
          <w:p w14:paraId="3ACDB26C" w14:textId="7E5791C7" w:rsidR="00843653" w:rsidRPr="00876F1C" w:rsidRDefault="00843653" w:rsidP="00C619EF">
            <w:pPr>
              <w:pStyle w:val="TableParagraph"/>
              <w:spacing w:line="252" w:lineRule="exact"/>
              <w:ind w:left="105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-</w:t>
            </w:r>
          </w:p>
        </w:tc>
        <w:tc>
          <w:tcPr>
            <w:tcW w:w="1149" w:type="dxa"/>
          </w:tcPr>
          <w:p w14:paraId="1B41218A" w14:textId="102B8F02" w:rsidR="009066AE" w:rsidRPr="00876F1C" w:rsidRDefault="009066AE" w:rsidP="00843653">
            <w:pPr>
              <w:pStyle w:val="TableParagraph"/>
              <w:spacing w:line="251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48</w:t>
            </w:r>
            <w:r w:rsidR="00843653" w:rsidRPr="00876F1C">
              <w:rPr>
                <w:spacing w:val="-10"/>
                <w:lang w:val="hu-HU"/>
              </w:rPr>
              <w:t xml:space="preserve"> </w:t>
            </w:r>
            <w:r w:rsidRPr="00876F1C">
              <w:rPr>
                <w:spacing w:val="-10"/>
                <w:lang w:val="hu-HU"/>
              </w:rPr>
              <w:t>(29-68)</w:t>
            </w:r>
          </w:p>
          <w:p w14:paraId="2CB0783D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37</w:t>
            </w:r>
          </w:p>
          <w:p w14:paraId="09017A81" w14:textId="77777777" w:rsidR="009066AE" w:rsidRPr="00876F1C" w:rsidRDefault="009066AE" w:rsidP="00C619EF">
            <w:pPr>
              <w:pStyle w:val="TableParagraph"/>
              <w:spacing w:line="252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7</w:t>
            </w:r>
          </w:p>
          <w:p w14:paraId="18C55F23" w14:textId="77777777" w:rsidR="009066AE" w:rsidRPr="00876F1C" w:rsidRDefault="009066AE" w:rsidP="00C619EF">
            <w:pPr>
              <w:pStyle w:val="TableParagraph"/>
              <w:spacing w:line="235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4</w:t>
            </w:r>
          </w:p>
        </w:tc>
        <w:tc>
          <w:tcPr>
            <w:tcW w:w="1150" w:type="dxa"/>
          </w:tcPr>
          <w:p w14:paraId="27FE2F30" w14:textId="7CF9BEDC" w:rsidR="009066AE" w:rsidRPr="00876F1C" w:rsidRDefault="009066AE" w:rsidP="00843653">
            <w:pPr>
              <w:pStyle w:val="TableParagraph"/>
              <w:spacing w:line="251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51</w:t>
            </w:r>
            <w:r w:rsidR="00843653" w:rsidRPr="00876F1C">
              <w:rPr>
                <w:spacing w:val="-10"/>
                <w:lang w:val="hu-HU"/>
              </w:rPr>
              <w:t xml:space="preserve"> </w:t>
            </w:r>
            <w:r w:rsidRPr="00876F1C">
              <w:rPr>
                <w:spacing w:val="-10"/>
                <w:lang w:val="hu-HU"/>
              </w:rPr>
              <w:t>(42-61)</w:t>
            </w:r>
          </w:p>
          <w:p w14:paraId="5D650446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28</w:t>
            </w:r>
          </w:p>
          <w:p w14:paraId="0761E858" w14:textId="77777777" w:rsidR="009066AE" w:rsidRPr="00876F1C" w:rsidRDefault="009066AE" w:rsidP="00C619EF">
            <w:pPr>
              <w:pStyle w:val="TableParagraph"/>
              <w:spacing w:line="252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10</w:t>
            </w:r>
          </w:p>
          <w:p w14:paraId="521B358F" w14:textId="77777777" w:rsidR="009066AE" w:rsidRPr="00876F1C" w:rsidRDefault="009066AE" w:rsidP="00C619EF">
            <w:pPr>
              <w:pStyle w:val="TableParagraph"/>
              <w:spacing w:line="235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13</w:t>
            </w:r>
          </w:p>
        </w:tc>
        <w:tc>
          <w:tcPr>
            <w:tcW w:w="1149" w:type="dxa"/>
          </w:tcPr>
          <w:p w14:paraId="276CAA9F" w14:textId="00300047" w:rsidR="009066AE" w:rsidRPr="00876F1C" w:rsidRDefault="009066AE" w:rsidP="00843653">
            <w:pPr>
              <w:pStyle w:val="TableParagraph"/>
              <w:spacing w:line="251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50</w:t>
            </w:r>
            <w:r w:rsidR="00843653" w:rsidRPr="00876F1C">
              <w:rPr>
                <w:spacing w:val="-10"/>
                <w:lang w:val="hu-HU"/>
              </w:rPr>
              <w:t xml:space="preserve"> </w:t>
            </w:r>
            <w:r w:rsidRPr="00876F1C">
              <w:rPr>
                <w:spacing w:val="-10"/>
                <w:lang w:val="hu-HU"/>
              </w:rPr>
              <w:t>(42-59)</w:t>
            </w:r>
          </w:p>
          <w:p w14:paraId="0EDA7034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30</w:t>
            </w:r>
          </w:p>
          <w:p w14:paraId="6D0F3795" w14:textId="77777777" w:rsidR="009066AE" w:rsidRPr="00876F1C" w:rsidRDefault="009066AE" w:rsidP="00C619EF">
            <w:pPr>
              <w:pStyle w:val="TableParagraph"/>
              <w:spacing w:line="252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9</w:t>
            </w:r>
          </w:p>
          <w:p w14:paraId="7BD42DE9" w14:textId="77777777" w:rsidR="009066AE" w:rsidRPr="00876F1C" w:rsidRDefault="009066AE" w:rsidP="00C619EF">
            <w:pPr>
              <w:pStyle w:val="TableParagraph"/>
              <w:spacing w:line="235" w:lineRule="exact"/>
              <w:ind w:left="108"/>
              <w:rPr>
                <w:spacing w:val="-10"/>
                <w:lang w:val="hu-HU"/>
              </w:rPr>
            </w:pPr>
            <w:r w:rsidRPr="00876F1C">
              <w:rPr>
                <w:spacing w:val="-10"/>
                <w:lang w:val="hu-HU"/>
              </w:rPr>
              <w:t>11</w:t>
            </w:r>
          </w:p>
        </w:tc>
      </w:tr>
      <w:tr w:rsidR="009066AE" w:rsidRPr="00876F1C" w14:paraId="2DB1BF97" w14:textId="77777777" w:rsidTr="00AF0E34">
        <w:trPr>
          <w:trHeight w:val="506"/>
        </w:trPr>
        <w:tc>
          <w:tcPr>
            <w:tcW w:w="9115" w:type="dxa"/>
            <w:gridSpan w:val="7"/>
          </w:tcPr>
          <w:p w14:paraId="08D9FC53" w14:textId="0A5A3E03" w:rsidR="009066AE" w:rsidRPr="00876F1C" w:rsidRDefault="00042309" w:rsidP="00042309">
            <w:pPr>
              <w:autoSpaceDE w:val="0"/>
              <w:autoSpaceDN w:val="0"/>
              <w:adjustRightInd w:val="0"/>
              <w:spacing w:after="0" w:line="240" w:lineRule="auto"/>
            </w:pPr>
            <w:r w:rsidRPr="00876F1C">
              <w:rPr>
                <w:rFonts w:ascii="Times New Roman" w:hAnsi="Times New Roman" w:cs="Times New Roman"/>
                <w:kern w:val="0"/>
              </w:rPr>
              <w:t>Citogenetikai válasz (%)</w:t>
            </w:r>
          </w:p>
        </w:tc>
      </w:tr>
      <w:tr w:rsidR="009066AE" w:rsidRPr="00876F1C" w14:paraId="3E210A09" w14:textId="77777777" w:rsidTr="00AF0E34">
        <w:trPr>
          <w:trHeight w:val="1264"/>
        </w:trPr>
        <w:tc>
          <w:tcPr>
            <w:tcW w:w="2167" w:type="dxa"/>
          </w:tcPr>
          <w:p w14:paraId="6F42D433" w14:textId="77777777" w:rsidR="00322D66" w:rsidRPr="00876F1C" w:rsidRDefault="00322D66" w:rsidP="00322D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 w:rsidRPr="00876F1C">
              <w:rPr>
                <w:rFonts w:ascii="Times New Roman" w:hAnsi="Times New Roman" w:cs="Times New Roman"/>
                <w:kern w:val="0"/>
              </w:rPr>
              <w:t>Major (95%CI)</w:t>
            </w:r>
          </w:p>
          <w:p w14:paraId="71D3977E" w14:textId="77777777" w:rsidR="00322D66" w:rsidRPr="00876F1C" w:rsidRDefault="00322D66" w:rsidP="00322D6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kern w:val="0"/>
              </w:rPr>
            </w:pPr>
            <w:r w:rsidRPr="00876F1C">
              <w:rPr>
                <w:rFonts w:ascii="Times New Roman" w:hAnsi="Times New Roman" w:cs="Times New Roman"/>
                <w:kern w:val="0"/>
              </w:rPr>
              <w:t>Teljes</w:t>
            </w:r>
          </w:p>
          <w:p w14:paraId="170FC99E" w14:textId="5D67BD6D" w:rsidR="009066AE" w:rsidRPr="00876F1C" w:rsidRDefault="00322D66" w:rsidP="00322D66">
            <w:pPr>
              <w:pStyle w:val="TableParagraph"/>
              <w:ind w:left="0" w:right="681"/>
              <w:rPr>
                <w:lang w:val="hu-HU"/>
              </w:rPr>
            </w:pPr>
            <w:r w:rsidRPr="00876F1C">
              <w:rPr>
                <w:lang w:val="hu-HU"/>
              </w:rPr>
              <w:t>Részleges</w:t>
            </w:r>
          </w:p>
        </w:tc>
        <w:tc>
          <w:tcPr>
            <w:tcW w:w="1148" w:type="dxa"/>
          </w:tcPr>
          <w:p w14:paraId="180D2CF0" w14:textId="3D1771DA" w:rsidR="009066AE" w:rsidRPr="00876F1C" w:rsidRDefault="009066AE" w:rsidP="00322D66">
            <w:pPr>
              <w:pStyle w:val="TableParagraph"/>
              <w:spacing w:line="251" w:lineRule="exact"/>
              <w:ind w:left="105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57</w:t>
            </w:r>
            <w:r w:rsidR="00322D66" w:rsidRPr="00876F1C">
              <w:rPr>
                <w:spacing w:val="-5"/>
                <w:lang w:val="hu-HU"/>
              </w:rPr>
              <w:t xml:space="preserve"> </w:t>
            </w:r>
            <w:r w:rsidRPr="00876F1C">
              <w:rPr>
                <w:spacing w:val="-2"/>
                <w:lang w:val="hu-HU"/>
              </w:rPr>
              <w:t>(46-</w:t>
            </w:r>
            <w:r w:rsidRPr="00876F1C">
              <w:rPr>
                <w:spacing w:val="-5"/>
                <w:lang w:val="hu-HU"/>
              </w:rPr>
              <w:t>67)</w:t>
            </w:r>
          </w:p>
          <w:p w14:paraId="4C81A9BC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5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41</w:t>
            </w:r>
          </w:p>
          <w:p w14:paraId="25597421" w14:textId="77777777" w:rsidR="009066AE" w:rsidRPr="00876F1C" w:rsidRDefault="009066AE" w:rsidP="00C619EF">
            <w:pPr>
              <w:pStyle w:val="TableParagraph"/>
              <w:spacing w:line="252" w:lineRule="exact"/>
              <w:ind w:left="105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16</w:t>
            </w:r>
          </w:p>
        </w:tc>
        <w:tc>
          <w:tcPr>
            <w:tcW w:w="1152" w:type="dxa"/>
          </w:tcPr>
          <w:p w14:paraId="7C41253B" w14:textId="4561253C" w:rsidR="009066AE" w:rsidRPr="00876F1C" w:rsidRDefault="009066AE" w:rsidP="006F165A">
            <w:pPr>
              <w:pStyle w:val="TableParagraph"/>
              <w:spacing w:line="251" w:lineRule="exact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49</w:t>
            </w:r>
            <w:r w:rsidR="006F165A" w:rsidRPr="00876F1C">
              <w:rPr>
                <w:spacing w:val="-5"/>
                <w:lang w:val="hu-HU"/>
              </w:rPr>
              <w:t xml:space="preserve"> </w:t>
            </w:r>
            <w:r w:rsidRPr="00876F1C">
              <w:rPr>
                <w:spacing w:val="-2"/>
                <w:lang w:val="hu-HU"/>
              </w:rPr>
              <w:t>(42-</w:t>
            </w:r>
            <w:r w:rsidRPr="00876F1C">
              <w:rPr>
                <w:spacing w:val="-5"/>
                <w:lang w:val="hu-HU"/>
              </w:rPr>
              <w:t>56)</w:t>
            </w:r>
          </w:p>
          <w:p w14:paraId="6A3E43B0" w14:textId="77777777" w:rsidR="009066AE" w:rsidRPr="00876F1C" w:rsidRDefault="009066AE" w:rsidP="00C619EF">
            <w:pPr>
              <w:pStyle w:val="TableParagraph"/>
              <w:spacing w:before="1" w:line="252" w:lineRule="exact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35</w:t>
            </w:r>
          </w:p>
          <w:p w14:paraId="71B7AF7F" w14:textId="77777777" w:rsidR="009066AE" w:rsidRPr="00876F1C" w:rsidRDefault="009066AE" w:rsidP="00C619EF">
            <w:pPr>
              <w:pStyle w:val="TableParagraph"/>
              <w:spacing w:line="252" w:lineRule="exact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14</w:t>
            </w:r>
          </w:p>
        </w:tc>
        <w:tc>
          <w:tcPr>
            <w:tcW w:w="1200" w:type="dxa"/>
          </w:tcPr>
          <w:p w14:paraId="2ED47EF1" w14:textId="77777777" w:rsidR="009066AE" w:rsidRPr="00876F1C" w:rsidRDefault="009066AE" w:rsidP="00C619EF">
            <w:pPr>
              <w:pStyle w:val="TableParagraph"/>
              <w:spacing w:line="251" w:lineRule="exact"/>
              <w:ind w:left="105"/>
              <w:rPr>
                <w:lang w:val="hu-HU"/>
              </w:rPr>
            </w:pPr>
            <w:r w:rsidRPr="00876F1C">
              <w:rPr>
                <w:lang w:val="hu-HU"/>
              </w:rPr>
              <w:t>51</w:t>
            </w:r>
            <w:r w:rsidRPr="00876F1C">
              <w:rPr>
                <w:spacing w:val="-2"/>
                <w:lang w:val="hu-HU"/>
              </w:rPr>
              <w:t xml:space="preserve"> </w:t>
            </w:r>
            <w:r w:rsidRPr="00876F1C">
              <w:rPr>
                <w:lang w:val="hu-HU"/>
              </w:rPr>
              <w:t>(46-</w:t>
            </w:r>
            <w:r w:rsidRPr="00876F1C">
              <w:rPr>
                <w:spacing w:val="-5"/>
                <w:lang w:val="hu-HU"/>
              </w:rPr>
              <w:t>57)</w:t>
            </w:r>
          </w:p>
          <w:p w14:paraId="2916BB4B" w14:textId="77777777" w:rsidR="009066AE" w:rsidRPr="00876F1C" w:rsidRDefault="009066AE" w:rsidP="00C619EF">
            <w:pPr>
              <w:pStyle w:val="TableParagraph"/>
              <w:spacing w:line="252" w:lineRule="exact"/>
              <w:ind w:left="105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37</w:t>
            </w:r>
          </w:p>
          <w:p w14:paraId="681BFA9E" w14:textId="77777777" w:rsidR="009066AE" w:rsidRPr="00876F1C" w:rsidRDefault="009066AE" w:rsidP="00C619EF">
            <w:pPr>
              <w:pStyle w:val="TableParagraph"/>
              <w:spacing w:before="1"/>
              <w:ind w:left="105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15</w:t>
            </w:r>
          </w:p>
        </w:tc>
        <w:tc>
          <w:tcPr>
            <w:tcW w:w="1149" w:type="dxa"/>
          </w:tcPr>
          <w:p w14:paraId="54A848E0" w14:textId="0380C538" w:rsidR="009066AE" w:rsidRPr="00876F1C" w:rsidRDefault="009066AE" w:rsidP="006F165A">
            <w:pPr>
              <w:pStyle w:val="TableParagraph"/>
              <w:spacing w:line="251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33</w:t>
            </w:r>
            <w:r w:rsidR="006F165A" w:rsidRPr="00876F1C">
              <w:rPr>
                <w:spacing w:val="-5"/>
                <w:lang w:val="hu-HU"/>
              </w:rPr>
              <w:t xml:space="preserve"> </w:t>
            </w:r>
            <w:r w:rsidRPr="00876F1C">
              <w:rPr>
                <w:spacing w:val="-2"/>
                <w:lang w:val="hu-HU"/>
              </w:rPr>
              <w:t>(17-</w:t>
            </w:r>
            <w:r w:rsidRPr="00876F1C">
              <w:rPr>
                <w:spacing w:val="-5"/>
                <w:lang w:val="hu-HU"/>
              </w:rPr>
              <w:t>54)</w:t>
            </w:r>
          </w:p>
          <w:p w14:paraId="57009B01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22</w:t>
            </w:r>
          </w:p>
          <w:p w14:paraId="4D476934" w14:textId="77777777" w:rsidR="009066AE" w:rsidRPr="00876F1C" w:rsidRDefault="009066AE" w:rsidP="00C619EF">
            <w:pPr>
              <w:pStyle w:val="TableParagraph"/>
              <w:spacing w:line="252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11</w:t>
            </w:r>
          </w:p>
        </w:tc>
        <w:tc>
          <w:tcPr>
            <w:tcW w:w="1150" w:type="dxa"/>
          </w:tcPr>
          <w:p w14:paraId="3D88A8C3" w14:textId="178BD66A" w:rsidR="009066AE" w:rsidRPr="00876F1C" w:rsidRDefault="009066AE" w:rsidP="006F165A">
            <w:pPr>
              <w:pStyle w:val="TableParagraph"/>
              <w:spacing w:line="251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29</w:t>
            </w:r>
            <w:r w:rsidR="006F165A" w:rsidRPr="00876F1C">
              <w:rPr>
                <w:spacing w:val="-5"/>
                <w:lang w:val="hu-HU"/>
              </w:rPr>
              <w:t xml:space="preserve"> </w:t>
            </w:r>
            <w:r w:rsidRPr="00876F1C">
              <w:rPr>
                <w:spacing w:val="-2"/>
                <w:lang w:val="hu-HU"/>
              </w:rPr>
              <w:t>(21-</w:t>
            </w:r>
            <w:r w:rsidRPr="00876F1C">
              <w:rPr>
                <w:spacing w:val="-5"/>
                <w:lang w:val="hu-HU"/>
              </w:rPr>
              <w:t>39)</w:t>
            </w:r>
          </w:p>
          <w:p w14:paraId="3EBF1DFA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19</w:t>
            </w:r>
          </w:p>
          <w:p w14:paraId="44EDD131" w14:textId="77777777" w:rsidR="009066AE" w:rsidRPr="00876F1C" w:rsidRDefault="009066AE" w:rsidP="00C619EF">
            <w:pPr>
              <w:pStyle w:val="TableParagraph"/>
              <w:spacing w:line="252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10</w:t>
            </w:r>
          </w:p>
        </w:tc>
        <w:tc>
          <w:tcPr>
            <w:tcW w:w="1149" w:type="dxa"/>
          </w:tcPr>
          <w:p w14:paraId="134879EC" w14:textId="7AC420C6" w:rsidR="009066AE" w:rsidRPr="00876F1C" w:rsidRDefault="009066AE" w:rsidP="006F165A">
            <w:pPr>
              <w:pStyle w:val="TableParagraph"/>
              <w:spacing w:line="251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30</w:t>
            </w:r>
            <w:r w:rsidR="006F165A" w:rsidRPr="00876F1C">
              <w:rPr>
                <w:spacing w:val="-5"/>
                <w:lang w:val="hu-HU"/>
              </w:rPr>
              <w:t xml:space="preserve"> </w:t>
            </w:r>
            <w:r w:rsidRPr="00876F1C">
              <w:rPr>
                <w:spacing w:val="-2"/>
                <w:lang w:val="hu-HU"/>
              </w:rPr>
              <w:t>(22-</w:t>
            </w:r>
            <w:r w:rsidRPr="00876F1C">
              <w:rPr>
                <w:spacing w:val="-5"/>
                <w:lang w:val="hu-HU"/>
              </w:rPr>
              <w:t>38)</w:t>
            </w:r>
          </w:p>
          <w:p w14:paraId="5E7A1CFD" w14:textId="77777777" w:rsidR="009066AE" w:rsidRPr="00876F1C" w:rsidRDefault="009066AE" w:rsidP="00C619EF">
            <w:pPr>
              <w:pStyle w:val="TableParagraph"/>
              <w:spacing w:before="1" w:line="252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20</w:t>
            </w:r>
          </w:p>
          <w:p w14:paraId="0DB6EFFA" w14:textId="77777777" w:rsidR="009066AE" w:rsidRPr="00876F1C" w:rsidRDefault="009066AE" w:rsidP="00C619EF">
            <w:pPr>
              <w:pStyle w:val="TableParagraph"/>
              <w:spacing w:line="252" w:lineRule="exact"/>
              <w:ind w:left="108"/>
              <w:rPr>
                <w:lang w:val="hu-HU"/>
              </w:rPr>
            </w:pPr>
            <w:r w:rsidRPr="00876F1C">
              <w:rPr>
                <w:spacing w:val="-5"/>
                <w:lang w:val="hu-HU"/>
              </w:rPr>
              <w:t>10</w:t>
            </w:r>
          </w:p>
        </w:tc>
      </w:tr>
    </w:tbl>
    <w:p w14:paraId="65E60DB6" w14:textId="5DCA441C" w:rsidR="00AF0E34" w:rsidRPr="00AF0E34" w:rsidRDefault="00AF0E34" w:rsidP="009F4D2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NEL</w:t>
      </w:r>
      <w:r w:rsidR="00933FD4">
        <w:rPr>
          <w:rFonts w:ascii="Times New Roman" w:eastAsia="TimesNewRomanPSMT" w:hAnsi="Times New Roman" w:cs="Times New Roman"/>
          <w:kern w:val="0"/>
        </w:rPr>
        <w:t xml:space="preserve"> </w:t>
      </w:r>
      <w:r w:rsidR="004E0015" w:rsidRPr="008E68D3">
        <w:rPr>
          <w:rFonts w:ascii="Times New Roman" w:eastAsia="TimesNewRomanPSMT" w:hAnsi="Times New Roman" w:cs="Times New Roman"/>
          <w:kern w:val="0"/>
        </w:rPr>
        <w:t>(no evidence of leukaemia/marrow response</w:t>
      </w:r>
      <w:r w:rsidR="005626B2">
        <w:rPr>
          <w:rFonts w:ascii="Times New Roman" w:eastAsia="TimesNewRomanPSMT" w:hAnsi="Times New Roman" w:cs="Times New Roman"/>
          <w:kern w:val="0"/>
        </w:rPr>
        <w:t>)</w:t>
      </w:r>
      <w:r w:rsidR="00933FD4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nincs bizonyíték leukaemiára/csontvelő válaszra</w:t>
      </w:r>
    </w:p>
    <w:p w14:paraId="7CB43CD9" w14:textId="5FA1C463" w:rsidR="00AF0E34" w:rsidRPr="00AF0E34" w:rsidRDefault="00AF0E34" w:rsidP="009F4D2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NewRomanPSMT" w:hAnsi="Times New Roman" w:cs="Times New Roman"/>
          <w:kern w:val="0"/>
        </w:rPr>
      </w:pPr>
      <w:r w:rsidRPr="009F4D27">
        <w:rPr>
          <w:rFonts w:ascii="Times New Roman" w:eastAsia="TimesNewRomanPSMT" w:hAnsi="Times New Roman" w:cs="Times New Roman"/>
          <w:kern w:val="0"/>
          <w:vertAlign w:val="superscript"/>
        </w:rPr>
        <w:t>1</w:t>
      </w:r>
      <w:r w:rsidRPr="00AF0E34">
        <w:rPr>
          <w:rFonts w:ascii="Times New Roman" w:eastAsia="TimesNewRomanPSMT" w:hAnsi="Times New Roman" w:cs="Times New Roman"/>
          <w:kern w:val="0"/>
        </w:rPr>
        <w:t xml:space="preserve"> 114 CP-beteg esetében volt CHR a kiindulási időpontban, így nem voltak értékelhetők a teljes</w:t>
      </w:r>
      <w:r w:rsidR="006E35C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hematológiai válasz szempontjából.</w:t>
      </w:r>
    </w:p>
    <w:p w14:paraId="298F59F4" w14:textId="33A3CE67" w:rsidR="00AF0E34" w:rsidRDefault="00AF0E34" w:rsidP="009F4D2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* Egy betegnél hiányz</w:t>
      </w:r>
      <w:r w:rsidR="004E0015">
        <w:rPr>
          <w:rFonts w:ascii="Times New Roman" w:eastAsia="TimesNewRomanPSMT" w:hAnsi="Times New Roman" w:cs="Times New Roman"/>
          <w:kern w:val="0"/>
        </w:rPr>
        <w:t>ott</w:t>
      </w:r>
      <w:r w:rsidRPr="00AF0E34">
        <w:rPr>
          <w:rFonts w:ascii="Times New Roman" w:eastAsia="TimesNewRomanPSMT" w:hAnsi="Times New Roman" w:cs="Times New Roman"/>
          <w:kern w:val="0"/>
        </w:rPr>
        <w:t xml:space="preserve"> az imatinib-rezisztencia/intolerancia státuszra vonatkozó információ.</w:t>
      </w:r>
    </w:p>
    <w:p w14:paraId="63473209" w14:textId="77777777" w:rsidR="009F4D27" w:rsidRPr="00AF0E34" w:rsidRDefault="009F4D27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9E82B0A" w14:textId="4FA76988" w:rsidR="00AF0E34" w:rsidRDefault="00AF0E34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BC-CML-</w:t>
      </w:r>
      <w:r w:rsidR="0015473D">
        <w:rPr>
          <w:rFonts w:ascii="Times New Roman" w:eastAsia="TimesNewRomanPSMT" w:hAnsi="Times New Roman" w:cs="Times New Roman"/>
          <w:kern w:val="0"/>
        </w:rPr>
        <w:t>e</w:t>
      </w:r>
      <w:r w:rsidRPr="00AF0E34">
        <w:rPr>
          <w:rFonts w:ascii="Times New Roman" w:eastAsia="TimesNewRomanPSMT" w:hAnsi="Times New Roman" w:cs="Times New Roman"/>
          <w:kern w:val="0"/>
        </w:rPr>
        <w:t>s betegekre vonatkozóan még nem állnak rendelkezésre hatásossági adatok. A különálló</w:t>
      </w:r>
      <w:r w:rsidR="006E35C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 xml:space="preserve">kezelési </w:t>
      </w:r>
      <w:r w:rsidR="004E0015">
        <w:rPr>
          <w:rFonts w:ascii="Times New Roman" w:eastAsia="TimesNewRomanPSMT" w:hAnsi="Times New Roman" w:cs="Times New Roman"/>
          <w:kern w:val="0"/>
        </w:rPr>
        <w:t>karokat</w:t>
      </w:r>
      <w:r w:rsidR="004E0015" w:rsidRPr="00AF0E34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 xml:space="preserve">a II. fázisú vizsgálatba is bevonták, hogy tanulmányozzák a </w:t>
      </w:r>
      <w:r w:rsidR="006E35C5">
        <w:rPr>
          <w:rFonts w:ascii="Times New Roman" w:eastAsia="TimesNewRomanPSMT" w:hAnsi="Times New Roman" w:cs="Times New Roman"/>
          <w:kern w:val="0"/>
        </w:rPr>
        <w:t>nilotinib</w:t>
      </w:r>
      <w:r w:rsidRPr="00AF0E34">
        <w:rPr>
          <w:rFonts w:ascii="Times New Roman" w:eastAsia="TimesNewRomanPSMT" w:hAnsi="Times New Roman" w:cs="Times New Roman"/>
          <w:kern w:val="0"/>
        </w:rPr>
        <w:t xml:space="preserve"> hatását olyan</w:t>
      </w:r>
      <w:r w:rsidR="006E35C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CP- és AP-betegek esetében, akiknél korábban jelentős mértékű, többféle kezelést végeztek, köztük</w:t>
      </w:r>
      <w:r w:rsidR="006E35C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 xml:space="preserve">valamely tirozinkináz-gátló hatóanyaggal az imatinib mellett. </w:t>
      </w:r>
      <w:r w:rsidR="004E0015">
        <w:rPr>
          <w:rFonts w:ascii="Times New Roman" w:eastAsia="TimesNewRomanPSMT" w:hAnsi="Times New Roman" w:cs="Times New Roman"/>
          <w:kern w:val="0"/>
        </w:rPr>
        <w:t>A</w:t>
      </w:r>
      <w:r w:rsidRPr="00AF0E34">
        <w:rPr>
          <w:rFonts w:ascii="Times New Roman" w:eastAsia="TimesNewRomanPSMT" w:hAnsi="Times New Roman" w:cs="Times New Roman"/>
          <w:kern w:val="0"/>
        </w:rPr>
        <w:t xml:space="preserve"> 36 beteg közül 30 (83%) rezisztens</w:t>
      </w:r>
      <w:r w:rsidR="006E35C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volt a kezeléssel szemben, nem intoleráns. 22 CP-beteg esetében, akiknél a hat</w:t>
      </w:r>
      <w:r w:rsidR="006E35C5">
        <w:rPr>
          <w:rFonts w:ascii="Times New Roman" w:eastAsia="TimesNewRomanPSMT" w:hAnsi="Times New Roman" w:cs="Times New Roman"/>
          <w:kern w:val="0"/>
        </w:rPr>
        <w:t>ásoss</w:t>
      </w:r>
      <w:r w:rsidRPr="00AF0E34">
        <w:rPr>
          <w:rFonts w:ascii="Times New Roman" w:eastAsia="TimesNewRomanPSMT" w:hAnsi="Times New Roman" w:cs="Times New Roman"/>
          <w:kern w:val="0"/>
        </w:rPr>
        <w:t>ágot értékelték, a</w:t>
      </w:r>
      <w:r w:rsidR="006E35C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nilotinib-kezelés 32%-os MCyR-rátát és 50%-os CHR-rátát indukált. 11 AP-beteg esetében, akiknél a</w:t>
      </w:r>
      <w:r w:rsidR="0070627A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hat</w:t>
      </w:r>
      <w:r w:rsidR="00B250BC">
        <w:rPr>
          <w:rFonts w:ascii="Times New Roman" w:eastAsia="TimesNewRomanPSMT" w:hAnsi="Times New Roman" w:cs="Times New Roman"/>
          <w:kern w:val="0"/>
        </w:rPr>
        <w:t>ásos</w:t>
      </w:r>
      <w:r w:rsidRPr="00AF0E34">
        <w:rPr>
          <w:rFonts w:ascii="Times New Roman" w:eastAsia="TimesNewRomanPSMT" w:hAnsi="Times New Roman" w:cs="Times New Roman"/>
          <w:kern w:val="0"/>
        </w:rPr>
        <w:t>ságot értékelték, a kezelés összességében 36%-os HR-rátát indukált.</w:t>
      </w:r>
    </w:p>
    <w:p w14:paraId="6B613EF1" w14:textId="77777777" w:rsidR="0070627A" w:rsidRPr="00AF0E34" w:rsidRDefault="0070627A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785AF04" w14:textId="08725DAF" w:rsidR="00AF0E34" w:rsidRDefault="00AF0E34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Az imatinib-kezelés kudarcát követően 24 különféle BCR-ABL mutációt észleltek a mutációk</w:t>
      </w:r>
      <w:r w:rsidR="0070627A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előfordulására kivizsgált krónikus fázisú CML-</w:t>
      </w:r>
      <w:r w:rsidR="00B250BC">
        <w:rPr>
          <w:rFonts w:ascii="Times New Roman" w:eastAsia="TimesNewRomanPSMT" w:hAnsi="Times New Roman" w:cs="Times New Roman"/>
          <w:kern w:val="0"/>
        </w:rPr>
        <w:t>e</w:t>
      </w:r>
      <w:r w:rsidRPr="00AF0E34">
        <w:rPr>
          <w:rFonts w:ascii="Times New Roman" w:eastAsia="TimesNewRomanPSMT" w:hAnsi="Times New Roman" w:cs="Times New Roman"/>
          <w:kern w:val="0"/>
        </w:rPr>
        <w:t>s betegek 42%-ánál és az akcelerált fázisban lévők</w:t>
      </w:r>
      <w:r w:rsidR="0070627A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 xml:space="preserve">54%-ánál. A </w:t>
      </w:r>
      <w:r w:rsidR="00C7599C">
        <w:rPr>
          <w:rFonts w:ascii="Times New Roman" w:eastAsia="TimesNewRomanPSMT" w:hAnsi="Times New Roman" w:cs="Times New Roman"/>
          <w:kern w:val="0"/>
        </w:rPr>
        <w:t>nilotinib</w:t>
      </w:r>
      <w:r w:rsidRPr="00AF0E34">
        <w:rPr>
          <w:rFonts w:ascii="Times New Roman" w:eastAsia="TimesNewRomanPSMT" w:hAnsi="Times New Roman" w:cs="Times New Roman"/>
          <w:kern w:val="0"/>
        </w:rPr>
        <w:t xml:space="preserve"> hat</w:t>
      </w:r>
      <w:r w:rsidR="00C7599C">
        <w:rPr>
          <w:rFonts w:ascii="Times New Roman" w:eastAsia="TimesNewRomanPSMT" w:hAnsi="Times New Roman" w:cs="Times New Roman"/>
          <w:kern w:val="0"/>
        </w:rPr>
        <w:t>ásos</w:t>
      </w:r>
      <w:r w:rsidRPr="00AF0E34">
        <w:rPr>
          <w:rFonts w:ascii="Times New Roman" w:eastAsia="TimesNewRomanPSMT" w:hAnsi="Times New Roman" w:cs="Times New Roman"/>
          <w:kern w:val="0"/>
        </w:rPr>
        <w:t>ságát az imatinib-rezisztenciával összefüggő különféle BCR-ABL</w:t>
      </w:r>
      <w:r w:rsidR="00C7599C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mutációkkal jellemezhető betegek körében igazolták, kivéve a T315I-t.</w:t>
      </w:r>
    </w:p>
    <w:p w14:paraId="0BD6AAEE" w14:textId="77777777" w:rsidR="00C7599C" w:rsidRPr="00AF0E34" w:rsidRDefault="00C7599C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75072C6" w14:textId="624AFB3E" w:rsidR="00AF0E34" w:rsidRPr="00C7599C" w:rsidRDefault="00AF0E34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i/>
          <w:iCs/>
          <w:kern w:val="0"/>
          <w:u w:val="single"/>
        </w:rPr>
      </w:pPr>
      <w:r w:rsidRPr="00C7599C">
        <w:rPr>
          <w:rFonts w:ascii="Times New Roman" w:eastAsia="TimesNewRomanPSMT" w:hAnsi="Times New Roman" w:cs="Times New Roman"/>
          <w:i/>
          <w:iCs/>
          <w:kern w:val="0"/>
          <w:u w:val="single"/>
        </w:rPr>
        <w:t>A Ph+, krónikus fázisú CML-es, tartós, mély molekuláris válaszreakciót elért felnőtt betegek</w:t>
      </w:r>
      <w:r w:rsidR="004E0015" w:rsidRPr="004E0015">
        <w:rPr>
          <w:rFonts w:ascii="Times New Roman" w:eastAsia="TimesNewRomanPSMT" w:hAnsi="Times New Roman" w:cs="Times New Roman"/>
          <w:i/>
          <w:iCs/>
          <w:kern w:val="0"/>
          <w:u w:val="single"/>
        </w:rPr>
        <w:t xml:space="preserve"> </w:t>
      </w:r>
      <w:r w:rsidR="004E0015" w:rsidRPr="00C7599C">
        <w:rPr>
          <w:rFonts w:ascii="Times New Roman" w:eastAsia="TimesNewRomanPSMT" w:hAnsi="Times New Roman" w:cs="Times New Roman"/>
          <w:i/>
          <w:iCs/>
          <w:kern w:val="0"/>
          <w:u w:val="single"/>
        </w:rPr>
        <w:t>kezelésének abbahagyása</w:t>
      </w:r>
      <w:r w:rsidRPr="00C7599C">
        <w:rPr>
          <w:rFonts w:ascii="Times New Roman" w:eastAsia="TimesNewRomanPSMT" w:hAnsi="Times New Roman" w:cs="Times New Roman"/>
          <w:i/>
          <w:iCs/>
          <w:kern w:val="0"/>
          <w:u w:val="single"/>
        </w:rPr>
        <w:t>, akik első</w:t>
      </w:r>
      <w:r w:rsidR="00C7599C">
        <w:rPr>
          <w:rFonts w:ascii="Times New Roman" w:eastAsia="TimesNewRomanPSMT" w:hAnsi="Times New Roman" w:cs="Times New Roman"/>
          <w:i/>
          <w:iCs/>
          <w:kern w:val="0"/>
          <w:u w:val="single"/>
        </w:rPr>
        <w:t xml:space="preserve"> </w:t>
      </w:r>
      <w:r w:rsidRPr="00C7599C">
        <w:rPr>
          <w:rFonts w:ascii="Times New Roman" w:eastAsia="TimesNewRomanPSMT" w:hAnsi="Times New Roman" w:cs="Times New Roman"/>
          <w:i/>
          <w:iCs/>
          <w:kern w:val="0"/>
          <w:u w:val="single"/>
        </w:rPr>
        <w:t xml:space="preserve">vonalbeli nilotinib-kezelésben részesültek </w:t>
      </w:r>
    </w:p>
    <w:p w14:paraId="39E6F189" w14:textId="07F0E7D1" w:rsidR="00AF0E34" w:rsidRPr="00AF0E34" w:rsidRDefault="00AF0E34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Egy nyílt elrendezésű, egykaros vizsgálatban 215 krónikus fázisú, Ph+ CML-es felnőtt beteget</w:t>
      </w:r>
      <w:r w:rsidR="00D1313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kezeltek első vonalban legalább 2 évig nilotinibbel, akik a MolecularMD MRDx BCR-ABL teszttel</w:t>
      </w:r>
      <w:r w:rsidR="00D1313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mérve MR4,5-öt értek el, és akiket bevontak a nilotinib-kezelés további 52 héten át történő</w:t>
      </w:r>
      <w:r w:rsidR="00D1313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folytatására (nilotinib konszolidációs fázis). A 215 beteg közül 190 (88,4%) lépett be a</w:t>
      </w:r>
      <w:r w:rsidR="009C7047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TFR</w:t>
      </w:r>
      <w:r w:rsidR="004E0015" w:rsidRPr="004E0015">
        <w:t xml:space="preserve"> </w:t>
      </w:r>
      <w:r w:rsidR="004E0015" w:rsidRPr="008E68D3">
        <w:rPr>
          <w:rFonts w:ascii="Times New Roman" w:eastAsia="TimesNewRomanPSMT" w:hAnsi="Times New Roman" w:cs="Times New Roman"/>
          <w:kern w:val="0"/>
        </w:rPr>
        <w:lastRenderedPageBreak/>
        <w:t>(kezelésmentes re</w:t>
      </w:r>
      <w:r w:rsidR="00933FD4">
        <w:rPr>
          <w:rFonts w:ascii="Times New Roman" w:eastAsia="TimesNewRomanPSMT" w:hAnsi="Times New Roman" w:cs="Times New Roman"/>
          <w:kern w:val="0"/>
        </w:rPr>
        <w:t>m</w:t>
      </w:r>
      <w:r w:rsidR="004E0015" w:rsidRPr="008E68D3">
        <w:rPr>
          <w:rFonts w:ascii="Times New Roman" w:eastAsia="TimesNewRomanPSMT" w:hAnsi="Times New Roman" w:cs="Times New Roman"/>
          <w:kern w:val="0"/>
        </w:rPr>
        <w:t>isszió - Treatment</w:t>
      </w:r>
      <w:r w:rsidR="004E0015" w:rsidRPr="008E68D3">
        <w:rPr>
          <w:rFonts w:ascii="Times New Roman" w:eastAsia="TimesNewRomanPSMT" w:hAnsi="Times New Roman" w:cs="Times New Roman"/>
          <w:kern w:val="0"/>
        </w:rPr>
        <w:noBreakHyphen/>
        <w:t>Free Remission)</w:t>
      </w:r>
      <w:r w:rsidRPr="00AF0E34">
        <w:rPr>
          <w:rFonts w:ascii="Times New Roman" w:eastAsia="TimesNewRomanPSMT" w:hAnsi="Times New Roman" w:cs="Times New Roman"/>
          <w:kern w:val="0"/>
        </w:rPr>
        <w:t xml:space="preserve"> fázisba a konszolidációs fázis alatt tartós mély molekuláris válasz</w:t>
      </w:r>
      <w:r w:rsidR="004C1497">
        <w:rPr>
          <w:rFonts w:ascii="Times New Roman" w:eastAsia="TimesNewRomanPSMT" w:hAnsi="Times New Roman" w:cs="Times New Roman"/>
          <w:kern w:val="0"/>
        </w:rPr>
        <w:t xml:space="preserve"> elérését követően,</w:t>
      </w:r>
      <w:r w:rsidRPr="00AF0E34">
        <w:rPr>
          <w:rFonts w:ascii="Times New Roman" w:eastAsia="TimesNewRomanPSMT" w:hAnsi="Times New Roman" w:cs="Times New Roman"/>
          <w:kern w:val="0"/>
        </w:rPr>
        <w:t xml:space="preserve"> amelyet az alábbi</w:t>
      </w:r>
      <w:r w:rsidR="00D1313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kritériumok definiálnak:</w:t>
      </w:r>
    </w:p>
    <w:p w14:paraId="2FCB09C5" w14:textId="226B4204" w:rsidR="00AF0E34" w:rsidRPr="00AF0E34" w:rsidRDefault="00AF0E34" w:rsidP="00A87E6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-</w:t>
      </w:r>
      <w:r w:rsidR="008D4428">
        <w:rPr>
          <w:rFonts w:ascii="Times New Roman" w:eastAsia="TimesNewRomanPSMT" w:hAnsi="Times New Roman" w:cs="Times New Roman"/>
          <w:kern w:val="0"/>
        </w:rPr>
        <w:tab/>
      </w:r>
      <w:r w:rsidRPr="00AF0E34">
        <w:rPr>
          <w:rFonts w:ascii="Times New Roman" w:eastAsia="TimesNewRomanPSMT" w:hAnsi="Times New Roman" w:cs="Times New Roman"/>
          <w:kern w:val="0"/>
        </w:rPr>
        <w:t>a 4 utolsó negyedéves vizsgálat (12 hetenként végezve) legalább MR4,0 volt (BCR-ABL/ABL</w:t>
      </w:r>
      <w:r w:rsidR="00D13135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≤</w:t>
      </w:r>
      <w:r w:rsidR="00E83611">
        <w:rPr>
          <w:rFonts w:ascii="Times New Roman" w:eastAsia="TimesNewRomanPSMT" w:hAnsi="Times New Roman" w:cs="Times New Roman"/>
          <w:kern w:val="0"/>
        </w:rPr>
        <w:t> </w:t>
      </w:r>
      <w:r w:rsidRPr="00AF0E34">
        <w:rPr>
          <w:rFonts w:ascii="Times New Roman" w:eastAsia="TimesNewRomanPSMT" w:hAnsi="Times New Roman" w:cs="Times New Roman"/>
          <w:kern w:val="0"/>
        </w:rPr>
        <w:t>0,01% IS), és ez egy éven át fennmaradt</w:t>
      </w:r>
    </w:p>
    <w:p w14:paraId="1B4284A3" w14:textId="5C54E919" w:rsidR="00AF0E34" w:rsidRPr="00AF0E34" w:rsidRDefault="00AF0E34" w:rsidP="00AF0E34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-</w:t>
      </w:r>
      <w:r w:rsidR="008D4428">
        <w:rPr>
          <w:rFonts w:ascii="Times New Roman" w:eastAsia="TimesNewRomanPSMT" w:hAnsi="Times New Roman" w:cs="Times New Roman"/>
          <w:kern w:val="0"/>
        </w:rPr>
        <w:tab/>
      </w:r>
      <w:r w:rsidRPr="00AF0E34">
        <w:rPr>
          <w:rFonts w:ascii="Times New Roman" w:eastAsia="TimesNewRomanPSMT" w:hAnsi="Times New Roman" w:cs="Times New Roman"/>
          <w:kern w:val="0"/>
        </w:rPr>
        <w:t>az utolsó mérés MR4,5 (BCR-ABL/ABL ≤ 0,0032% IS),</w:t>
      </w:r>
    </w:p>
    <w:p w14:paraId="7D8108E3" w14:textId="6D350FDE" w:rsidR="00AF0E34" w:rsidRDefault="00AF0E34" w:rsidP="00A87E6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-</w:t>
      </w:r>
      <w:r w:rsidR="008D4428">
        <w:rPr>
          <w:rFonts w:ascii="Times New Roman" w:eastAsia="TimesNewRomanPSMT" w:hAnsi="Times New Roman" w:cs="Times New Roman"/>
          <w:kern w:val="0"/>
        </w:rPr>
        <w:tab/>
      </w:r>
      <w:r w:rsidRPr="00AF0E34">
        <w:rPr>
          <w:rFonts w:ascii="Times New Roman" w:eastAsia="TimesNewRomanPSMT" w:hAnsi="Times New Roman" w:cs="Times New Roman"/>
          <w:kern w:val="0"/>
        </w:rPr>
        <w:t xml:space="preserve">legfeljebb 2 mérés eredménye esik MR4,0 és MR4,5 közé (0,0032% IS </w:t>
      </w:r>
      <w:proofErr w:type="gramStart"/>
      <w:r w:rsidRPr="00AF0E34">
        <w:rPr>
          <w:rFonts w:ascii="Times New Roman" w:eastAsia="TimesNewRomanPSMT" w:hAnsi="Times New Roman" w:cs="Times New Roman"/>
          <w:kern w:val="0"/>
        </w:rPr>
        <w:t>&lt; BCR</w:t>
      </w:r>
      <w:proofErr w:type="gramEnd"/>
      <w:r w:rsidRPr="00AF0E34">
        <w:rPr>
          <w:rFonts w:ascii="Times New Roman" w:eastAsia="TimesNewRomanPSMT" w:hAnsi="Times New Roman" w:cs="Times New Roman"/>
          <w:kern w:val="0"/>
        </w:rPr>
        <w:t>-ABL/ABL</w:t>
      </w:r>
      <w:r w:rsidR="00E83611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≤</w:t>
      </w:r>
      <w:r w:rsidR="00E83611">
        <w:rPr>
          <w:rFonts w:ascii="Times New Roman" w:eastAsia="TimesNewRomanPSMT" w:hAnsi="Times New Roman" w:cs="Times New Roman"/>
          <w:kern w:val="0"/>
        </w:rPr>
        <w:t> </w:t>
      </w:r>
      <w:r w:rsidRPr="00AF0E34">
        <w:rPr>
          <w:rFonts w:ascii="Times New Roman" w:eastAsia="TimesNewRomanPSMT" w:hAnsi="Times New Roman" w:cs="Times New Roman"/>
          <w:kern w:val="0"/>
        </w:rPr>
        <w:t>0,01% IS).</w:t>
      </w:r>
    </w:p>
    <w:p w14:paraId="4BE74F96" w14:textId="77777777" w:rsidR="00117712" w:rsidRPr="00AF0E34" w:rsidRDefault="00117712" w:rsidP="00A87E64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TimesNewRomanPSMT" w:hAnsi="Times New Roman" w:cs="Times New Roman"/>
          <w:kern w:val="0"/>
        </w:rPr>
      </w:pPr>
    </w:p>
    <w:p w14:paraId="5A1D5FC9" w14:textId="040F3CCA" w:rsidR="009066AE" w:rsidRDefault="00AF0E34" w:rsidP="00E8361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F0E34">
        <w:rPr>
          <w:rFonts w:ascii="Times New Roman" w:eastAsia="TimesNewRomanPSMT" w:hAnsi="Times New Roman" w:cs="Times New Roman"/>
          <w:kern w:val="0"/>
        </w:rPr>
        <w:t>Az elsődleges végpont a kezelésmentes remisszió fázis elkezdése utáni 48.</w:t>
      </w:r>
      <w:r w:rsidR="00117712">
        <w:rPr>
          <w:rFonts w:ascii="Times New Roman" w:eastAsia="TimesNewRomanPSMT" w:hAnsi="Times New Roman" w:cs="Times New Roman"/>
          <w:kern w:val="0"/>
        </w:rPr>
        <w:t> </w:t>
      </w:r>
      <w:r w:rsidRPr="00AF0E34">
        <w:rPr>
          <w:rFonts w:ascii="Times New Roman" w:eastAsia="TimesNewRomanPSMT" w:hAnsi="Times New Roman" w:cs="Times New Roman"/>
          <w:kern w:val="0"/>
        </w:rPr>
        <w:t>héten a major molekuláris</w:t>
      </w:r>
      <w:r w:rsidR="00E83611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választ adó betegek százalékaránya volt (</w:t>
      </w:r>
      <w:proofErr w:type="gramStart"/>
      <w:r w:rsidRPr="00AF0E34">
        <w:rPr>
          <w:rFonts w:ascii="Times New Roman" w:eastAsia="TimesNewRomanPSMT" w:hAnsi="Times New Roman" w:cs="Times New Roman"/>
          <w:kern w:val="0"/>
        </w:rPr>
        <w:t>non-reszpondernek</w:t>
      </w:r>
      <w:proofErr w:type="gramEnd"/>
      <w:r w:rsidRPr="00AF0E34">
        <w:rPr>
          <w:rFonts w:ascii="Times New Roman" w:eastAsia="TimesNewRomanPSMT" w:hAnsi="Times New Roman" w:cs="Times New Roman"/>
          <w:kern w:val="0"/>
        </w:rPr>
        <w:t xml:space="preserve"> tekintve minden olyan beteget, akinél a</w:t>
      </w:r>
      <w:r w:rsidR="00E83611">
        <w:rPr>
          <w:rFonts w:ascii="Times New Roman" w:eastAsia="TimesNewRomanPSMT" w:hAnsi="Times New Roman" w:cs="Times New Roman"/>
          <w:kern w:val="0"/>
        </w:rPr>
        <w:t xml:space="preserve"> </w:t>
      </w:r>
      <w:r w:rsidRPr="00AF0E34">
        <w:rPr>
          <w:rFonts w:ascii="Times New Roman" w:eastAsia="TimesNewRomanPSMT" w:hAnsi="Times New Roman" w:cs="Times New Roman"/>
          <w:kern w:val="0"/>
        </w:rPr>
        <w:t>kezelés újrakezdésére volt szükség).</w:t>
      </w:r>
    </w:p>
    <w:p w14:paraId="47AF5D3E" w14:textId="77777777" w:rsidR="00F91372" w:rsidRDefault="00F91372" w:rsidP="00E8361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5D4FEC0B" w14:textId="72B6EAD6" w:rsidR="00F91372" w:rsidRDefault="00F91372" w:rsidP="00E8361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F91372">
        <w:rPr>
          <w:rFonts w:ascii="Times New Roman" w:hAnsi="Times New Roman" w:cs="Times New Roman"/>
          <w:b/>
          <w:bCs/>
          <w:kern w:val="0"/>
        </w:rPr>
        <w:t xml:space="preserve">11. táblázat </w:t>
      </w:r>
      <w:r w:rsidRPr="00F91372">
        <w:rPr>
          <w:rFonts w:ascii="Times New Roman" w:eastAsia="TimesNewRomanPS-BoldMT" w:hAnsi="Times New Roman" w:cs="Times New Roman"/>
          <w:b/>
          <w:bCs/>
          <w:kern w:val="0"/>
        </w:rPr>
        <w:t>A kezelésmentes remisszió első vonalbeli nilotinib</w:t>
      </w:r>
      <w:r w:rsidRPr="00F91372">
        <w:rPr>
          <w:rFonts w:ascii="Times New Roman" w:hAnsi="Times New Roman" w:cs="Times New Roman"/>
          <w:b/>
          <w:bCs/>
          <w:kern w:val="0"/>
        </w:rPr>
        <w:t>-</w:t>
      </w:r>
      <w:r w:rsidRPr="00F91372">
        <w:rPr>
          <w:rFonts w:ascii="Times New Roman" w:eastAsia="TimesNewRomanPS-BoldMT" w:hAnsi="Times New Roman" w:cs="Times New Roman"/>
          <w:b/>
          <w:bCs/>
          <w:kern w:val="0"/>
        </w:rPr>
        <w:t>kezelést követően</w:t>
      </w:r>
    </w:p>
    <w:p w14:paraId="195BD547" w14:textId="77777777" w:rsidR="00F91372" w:rsidRPr="00477BA5" w:rsidRDefault="00F91372" w:rsidP="00E8361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tbl>
      <w:tblPr>
        <w:tblW w:w="9063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6"/>
        <w:gridCol w:w="2609"/>
        <w:gridCol w:w="2688"/>
      </w:tblGrid>
      <w:tr w:rsidR="002C5F6D" w:rsidRPr="00477BA5" w14:paraId="15A6A76D" w14:textId="77777777" w:rsidTr="00477BA5">
        <w:trPr>
          <w:trHeight w:val="251"/>
        </w:trPr>
        <w:tc>
          <w:tcPr>
            <w:tcW w:w="3766" w:type="dxa"/>
          </w:tcPr>
          <w:p w14:paraId="558D8D96" w14:textId="5EFF33BF" w:rsidR="002C5F6D" w:rsidRPr="00477BA5" w:rsidRDefault="002C5F6D" w:rsidP="00C619EF">
            <w:pPr>
              <w:pStyle w:val="TableParagraph"/>
              <w:keepNext/>
              <w:widowControl/>
              <w:spacing w:line="232" w:lineRule="exact"/>
              <w:rPr>
                <w:lang w:val="hu-HU"/>
              </w:rPr>
            </w:pPr>
            <w:r w:rsidRPr="00477BA5">
              <w:rPr>
                <w:lang w:val="hu-HU"/>
              </w:rPr>
              <w:t>A TFR fázisba belépett betegek</w:t>
            </w:r>
          </w:p>
        </w:tc>
        <w:tc>
          <w:tcPr>
            <w:tcW w:w="5297" w:type="dxa"/>
            <w:gridSpan w:val="2"/>
          </w:tcPr>
          <w:p w14:paraId="327D8D68" w14:textId="77777777" w:rsidR="002C5F6D" w:rsidRPr="00477BA5" w:rsidRDefault="002C5F6D" w:rsidP="00C619EF">
            <w:pPr>
              <w:pStyle w:val="TableParagraph"/>
              <w:keepNext/>
              <w:widowControl/>
              <w:spacing w:line="232" w:lineRule="exact"/>
              <w:ind w:left="2470" w:right="2462"/>
              <w:jc w:val="center"/>
              <w:rPr>
                <w:lang w:val="hu-HU"/>
              </w:rPr>
            </w:pPr>
            <w:r w:rsidRPr="00477BA5">
              <w:rPr>
                <w:spacing w:val="-5"/>
                <w:lang w:val="hu-HU"/>
              </w:rPr>
              <w:t>190</w:t>
            </w:r>
          </w:p>
        </w:tc>
      </w:tr>
      <w:tr w:rsidR="002C5F6D" w:rsidRPr="00477BA5" w14:paraId="3C8E7B9A" w14:textId="77777777" w:rsidTr="00477BA5">
        <w:trPr>
          <w:trHeight w:val="254"/>
        </w:trPr>
        <w:tc>
          <w:tcPr>
            <w:tcW w:w="3766" w:type="dxa"/>
          </w:tcPr>
          <w:p w14:paraId="3571AF81" w14:textId="2680A545" w:rsidR="002C5F6D" w:rsidRPr="00477BA5" w:rsidRDefault="00FC424F" w:rsidP="00FC424F">
            <w:pPr>
              <w:pStyle w:val="TableParagraph"/>
              <w:keepNext/>
              <w:widowControl/>
              <w:spacing w:before="1" w:line="233" w:lineRule="exact"/>
              <w:ind w:left="419"/>
              <w:rPr>
                <w:lang w:val="hu-HU"/>
              </w:rPr>
            </w:pPr>
            <w:r w:rsidRPr="00477BA5">
              <w:t>a TFR fázis elkezdése óta eltelt</w:t>
            </w:r>
            <w:r w:rsidR="00D10CA1">
              <w:t xml:space="preserve"> </w:t>
            </w:r>
            <w:r w:rsidRPr="00477BA5">
              <w:rPr>
                <w:lang w:val="hu-HU"/>
              </w:rPr>
              <w:t>hetek</w:t>
            </w:r>
          </w:p>
        </w:tc>
        <w:tc>
          <w:tcPr>
            <w:tcW w:w="2609" w:type="dxa"/>
          </w:tcPr>
          <w:p w14:paraId="6566B676" w14:textId="5B4F35C6" w:rsidR="002C5F6D" w:rsidRPr="00477BA5" w:rsidRDefault="002C5F6D" w:rsidP="00C619EF">
            <w:pPr>
              <w:pStyle w:val="TableParagraph"/>
              <w:keepNext/>
              <w:widowControl/>
              <w:spacing w:before="1" w:line="233" w:lineRule="exact"/>
              <w:ind w:left="125" w:right="116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48 </w:t>
            </w:r>
            <w:r w:rsidR="007F3F8A" w:rsidRPr="00477BA5">
              <w:rPr>
                <w:spacing w:val="-2"/>
                <w:lang w:val="hu-HU"/>
              </w:rPr>
              <w:t>hét</w:t>
            </w:r>
          </w:p>
        </w:tc>
        <w:tc>
          <w:tcPr>
            <w:tcW w:w="2688" w:type="dxa"/>
          </w:tcPr>
          <w:p w14:paraId="3072BB76" w14:textId="4EB880A8" w:rsidR="002C5F6D" w:rsidRPr="00477BA5" w:rsidRDefault="002C5F6D" w:rsidP="00C619EF">
            <w:pPr>
              <w:pStyle w:val="TableParagraph"/>
              <w:keepNext/>
              <w:widowControl/>
              <w:spacing w:before="1" w:line="233" w:lineRule="exact"/>
              <w:ind w:left="122" w:right="110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264 </w:t>
            </w:r>
            <w:r w:rsidR="007F3F8A" w:rsidRPr="00477BA5">
              <w:rPr>
                <w:spacing w:val="-2"/>
                <w:lang w:val="hu-HU"/>
              </w:rPr>
              <w:t>hét</w:t>
            </w:r>
          </w:p>
        </w:tc>
      </w:tr>
      <w:tr w:rsidR="002C5F6D" w:rsidRPr="00477BA5" w14:paraId="443FD0F4" w14:textId="77777777" w:rsidTr="00477BA5">
        <w:trPr>
          <w:trHeight w:val="506"/>
        </w:trPr>
        <w:tc>
          <w:tcPr>
            <w:tcW w:w="3766" w:type="dxa"/>
          </w:tcPr>
          <w:p w14:paraId="4128A5B3" w14:textId="3050FF5D" w:rsidR="002C5F6D" w:rsidRPr="00477BA5" w:rsidRDefault="00FC424F" w:rsidP="00FC424F">
            <w:pPr>
              <w:pStyle w:val="TableParagraph"/>
              <w:keepNext/>
              <w:widowControl/>
              <w:spacing w:line="254" w:lineRule="exact"/>
              <w:ind w:left="419" w:right="418"/>
              <w:rPr>
                <w:lang w:val="hu-HU"/>
              </w:rPr>
            </w:pPr>
            <w:r w:rsidRPr="00477BA5">
              <w:rPr>
                <w:lang w:val="hu-HU"/>
              </w:rPr>
              <w:t>MMR-ben vagy kedvezőbb</w:t>
            </w:r>
            <w:r w:rsidR="00D10CA1">
              <w:rPr>
                <w:lang w:val="hu-HU"/>
              </w:rPr>
              <w:t xml:space="preserve"> </w:t>
            </w:r>
            <w:r w:rsidRPr="00477BA5">
              <w:rPr>
                <w:lang w:val="hu-HU"/>
              </w:rPr>
              <w:t>állapotban maradó betegek</w:t>
            </w:r>
          </w:p>
        </w:tc>
        <w:tc>
          <w:tcPr>
            <w:tcW w:w="2609" w:type="dxa"/>
          </w:tcPr>
          <w:p w14:paraId="4F69AD4D" w14:textId="592CC559" w:rsidR="002C5F6D" w:rsidRPr="00477BA5" w:rsidRDefault="002C5F6D" w:rsidP="00C619EF">
            <w:pPr>
              <w:pStyle w:val="TableParagraph"/>
              <w:keepNext/>
              <w:widowControl/>
              <w:spacing w:line="252" w:lineRule="exact"/>
              <w:ind w:left="125" w:right="119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>98</w:t>
            </w:r>
            <w:r w:rsidRPr="00477BA5">
              <w:rPr>
                <w:spacing w:val="-3"/>
                <w:lang w:val="hu-HU"/>
              </w:rPr>
              <w:t xml:space="preserve"> </w:t>
            </w:r>
            <w:r w:rsidRPr="00477BA5">
              <w:rPr>
                <w:lang w:val="hu-HU"/>
              </w:rPr>
              <w:t>(51</w:t>
            </w:r>
            <w:r w:rsidR="007F3F8A" w:rsidRPr="00477BA5">
              <w:rPr>
                <w:lang w:val="hu-HU"/>
              </w:rPr>
              <w:t>,</w:t>
            </w:r>
            <w:r w:rsidRPr="00477BA5">
              <w:rPr>
                <w:lang w:val="hu-HU"/>
              </w:rPr>
              <w:t>6%,</w:t>
            </w:r>
            <w:r w:rsidRPr="00477BA5">
              <w:rPr>
                <w:spacing w:val="-5"/>
                <w:lang w:val="hu-HU"/>
              </w:rPr>
              <w:t xml:space="preserve"> </w:t>
            </w:r>
            <w:r w:rsidRPr="00477BA5">
              <w:rPr>
                <w:lang w:val="hu-HU"/>
              </w:rPr>
              <w:t>[95%</w:t>
            </w:r>
            <w:r w:rsidRPr="00477BA5">
              <w:rPr>
                <w:spacing w:val="-2"/>
                <w:lang w:val="hu-HU"/>
              </w:rPr>
              <w:t xml:space="preserve"> </w:t>
            </w:r>
            <w:r w:rsidRPr="00477BA5">
              <w:rPr>
                <w:lang w:val="hu-HU"/>
              </w:rPr>
              <w:t>CI:</w:t>
            </w:r>
            <w:r w:rsidRPr="00477BA5">
              <w:rPr>
                <w:spacing w:val="-1"/>
                <w:lang w:val="hu-HU"/>
              </w:rPr>
              <w:t xml:space="preserve"> </w:t>
            </w:r>
            <w:r w:rsidRPr="00477BA5">
              <w:rPr>
                <w:spacing w:val="-2"/>
                <w:lang w:val="hu-HU"/>
              </w:rPr>
              <w:t>44</w:t>
            </w:r>
            <w:r w:rsidR="007F3F8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2,</w:t>
            </w:r>
          </w:p>
          <w:p w14:paraId="242A44AE" w14:textId="0CA774F1" w:rsidR="002C5F6D" w:rsidRPr="00477BA5" w:rsidRDefault="002C5F6D" w:rsidP="00C619EF">
            <w:pPr>
              <w:pStyle w:val="TableParagraph"/>
              <w:keepNext/>
              <w:widowControl/>
              <w:spacing w:before="1" w:line="233" w:lineRule="exact"/>
              <w:ind w:left="125" w:right="114"/>
              <w:jc w:val="center"/>
              <w:rPr>
                <w:lang w:val="hu-HU"/>
              </w:rPr>
            </w:pPr>
            <w:r w:rsidRPr="00477BA5">
              <w:rPr>
                <w:spacing w:val="-2"/>
                <w:lang w:val="hu-HU"/>
              </w:rPr>
              <w:t>58</w:t>
            </w:r>
            <w:r w:rsidR="007F3F8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9])</w:t>
            </w:r>
          </w:p>
        </w:tc>
        <w:tc>
          <w:tcPr>
            <w:tcW w:w="2688" w:type="dxa"/>
          </w:tcPr>
          <w:p w14:paraId="04999BA9" w14:textId="67FD9D3A" w:rsidR="002C5F6D" w:rsidRPr="00477BA5" w:rsidRDefault="002C5F6D" w:rsidP="00C619EF">
            <w:pPr>
              <w:pStyle w:val="TableParagraph"/>
              <w:keepNext/>
              <w:widowControl/>
              <w:spacing w:line="252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>79</w:t>
            </w:r>
            <w:r w:rsidRPr="00477BA5">
              <w:rPr>
                <w:vertAlign w:val="superscript"/>
                <w:lang w:val="hu-HU"/>
              </w:rPr>
              <w:t>[2]</w:t>
            </w:r>
            <w:r w:rsidRPr="00477BA5">
              <w:rPr>
                <w:spacing w:val="-4"/>
                <w:lang w:val="hu-HU"/>
              </w:rPr>
              <w:t xml:space="preserve"> </w:t>
            </w:r>
            <w:r w:rsidRPr="00477BA5">
              <w:rPr>
                <w:lang w:val="hu-HU"/>
              </w:rPr>
              <w:t>(41</w:t>
            </w:r>
            <w:r w:rsidR="007F3F8A" w:rsidRPr="00477BA5">
              <w:rPr>
                <w:lang w:val="hu-HU"/>
              </w:rPr>
              <w:t>,</w:t>
            </w:r>
            <w:r w:rsidRPr="00477BA5">
              <w:rPr>
                <w:lang w:val="hu-HU"/>
              </w:rPr>
              <w:t>6%,</w:t>
            </w:r>
            <w:r w:rsidRPr="00477BA5">
              <w:rPr>
                <w:spacing w:val="-3"/>
                <w:lang w:val="hu-HU"/>
              </w:rPr>
              <w:t xml:space="preserve"> </w:t>
            </w:r>
            <w:r w:rsidRPr="00477BA5">
              <w:rPr>
                <w:lang w:val="hu-HU"/>
              </w:rPr>
              <w:t>95%</w:t>
            </w:r>
            <w:r w:rsidRPr="00477BA5">
              <w:rPr>
                <w:spacing w:val="-2"/>
                <w:lang w:val="hu-HU"/>
              </w:rPr>
              <w:t xml:space="preserve"> </w:t>
            </w:r>
            <w:r w:rsidRPr="00477BA5">
              <w:rPr>
                <w:lang w:val="hu-HU"/>
              </w:rPr>
              <w:t>CI:</w:t>
            </w:r>
            <w:r w:rsidRPr="00477BA5">
              <w:rPr>
                <w:spacing w:val="-2"/>
                <w:lang w:val="hu-HU"/>
              </w:rPr>
              <w:t xml:space="preserve"> 34</w:t>
            </w:r>
            <w:r w:rsidR="007F3F8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5,</w:t>
            </w:r>
          </w:p>
          <w:p w14:paraId="13F54AB5" w14:textId="6B4F2E19" w:rsidR="002C5F6D" w:rsidRPr="00477BA5" w:rsidRDefault="002C5F6D" w:rsidP="00C619EF">
            <w:pPr>
              <w:pStyle w:val="TableParagraph"/>
              <w:keepNext/>
              <w:widowControl/>
              <w:spacing w:before="1" w:line="233" w:lineRule="exact"/>
              <w:ind w:left="121" w:right="111"/>
              <w:jc w:val="center"/>
              <w:rPr>
                <w:lang w:val="hu-HU"/>
              </w:rPr>
            </w:pPr>
            <w:r w:rsidRPr="00477BA5">
              <w:rPr>
                <w:spacing w:val="-2"/>
                <w:lang w:val="hu-HU"/>
              </w:rPr>
              <w:t>48</w:t>
            </w:r>
            <w:r w:rsidR="007F3F8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9)</w:t>
            </w:r>
          </w:p>
        </w:tc>
      </w:tr>
      <w:tr w:rsidR="002C5F6D" w:rsidRPr="00477BA5" w14:paraId="5B994765" w14:textId="77777777" w:rsidTr="00477BA5">
        <w:trPr>
          <w:trHeight w:val="251"/>
        </w:trPr>
        <w:tc>
          <w:tcPr>
            <w:tcW w:w="3766" w:type="dxa"/>
          </w:tcPr>
          <w:p w14:paraId="5F3FFA41" w14:textId="4B3E1F97" w:rsidR="002C5F6D" w:rsidRPr="00477BA5" w:rsidRDefault="00916FDC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477BA5">
              <w:rPr>
                <w:lang w:val="hu-HU"/>
              </w:rPr>
              <w:t>A TFR fázist befejező betegek</w:t>
            </w:r>
          </w:p>
        </w:tc>
        <w:tc>
          <w:tcPr>
            <w:tcW w:w="2609" w:type="dxa"/>
          </w:tcPr>
          <w:p w14:paraId="347072BF" w14:textId="77777777" w:rsidR="002C5F6D" w:rsidRPr="00477BA5" w:rsidRDefault="002C5F6D" w:rsidP="00C619EF">
            <w:pPr>
              <w:pStyle w:val="TableParagraph"/>
              <w:spacing w:before="42" w:line="141" w:lineRule="auto"/>
              <w:ind w:left="125" w:right="117"/>
              <w:jc w:val="center"/>
              <w:rPr>
                <w:sz w:val="14"/>
                <w:lang w:val="hu-HU"/>
              </w:rPr>
            </w:pPr>
            <w:r w:rsidRPr="00477BA5">
              <w:rPr>
                <w:position w:val="-7"/>
                <w:lang w:val="hu-HU"/>
              </w:rPr>
              <w:t xml:space="preserve">93 </w:t>
            </w:r>
            <w:r w:rsidRPr="00477BA5">
              <w:rPr>
                <w:position w:val="-7"/>
                <w:vertAlign w:val="superscript"/>
                <w:lang w:val="hu-HU"/>
              </w:rPr>
              <w:t>[1]</w:t>
            </w:r>
          </w:p>
        </w:tc>
        <w:tc>
          <w:tcPr>
            <w:tcW w:w="2688" w:type="dxa"/>
          </w:tcPr>
          <w:p w14:paraId="58EEC8C6" w14:textId="77777777" w:rsidR="002C5F6D" w:rsidRPr="00477BA5" w:rsidRDefault="002C5F6D" w:rsidP="00C619EF">
            <w:pPr>
              <w:pStyle w:val="TableParagraph"/>
              <w:spacing w:line="232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spacing w:val="-5"/>
                <w:lang w:val="hu-HU"/>
              </w:rPr>
              <w:t>109</w:t>
            </w:r>
          </w:p>
        </w:tc>
      </w:tr>
      <w:tr w:rsidR="002C5F6D" w:rsidRPr="00477BA5" w14:paraId="77CCA7B9" w14:textId="77777777" w:rsidTr="00477BA5">
        <w:trPr>
          <w:trHeight w:val="251"/>
        </w:trPr>
        <w:tc>
          <w:tcPr>
            <w:tcW w:w="3766" w:type="dxa"/>
          </w:tcPr>
          <w:p w14:paraId="2254C403" w14:textId="73D385A0" w:rsidR="002C5F6D" w:rsidRPr="00477BA5" w:rsidRDefault="00916FDC" w:rsidP="00C619EF">
            <w:pPr>
              <w:pStyle w:val="TableParagraph"/>
              <w:spacing w:line="232" w:lineRule="exact"/>
              <w:ind w:left="419"/>
              <w:rPr>
                <w:lang w:val="hu-HU"/>
              </w:rPr>
            </w:pPr>
            <w:r w:rsidRPr="00477BA5">
              <w:rPr>
                <w:lang w:val="hu-HU"/>
              </w:rPr>
              <w:t>az MMR elvesztése miatt</w:t>
            </w:r>
          </w:p>
        </w:tc>
        <w:tc>
          <w:tcPr>
            <w:tcW w:w="2609" w:type="dxa"/>
          </w:tcPr>
          <w:p w14:paraId="28F06428" w14:textId="4F2CB4CE" w:rsidR="002C5F6D" w:rsidRPr="00477BA5" w:rsidRDefault="002C5F6D" w:rsidP="00C619EF">
            <w:pPr>
              <w:pStyle w:val="TableParagraph"/>
              <w:spacing w:line="232" w:lineRule="exact"/>
              <w:ind w:left="125" w:right="117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88 </w:t>
            </w:r>
            <w:r w:rsidRPr="00477BA5">
              <w:rPr>
                <w:spacing w:val="-2"/>
                <w:lang w:val="hu-HU"/>
              </w:rPr>
              <w:t>(46</w:t>
            </w:r>
            <w:r w:rsidR="00EF2F0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3%)</w:t>
            </w:r>
          </w:p>
        </w:tc>
        <w:tc>
          <w:tcPr>
            <w:tcW w:w="2688" w:type="dxa"/>
          </w:tcPr>
          <w:p w14:paraId="293F2DCC" w14:textId="62EC72E6" w:rsidR="002C5F6D" w:rsidRPr="00477BA5" w:rsidRDefault="002C5F6D" w:rsidP="00C619EF">
            <w:pPr>
              <w:pStyle w:val="TableParagraph"/>
              <w:spacing w:line="232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94 </w:t>
            </w:r>
            <w:r w:rsidRPr="00477BA5">
              <w:rPr>
                <w:spacing w:val="-2"/>
                <w:lang w:val="hu-HU"/>
              </w:rPr>
              <w:t>(49</w:t>
            </w:r>
            <w:r w:rsidR="00EF2F0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5%)</w:t>
            </w:r>
          </w:p>
        </w:tc>
      </w:tr>
      <w:tr w:rsidR="002C5F6D" w:rsidRPr="00477BA5" w14:paraId="1896CFA5" w14:textId="77777777" w:rsidTr="00477BA5">
        <w:trPr>
          <w:trHeight w:val="253"/>
        </w:trPr>
        <w:tc>
          <w:tcPr>
            <w:tcW w:w="3766" w:type="dxa"/>
          </w:tcPr>
          <w:p w14:paraId="014B6264" w14:textId="4D751E21" w:rsidR="002C5F6D" w:rsidRPr="00477BA5" w:rsidRDefault="00916FDC" w:rsidP="00C619EF">
            <w:pPr>
              <w:pStyle w:val="TableParagraph"/>
              <w:spacing w:line="234" w:lineRule="exact"/>
              <w:ind w:left="419"/>
              <w:rPr>
                <w:lang w:val="hu-HU"/>
              </w:rPr>
            </w:pPr>
            <w:r w:rsidRPr="00477BA5">
              <w:rPr>
                <w:lang w:val="hu-HU"/>
              </w:rPr>
              <w:t>egyéb ok miatt</w:t>
            </w:r>
          </w:p>
        </w:tc>
        <w:tc>
          <w:tcPr>
            <w:tcW w:w="2609" w:type="dxa"/>
          </w:tcPr>
          <w:p w14:paraId="440A454F" w14:textId="77777777" w:rsidR="002C5F6D" w:rsidRPr="00477BA5" w:rsidRDefault="002C5F6D" w:rsidP="00C619EF">
            <w:pPr>
              <w:pStyle w:val="TableParagraph"/>
              <w:spacing w:line="234" w:lineRule="exact"/>
              <w:ind w:left="8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>5</w:t>
            </w:r>
          </w:p>
        </w:tc>
        <w:tc>
          <w:tcPr>
            <w:tcW w:w="2688" w:type="dxa"/>
          </w:tcPr>
          <w:p w14:paraId="5911BD44" w14:textId="77777777" w:rsidR="002C5F6D" w:rsidRPr="00477BA5" w:rsidRDefault="002C5F6D" w:rsidP="00C619EF">
            <w:pPr>
              <w:pStyle w:val="TableParagraph"/>
              <w:spacing w:line="234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spacing w:val="-5"/>
                <w:lang w:val="hu-HU"/>
              </w:rPr>
              <w:t>15</w:t>
            </w:r>
          </w:p>
        </w:tc>
      </w:tr>
      <w:tr w:rsidR="002C5F6D" w:rsidRPr="00477BA5" w14:paraId="4A154B8D" w14:textId="77777777" w:rsidTr="00477BA5">
        <w:trPr>
          <w:trHeight w:val="506"/>
        </w:trPr>
        <w:tc>
          <w:tcPr>
            <w:tcW w:w="3766" w:type="dxa"/>
          </w:tcPr>
          <w:p w14:paraId="6CA89CAB" w14:textId="2E616E93" w:rsidR="002C5F6D" w:rsidRPr="00477BA5" w:rsidRDefault="002B6F6D" w:rsidP="002B6F6D">
            <w:pPr>
              <w:pStyle w:val="TableParagraph"/>
              <w:spacing w:line="252" w:lineRule="exact"/>
              <w:rPr>
                <w:lang w:val="hu-HU"/>
              </w:rPr>
            </w:pPr>
            <w:r w:rsidRPr="00477BA5">
              <w:rPr>
                <w:lang w:val="hu-HU"/>
              </w:rPr>
              <w:t>Az MMR elvesztése után a kezelést</w:t>
            </w:r>
            <w:r w:rsidR="00D10CA1">
              <w:rPr>
                <w:lang w:val="hu-HU"/>
              </w:rPr>
              <w:t xml:space="preserve"> </w:t>
            </w:r>
            <w:r w:rsidRPr="00477BA5">
              <w:rPr>
                <w:lang w:val="hu-HU"/>
              </w:rPr>
              <w:t>újrakezdett betegek</w:t>
            </w:r>
          </w:p>
        </w:tc>
        <w:tc>
          <w:tcPr>
            <w:tcW w:w="2609" w:type="dxa"/>
          </w:tcPr>
          <w:p w14:paraId="1B8F4103" w14:textId="77777777" w:rsidR="002C5F6D" w:rsidRPr="00477BA5" w:rsidRDefault="002C5F6D" w:rsidP="00C619EF">
            <w:pPr>
              <w:pStyle w:val="TableParagraph"/>
              <w:spacing w:line="251" w:lineRule="exact"/>
              <w:ind w:left="125" w:right="117"/>
              <w:jc w:val="center"/>
              <w:rPr>
                <w:lang w:val="hu-HU"/>
              </w:rPr>
            </w:pPr>
            <w:r w:rsidRPr="00477BA5">
              <w:rPr>
                <w:spacing w:val="-5"/>
                <w:lang w:val="hu-HU"/>
              </w:rPr>
              <w:t>86</w:t>
            </w:r>
          </w:p>
        </w:tc>
        <w:tc>
          <w:tcPr>
            <w:tcW w:w="2688" w:type="dxa"/>
          </w:tcPr>
          <w:p w14:paraId="61BDD15A" w14:textId="77777777" w:rsidR="002C5F6D" w:rsidRPr="00477BA5" w:rsidRDefault="002C5F6D" w:rsidP="00C619EF">
            <w:pPr>
              <w:pStyle w:val="TableParagraph"/>
              <w:spacing w:line="251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spacing w:val="-5"/>
                <w:lang w:val="hu-HU"/>
              </w:rPr>
              <w:t>91</w:t>
            </w:r>
          </w:p>
        </w:tc>
      </w:tr>
      <w:tr w:rsidR="002C5F6D" w:rsidRPr="00477BA5" w14:paraId="7CB69506" w14:textId="77777777" w:rsidTr="00477BA5">
        <w:trPr>
          <w:trHeight w:val="251"/>
        </w:trPr>
        <w:tc>
          <w:tcPr>
            <w:tcW w:w="3766" w:type="dxa"/>
          </w:tcPr>
          <w:p w14:paraId="2E00429B" w14:textId="549AF6FE" w:rsidR="002C5F6D" w:rsidRPr="00477BA5" w:rsidRDefault="002B6F6D" w:rsidP="00C619EF">
            <w:pPr>
              <w:pStyle w:val="TableParagraph"/>
              <w:spacing w:line="232" w:lineRule="exact"/>
              <w:ind w:left="419"/>
              <w:rPr>
                <w:lang w:val="hu-HU"/>
              </w:rPr>
            </w:pPr>
            <w:r w:rsidRPr="00477BA5">
              <w:rPr>
                <w:lang w:val="hu-HU"/>
              </w:rPr>
              <w:t>akik visszanyerték az MMR-t</w:t>
            </w:r>
          </w:p>
        </w:tc>
        <w:tc>
          <w:tcPr>
            <w:tcW w:w="2609" w:type="dxa"/>
          </w:tcPr>
          <w:p w14:paraId="5B07FABD" w14:textId="4B2A8574" w:rsidR="002C5F6D" w:rsidRPr="00477BA5" w:rsidRDefault="002C5F6D" w:rsidP="00C619EF">
            <w:pPr>
              <w:pStyle w:val="TableParagraph"/>
              <w:spacing w:line="232" w:lineRule="exact"/>
              <w:ind w:left="125" w:right="117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85 </w:t>
            </w:r>
            <w:r w:rsidRPr="00477BA5">
              <w:rPr>
                <w:spacing w:val="-2"/>
                <w:lang w:val="hu-HU"/>
              </w:rPr>
              <w:t>(98</w:t>
            </w:r>
            <w:r w:rsidR="00EF2F0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8%)</w:t>
            </w:r>
          </w:p>
        </w:tc>
        <w:tc>
          <w:tcPr>
            <w:tcW w:w="2688" w:type="dxa"/>
          </w:tcPr>
          <w:p w14:paraId="5C2B1AF8" w14:textId="7083665D" w:rsidR="002C5F6D" w:rsidRPr="00477BA5" w:rsidRDefault="002C5F6D" w:rsidP="00C619EF">
            <w:pPr>
              <w:pStyle w:val="TableParagraph"/>
              <w:spacing w:line="232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90 </w:t>
            </w:r>
            <w:r w:rsidRPr="00477BA5">
              <w:rPr>
                <w:spacing w:val="-2"/>
                <w:lang w:val="hu-HU"/>
              </w:rPr>
              <w:t>(98</w:t>
            </w:r>
            <w:r w:rsidR="00EF2F0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9%)</w:t>
            </w:r>
          </w:p>
        </w:tc>
      </w:tr>
      <w:tr w:rsidR="002C5F6D" w:rsidRPr="00477BA5" w14:paraId="25214BD8" w14:textId="77777777" w:rsidTr="00477BA5">
        <w:trPr>
          <w:trHeight w:val="254"/>
        </w:trPr>
        <w:tc>
          <w:tcPr>
            <w:tcW w:w="3766" w:type="dxa"/>
          </w:tcPr>
          <w:p w14:paraId="03800DD4" w14:textId="6F366F57" w:rsidR="002C5F6D" w:rsidRPr="00477BA5" w:rsidRDefault="002B6F6D" w:rsidP="00C619EF">
            <w:pPr>
              <w:pStyle w:val="TableParagraph"/>
              <w:spacing w:line="234" w:lineRule="exact"/>
              <w:ind w:left="419"/>
              <w:rPr>
                <w:lang w:val="hu-HU"/>
              </w:rPr>
            </w:pPr>
            <w:r w:rsidRPr="00477BA5">
              <w:rPr>
                <w:lang w:val="hu-HU"/>
              </w:rPr>
              <w:t>akik visszanyerték az MR4,5-öt</w:t>
            </w:r>
          </w:p>
        </w:tc>
        <w:tc>
          <w:tcPr>
            <w:tcW w:w="2609" w:type="dxa"/>
          </w:tcPr>
          <w:p w14:paraId="629F4139" w14:textId="17635543" w:rsidR="002C5F6D" w:rsidRPr="00477BA5" w:rsidRDefault="002C5F6D" w:rsidP="00C619EF">
            <w:pPr>
              <w:pStyle w:val="TableParagraph"/>
              <w:spacing w:line="234" w:lineRule="exact"/>
              <w:ind w:left="125" w:right="116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76 </w:t>
            </w:r>
            <w:r w:rsidRPr="00477BA5">
              <w:rPr>
                <w:spacing w:val="-2"/>
                <w:lang w:val="hu-HU"/>
              </w:rPr>
              <w:t>(88</w:t>
            </w:r>
            <w:r w:rsidR="00EF2F0A" w:rsidRPr="00477BA5">
              <w:rPr>
                <w:spacing w:val="-2"/>
                <w:lang w:val="hu-HU"/>
              </w:rPr>
              <w:t>,</w:t>
            </w:r>
            <w:r w:rsidRPr="00477BA5">
              <w:rPr>
                <w:spacing w:val="-2"/>
                <w:lang w:val="hu-HU"/>
              </w:rPr>
              <w:t>4%)</w:t>
            </w:r>
          </w:p>
        </w:tc>
        <w:tc>
          <w:tcPr>
            <w:tcW w:w="2688" w:type="dxa"/>
          </w:tcPr>
          <w:p w14:paraId="1296254A" w14:textId="77777777" w:rsidR="002C5F6D" w:rsidRPr="00477BA5" w:rsidRDefault="002C5F6D" w:rsidP="00C619EF">
            <w:pPr>
              <w:pStyle w:val="TableParagraph"/>
              <w:spacing w:line="234" w:lineRule="exact"/>
              <w:ind w:left="122" w:right="111"/>
              <w:jc w:val="center"/>
              <w:rPr>
                <w:lang w:val="hu-HU"/>
              </w:rPr>
            </w:pPr>
            <w:r w:rsidRPr="00477BA5">
              <w:rPr>
                <w:lang w:val="hu-HU"/>
              </w:rPr>
              <w:t xml:space="preserve">84 </w:t>
            </w:r>
            <w:r w:rsidRPr="00477BA5">
              <w:rPr>
                <w:spacing w:val="-2"/>
                <w:lang w:val="hu-HU"/>
              </w:rPr>
              <w:t>(92,3%)</w:t>
            </w:r>
          </w:p>
        </w:tc>
      </w:tr>
    </w:tbl>
    <w:p w14:paraId="54A8E886" w14:textId="45948EE5" w:rsidR="00477BA5" w:rsidRPr="00477BA5" w:rsidRDefault="00477BA5" w:rsidP="00477BA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DA5AAF">
        <w:rPr>
          <w:rFonts w:ascii="Times New Roman" w:hAnsi="Times New Roman" w:cs="Times New Roman"/>
          <w:kern w:val="0"/>
          <w:vertAlign w:val="superscript"/>
        </w:rPr>
        <w:t>[1]</w:t>
      </w:r>
      <w:r w:rsidRPr="00477BA5">
        <w:rPr>
          <w:rFonts w:ascii="Times New Roman" w:hAnsi="Times New Roman" w:cs="Times New Roman"/>
          <w:kern w:val="0"/>
        </w:rPr>
        <w:t xml:space="preserve"> Egy betegnél nem veszett el az MMR a 48. hétre, azonban abbahagyta a kezelésmentes remisszió</w:t>
      </w:r>
      <w:r>
        <w:rPr>
          <w:rFonts w:ascii="Times New Roman" w:hAnsi="Times New Roman" w:cs="Times New Roman"/>
          <w:kern w:val="0"/>
        </w:rPr>
        <w:t xml:space="preserve"> </w:t>
      </w:r>
      <w:r w:rsidRPr="00477BA5">
        <w:rPr>
          <w:rFonts w:ascii="Times New Roman" w:hAnsi="Times New Roman" w:cs="Times New Roman"/>
          <w:kern w:val="0"/>
        </w:rPr>
        <w:t>fázist.</w:t>
      </w:r>
    </w:p>
    <w:p w14:paraId="0D57D864" w14:textId="3C089038" w:rsidR="00F91372" w:rsidRDefault="00477BA5" w:rsidP="00477BA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DA5AAF">
        <w:rPr>
          <w:rFonts w:ascii="Times New Roman" w:hAnsi="Times New Roman" w:cs="Times New Roman"/>
          <w:kern w:val="0"/>
          <w:vertAlign w:val="superscript"/>
        </w:rPr>
        <w:t>[2]</w:t>
      </w:r>
      <w:r w:rsidRPr="00477BA5">
        <w:rPr>
          <w:rFonts w:ascii="Times New Roman" w:hAnsi="Times New Roman" w:cs="Times New Roman"/>
          <w:kern w:val="0"/>
        </w:rPr>
        <w:t xml:space="preserve"> Kettő betegnél nem állt rendelkezésre PCR-vizsgálat a 264. héten, ezért az ő válaszukat nem vették</w:t>
      </w:r>
      <w:r>
        <w:rPr>
          <w:rFonts w:ascii="Times New Roman" w:hAnsi="Times New Roman" w:cs="Times New Roman"/>
          <w:kern w:val="0"/>
        </w:rPr>
        <w:t xml:space="preserve"> </w:t>
      </w:r>
      <w:r w:rsidRPr="00477BA5">
        <w:rPr>
          <w:rFonts w:ascii="Times New Roman" w:hAnsi="Times New Roman" w:cs="Times New Roman"/>
          <w:kern w:val="0"/>
        </w:rPr>
        <w:t>figyelembe a 264. héten lezárt adatok elemzésében</w:t>
      </w:r>
      <w:r w:rsidR="006F6090">
        <w:rPr>
          <w:rFonts w:ascii="Times New Roman" w:hAnsi="Times New Roman" w:cs="Times New Roman"/>
          <w:kern w:val="0"/>
        </w:rPr>
        <w:t>.</w:t>
      </w:r>
    </w:p>
    <w:p w14:paraId="7C42472D" w14:textId="77777777" w:rsidR="006F6090" w:rsidRDefault="006F6090" w:rsidP="00477BA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</w:p>
    <w:p w14:paraId="2A664E43" w14:textId="3FF9E28A" w:rsidR="006F6090" w:rsidRDefault="006F6090" w:rsidP="006F60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6F6090">
        <w:rPr>
          <w:rFonts w:ascii="Times New Roman" w:hAnsi="Times New Roman" w:cs="Times New Roman"/>
          <w:kern w:val="0"/>
        </w:rPr>
        <w:t>Az összes ismételt kezelést kapott beteg 50%-a 7</w:t>
      </w:r>
      <w:r>
        <w:rPr>
          <w:rFonts w:ascii="Times New Roman" w:hAnsi="Times New Roman" w:cs="Times New Roman"/>
          <w:kern w:val="0"/>
        </w:rPr>
        <w:t> </w:t>
      </w:r>
      <w:r w:rsidRPr="006F6090">
        <w:rPr>
          <w:rFonts w:ascii="Times New Roman" w:hAnsi="Times New Roman" w:cs="Times New Roman"/>
          <w:kern w:val="0"/>
        </w:rPr>
        <w:t>hét alatt nyerte vissza az MMR-t és 12,9</w:t>
      </w:r>
      <w:r>
        <w:rPr>
          <w:rFonts w:ascii="Times New Roman" w:hAnsi="Times New Roman" w:cs="Times New Roman"/>
          <w:kern w:val="0"/>
        </w:rPr>
        <w:t> </w:t>
      </w:r>
      <w:r w:rsidRPr="006F6090">
        <w:rPr>
          <w:rFonts w:ascii="Times New Roman" w:hAnsi="Times New Roman" w:cs="Times New Roman"/>
          <w:kern w:val="0"/>
        </w:rPr>
        <w:t>hét alatt</w:t>
      </w:r>
      <w:r>
        <w:rPr>
          <w:rFonts w:ascii="Times New Roman" w:hAnsi="Times New Roman" w:cs="Times New Roman"/>
          <w:kern w:val="0"/>
        </w:rPr>
        <w:t xml:space="preserve"> </w:t>
      </w:r>
      <w:r w:rsidRPr="006F6090">
        <w:rPr>
          <w:rFonts w:ascii="Times New Roman" w:hAnsi="Times New Roman" w:cs="Times New Roman"/>
          <w:kern w:val="0"/>
        </w:rPr>
        <w:t>nyerte vissza az MR4,5</w:t>
      </w:r>
      <w:r w:rsidR="004E0015">
        <w:rPr>
          <w:rFonts w:ascii="Times New Roman" w:hAnsi="Times New Roman" w:cs="Times New Roman"/>
          <w:kern w:val="0"/>
        </w:rPr>
        <w:t xml:space="preserve"> válasz</w:t>
      </w:r>
      <w:r w:rsidRPr="006F6090">
        <w:rPr>
          <w:rFonts w:ascii="Times New Roman" w:hAnsi="Times New Roman" w:cs="Times New Roman"/>
          <w:kern w:val="0"/>
        </w:rPr>
        <w:t>t. Az MMR visszanyerésének összesített aránya a kezelés újrakezdése utáni</w:t>
      </w:r>
      <w:r>
        <w:rPr>
          <w:rFonts w:ascii="Times New Roman" w:hAnsi="Times New Roman" w:cs="Times New Roman"/>
          <w:kern w:val="0"/>
        </w:rPr>
        <w:t xml:space="preserve"> </w:t>
      </w:r>
      <w:r w:rsidRPr="006F6090">
        <w:rPr>
          <w:rFonts w:ascii="Times New Roman" w:hAnsi="Times New Roman" w:cs="Times New Roman"/>
          <w:kern w:val="0"/>
        </w:rPr>
        <w:t>24.</w:t>
      </w:r>
      <w:r>
        <w:rPr>
          <w:rFonts w:ascii="Times New Roman" w:hAnsi="Times New Roman" w:cs="Times New Roman"/>
          <w:kern w:val="0"/>
        </w:rPr>
        <w:t> </w:t>
      </w:r>
      <w:r w:rsidRPr="006F6090">
        <w:rPr>
          <w:rFonts w:ascii="Times New Roman" w:hAnsi="Times New Roman" w:cs="Times New Roman"/>
          <w:kern w:val="0"/>
        </w:rPr>
        <w:t>hétre 97,8% volt (91-</w:t>
      </w:r>
      <w:r w:rsidRPr="006F6090">
        <w:rPr>
          <w:rFonts w:ascii="Times New Roman" w:eastAsia="TimesNewRomanPSMT" w:hAnsi="Times New Roman" w:cs="Times New Roman"/>
          <w:kern w:val="0"/>
        </w:rPr>
        <w:t xml:space="preserve">ből 89 </w:t>
      </w:r>
      <w:r w:rsidRPr="006F6090">
        <w:rPr>
          <w:rFonts w:ascii="Times New Roman" w:hAnsi="Times New Roman" w:cs="Times New Roman"/>
          <w:kern w:val="0"/>
        </w:rPr>
        <w:t>beteg) és az MR4,5 visszanyerésének összesített aránya a 48.</w:t>
      </w:r>
      <w:r>
        <w:rPr>
          <w:rFonts w:ascii="Times New Roman" w:hAnsi="Times New Roman" w:cs="Times New Roman"/>
          <w:kern w:val="0"/>
        </w:rPr>
        <w:t> </w:t>
      </w:r>
      <w:r w:rsidRPr="006F6090">
        <w:rPr>
          <w:rFonts w:ascii="Times New Roman" w:hAnsi="Times New Roman" w:cs="Times New Roman"/>
          <w:kern w:val="0"/>
        </w:rPr>
        <w:t>héten</w:t>
      </w:r>
      <w:r>
        <w:rPr>
          <w:rFonts w:ascii="Times New Roman" w:hAnsi="Times New Roman" w:cs="Times New Roman"/>
          <w:kern w:val="0"/>
        </w:rPr>
        <w:t xml:space="preserve"> </w:t>
      </w:r>
      <w:r w:rsidRPr="006F6090">
        <w:rPr>
          <w:rFonts w:ascii="Times New Roman" w:hAnsi="Times New Roman" w:cs="Times New Roman"/>
          <w:kern w:val="0"/>
        </w:rPr>
        <w:t>91,2% volt (91-</w:t>
      </w:r>
      <w:r w:rsidRPr="006F6090">
        <w:rPr>
          <w:rFonts w:ascii="Times New Roman" w:eastAsia="TimesNewRomanPSMT" w:hAnsi="Times New Roman" w:cs="Times New Roman"/>
          <w:kern w:val="0"/>
        </w:rPr>
        <w:t xml:space="preserve">ből </w:t>
      </w:r>
      <w:r w:rsidRPr="006F6090">
        <w:rPr>
          <w:rFonts w:ascii="Times New Roman" w:hAnsi="Times New Roman" w:cs="Times New Roman"/>
          <w:kern w:val="0"/>
        </w:rPr>
        <w:t>83 beteg).</w:t>
      </w:r>
    </w:p>
    <w:p w14:paraId="102E107A" w14:textId="77777777" w:rsidR="006F6090" w:rsidRPr="006F6090" w:rsidRDefault="006F6090" w:rsidP="006F60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F2BAD9D" w14:textId="35A7D26E" w:rsidR="006F6090" w:rsidRDefault="006F6090" w:rsidP="006F60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6F6090">
        <w:rPr>
          <w:rFonts w:ascii="Times New Roman" w:hAnsi="Times New Roman" w:cs="Times New Roman"/>
          <w:kern w:val="0"/>
        </w:rPr>
        <w:t xml:space="preserve">A Kaplan-Meier-féle becsült kezelésmentes túlélés mediánja (treatment-free survival </w:t>
      </w:r>
      <w:r w:rsidRPr="006F6090">
        <w:rPr>
          <w:rFonts w:ascii="Times New Roman" w:eastAsia="TimesNewRomanPSMT" w:hAnsi="Times New Roman" w:cs="Times New Roman"/>
          <w:kern w:val="0"/>
        </w:rPr>
        <w:t xml:space="preserve">– </w:t>
      </w:r>
      <w:r w:rsidRPr="006F6090">
        <w:rPr>
          <w:rFonts w:ascii="Times New Roman" w:hAnsi="Times New Roman" w:cs="Times New Roman"/>
          <w:kern w:val="0"/>
        </w:rPr>
        <w:t>TFS) 120,1</w:t>
      </w:r>
      <w:r w:rsidR="00491B2B">
        <w:rPr>
          <w:rFonts w:ascii="Times New Roman" w:hAnsi="Times New Roman" w:cs="Times New Roman"/>
          <w:kern w:val="0"/>
        </w:rPr>
        <w:t> </w:t>
      </w:r>
      <w:r w:rsidRPr="006F6090">
        <w:rPr>
          <w:rFonts w:ascii="Times New Roman" w:hAnsi="Times New Roman" w:cs="Times New Roman"/>
          <w:kern w:val="0"/>
        </w:rPr>
        <w:t>hét</w:t>
      </w:r>
      <w:r>
        <w:rPr>
          <w:rFonts w:ascii="Times New Roman" w:hAnsi="Times New Roman" w:cs="Times New Roman"/>
          <w:kern w:val="0"/>
        </w:rPr>
        <w:t xml:space="preserve"> </w:t>
      </w:r>
      <w:r w:rsidRPr="006F6090">
        <w:rPr>
          <w:rFonts w:ascii="Times New Roman" w:hAnsi="Times New Roman" w:cs="Times New Roman"/>
          <w:kern w:val="0"/>
        </w:rPr>
        <w:t xml:space="preserve">volt (95%-os CI: </w:t>
      </w:r>
      <w:r w:rsidRPr="006F6090">
        <w:rPr>
          <w:rFonts w:ascii="Times New Roman" w:eastAsia="TimesNewRomanPSMT" w:hAnsi="Times New Roman" w:cs="Times New Roman"/>
          <w:kern w:val="0"/>
        </w:rPr>
        <w:t xml:space="preserve">36,9, nem megbecsülhető [NE]) </w:t>
      </w:r>
      <w:r w:rsidRPr="006F6090">
        <w:rPr>
          <w:rFonts w:ascii="Times New Roman" w:hAnsi="Times New Roman" w:cs="Times New Roman"/>
          <w:kern w:val="0"/>
        </w:rPr>
        <w:t>(4.</w:t>
      </w:r>
      <w:r w:rsidR="00695EBA">
        <w:rPr>
          <w:rFonts w:ascii="Times New Roman" w:hAnsi="Times New Roman" w:cs="Times New Roman"/>
          <w:kern w:val="0"/>
        </w:rPr>
        <w:t> </w:t>
      </w:r>
      <w:r w:rsidRPr="006F6090">
        <w:rPr>
          <w:rFonts w:ascii="Times New Roman" w:hAnsi="Times New Roman" w:cs="Times New Roman"/>
          <w:kern w:val="0"/>
        </w:rPr>
        <w:t>ábra). A 190 beteg közül 91-nél (47,9%) nem</w:t>
      </w:r>
      <w:r>
        <w:rPr>
          <w:rFonts w:ascii="Times New Roman" w:hAnsi="Times New Roman" w:cs="Times New Roman"/>
          <w:kern w:val="0"/>
        </w:rPr>
        <w:t xml:space="preserve"> </w:t>
      </w:r>
      <w:r w:rsidRPr="006F6090">
        <w:rPr>
          <w:rFonts w:ascii="Times New Roman" w:hAnsi="Times New Roman" w:cs="Times New Roman"/>
          <w:kern w:val="0"/>
        </w:rPr>
        <w:t>volt kezelésmentes túlélés esemény.</w:t>
      </w:r>
    </w:p>
    <w:p w14:paraId="72EC1727" w14:textId="77777777" w:rsidR="006F6090" w:rsidRPr="006F6090" w:rsidRDefault="006F6090" w:rsidP="006F60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6BD3A8E" w14:textId="1E0CB60B" w:rsidR="006F6090" w:rsidRPr="006F6090" w:rsidRDefault="006F6090" w:rsidP="008E68D3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6F6090">
        <w:rPr>
          <w:rFonts w:ascii="Times New Roman" w:hAnsi="Times New Roman" w:cs="Times New Roman"/>
          <w:b/>
          <w:bCs/>
          <w:kern w:val="0"/>
        </w:rPr>
        <w:lastRenderedPageBreak/>
        <w:t>4. ábra A kezelésmentes túlélés Kaplan-Meier</w:t>
      </w:r>
      <w:r w:rsidRPr="006F6090">
        <w:rPr>
          <w:rFonts w:ascii="Times New Roman" w:eastAsia="TimesNewRomanPS-BoldMT" w:hAnsi="Times New Roman" w:cs="Times New Roman"/>
          <w:b/>
          <w:bCs/>
          <w:kern w:val="0"/>
        </w:rPr>
        <w:t>—</w:t>
      </w:r>
      <w:r w:rsidRPr="006F6090">
        <w:rPr>
          <w:rFonts w:ascii="Times New Roman" w:hAnsi="Times New Roman" w:cs="Times New Roman"/>
          <w:b/>
          <w:bCs/>
          <w:kern w:val="0"/>
        </w:rPr>
        <w:t>féle becslése a TFR elkezdése után (teljes</w:t>
      </w:r>
      <w:r>
        <w:rPr>
          <w:rFonts w:ascii="Times New Roman" w:hAnsi="Times New Roman" w:cs="Times New Roman"/>
          <w:b/>
          <w:bCs/>
          <w:kern w:val="0"/>
        </w:rPr>
        <w:t xml:space="preserve"> </w:t>
      </w:r>
      <w:r w:rsidRPr="006F6090">
        <w:rPr>
          <w:rFonts w:ascii="Times New Roman" w:hAnsi="Times New Roman" w:cs="Times New Roman"/>
          <w:b/>
          <w:bCs/>
          <w:kern w:val="0"/>
        </w:rPr>
        <w:t>analízis halmaz)</w:t>
      </w:r>
    </w:p>
    <w:p w14:paraId="68B83EDA" w14:textId="77777777" w:rsidR="00477BA5" w:rsidRDefault="00477BA5" w:rsidP="008E68D3">
      <w:pPr>
        <w:keepNext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</w:p>
    <w:p w14:paraId="3F961B47" w14:textId="3A59B0A8" w:rsidR="00491B2B" w:rsidRDefault="00491B2B" w:rsidP="008E68D3">
      <w:pPr>
        <w:keepNext/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>
        <w:rPr>
          <w:noProof/>
        </w:rPr>
        <w:drawing>
          <wp:inline distT="0" distB="0" distL="0" distR="0" wp14:anchorId="1DDAFBD1" wp14:editId="10705A6A">
            <wp:extent cx="5759450" cy="2995295"/>
            <wp:effectExtent l="0" t="0" r="0" b="0"/>
            <wp:docPr id="1131034932" name="Kép 1" descr="A képen szöveg, sor, diagram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034932" name="Kép 1" descr="A képen szöveg, sor, diagram, Diagram látható&#10;&#10;Automatikusan generált leírá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99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ADFD2" w14:textId="77777777" w:rsidR="00C72D3B" w:rsidRDefault="00C72D3B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</w:p>
    <w:p w14:paraId="7825A372" w14:textId="3316AD30" w:rsidR="00C72D3B" w:rsidRPr="00C72D3B" w:rsidRDefault="00C72D3B" w:rsidP="00C72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 w:rsidRPr="00C72D3B">
        <w:rPr>
          <w:rFonts w:ascii="Times New Roman" w:hAnsi="Times New Roman" w:cs="Times New Roman"/>
          <w:i/>
          <w:iCs/>
          <w:kern w:val="0"/>
          <w:u w:val="single"/>
        </w:rPr>
        <w:t>Krónikus fázisú CML-es, korábbi imatinib-kezelés után nilotinib-kezeléssel tartós, mély molekuláris</w:t>
      </w:r>
      <w:r>
        <w:rPr>
          <w:rFonts w:ascii="Times New Roman" w:hAnsi="Times New Roman" w:cs="Times New Roman"/>
          <w:i/>
          <w:iCs/>
          <w:kern w:val="0"/>
          <w:u w:val="single"/>
        </w:rPr>
        <w:t xml:space="preserve"> </w:t>
      </w:r>
      <w:r w:rsidRPr="00C72D3B">
        <w:rPr>
          <w:rFonts w:ascii="Times New Roman" w:hAnsi="Times New Roman" w:cs="Times New Roman"/>
          <w:i/>
          <w:iCs/>
          <w:kern w:val="0"/>
          <w:u w:val="single"/>
        </w:rPr>
        <w:t>válaszreakciót elért felnőtt betegek kezelésének abbahagyása</w:t>
      </w:r>
    </w:p>
    <w:p w14:paraId="2197685C" w14:textId="4684D2F9" w:rsidR="00C72D3B" w:rsidRPr="00C72D3B" w:rsidRDefault="00C72D3B" w:rsidP="00C72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C72D3B">
        <w:rPr>
          <w:rFonts w:ascii="Times New Roman" w:eastAsia="TimesNewRomanPSMT" w:hAnsi="Times New Roman" w:cs="Times New Roman"/>
          <w:kern w:val="0"/>
        </w:rPr>
        <w:t>Egy nyílt elrendezésű, egykaros vizsgálatba 163, krónikus fázisú, Ph+ CML</w:t>
      </w:r>
      <w:r w:rsidRPr="00C72D3B">
        <w:rPr>
          <w:rFonts w:ascii="Times New Roman" w:hAnsi="Times New Roman" w:cs="Times New Roman"/>
          <w:kern w:val="0"/>
        </w:rPr>
        <w:t>-es, legalább 3</w:t>
      </w:r>
      <w:r w:rsidR="006C7242">
        <w:rPr>
          <w:rFonts w:ascii="Times New Roman" w:hAnsi="Times New Roman" w:cs="Times New Roman"/>
          <w:kern w:val="0"/>
        </w:rPr>
        <w:t> </w:t>
      </w:r>
      <w:r w:rsidRPr="00C72D3B">
        <w:rPr>
          <w:rFonts w:ascii="Times New Roman" w:hAnsi="Times New Roman" w:cs="Times New Roman"/>
          <w:kern w:val="0"/>
        </w:rPr>
        <w:t>évig</w:t>
      </w:r>
      <w:r w:rsidR="006C7242">
        <w:rPr>
          <w:rFonts w:ascii="Times New Roman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>tirozinkináz-inhibitorokat (TKI-</w:t>
      </w:r>
      <w:r w:rsidRPr="00C72D3B">
        <w:rPr>
          <w:rFonts w:ascii="Times New Roman" w:eastAsia="TimesNewRomanPSMT" w:hAnsi="Times New Roman" w:cs="Times New Roman"/>
          <w:kern w:val="0"/>
        </w:rPr>
        <w:t>ok) szedő (kezdeti TKI</w:t>
      </w:r>
      <w:r w:rsidRPr="00C72D3B">
        <w:rPr>
          <w:rFonts w:ascii="Times New Roman" w:hAnsi="Times New Roman" w:cs="Times New Roman"/>
          <w:kern w:val="0"/>
        </w:rPr>
        <w:t>-kezelésként több mint 4 hétig imatinib, a</w:t>
      </w:r>
      <w:r w:rsidR="006C7242">
        <w:rPr>
          <w:rFonts w:ascii="Times New Roman" w:hAnsi="Times New Roman" w:cs="Times New Roman"/>
          <w:kern w:val="0"/>
        </w:rPr>
        <w:t xml:space="preserve"> </w:t>
      </w:r>
      <w:r w:rsidRPr="00C72D3B">
        <w:rPr>
          <w:rFonts w:ascii="Times New Roman" w:eastAsia="TimesNewRomanPSMT" w:hAnsi="Times New Roman" w:cs="Times New Roman"/>
          <w:kern w:val="0"/>
        </w:rPr>
        <w:t>nilotinibre történő átállításkor dokumentált MR4,5 nélkül az imatinib</w:t>
      </w:r>
      <w:r w:rsidRPr="00C72D3B">
        <w:rPr>
          <w:rFonts w:ascii="Times New Roman" w:hAnsi="Times New Roman" w:cs="Times New Roman"/>
          <w:kern w:val="0"/>
        </w:rPr>
        <w:t>-kezelés mellett, majd legalább</w:t>
      </w:r>
      <w:r w:rsidR="006C7242">
        <w:rPr>
          <w:rFonts w:ascii="Times New Roman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 xml:space="preserve">két </w:t>
      </w:r>
      <w:r w:rsidRPr="00C72D3B">
        <w:rPr>
          <w:rFonts w:ascii="Times New Roman" w:eastAsia="TimesNewRomanPSMT" w:hAnsi="Times New Roman" w:cs="Times New Roman"/>
          <w:kern w:val="0"/>
        </w:rPr>
        <w:t>évig nilotinibre történő átállítás), olyan felnőtt bet</w:t>
      </w:r>
      <w:r w:rsidRPr="00C72D3B">
        <w:rPr>
          <w:rFonts w:ascii="Times New Roman" w:hAnsi="Times New Roman" w:cs="Times New Roman"/>
          <w:kern w:val="0"/>
        </w:rPr>
        <w:t>eget vontak be, akik a MolecularMD MRDx</w:t>
      </w:r>
      <w:r w:rsidR="006C7242">
        <w:rPr>
          <w:rFonts w:ascii="Times New Roman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>BCR-ABL teszttel mérve MR4,5</w:t>
      </w:r>
      <w:r w:rsidR="007A7DBD">
        <w:rPr>
          <w:rFonts w:ascii="Times New Roman" w:hAnsi="Times New Roman" w:cs="Times New Roman"/>
          <w:kern w:val="0"/>
        </w:rPr>
        <w:t xml:space="preserve"> értéke</w:t>
      </w:r>
      <w:r w:rsidRPr="00C72D3B">
        <w:rPr>
          <w:rFonts w:ascii="Times New Roman" w:hAnsi="Times New Roman" w:cs="Times New Roman"/>
          <w:kern w:val="0"/>
        </w:rPr>
        <w:t>t értek el a nilotinib-kezelés alatt, hogy további 52 héten át</w:t>
      </w:r>
      <w:r w:rsidR="006C7242">
        <w:rPr>
          <w:rFonts w:ascii="Times New Roman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>folytassák a nilotinib-kezelést (nilotinib konszolidációs fázis). A 163 beteg közül 126 (77,3%) lépett</w:t>
      </w:r>
      <w:r w:rsidR="006C7242">
        <w:rPr>
          <w:rFonts w:ascii="Times New Roman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>be a kezelésmentes r</w:t>
      </w:r>
      <w:r w:rsidRPr="00C72D3B">
        <w:rPr>
          <w:rFonts w:ascii="Times New Roman" w:eastAsia="TimesNewRomanPSMT" w:hAnsi="Times New Roman" w:cs="Times New Roman"/>
          <w:kern w:val="0"/>
        </w:rPr>
        <w:t>emisszió fázisba azt követően, hogy a konszolidációs fázis alatt tartós mély</w:t>
      </w:r>
      <w:r w:rsidR="006C7242">
        <w:rPr>
          <w:rFonts w:ascii="Times New Roman" w:eastAsia="TimesNewRomanPSMT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>molekuláris választ ért el, amelyet az alábbi kritérium definiál:</w:t>
      </w:r>
    </w:p>
    <w:p w14:paraId="238F99C4" w14:textId="4D5A4030" w:rsidR="00C72D3B" w:rsidRPr="001B2E0B" w:rsidRDefault="00C72D3B" w:rsidP="001B2E0B">
      <w:pPr>
        <w:pStyle w:val="Listaszerbekezds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1B2E0B">
        <w:rPr>
          <w:rFonts w:ascii="Times New Roman" w:hAnsi="Times New Roman" w:cs="Times New Roman"/>
          <w:kern w:val="0"/>
        </w:rPr>
        <w:t>A 4 utolsó negyedéves vizsgálat (12</w:t>
      </w:r>
      <w:r w:rsidR="00977802">
        <w:rPr>
          <w:rFonts w:ascii="Times New Roman" w:hAnsi="Times New Roman" w:cs="Times New Roman"/>
          <w:kern w:val="0"/>
        </w:rPr>
        <w:t> </w:t>
      </w:r>
      <w:r w:rsidRPr="001B2E0B">
        <w:rPr>
          <w:rFonts w:ascii="Times New Roman" w:hAnsi="Times New Roman" w:cs="Times New Roman"/>
          <w:kern w:val="0"/>
        </w:rPr>
        <w:t>hetenként végezve) nem mutatta ki az MR4,5 bizonyított</w:t>
      </w:r>
      <w:r w:rsidR="006C7242" w:rsidRPr="001B2E0B">
        <w:rPr>
          <w:rFonts w:ascii="Times New Roman" w:hAnsi="Times New Roman" w:cs="Times New Roman"/>
          <w:kern w:val="0"/>
        </w:rPr>
        <w:t xml:space="preserve"> </w:t>
      </w:r>
      <w:r w:rsidRPr="001B2E0B">
        <w:rPr>
          <w:rFonts w:ascii="Times New Roman" w:eastAsia="TimesNewRomanPSMT" w:hAnsi="Times New Roman" w:cs="Times New Roman"/>
          <w:kern w:val="0"/>
        </w:rPr>
        <w:t>megszűnését (BCR</w:t>
      </w:r>
      <w:r w:rsidRPr="001B2E0B">
        <w:rPr>
          <w:rFonts w:ascii="Times New Roman" w:hAnsi="Times New Roman" w:cs="Times New Roman"/>
          <w:kern w:val="0"/>
        </w:rPr>
        <w:t>-ABL/A</w:t>
      </w:r>
      <w:r w:rsidRPr="001B2E0B">
        <w:rPr>
          <w:rFonts w:ascii="Times New Roman" w:eastAsia="TimesNewRomanPSMT" w:hAnsi="Times New Roman" w:cs="Times New Roman"/>
          <w:kern w:val="0"/>
        </w:rPr>
        <w:t xml:space="preserve">BL ≤ </w:t>
      </w:r>
      <w:r w:rsidRPr="001B2E0B">
        <w:rPr>
          <w:rFonts w:ascii="Times New Roman" w:hAnsi="Times New Roman" w:cs="Times New Roman"/>
          <w:kern w:val="0"/>
        </w:rPr>
        <w:t>0,0032% IS) az egy év alatt.</w:t>
      </w:r>
    </w:p>
    <w:p w14:paraId="375D1422" w14:textId="77777777" w:rsidR="006C7242" w:rsidRPr="00C72D3B" w:rsidRDefault="006C7242" w:rsidP="00C72D3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0A9DA8B" w14:textId="210EDA4A" w:rsidR="00C72D3B" w:rsidRDefault="00C72D3B" w:rsidP="00C72D3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C72D3B">
        <w:rPr>
          <w:rFonts w:ascii="Times New Roman" w:eastAsia="TimesNewRomanPSMT" w:hAnsi="Times New Roman" w:cs="Times New Roman"/>
          <w:kern w:val="0"/>
        </w:rPr>
        <w:t>Az elsődleges végpont azoknak a betegeknek az aránya volt, akiknél a kezelés abbahagyását követő</w:t>
      </w:r>
      <w:r w:rsidR="006C7242">
        <w:rPr>
          <w:rFonts w:ascii="Times New Roman" w:eastAsia="TimesNewRomanPSMT" w:hAnsi="Times New Roman" w:cs="Times New Roman"/>
          <w:kern w:val="0"/>
        </w:rPr>
        <w:t xml:space="preserve"> </w:t>
      </w:r>
      <w:r w:rsidRPr="00C72D3B">
        <w:rPr>
          <w:rFonts w:ascii="Times New Roman" w:hAnsi="Times New Roman" w:cs="Times New Roman"/>
          <w:kern w:val="0"/>
        </w:rPr>
        <w:t>48</w:t>
      </w:r>
      <w:r w:rsidR="006C7242">
        <w:rPr>
          <w:rFonts w:ascii="Times New Roman" w:hAnsi="Times New Roman" w:cs="Times New Roman"/>
          <w:kern w:val="0"/>
        </w:rPr>
        <w:t> </w:t>
      </w:r>
      <w:r w:rsidRPr="00C72D3B">
        <w:rPr>
          <w:rFonts w:ascii="Times New Roman" w:eastAsia="TimesNewRomanPSMT" w:hAnsi="Times New Roman" w:cs="Times New Roman"/>
          <w:kern w:val="0"/>
        </w:rPr>
        <w:t>héten belül nem mutatták ki az MR4,0 bizonyított elvesztését vagy a</w:t>
      </w:r>
      <w:r w:rsidR="00690565">
        <w:rPr>
          <w:rFonts w:ascii="Times New Roman" w:eastAsia="TimesNewRomanPSMT" w:hAnsi="Times New Roman" w:cs="Times New Roman"/>
          <w:kern w:val="0"/>
        </w:rPr>
        <w:t>z</w:t>
      </w:r>
      <w:r w:rsidRPr="00C72D3B">
        <w:rPr>
          <w:rFonts w:ascii="Times New Roman" w:eastAsia="TimesNewRomanPSMT" w:hAnsi="Times New Roman" w:cs="Times New Roman"/>
          <w:kern w:val="0"/>
        </w:rPr>
        <w:t xml:space="preserve"> MMR megszűnését.</w:t>
      </w:r>
    </w:p>
    <w:p w14:paraId="4617AC56" w14:textId="77777777" w:rsidR="00667C36" w:rsidRPr="00C72D3B" w:rsidRDefault="00667C36" w:rsidP="00C72D3B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EF4F507" w14:textId="39CC2F1C" w:rsidR="003B5710" w:rsidRDefault="00C72D3B" w:rsidP="00550EB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C72D3B">
        <w:rPr>
          <w:rFonts w:ascii="Times New Roman" w:hAnsi="Times New Roman" w:cs="Times New Roman"/>
          <w:b/>
          <w:bCs/>
          <w:kern w:val="0"/>
        </w:rPr>
        <w:t>12. táblázat A kezelésmentes remisszió korábbi imatinib-terápia után alkalmazott</w:t>
      </w:r>
      <w:r w:rsidR="00512BEE">
        <w:rPr>
          <w:rFonts w:ascii="Times New Roman" w:hAnsi="Times New Roman" w:cs="Times New Roman"/>
          <w:b/>
          <w:bCs/>
          <w:kern w:val="0"/>
        </w:rPr>
        <w:t xml:space="preserve"> </w:t>
      </w:r>
      <w:r w:rsidRPr="00C72D3B">
        <w:rPr>
          <w:rFonts w:ascii="Times New Roman" w:hAnsi="Times New Roman" w:cs="Times New Roman"/>
          <w:b/>
          <w:bCs/>
          <w:kern w:val="0"/>
        </w:rPr>
        <w:t>nilotinib-</w:t>
      </w:r>
      <w:r w:rsidRPr="00C72D3B">
        <w:rPr>
          <w:rFonts w:ascii="Times New Roman" w:eastAsia="TimesNewRomanPS-BoldMT" w:hAnsi="Times New Roman" w:cs="Times New Roman"/>
          <w:b/>
          <w:bCs/>
          <w:kern w:val="0"/>
        </w:rPr>
        <w:t>kezelést követően</w:t>
      </w:r>
    </w:p>
    <w:p w14:paraId="7F9DB301" w14:textId="77777777" w:rsidR="00B227E6" w:rsidRDefault="00B227E6" w:rsidP="00512BEE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tbl>
      <w:tblPr>
        <w:tblW w:w="9063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66"/>
        <w:gridCol w:w="2609"/>
        <w:gridCol w:w="2688"/>
      </w:tblGrid>
      <w:tr w:rsidR="00B227E6" w:rsidRPr="00BD0AD4" w14:paraId="5E5B8621" w14:textId="77777777" w:rsidTr="00F14473">
        <w:trPr>
          <w:trHeight w:val="251"/>
        </w:trPr>
        <w:tc>
          <w:tcPr>
            <w:tcW w:w="3766" w:type="dxa"/>
          </w:tcPr>
          <w:p w14:paraId="5D9DEB47" w14:textId="7F2BE4B1" w:rsidR="00B227E6" w:rsidRPr="00BD0AD4" w:rsidRDefault="00581312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BD0AD4">
              <w:rPr>
                <w:lang w:val="hu-HU"/>
              </w:rPr>
              <w:t>A TFR fázisba belépett betegek</w:t>
            </w:r>
          </w:p>
        </w:tc>
        <w:tc>
          <w:tcPr>
            <w:tcW w:w="5297" w:type="dxa"/>
            <w:gridSpan w:val="2"/>
          </w:tcPr>
          <w:p w14:paraId="0E57EE3E" w14:textId="77777777" w:rsidR="00B227E6" w:rsidRPr="00BD0AD4" w:rsidRDefault="00B227E6" w:rsidP="00C619EF">
            <w:pPr>
              <w:pStyle w:val="TableParagraph"/>
              <w:spacing w:line="232" w:lineRule="exact"/>
              <w:ind w:left="2470" w:right="2462"/>
              <w:jc w:val="center"/>
              <w:rPr>
                <w:lang w:val="hu-HU"/>
              </w:rPr>
            </w:pPr>
            <w:r w:rsidRPr="00BD0AD4">
              <w:rPr>
                <w:spacing w:val="-5"/>
                <w:lang w:val="hu-HU"/>
              </w:rPr>
              <w:t>126</w:t>
            </w:r>
          </w:p>
        </w:tc>
      </w:tr>
      <w:tr w:rsidR="00B227E6" w:rsidRPr="00BD0AD4" w14:paraId="38B879DE" w14:textId="77777777" w:rsidTr="00F14473">
        <w:trPr>
          <w:trHeight w:val="254"/>
        </w:trPr>
        <w:tc>
          <w:tcPr>
            <w:tcW w:w="3766" w:type="dxa"/>
          </w:tcPr>
          <w:p w14:paraId="7835965F" w14:textId="6ADBC46F" w:rsidR="00B227E6" w:rsidRPr="00BD0AD4" w:rsidRDefault="00581312" w:rsidP="00027697">
            <w:pPr>
              <w:autoSpaceDE w:val="0"/>
              <w:autoSpaceDN w:val="0"/>
              <w:adjustRightInd w:val="0"/>
              <w:spacing w:after="0" w:line="240" w:lineRule="auto"/>
              <w:ind w:left="327" w:firstLine="142"/>
            </w:pPr>
            <w:r w:rsidRPr="00BD0AD4">
              <w:rPr>
                <w:rFonts w:ascii="Times New Roman" w:hAnsi="Times New Roman" w:cs="Times New Roman"/>
                <w:kern w:val="0"/>
              </w:rPr>
              <w:t>a TFR fázis elkezdése óta eltelt</w:t>
            </w:r>
            <w:r w:rsidR="00667C36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027697">
              <w:rPr>
                <w:rFonts w:ascii="Times New Roman" w:hAnsi="Times New Roman" w:cs="Times New Roman"/>
                <w:kern w:val="0"/>
              </w:rPr>
              <w:t>hetek</w:t>
            </w:r>
          </w:p>
        </w:tc>
        <w:tc>
          <w:tcPr>
            <w:tcW w:w="2609" w:type="dxa"/>
          </w:tcPr>
          <w:p w14:paraId="3AD6BA6A" w14:textId="50088518" w:rsidR="00B227E6" w:rsidRPr="00BD0AD4" w:rsidRDefault="00B227E6" w:rsidP="00C619EF">
            <w:pPr>
              <w:pStyle w:val="TableParagraph"/>
              <w:spacing w:before="1" w:line="233" w:lineRule="exact"/>
              <w:ind w:left="125" w:right="116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48 </w:t>
            </w:r>
            <w:r w:rsidR="000B3E47" w:rsidRPr="00BD0AD4">
              <w:rPr>
                <w:spacing w:val="-2"/>
                <w:lang w:val="hu-HU"/>
              </w:rPr>
              <w:t>hét</w:t>
            </w:r>
          </w:p>
        </w:tc>
        <w:tc>
          <w:tcPr>
            <w:tcW w:w="2688" w:type="dxa"/>
          </w:tcPr>
          <w:p w14:paraId="5ABA50BE" w14:textId="23D2314C" w:rsidR="00B227E6" w:rsidRPr="00BD0AD4" w:rsidRDefault="00B227E6" w:rsidP="00C619EF">
            <w:pPr>
              <w:pStyle w:val="TableParagraph"/>
              <w:spacing w:before="1" w:line="233" w:lineRule="exact"/>
              <w:ind w:left="122" w:right="110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264 </w:t>
            </w:r>
            <w:r w:rsidR="000B3E47" w:rsidRPr="00BD0AD4">
              <w:rPr>
                <w:spacing w:val="-2"/>
                <w:lang w:val="hu-HU"/>
              </w:rPr>
              <w:t>hét</w:t>
            </w:r>
          </w:p>
        </w:tc>
      </w:tr>
      <w:tr w:rsidR="00B227E6" w:rsidRPr="00BD0AD4" w14:paraId="18DBAF40" w14:textId="77777777" w:rsidTr="00F14473">
        <w:trPr>
          <w:trHeight w:val="758"/>
        </w:trPr>
        <w:tc>
          <w:tcPr>
            <w:tcW w:w="3766" w:type="dxa"/>
          </w:tcPr>
          <w:p w14:paraId="51EB51D4" w14:textId="79BE6D9A" w:rsidR="00B227E6" w:rsidRPr="00BD0AD4" w:rsidRDefault="009F6291" w:rsidP="009F6291">
            <w:pPr>
              <w:pStyle w:val="TableParagraph"/>
              <w:spacing w:line="251" w:lineRule="exact"/>
              <w:ind w:left="419"/>
              <w:rPr>
                <w:lang w:val="hu-HU"/>
              </w:rPr>
            </w:pPr>
            <w:r w:rsidRPr="00BD0AD4">
              <w:rPr>
                <w:lang w:val="hu-HU"/>
              </w:rPr>
              <w:t>MMR-ben maradó betegek, akiknél nem igazolták az MR4,0 elvesztését és nem kezdték újra a nilotinibet</w:t>
            </w:r>
          </w:p>
        </w:tc>
        <w:tc>
          <w:tcPr>
            <w:tcW w:w="2609" w:type="dxa"/>
          </w:tcPr>
          <w:p w14:paraId="4BAF002A" w14:textId="47F938B9" w:rsidR="00B227E6" w:rsidRPr="00BD0AD4" w:rsidRDefault="00B227E6" w:rsidP="00C619EF">
            <w:pPr>
              <w:pStyle w:val="TableParagraph"/>
              <w:spacing w:line="251" w:lineRule="exact"/>
              <w:ind w:left="125" w:right="119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>73</w:t>
            </w:r>
            <w:r w:rsidRPr="00BD0AD4">
              <w:rPr>
                <w:spacing w:val="-3"/>
                <w:lang w:val="hu-HU"/>
              </w:rPr>
              <w:t xml:space="preserve"> </w:t>
            </w:r>
            <w:r w:rsidRPr="00BD0AD4">
              <w:rPr>
                <w:lang w:val="hu-HU"/>
              </w:rPr>
              <w:t>(57</w:t>
            </w:r>
            <w:r w:rsidR="000B3E47" w:rsidRPr="00BD0AD4">
              <w:rPr>
                <w:lang w:val="hu-HU"/>
              </w:rPr>
              <w:t>,</w:t>
            </w:r>
            <w:r w:rsidRPr="00BD0AD4">
              <w:rPr>
                <w:lang w:val="hu-HU"/>
              </w:rPr>
              <w:t>9%,</w:t>
            </w:r>
            <w:r w:rsidRPr="00BD0AD4">
              <w:rPr>
                <w:spacing w:val="-5"/>
                <w:lang w:val="hu-HU"/>
              </w:rPr>
              <w:t xml:space="preserve"> </w:t>
            </w:r>
            <w:r w:rsidRPr="00BD0AD4">
              <w:rPr>
                <w:lang w:val="hu-HU"/>
              </w:rPr>
              <w:t>[95%</w:t>
            </w:r>
            <w:r w:rsidRPr="00BD0AD4">
              <w:rPr>
                <w:spacing w:val="-2"/>
                <w:lang w:val="hu-HU"/>
              </w:rPr>
              <w:t xml:space="preserve"> </w:t>
            </w:r>
            <w:r w:rsidRPr="00BD0AD4">
              <w:rPr>
                <w:lang w:val="hu-HU"/>
              </w:rPr>
              <w:t>CI:</w:t>
            </w:r>
            <w:r w:rsidRPr="00BD0AD4">
              <w:rPr>
                <w:spacing w:val="-1"/>
                <w:lang w:val="hu-HU"/>
              </w:rPr>
              <w:t xml:space="preserve"> </w:t>
            </w:r>
            <w:r w:rsidRPr="00BD0AD4">
              <w:rPr>
                <w:spacing w:val="-2"/>
                <w:lang w:val="hu-HU"/>
              </w:rPr>
              <w:t>48</w:t>
            </w:r>
            <w:r w:rsidR="000B3E47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8,</w:t>
            </w:r>
          </w:p>
          <w:p w14:paraId="13A63669" w14:textId="4A9CBAC2" w:rsidR="00B227E6" w:rsidRPr="00BD0AD4" w:rsidRDefault="00B227E6" w:rsidP="00C619EF">
            <w:pPr>
              <w:pStyle w:val="TableParagraph"/>
              <w:spacing w:before="1"/>
              <w:ind w:left="125" w:right="114"/>
              <w:jc w:val="center"/>
              <w:rPr>
                <w:lang w:val="hu-HU"/>
              </w:rPr>
            </w:pPr>
            <w:r w:rsidRPr="00BD0AD4">
              <w:rPr>
                <w:spacing w:val="-2"/>
                <w:lang w:val="hu-HU"/>
              </w:rPr>
              <w:t>66</w:t>
            </w:r>
            <w:r w:rsidR="000B3E47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7])</w:t>
            </w:r>
          </w:p>
        </w:tc>
        <w:tc>
          <w:tcPr>
            <w:tcW w:w="2688" w:type="dxa"/>
          </w:tcPr>
          <w:p w14:paraId="6A8203E1" w14:textId="47D6F714" w:rsidR="00B227E6" w:rsidRPr="00BD0AD4" w:rsidRDefault="00B227E6" w:rsidP="00C619EF">
            <w:pPr>
              <w:pStyle w:val="TableParagraph"/>
              <w:spacing w:line="251" w:lineRule="exact"/>
              <w:ind w:left="117" w:right="111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>54</w:t>
            </w:r>
            <w:r w:rsidRPr="00BD0AD4">
              <w:rPr>
                <w:spacing w:val="-2"/>
                <w:lang w:val="hu-HU"/>
              </w:rPr>
              <w:t xml:space="preserve"> </w:t>
            </w:r>
            <w:r w:rsidRPr="00BD0AD4">
              <w:rPr>
                <w:lang w:val="hu-HU"/>
              </w:rPr>
              <w:t>(42</w:t>
            </w:r>
            <w:r w:rsidR="000B3E47" w:rsidRPr="00BD0AD4">
              <w:rPr>
                <w:lang w:val="hu-HU"/>
              </w:rPr>
              <w:t>,</w:t>
            </w:r>
            <w:r w:rsidRPr="00BD0AD4">
              <w:rPr>
                <w:lang w:val="hu-HU"/>
              </w:rPr>
              <w:t>9%</w:t>
            </w:r>
            <w:r w:rsidRPr="00BD0AD4">
              <w:rPr>
                <w:spacing w:val="-4"/>
                <w:lang w:val="hu-HU"/>
              </w:rPr>
              <w:t xml:space="preserve"> </w:t>
            </w:r>
            <w:r w:rsidRPr="00BD0AD4">
              <w:rPr>
                <w:lang w:val="hu-HU"/>
              </w:rPr>
              <w:t>[54/126,</w:t>
            </w:r>
            <w:r w:rsidRPr="00BD0AD4">
              <w:rPr>
                <w:spacing w:val="-1"/>
                <w:lang w:val="hu-HU"/>
              </w:rPr>
              <w:t xml:space="preserve"> </w:t>
            </w:r>
            <w:r w:rsidRPr="00BD0AD4">
              <w:rPr>
                <w:spacing w:val="-5"/>
                <w:lang w:val="hu-HU"/>
              </w:rPr>
              <w:t>95%</w:t>
            </w:r>
            <w:r w:rsidRPr="00BD0AD4">
              <w:rPr>
                <w:lang w:val="hu-HU"/>
              </w:rPr>
              <w:t xml:space="preserve"> CI:</w:t>
            </w:r>
            <w:r w:rsidRPr="00BD0AD4">
              <w:rPr>
                <w:spacing w:val="-1"/>
                <w:lang w:val="hu-HU"/>
              </w:rPr>
              <w:t xml:space="preserve"> </w:t>
            </w:r>
            <w:r w:rsidRPr="00BD0AD4">
              <w:rPr>
                <w:lang w:val="hu-HU"/>
              </w:rPr>
              <w:t>34</w:t>
            </w:r>
            <w:r w:rsidR="00F14473" w:rsidRPr="00BD0AD4">
              <w:rPr>
                <w:lang w:val="hu-HU"/>
              </w:rPr>
              <w:t>,</w:t>
            </w:r>
            <w:r w:rsidRPr="00BD0AD4">
              <w:rPr>
                <w:lang w:val="hu-HU"/>
              </w:rPr>
              <w:t>1,</w:t>
            </w:r>
            <w:r w:rsidRPr="00BD0AD4">
              <w:rPr>
                <w:spacing w:val="-1"/>
                <w:lang w:val="hu-HU"/>
              </w:rPr>
              <w:t xml:space="preserve"> </w:t>
            </w:r>
            <w:r w:rsidRPr="00BD0AD4">
              <w:rPr>
                <w:spacing w:val="-2"/>
                <w:lang w:val="hu-HU"/>
              </w:rPr>
              <w:t>52</w:t>
            </w:r>
            <w:r w:rsidR="00F14473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0])</w:t>
            </w:r>
          </w:p>
        </w:tc>
      </w:tr>
      <w:tr w:rsidR="00B227E6" w:rsidRPr="00BD0AD4" w14:paraId="56E75B5E" w14:textId="77777777" w:rsidTr="00F14473">
        <w:trPr>
          <w:trHeight w:val="253"/>
        </w:trPr>
        <w:tc>
          <w:tcPr>
            <w:tcW w:w="3766" w:type="dxa"/>
          </w:tcPr>
          <w:p w14:paraId="3EDEDBEE" w14:textId="2F18D0FE" w:rsidR="00B227E6" w:rsidRPr="00BD0AD4" w:rsidRDefault="009F6291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BD0AD4">
              <w:rPr>
                <w:lang w:val="hu-HU"/>
              </w:rPr>
              <w:t xml:space="preserve">A TFR fázist </w:t>
            </w:r>
            <w:r w:rsidRPr="00027697">
              <w:rPr>
                <w:lang w:val="hu-HU"/>
              </w:rPr>
              <w:t xml:space="preserve">befejező </w:t>
            </w:r>
            <w:r w:rsidRPr="00BD0AD4">
              <w:rPr>
                <w:lang w:val="hu-HU"/>
              </w:rPr>
              <w:t>betegek</w:t>
            </w:r>
          </w:p>
        </w:tc>
        <w:tc>
          <w:tcPr>
            <w:tcW w:w="2609" w:type="dxa"/>
          </w:tcPr>
          <w:p w14:paraId="06A7FD5A" w14:textId="77777777" w:rsidR="00B227E6" w:rsidRPr="00BD0AD4" w:rsidRDefault="00B227E6" w:rsidP="00C619EF">
            <w:pPr>
              <w:pStyle w:val="TableParagraph"/>
              <w:spacing w:line="234" w:lineRule="exact"/>
              <w:ind w:left="125" w:right="117"/>
              <w:jc w:val="center"/>
              <w:rPr>
                <w:lang w:val="hu-HU"/>
              </w:rPr>
            </w:pPr>
            <w:r w:rsidRPr="00BD0AD4">
              <w:rPr>
                <w:spacing w:val="-5"/>
                <w:lang w:val="hu-HU"/>
              </w:rPr>
              <w:t>53</w:t>
            </w:r>
          </w:p>
        </w:tc>
        <w:tc>
          <w:tcPr>
            <w:tcW w:w="2688" w:type="dxa"/>
          </w:tcPr>
          <w:p w14:paraId="75AF0889" w14:textId="77777777" w:rsidR="00B227E6" w:rsidRPr="00BD0AD4" w:rsidRDefault="00B227E6" w:rsidP="00C619EF">
            <w:pPr>
              <w:pStyle w:val="TableParagraph"/>
              <w:spacing w:before="42" w:line="144" w:lineRule="auto"/>
              <w:ind w:left="118" w:right="111"/>
              <w:jc w:val="center"/>
              <w:rPr>
                <w:sz w:val="14"/>
                <w:lang w:val="hu-HU"/>
              </w:rPr>
            </w:pPr>
            <w:r w:rsidRPr="00BD0AD4">
              <w:rPr>
                <w:position w:val="-7"/>
                <w:lang w:val="hu-HU"/>
              </w:rPr>
              <w:t xml:space="preserve">74 </w:t>
            </w:r>
            <w:r w:rsidRPr="00BD0AD4">
              <w:rPr>
                <w:spacing w:val="-5"/>
                <w:sz w:val="14"/>
                <w:lang w:val="hu-HU"/>
              </w:rPr>
              <w:t>[1]</w:t>
            </w:r>
          </w:p>
        </w:tc>
      </w:tr>
      <w:tr w:rsidR="00B227E6" w:rsidRPr="00BD0AD4" w14:paraId="662C8D82" w14:textId="77777777" w:rsidTr="00F14473">
        <w:trPr>
          <w:trHeight w:val="506"/>
        </w:trPr>
        <w:tc>
          <w:tcPr>
            <w:tcW w:w="3766" w:type="dxa"/>
          </w:tcPr>
          <w:p w14:paraId="04A8F8B3" w14:textId="369CAE5D" w:rsidR="00B227E6" w:rsidRPr="00BD0AD4" w:rsidRDefault="009F6291" w:rsidP="009F6291">
            <w:pPr>
              <w:pStyle w:val="TableParagraph"/>
              <w:spacing w:line="251" w:lineRule="exact"/>
              <w:ind w:left="419"/>
              <w:rPr>
                <w:lang w:val="hu-HU"/>
              </w:rPr>
            </w:pPr>
            <w:r w:rsidRPr="00BD0AD4">
              <w:rPr>
                <w:lang w:val="hu-HU"/>
              </w:rPr>
              <w:t xml:space="preserve">az MR4,0 </w:t>
            </w:r>
            <w:r w:rsidR="007A7DBD">
              <w:rPr>
                <w:lang w:val="hu-HU"/>
              </w:rPr>
              <w:t xml:space="preserve">érték </w:t>
            </w:r>
            <w:r w:rsidRPr="00BD0AD4">
              <w:rPr>
                <w:lang w:val="hu-HU"/>
              </w:rPr>
              <w:t>igazolt elvesztése vagy az</w:t>
            </w:r>
            <w:r w:rsidR="00667C36">
              <w:rPr>
                <w:lang w:val="hu-HU"/>
              </w:rPr>
              <w:t xml:space="preserve"> </w:t>
            </w:r>
            <w:r w:rsidRPr="00BD0AD4">
              <w:rPr>
                <w:lang w:val="hu-HU"/>
              </w:rPr>
              <w:t>MMR elvesztése miatt</w:t>
            </w:r>
          </w:p>
        </w:tc>
        <w:tc>
          <w:tcPr>
            <w:tcW w:w="2609" w:type="dxa"/>
          </w:tcPr>
          <w:p w14:paraId="61598C72" w14:textId="45BB3891" w:rsidR="00B227E6" w:rsidRPr="00BD0AD4" w:rsidRDefault="00B227E6" w:rsidP="00C619EF">
            <w:pPr>
              <w:pStyle w:val="TableParagraph"/>
              <w:spacing w:line="251" w:lineRule="exact"/>
              <w:ind w:left="125" w:right="117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53 </w:t>
            </w:r>
            <w:r w:rsidRPr="00BD0AD4">
              <w:rPr>
                <w:spacing w:val="-2"/>
                <w:lang w:val="hu-HU"/>
              </w:rPr>
              <w:t>(42</w:t>
            </w:r>
            <w:r w:rsidR="000B3E47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1%)</w:t>
            </w:r>
          </w:p>
        </w:tc>
        <w:tc>
          <w:tcPr>
            <w:tcW w:w="2688" w:type="dxa"/>
          </w:tcPr>
          <w:p w14:paraId="436DCBB4" w14:textId="301D169E" w:rsidR="00B227E6" w:rsidRPr="00BD0AD4" w:rsidRDefault="00B227E6" w:rsidP="00C619EF">
            <w:pPr>
              <w:pStyle w:val="TableParagraph"/>
              <w:spacing w:line="251" w:lineRule="exact"/>
              <w:ind w:left="122" w:right="111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61 </w:t>
            </w:r>
            <w:r w:rsidRPr="00BD0AD4">
              <w:rPr>
                <w:spacing w:val="-2"/>
                <w:lang w:val="hu-HU"/>
              </w:rPr>
              <w:t>(82</w:t>
            </w:r>
            <w:r w:rsidR="00F14473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4%)</w:t>
            </w:r>
          </w:p>
        </w:tc>
      </w:tr>
      <w:tr w:rsidR="00B227E6" w:rsidRPr="00BD0AD4" w14:paraId="44D86D9E" w14:textId="77777777" w:rsidTr="00F14473">
        <w:trPr>
          <w:trHeight w:val="251"/>
        </w:trPr>
        <w:tc>
          <w:tcPr>
            <w:tcW w:w="3766" w:type="dxa"/>
          </w:tcPr>
          <w:p w14:paraId="563D9B40" w14:textId="3FB9A8B6" w:rsidR="00B227E6" w:rsidRPr="00BD0AD4" w:rsidRDefault="000B3E47" w:rsidP="00C619EF">
            <w:pPr>
              <w:pStyle w:val="TableParagraph"/>
              <w:spacing w:line="232" w:lineRule="exact"/>
              <w:ind w:left="419"/>
              <w:rPr>
                <w:lang w:val="hu-HU"/>
              </w:rPr>
            </w:pPr>
            <w:r w:rsidRPr="00BD0AD4">
              <w:rPr>
                <w:lang w:val="hu-HU"/>
              </w:rPr>
              <w:t>egyéb ok miatt</w:t>
            </w:r>
          </w:p>
        </w:tc>
        <w:tc>
          <w:tcPr>
            <w:tcW w:w="2609" w:type="dxa"/>
          </w:tcPr>
          <w:p w14:paraId="1479DD17" w14:textId="77777777" w:rsidR="00B227E6" w:rsidRPr="00BD0AD4" w:rsidRDefault="00B227E6" w:rsidP="00C619EF">
            <w:pPr>
              <w:pStyle w:val="TableParagraph"/>
              <w:spacing w:line="232" w:lineRule="exact"/>
              <w:ind w:left="8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>0</w:t>
            </w:r>
          </w:p>
        </w:tc>
        <w:tc>
          <w:tcPr>
            <w:tcW w:w="2688" w:type="dxa"/>
          </w:tcPr>
          <w:p w14:paraId="222371FB" w14:textId="77777777" w:rsidR="00B227E6" w:rsidRPr="00BD0AD4" w:rsidRDefault="00B227E6" w:rsidP="00C619EF">
            <w:pPr>
              <w:pStyle w:val="TableParagraph"/>
              <w:spacing w:line="232" w:lineRule="exact"/>
              <w:ind w:left="122" w:right="111"/>
              <w:jc w:val="center"/>
              <w:rPr>
                <w:lang w:val="hu-HU"/>
              </w:rPr>
            </w:pPr>
            <w:r w:rsidRPr="00BD0AD4">
              <w:rPr>
                <w:spacing w:val="-5"/>
                <w:lang w:val="hu-HU"/>
              </w:rPr>
              <w:t>13</w:t>
            </w:r>
          </w:p>
        </w:tc>
      </w:tr>
      <w:tr w:rsidR="00B227E6" w:rsidRPr="00BD0AD4" w14:paraId="481AF644" w14:textId="77777777" w:rsidTr="00F14473">
        <w:trPr>
          <w:trHeight w:val="506"/>
        </w:trPr>
        <w:tc>
          <w:tcPr>
            <w:tcW w:w="3766" w:type="dxa"/>
          </w:tcPr>
          <w:p w14:paraId="3DF23285" w14:textId="4F9F656B" w:rsidR="00B227E6" w:rsidRPr="00BD0AD4" w:rsidRDefault="000B3E47" w:rsidP="000B3E47">
            <w:pPr>
              <w:pStyle w:val="TableParagraph"/>
              <w:spacing w:line="252" w:lineRule="exact"/>
              <w:rPr>
                <w:lang w:val="hu-HU"/>
              </w:rPr>
            </w:pPr>
            <w:r w:rsidRPr="00BD0AD4">
              <w:rPr>
                <w:lang w:val="hu-HU"/>
              </w:rPr>
              <w:t>Az MMR elvesztése vagy az MR4,0</w:t>
            </w:r>
            <w:r w:rsidR="00667C36">
              <w:rPr>
                <w:lang w:val="hu-HU"/>
              </w:rPr>
              <w:t xml:space="preserve"> </w:t>
            </w:r>
            <w:r w:rsidR="007A7DBD">
              <w:rPr>
                <w:lang w:val="hu-HU"/>
              </w:rPr>
              <w:t xml:space="preserve">érték </w:t>
            </w:r>
            <w:r w:rsidRPr="00BD0AD4">
              <w:rPr>
                <w:lang w:val="hu-HU"/>
              </w:rPr>
              <w:t>igazolt elvesztése után a kezelést</w:t>
            </w:r>
            <w:r w:rsidR="00667C36">
              <w:rPr>
                <w:lang w:val="hu-HU"/>
              </w:rPr>
              <w:t xml:space="preserve"> </w:t>
            </w:r>
            <w:r w:rsidRPr="00BD0AD4">
              <w:rPr>
                <w:lang w:val="hu-HU"/>
              </w:rPr>
              <w:t>újrakezdett betegek</w:t>
            </w:r>
          </w:p>
        </w:tc>
        <w:tc>
          <w:tcPr>
            <w:tcW w:w="2609" w:type="dxa"/>
          </w:tcPr>
          <w:p w14:paraId="0F88F648" w14:textId="77777777" w:rsidR="00B227E6" w:rsidRPr="00BD0AD4" w:rsidRDefault="00B227E6" w:rsidP="00C619EF">
            <w:pPr>
              <w:pStyle w:val="TableParagraph"/>
              <w:spacing w:before="1"/>
              <w:ind w:left="125" w:right="117"/>
              <w:jc w:val="center"/>
              <w:rPr>
                <w:lang w:val="hu-HU"/>
              </w:rPr>
            </w:pPr>
            <w:r w:rsidRPr="00BD0AD4">
              <w:rPr>
                <w:spacing w:val="-5"/>
                <w:lang w:val="hu-HU"/>
              </w:rPr>
              <w:t>51</w:t>
            </w:r>
          </w:p>
        </w:tc>
        <w:tc>
          <w:tcPr>
            <w:tcW w:w="2688" w:type="dxa"/>
          </w:tcPr>
          <w:p w14:paraId="145CD318" w14:textId="77777777" w:rsidR="00B227E6" w:rsidRPr="00BD0AD4" w:rsidRDefault="00B227E6" w:rsidP="00C619EF">
            <w:pPr>
              <w:pStyle w:val="TableParagraph"/>
              <w:spacing w:before="1"/>
              <w:ind w:left="122" w:right="111"/>
              <w:jc w:val="center"/>
              <w:rPr>
                <w:lang w:val="hu-HU"/>
              </w:rPr>
            </w:pPr>
            <w:r w:rsidRPr="00BD0AD4">
              <w:rPr>
                <w:spacing w:val="-5"/>
                <w:lang w:val="hu-HU"/>
              </w:rPr>
              <w:t>59</w:t>
            </w:r>
          </w:p>
        </w:tc>
      </w:tr>
      <w:tr w:rsidR="00B227E6" w:rsidRPr="00BD0AD4" w14:paraId="153076BA" w14:textId="77777777" w:rsidTr="00F14473">
        <w:trPr>
          <w:trHeight w:val="253"/>
        </w:trPr>
        <w:tc>
          <w:tcPr>
            <w:tcW w:w="3766" w:type="dxa"/>
          </w:tcPr>
          <w:p w14:paraId="4D667188" w14:textId="709E7019" w:rsidR="00B227E6" w:rsidRPr="00BD0AD4" w:rsidRDefault="000B3E47" w:rsidP="00C619EF">
            <w:pPr>
              <w:pStyle w:val="TableParagraph"/>
              <w:spacing w:before="1" w:line="233" w:lineRule="exact"/>
              <w:ind w:left="419"/>
              <w:rPr>
                <w:lang w:val="hu-HU"/>
              </w:rPr>
            </w:pPr>
            <w:r w:rsidRPr="00BD0AD4">
              <w:rPr>
                <w:lang w:val="hu-HU"/>
              </w:rPr>
              <w:t>akik visszanyerték az MR4,0</w:t>
            </w:r>
            <w:r w:rsidR="007A7DBD">
              <w:rPr>
                <w:lang w:val="hu-HU"/>
              </w:rPr>
              <w:t xml:space="preserve"> értéke</w:t>
            </w:r>
            <w:r w:rsidRPr="00BD0AD4">
              <w:rPr>
                <w:lang w:val="hu-HU"/>
              </w:rPr>
              <w:t>t</w:t>
            </w:r>
          </w:p>
        </w:tc>
        <w:tc>
          <w:tcPr>
            <w:tcW w:w="2609" w:type="dxa"/>
          </w:tcPr>
          <w:p w14:paraId="6E1E5EA5" w14:textId="5AC58131" w:rsidR="00B227E6" w:rsidRPr="00BD0AD4" w:rsidRDefault="00B227E6" w:rsidP="00C619EF">
            <w:pPr>
              <w:pStyle w:val="TableParagraph"/>
              <w:spacing w:before="1" w:line="233" w:lineRule="exact"/>
              <w:ind w:left="125" w:right="117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48 </w:t>
            </w:r>
            <w:r w:rsidRPr="00BD0AD4">
              <w:rPr>
                <w:spacing w:val="-2"/>
                <w:lang w:val="hu-HU"/>
              </w:rPr>
              <w:t>(94</w:t>
            </w:r>
            <w:r w:rsidR="000B3E47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1%)</w:t>
            </w:r>
          </w:p>
        </w:tc>
        <w:tc>
          <w:tcPr>
            <w:tcW w:w="2688" w:type="dxa"/>
          </w:tcPr>
          <w:p w14:paraId="1E21E3E4" w14:textId="0D45892A" w:rsidR="00B227E6" w:rsidRPr="00BD0AD4" w:rsidRDefault="00B227E6" w:rsidP="00C619EF">
            <w:pPr>
              <w:pStyle w:val="TableParagraph"/>
              <w:spacing w:before="1" w:line="233" w:lineRule="exact"/>
              <w:ind w:left="122" w:right="111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56 </w:t>
            </w:r>
            <w:r w:rsidRPr="00BD0AD4">
              <w:rPr>
                <w:spacing w:val="-2"/>
                <w:lang w:val="hu-HU"/>
              </w:rPr>
              <w:t>(94</w:t>
            </w:r>
            <w:r w:rsidR="00F14473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9%)</w:t>
            </w:r>
          </w:p>
        </w:tc>
      </w:tr>
      <w:tr w:rsidR="00B227E6" w:rsidRPr="00BD0AD4" w14:paraId="0C166BE6" w14:textId="77777777" w:rsidTr="00F14473">
        <w:trPr>
          <w:trHeight w:val="253"/>
        </w:trPr>
        <w:tc>
          <w:tcPr>
            <w:tcW w:w="3766" w:type="dxa"/>
          </w:tcPr>
          <w:p w14:paraId="7F476953" w14:textId="093F6087" w:rsidR="00B227E6" w:rsidRPr="00BD0AD4" w:rsidRDefault="000B3E47" w:rsidP="00C619EF">
            <w:pPr>
              <w:pStyle w:val="TableParagraph"/>
              <w:spacing w:line="234" w:lineRule="exact"/>
              <w:ind w:left="419"/>
              <w:rPr>
                <w:lang w:val="hu-HU"/>
              </w:rPr>
            </w:pPr>
            <w:r w:rsidRPr="00BD0AD4">
              <w:rPr>
                <w:lang w:val="hu-HU"/>
              </w:rPr>
              <w:t>akik visszanyerték az MR4,5</w:t>
            </w:r>
            <w:r w:rsidR="007A7DBD">
              <w:rPr>
                <w:lang w:val="hu-HU"/>
              </w:rPr>
              <w:t xml:space="preserve"> értéke</w:t>
            </w:r>
            <w:r w:rsidRPr="00BD0AD4">
              <w:rPr>
                <w:lang w:val="hu-HU"/>
              </w:rPr>
              <w:t>t</w:t>
            </w:r>
          </w:p>
        </w:tc>
        <w:tc>
          <w:tcPr>
            <w:tcW w:w="2609" w:type="dxa"/>
          </w:tcPr>
          <w:p w14:paraId="71A09859" w14:textId="45277A37" w:rsidR="00B227E6" w:rsidRPr="00BD0AD4" w:rsidRDefault="00B227E6" w:rsidP="00C619EF">
            <w:pPr>
              <w:pStyle w:val="TableParagraph"/>
              <w:spacing w:line="234" w:lineRule="exact"/>
              <w:ind w:left="125" w:right="117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47 </w:t>
            </w:r>
            <w:r w:rsidRPr="00BD0AD4">
              <w:rPr>
                <w:spacing w:val="-2"/>
                <w:lang w:val="hu-HU"/>
              </w:rPr>
              <w:t>(92</w:t>
            </w:r>
            <w:r w:rsidR="000B3E47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2%)</w:t>
            </w:r>
          </w:p>
        </w:tc>
        <w:tc>
          <w:tcPr>
            <w:tcW w:w="2688" w:type="dxa"/>
          </w:tcPr>
          <w:p w14:paraId="390190A2" w14:textId="3B0DDA24" w:rsidR="00B227E6" w:rsidRPr="00BD0AD4" w:rsidRDefault="00B227E6" w:rsidP="00C619EF">
            <w:pPr>
              <w:pStyle w:val="TableParagraph"/>
              <w:spacing w:line="234" w:lineRule="exact"/>
              <w:ind w:left="122" w:right="111"/>
              <w:jc w:val="center"/>
              <w:rPr>
                <w:lang w:val="hu-HU"/>
              </w:rPr>
            </w:pPr>
            <w:r w:rsidRPr="00BD0AD4">
              <w:rPr>
                <w:lang w:val="hu-HU"/>
              </w:rPr>
              <w:t xml:space="preserve">54 </w:t>
            </w:r>
            <w:r w:rsidRPr="00BD0AD4">
              <w:rPr>
                <w:spacing w:val="-2"/>
                <w:lang w:val="hu-HU"/>
              </w:rPr>
              <w:t>(91</w:t>
            </w:r>
            <w:r w:rsidR="00F14473" w:rsidRPr="00BD0AD4">
              <w:rPr>
                <w:spacing w:val="-2"/>
                <w:lang w:val="hu-HU"/>
              </w:rPr>
              <w:t>,</w:t>
            </w:r>
            <w:r w:rsidRPr="00BD0AD4">
              <w:rPr>
                <w:spacing w:val="-2"/>
                <w:lang w:val="hu-HU"/>
              </w:rPr>
              <w:t>5%)</w:t>
            </w:r>
          </w:p>
        </w:tc>
      </w:tr>
    </w:tbl>
    <w:p w14:paraId="34B29CD5" w14:textId="54FAEA34" w:rsidR="00F14473" w:rsidRDefault="00F14473" w:rsidP="00027697">
      <w:pPr>
        <w:autoSpaceDE w:val="0"/>
        <w:autoSpaceDN w:val="0"/>
        <w:adjustRightInd w:val="0"/>
        <w:spacing w:after="0" w:line="240" w:lineRule="auto"/>
        <w:ind w:left="221"/>
        <w:rPr>
          <w:rFonts w:ascii="Times New Roman" w:eastAsia="TimesNewRomanPSMT" w:hAnsi="Times New Roman" w:cs="Times New Roman"/>
          <w:kern w:val="0"/>
        </w:rPr>
      </w:pPr>
      <w:r w:rsidRPr="00F14473">
        <w:rPr>
          <w:rFonts w:ascii="Times New Roman" w:eastAsia="TimesNewRomanPSMT" w:hAnsi="Times New Roman" w:cs="Times New Roman"/>
          <w:kern w:val="0"/>
        </w:rPr>
        <w:lastRenderedPageBreak/>
        <w:t>[1] kettő betegnél fennállt MMR (PCR-vizsgálattal) a 264. héten, később azonban abbahagyták a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F14473">
        <w:rPr>
          <w:rFonts w:ascii="Times New Roman" w:eastAsia="TimesNewRomanPSMT" w:hAnsi="Times New Roman" w:cs="Times New Roman"/>
          <w:kern w:val="0"/>
        </w:rPr>
        <w:t>vizsgálatot és nem került sor náluk további PCR-vizsgálatokra.</w:t>
      </w:r>
    </w:p>
    <w:p w14:paraId="2B170604" w14:textId="77777777" w:rsidR="00F14473" w:rsidRPr="00F14473" w:rsidRDefault="00F14473" w:rsidP="00F1447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ABC7A4D" w14:textId="16BC3A97" w:rsidR="00F14473" w:rsidRDefault="00F14473" w:rsidP="00F1447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F14473">
        <w:rPr>
          <w:rFonts w:ascii="Times New Roman" w:eastAsia="TimesNewRomanPSMT" w:hAnsi="Times New Roman" w:cs="Times New Roman"/>
          <w:kern w:val="0"/>
        </w:rPr>
        <w:t>A nilotinib hatására az MR4,0 ismételt eléréséhez szükséges, Kaplan-Meier-féle becsült medián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F14473">
        <w:rPr>
          <w:rFonts w:ascii="Times New Roman" w:eastAsia="TimesNewRomanPSMT" w:hAnsi="Times New Roman" w:cs="Times New Roman"/>
          <w:kern w:val="0"/>
        </w:rPr>
        <w:t xml:space="preserve">időtartam 11,1 hét (95%-os CI: 8,1, 12,1), MR4,5 esetében 13,1 hét </w:t>
      </w:r>
      <w:r w:rsidR="00B10EED">
        <w:rPr>
          <w:rFonts w:ascii="Times New Roman" w:eastAsia="TimesNewRomanPSMT" w:hAnsi="Times New Roman" w:cs="Times New Roman"/>
          <w:kern w:val="0"/>
        </w:rPr>
        <w:t>(</w:t>
      </w:r>
      <w:r w:rsidRPr="00F14473">
        <w:rPr>
          <w:rFonts w:ascii="Times New Roman" w:eastAsia="TimesNewRomanPSMT" w:hAnsi="Times New Roman" w:cs="Times New Roman"/>
          <w:kern w:val="0"/>
        </w:rPr>
        <w:t>95%-os CI: 12,0, 15,9) volt. Az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F14473">
        <w:rPr>
          <w:rFonts w:ascii="Times New Roman" w:eastAsia="TimesNewRomanPSMT" w:hAnsi="Times New Roman" w:cs="Times New Roman"/>
          <w:kern w:val="0"/>
        </w:rPr>
        <w:t>MR4 visszanyerésének összesített aránya a kezelés újrakezdése utáni 48.</w:t>
      </w:r>
      <w:r w:rsidR="00BD0AD4">
        <w:rPr>
          <w:rFonts w:ascii="Times New Roman" w:eastAsia="TimesNewRomanPSMT" w:hAnsi="Times New Roman" w:cs="Times New Roman"/>
          <w:kern w:val="0"/>
        </w:rPr>
        <w:t> </w:t>
      </w:r>
      <w:r w:rsidRPr="00F14473">
        <w:rPr>
          <w:rFonts w:ascii="Times New Roman" w:eastAsia="TimesNewRomanPSMT" w:hAnsi="Times New Roman" w:cs="Times New Roman"/>
          <w:kern w:val="0"/>
        </w:rPr>
        <w:t>hétre 94,9% (59-ből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F14473">
        <w:rPr>
          <w:rFonts w:ascii="Times New Roman" w:eastAsia="TimesNewRomanPSMT" w:hAnsi="Times New Roman" w:cs="Times New Roman"/>
          <w:kern w:val="0"/>
        </w:rPr>
        <w:t>56</w:t>
      </w:r>
      <w:r>
        <w:rPr>
          <w:rFonts w:ascii="Times New Roman" w:eastAsia="TimesNewRomanPSMT" w:hAnsi="Times New Roman" w:cs="Times New Roman"/>
          <w:kern w:val="0"/>
        </w:rPr>
        <w:t> </w:t>
      </w:r>
      <w:r w:rsidRPr="00F14473">
        <w:rPr>
          <w:rFonts w:ascii="Times New Roman" w:eastAsia="TimesNewRomanPSMT" w:hAnsi="Times New Roman" w:cs="Times New Roman"/>
          <w:kern w:val="0"/>
        </w:rPr>
        <w:t>beteg), az MR4,5 esetében 91,5% (59-ből 54 beteg) volt.</w:t>
      </w:r>
    </w:p>
    <w:p w14:paraId="2150AAAB" w14:textId="77777777" w:rsidR="00F14473" w:rsidRPr="00F14473" w:rsidRDefault="00F14473" w:rsidP="00F1447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24D8F71F" w14:textId="5D0E7FB5" w:rsidR="00B227E6" w:rsidRDefault="00F14473" w:rsidP="00F1447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F14473">
        <w:rPr>
          <w:rFonts w:ascii="Times New Roman" w:eastAsia="TimesNewRomanPSMT" w:hAnsi="Times New Roman" w:cs="Times New Roman"/>
          <w:kern w:val="0"/>
        </w:rPr>
        <w:t>A medián kezelésmentes túlélés Kaplan–Meier-becslése 224 hét (95%-os CI: 39,9, NE) (5.</w:t>
      </w:r>
      <w:r>
        <w:rPr>
          <w:rFonts w:ascii="Times New Roman" w:eastAsia="TimesNewRomanPSMT" w:hAnsi="Times New Roman" w:cs="Times New Roman"/>
          <w:kern w:val="0"/>
        </w:rPr>
        <w:t> </w:t>
      </w:r>
      <w:r w:rsidRPr="00F14473">
        <w:rPr>
          <w:rFonts w:ascii="Times New Roman" w:eastAsia="TimesNewRomanPSMT" w:hAnsi="Times New Roman" w:cs="Times New Roman"/>
          <w:kern w:val="0"/>
        </w:rPr>
        <w:t>ábra). A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F14473">
        <w:rPr>
          <w:rFonts w:ascii="Times New Roman" w:eastAsia="TimesNewRomanPSMT" w:hAnsi="Times New Roman" w:cs="Times New Roman"/>
          <w:kern w:val="0"/>
        </w:rPr>
        <w:t>126 beteg közül 63-nál (50,0%) nem volt kezelésmentes túlélés esemény.</w:t>
      </w:r>
    </w:p>
    <w:p w14:paraId="34A9EE39" w14:textId="77777777" w:rsidR="002501BF" w:rsidRDefault="002501BF" w:rsidP="00F1447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3B2CB1F" w14:textId="6F1D29E7" w:rsidR="002501BF" w:rsidRDefault="002501BF" w:rsidP="002501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5. ábra A kezelésmentes túlélés Kaplan–Meier</w:t>
      </w:r>
      <w:r>
        <w:rPr>
          <w:rFonts w:ascii="TimesNewRomanPS-BoldMT" w:eastAsia="TimesNewRomanPS-BoldMT" w:hAnsi="Times New Roman" w:cs="TimesNewRomanPS-BoldMT"/>
          <w:b/>
          <w:bCs/>
          <w:kern w:val="0"/>
        </w:rPr>
        <w:t>–</w:t>
      </w:r>
      <w:r>
        <w:rPr>
          <w:rFonts w:ascii="Times New Roman" w:hAnsi="Times New Roman" w:cs="Times New Roman"/>
          <w:b/>
          <w:bCs/>
          <w:kern w:val="0"/>
        </w:rPr>
        <w:t>féle becslése a TFR elkezdése után (teljes</w:t>
      </w:r>
    </w:p>
    <w:p w14:paraId="7FDDF326" w14:textId="3D272E24" w:rsidR="002501BF" w:rsidRDefault="002501BF" w:rsidP="002501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rFonts w:ascii="Times New Roman" w:hAnsi="Times New Roman" w:cs="Times New Roman"/>
          <w:b/>
          <w:bCs/>
          <w:kern w:val="0"/>
        </w:rPr>
        <w:t>analízis halmaz)</w:t>
      </w:r>
    </w:p>
    <w:p w14:paraId="2BC15A13" w14:textId="628E947F" w:rsidR="004D519B" w:rsidRDefault="004D519B" w:rsidP="002501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>
        <w:rPr>
          <w:noProof/>
        </w:rPr>
        <w:drawing>
          <wp:inline distT="0" distB="0" distL="0" distR="0" wp14:anchorId="12E3C5F9" wp14:editId="0C7E3694">
            <wp:extent cx="5759450" cy="3025775"/>
            <wp:effectExtent l="0" t="0" r="0" b="3175"/>
            <wp:docPr id="1037336446" name="Kép 1" descr="A képen szöveg, sor, diagram, Diagram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336446" name="Kép 1" descr="A képen szöveg, sor, diagram, Diagram látható&#10;&#10;Automatikusan generált leírás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02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79597" w14:textId="77777777" w:rsidR="00935CD1" w:rsidRDefault="00935CD1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</w:p>
    <w:p w14:paraId="28DC4212" w14:textId="3E623A8A" w:rsidR="008837E1" w:rsidRDefault="008837E1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  <w:r w:rsidRPr="00F476D7">
        <w:rPr>
          <w:rFonts w:ascii="Times New Roman" w:eastAsia="TimesNewRomanPSMT" w:hAnsi="Times New Roman" w:cs="Times New Roman"/>
          <w:kern w:val="0"/>
          <w:u w:val="single"/>
        </w:rPr>
        <w:t>Gyermekek és serdülők</w:t>
      </w:r>
    </w:p>
    <w:p w14:paraId="51EE4F3A" w14:textId="77777777" w:rsidR="00935CD1" w:rsidRPr="00F476D7" w:rsidRDefault="00935CD1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</w:p>
    <w:p w14:paraId="2F09ACC5" w14:textId="004837D3" w:rsidR="008837E1" w:rsidRDefault="008837E1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837E1">
        <w:rPr>
          <w:rFonts w:ascii="Times New Roman" w:eastAsia="TimesNewRomanPSMT" w:hAnsi="Times New Roman" w:cs="Times New Roman"/>
          <w:kern w:val="0"/>
        </w:rPr>
        <w:t xml:space="preserve">A nilotinibbel végzett fő gyermekgyógyászati vizsgálatban összesen 58, 2 és </w:t>
      </w:r>
      <w:proofErr w:type="gramStart"/>
      <w:r w:rsidRPr="008837E1">
        <w:rPr>
          <w:rFonts w:ascii="Times New Roman" w:eastAsia="TimesNewRomanPSMT" w:hAnsi="Times New Roman" w:cs="Times New Roman"/>
          <w:kern w:val="0"/>
        </w:rPr>
        <w:t>&lt; 18</w:t>
      </w:r>
      <w:proofErr w:type="gramEnd"/>
      <w:r w:rsidRPr="008837E1">
        <w:rPr>
          <w:rFonts w:ascii="Times New Roman" w:eastAsia="TimesNewRomanPSMT" w:hAnsi="Times New Roman" w:cs="Times New Roman"/>
          <w:kern w:val="0"/>
        </w:rPr>
        <w:t xml:space="preserve"> év közötti beteg</w:t>
      </w:r>
      <w:r w:rsidR="00935CD1">
        <w:rPr>
          <w:rFonts w:ascii="Times New Roman" w:eastAsia="TimesNewRomanPSMT" w:hAnsi="Times New Roman" w:cs="Times New Roman"/>
          <w:kern w:val="0"/>
        </w:rPr>
        <w:t xml:space="preserve"> </w:t>
      </w:r>
      <w:r w:rsidRPr="008837E1">
        <w:rPr>
          <w:rFonts w:ascii="Times New Roman" w:eastAsia="TimesNewRomanPSMT" w:hAnsi="Times New Roman" w:cs="Times New Roman"/>
          <w:kern w:val="0"/>
        </w:rPr>
        <w:t>(25 újonnan diagnosztizált, krónikus fázisú Ph+ CML-ben szenvedő beteg, 33 pedig</w:t>
      </w:r>
      <w:r w:rsidR="00935CD1">
        <w:rPr>
          <w:rFonts w:ascii="Times New Roman" w:eastAsia="TimesNewRomanPSMT" w:hAnsi="Times New Roman" w:cs="Times New Roman"/>
          <w:kern w:val="0"/>
        </w:rPr>
        <w:t xml:space="preserve"> </w:t>
      </w:r>
      <w:r w:rsidRPr="008837E1">
        <w:rPr>
          <w:rFonts w:ascii="Times New Roman" w:eastAsia="TimesNewRomanPSMT" w:hAnsi="Times New Roman" w:cs="Times New Roman"/>
          <w:kern w:val="0"/>
        </w:rPr>
        <w:t>imatinibre/dazatinibre rezisztens vagy imatinibet nem toleráló, krónikus fázisú Ph+ CML-ben</w:t>
      </w:r>
      <w:r w:rsidR="00935CD1">
        <w:rPr>
          <w:rFonts w:ascii="Times New Roman" w:eastAsia="TimesNewRomanPSMT" w:hAnsi="Times New Roman" w:cs="Times New Roman"/>
          <w:kern w:val="0"/>
        </w:rPr>
        <w:t xml:space="preserve"> </w:t>
      </w:r>
      <w:r w:rsidRPr="008837E1">
        <w:rPr>
          <w:rFonts w:ascii="Times New Roman" w:eastAsia="TimesNewRomanPSMT" w:hAnsi="Times New Roman" w:cs="Times New Roman"/>
          <w:kern w:val="0"/>
        </w:rPr>
        <w:t>szenvedő beteg) kapott nilotinib-kezelést naponta kétszer 230</w:t>
      </w:r>
      <w:r w:rsidR="00935CD1">
        <w:rPr>
          <w:rFonts w:ascii="Times New Roman" w:eastAsia="TimesNewRomanPSMT" w:hAnsi="Times New Roman" w:cs="Times New Roman"/>
          <w:kern w:val="0"/>
        </w:rPr>
        <w:t> </w:t>
      </w:r>
      <w:r w:rsidRPr="008837E1">
        <w:rPr>
          <w:rFonts w:ascii="Times New Roman" w:eastAsia="TimesNewRomanPSMT" w:hAnsi="Times New Roman" w:cs="Times New Roman"/>
          <w:kern w:val="0"/>
        </w:rPr>
        <w:t>mg/m</w:t>
      </w:r>
      <w:r w:rsidRPr="00935CD1">
        <w:rPr>
          <w:rFonts w:ascii="Times New Roman" w:eastAsia="TimesNewRomanPSMT" w:hAnsi="Times New Roman" w:cs="Times New Roman"/>
          <w:kern w:val="0"/>
          <w:vertAlign w:val="superscript"/>
        </w:rPr>
        <w:t>2</w:t>
      </w:r>
      <w:r w:rsidRPr="008837E1">
        <w:rPr>
          <w:rFonts w:ascii="Times New Roman" w:eastAsia="TimesNewRomanPSMT" w:hAnsi="Times New Roman" w:cs="Times New Roman"/>
          <w:kern w:val="0"/>
        </w:rPr>
        <w:t xml:space="preserve"> dózisban, a legközelebbi, 50</w:t>
      </w:r>
      <w:r w:rsidR="00935CD1">
        <w:rPr>
          <w:rFonts w:ascii="Times New Roman" w:eastAsia="TimesNewRomanPSMT" w:hAnsi="Times New Roman" w:cs="Times New Roman"/>
          <w:kern w:val="0"/>
        </w:rPr>
        <w:t> </w:t>
      </w:r>
      <w:r w:rsidRPr="008837E1">
        <w:rPr>
          <w:rFonts w:ascii="Times New Roman" w:eastAsia="TimesNewRomanPSMT" w:hAnsi="Times New Roman" w:cs="Times New Roman"/>
          <w:kern w:val="0"/>
        </w:rPr>
        <w:t>mg</w:t>
      </w:r>
      <w:r w:rsidR="00935CD1">
        <w:rPr>
          <w:rFonts w:ascii="Times New Roman" w:eastAsia="TimesNewRomanPSMT" w:hAnsi="Times New Roman" w:cs="Times New Roman"/>
          <w:kern w:val="0"/>
        </w:rPr>
        <w:t>-</w:t>
      </w:r>
      <w:r w:rsidRPr="008837E1">
        <w:rPr>
          <w:rFonts w:ascii="Times New Roman" w:eastAsia="TimesNewRomanPSMT" w:hAnsi="Times New Roman" w:cs="Times New Roman"/>
          <w:kern w:val="0"/>
        </w:rPr>
        <w:t>mal</w:t>
      </w:r>
      <w:r w:rsidR="00935CD1">
        <w:rPr>
          <w:rFonts w:ascii="Times New Roman" w:eastAsia="TimesNewRomanPSMT" w:hAnsi="Times New Roman" w:cs="Times New Roman"/>
          <w:kern w:val="0"/>
        </w:rPr>
        <w:t xml:space="preserve"> </w:t>
      </w:r>
      <w:r w:rsidRPr="008837E1">
        <w:rPr>
          <w:rFonts w:ascii="Times New Roman" w:eastAsia="TimesNewRomanPSMT" w:hAnsi="Times New Roman" w:cs="Times New Roman"/>
          <w:kern w:val="0"/>
        </w:rPr>
        <w:t>osztható dózisra (legfeljebb 400</w:t>
      </w:r>
      <w:r w:rsidR="00935CD1">
        <w:rPr>
          <w:rFonts w:ascii="Times New Roman" w:eastAsia="TimesNewRomanPSMT" w:hAnsi="Times New Roman" w:cs="Times New Roman"/>
          <w:kern w:val="0"/>
        </w:rPr>
        <w:t> </w:t>
      </w:r>
      <w:r w:rsidRPr="008837E1">
        <w:rPr>
          <w:rFonts w:ascii="Times New Roman" w:eastAsia="TimesNewRomanPSMT" w:hAnsi="Times New Roman" w:cs="Times New Roman"/>
          <w:kern w:val="0"/>
        </w:rPr>
        <w:t>mg-ra, a maximális egyszeri dózisra) kerekítve. A vizsgálat</w:t>
      </w:r>
      <w:r w:rsidR="00935CD1">
        <w:rPr>
          <w:rFonts w:ascii="Times New Roman" w:eastAsia="TimesNewRomanPSMT" w:hAnsi="Times New Roman" w:cs="Times New Roman"/>
          <w:kern w:val="0"/>
        </w:rPr>
        <w:t xml:space="preserve"> </w:t>
      </w:r>
      <w:r w:rsidRPr="008837E1">
        <w:rPr>
          <w:rFonts w:ascii="Times New Roman" w:eastAsia="TimesNewRomanPSMT" w:hAnsi="Times New Roman" w:cs="Times New Roman"/>
          <w:kern w:val="0"/>
        </w:rPr>
        <w:t>legfontosabb adatait a 13.</w:t>
      </w:r>
      <w:r w:rsidR="00935CD1">
        <w:rPr>
          <w:rFonts w:ascii="Times New Roman" w:eastAsia="TimesNewRomanPSMT" w:hAnsi="Times New Roman" w:cs="Times New Roman"/>
          <w:kern w:val="0"/>
        </w:rPr>
        <w:t> </w:t>
      </w:r>
      <w:r w:rsidRPr="008837E1">
        <w:rPr>
          <w:rFonts w:ascii="Times New Roman" w:eastAsia="TimesNewRomanPSMT" w:hAnsi="Times New Roman" w:cs="Times New Roman"/>
          <w:kern w:val="0"/>
        </w:rPr>
        <w:t>táblázat összesíti.</w:t>
      </w:r>
    </w:p>
    <w:p w14:paraId="4E61B394" w14:textId="77777777" w:rsidR="00F476D7" w:rsidRDefault="00F476D7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1BB1F579" w14:textId="766C1C44" w:rsidR="00F476D7" w:rsidRDefault="00F476D7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F476D7">
        <w:rPr>
          <w:rFonts w:ascii="Times New Roman" w:hAnsi="Times New Roman" w:cs="Times New Roman"/>
          <w:b/>
          <w:bCs/>
          <w:kern w:val="0"/>
        </w:rPr>
        <w:t xml:space="preserve">13. táblázat </w:t>
      </w:r>
      <w:r w:rsidRPr="00F476D7">
        <w:rPr>
          <w:rFonts w:ascii="Times New Roman" w:eastAsia="TimesNewRomanPS-BoldMT" w:hAnsi="Times New Roman" w:cs="Times New Roman"/>
          <w:b/>
          <w:bCs/>
          <w:kern w:val="0"/>
        </w:rPr>
        <w:t>A nilotinibbel végzett fő gyermekgyógyászati vizsgálat összefoglaló adatai</w:t>
      </w:r>
    </w:p>
    <w:p w14:paraId="31F45F80" w14:textId="77777777" w:rsidR="003052B3" w:rsidRDefault="003052B3" w:rsidP="008837E1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tbl>
      <w:tblPr>
        <w:tblW w:w="9064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20"/>
        <w:gridCol w:w="3022"/>
        <w:gridCol w:w="3022"/>
      </w:tblGrid>
      <w:tr w:rsidR="003052B3" w:rsidRPr="00054B09" w14:paraId="4E3212B1" w14:textId="77777777" w:rsidTr="005D5610">
        <w:trPr>
          <w:trHeight w:val="757"/>
        </w:trPr>
        <w:tc>
          <w:tcPr>
            <w:tcW w:w="3020" w:type="dxa"/>
          </w:tcPr>
          <w:p w14:paraId="224EF632" w14:textId="77777777" w:rsidR="003052B3" w:rsidRPr="00F4376D" w:rsidRDefault="003052B3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3022" w:type="dxa"/>
          </w:tcPr>
          <w:p w14:paraId="4DAFA776" w14:textId="427DA1B5" w:rsidR="00B209C8" w:rsidRPr="00F4376D" w:rsidRDefault="00B209C8" w:rsidP="00B209C8">
            <w:pPr>
              <w:pStyle w:val="TableParagraph"/>
              <w:ind w:right="956"/>
              <w:rPr>
                <w:lang w:val="hu-HU"/>
              </w:rPr>
            </w:pPr>
            <w:r w:rsidRPr="00F4376D">
              <w:rPr>
                <w:lang w:val="hu-HU"/>
              </w:rPr>
              <w:t>Újonnan diagnosztizált Ph+</w:t>
            </w:r>
            <w:r w:rsidR="003C0DB1" w:rsidRPr="00F4376D">
              <w:rPr>
                <w:lang w:val="hu-HU"/>
              </w:rPr>
              <w:t xml:space="preserve"> </w:t>
            </w:r>
            <w:r w:rsidRPr="00F4376D">
              <w:rPr>
                <w:lang w:val="hu-HU"/>
              </w:rPr>
              <w:t>CML-CP</w:t>
            </w:r>
          </w:p>
          <w:p w14:paraId="3971F4D1" w14:textId="66B84A1C" w:rsidR="003052B3" w:rsidRPr="00F4376D" w:rsidRDefault="00B209C8" w:rsidP="00B209C8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>(n=25)</w:t>
            </w:r>
          </w:p>
        </w:tc>
        <w:tc>
          <w:tcPr>
            <w:tcW w:w="3022" w:type="dxa"/>
          </w:tcPr>
          <w:p w14:paraId="007A6965" w14:textId="77777777" w:rsidR="003723E0" w:rsidRPr="00F4376D" w:rsidRDefault="003723E0" w:rsidP="00027697">
            <w:pPr>
              <w:autoSpaceDE w:val="0"/>
              <w:autoSpaceDN w:val="0"/>
              <w:adjustRightInd w:val="0"/>
              <w:spacing w:after="0" w:line="240" w:lineRule="auto"/>
              <w:ind w:left="101"/>
              <w:rPr>
                <w:rFonts w:ascii="Times New Roman" w:hAnsi="Times New Roman" w:cs="Times New Roman"/>
                <w:kern w:val="0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rezisztens vagy intoleráns Ph+</w:t>
            </w:r>
          </w:p>
          <w:p w14:paraId="7329F47F" w14:textId="77777777" w:rsidR="003723E0" w:rsidRPr="00F4376D" w:rsidRDefault="003723E0" w:rsidP="00027697">
            <w:pPr>
              <w:autoSpaceDE w:val="0"/>
              <w:autoSpaceDN w:val="0"/>
              <w:adjustRightInd w:val="0"/>
              <w:spacing w:after="0" w:line="240" w:lineRule="auto"/>
              <w:ind w:left="101"/>
              <w:rPr>
                <w:rFonts w:ascii="Times New Roman" w:hAnsi="Times New Roman" w:cs="Times New Roman"/>
                <w:kern w:val="0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CML-CP</w:t>
            </w:r>
          </w:p>
          <w:p w14:paraId="4DA5015C" w14:textId="2B959DCE" w:rsidR="003052B3" w:rsidRPr="00F4376D" w:rsidRDefault="003723E0" w:rsidP="00027697">
            <w:pPr>
              <w:pStyle w:val="TableParagraph"/>
              <w:spacing w:line="233" w:lineRule="exact"/>
              <w:ind w:left="101"/>
              <w:rPr>
                <w:lang w:val="hu-HU"/>
              </w:rPr>
            </w:pPr>
            <w:r w:rsidRPr="00F4376D">
              <w:rPr>
                <w:lang w:val="hu-HU"/>
              </w:rPr>
              <w:t>(n=33)</w:t>
            </w:r>
          </w:p>
        </w:tc>
      </w:tr>
      <w:tr w:rsidR="003052B3" w:rsidRPr="00986BD5" w14:paraId="65B34F0A" w14:textId="77777777" w:rsidTr="005D5610">
        <w:trPr>
          <w:trHeight w:val="506"/>
        </w:trPr>
        <w:tc>
          <w:tcPr>
            <w:tcW w:w="3020" w:type="dxa"/>
          </w:tcPr>
          <w:p w14:paraId="7203FC32" w14:textId="4E207817" w:rsidR="003052B3" w:rsidRPr="00027697" w:rsidRDefault="003723E0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eastAsia="TimesNewRomanPSMT"/>
              </w:rPr>
            </w:pPr>
            <w:r w:rsidRPr="00027697">
              <w:rPr>
                <w:rFonts w:ascii="Times New Roman" w:eastAsia="TimesNewRomanPSMT" w:hAnsi="Times New Roman" w:cs="Times New Roman"/>
                <w:kern w:val="0"/>
              </w:rPr>
              <w:t>A kezelés hónapokban mért</w:t>
            </w:r>
            <w:r w:rsidR="00A6650E" w:rsidRPr="00027697">
              <w:rPr>
                <w:rFonts w:ascii="Times New Roman" w:eastAsia="TimesNewRomanPSMT" w:hAnsi="Times New Roman" w:cs="Times New Roman"/>
                <w:kern w:val="0"/>
              </w:rPr>
              <w:t xml:space="preserve"> 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>időtartamának mediánja</w:t>
            </w:r>
            <w:r w:rsidR="00550EBD">
              <w:rPr>
                <w:rFonts w:ascii="Times New Roman" w:eastAsia="TimesNewRomanPSMT" w:hAnsi="Times New Roman" w:cs="Times New Roman"/>
                <w:kern w:val="0"/>
              </w:rPr>
              <w:t xml:space="preserve"> </w:t>
            </w:r>
            <w:r w:rsidRPr="00027697">
              <w:rPr>
                <w:rFonts w:ascii="Times New Roman" w:eastAsia="TimesNewRomanPSMT" w:hAnsi="Times New Roman" w:cs="Times New Roman"/>
                <w:kern w:val="0"/>
              </w:rPr>
              <w:t>(tartomány)</w:t>
            </w:r>
          </w:p>
        </w:tc>
        <w:tc>
          <w:tcPr>
            <w:tcW w:w="3022" w:type="dxa"/>
          </w:tcPr>
          <w:p w14:paraId="1DEEF996" w14:textId="07B2E490" w:rsidR="003052B3" w:rsidRPr="00F4376D" w:rsidRDefault="003052B3" w:rsidP="00C619EF">
            <w:pPr>
              <w:pStyle w:val="TableParagraph"/>
              <w:spacing w:line="252" w:lineRule="exact"/>
              <w:rPr>
                <w:lang w:val="hu-HU"/>
              </w:rPr>
            </w:pPr>
            <w:r w:rsidRPr="00F4376D">
              <w:rPr>
                <w:lang w:val="hu-HU"/>
              </w:rPr>
              <w:t>51</w:t>
            </w:r>
            <w:r w:rsidR="001F05F8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9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(1</w:t>
            </w:r>
            <w:r w:rsidR="001F05F8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4</w:t>
            </w:r>
            <w:r w:rsidRPr="00F4376D">
              <w:rPr>
                <w:spacing w:val="-1"/>
                <w:lang w:val="hu-HU"/>
              </w:rPr>
              <w:t xml:space="preserve"> </w:t>
            </w:r>
            <w:r w:rsidRPr="00F4376D">
              <w:rPr>
                <w:lang w:val="hu-HU"/>
              </w:rPr>
              <w:t>–</w:t>
            </w:r>
            <w:r w:rsidRPr="00F4376D">
              <w:rPr>
                <w:spacing w:val="-2"/>
                <w:lang w:val="hu-HU"/>
              </w:rPr>
              <w:t xml:space="preserve"> 61</w:t>
            </w:r>
            <w:r w:rsidR="001F05F8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2)</w:t>
            </w:r>
          </w:p>
        </w:tc>
        <w:tc>
          <w:tcPr>
            <w:tcW w:w="3022" w:type="dxa"/>
          </w:tcPr>
          <w:p w14:paraId="73E9A6DD" w14:textId="7E3A9873" w:rsidR="003052B3" w:rsidRPr="00F4376D" w:rsidRDefault="003052B3" w:rsidP="00C619EF">
            <w:pPr>
              <w:pStyle w:val="TableParagraph"/>
              <w:spacing w:line="252" w:lineRule="exact"/>
              <w:rPr>
                <w:lang w:val="hu-HU"/>
              </w:rPr>
            </w:pPr>
            <w:r w:rsidRPr="00F4376D">
              <w:rPr>
                <w:lang w:val="hu-HU"/>
              </w:rPr>
              <w:t>60</w:t>
            </w:r>
            <w:r w:rsidR="001F05F8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5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(0</w:t>
            </w:r>
            <w:r w:rsidR="001F05F8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7</w:t>
            </w:r>
            <w:r w:rsidRPr="00F4376D">
              <w:rPr>
                <w:spacing w:val="-1"/>
                <w:lang w:val="hu-HU"/>
              </w:rPr>
              <w:t xml:space="preserve"> </w:t>
            </w:r>
            <w:r w:rsidRPr="00F4376D">
              <w:rPr>
                <w:lang w:val="hu-HU"/>
              </w:rPr>
              <w:t>–</w:t>
            </w:r>
            <w:r w:rsidRPr="00F4376D">
              <w:rPr>
                <w:spacing w:val="-2"/>
                <w:lang w:val="hu-HU"/>
              </w:rPr>
              <w:t xml:space="preserve"> 63</w:t>
            </w:r>
            <w:r w:rsidR="001F05F8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5)</w:t>
            </w:r>
          </w:p>
        </w:tc>
      </w:tr>
      <w:tr w:rsidR="003052B3" w:rsidRPr="00986BD5" w14:paraId="38442C24" w14:textId="77777777" w:rsidTr="005D5610">
        <w:trPr>
          <w:trHeight w:val="504"/>
        </w:trPr>
        <w:tc>
          <w:tcPr>
            <w:tcW w:w="3020" w:type="dxa"/>
          </w:tcPr>
          <w:p w14:paraId="2AEC1C0F" w14:textId="4EABDDE6" w:rsidR="003052B3" w:rsidRPr="00F4376D" w:rsidRDefault="003723E0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</w:pPr>
            <w:r w:rsidRPr="00F4376D">
              <w:rPr>
                <w:rFonts w:ascii="Times New Roman" w:hAnsi="Times New Roman" w:cs="Times New Roman"/>
                <w:kern w:val="0"/>
              </w:rPr>
              <w:t>A tényleges dózisintenzitás</w:t>
            </w:r>
            <w:r w:rsidR="00A6650E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F4376D">
              <w:rPr>
                <w:rFonts w:ascii="Times New Roman" w:hAnsi="Times New Roman" w:cs="Times New Roman"/>
                <w:kern w:val="0"/>
              </w:rPr>
              <w:t>mediánja (tartomány)</w:t>
            </w:r>
            <w:r w:rsidR="00550EBD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027697">
              <w:rPr>
                <w:rFonts w:ascii="Times New Roman" w:hAnsi="Times New Roman" w:cs="Times New Roman"/>
                <w:kern w:val="0"/>
              </w:rPr>
              <w:t>(mg/m</w:t>
            </w:r>
            <w:r w:rsidRPr="00027697">
              <w:rPr>
                <w:rFonts w:ascii="Times New Roman" w:hAnsi="Times New Roman" w:cs="Times New Roman"/>
                <w:kern w:val="0"/>
                <w:vertAlign w:val="superscript"/>
              </w:rPr>
              <w:t>2</w:t>
            </w:r>
            <w:r w:rsidRPr="00027697">
              <w:rPr>
                <w:rFonts w:ascii="Times New Roman" w:hAnsi="Times New Roman" w:cs="Times New Roman"/>
                <w:kern w:val="0"/>
              </w:rPr>
              <w:t>/nap)</w:t>
            </w:r>
          </w:p>
        </w:tc>
        <w:tc>
          <w:tcPr>
            <w:tcW w:w="3022" w:type="dxa"/>
          </w:tcPr>
          <w:p w14:paraId="3EFD34BB" w14:textId="2F4B1A6E" w:rsidR="003052B3" w:rsidRPr="00F4376D" w:rsidRDefault="003052B3" w:rsidP="00C619EF">
            <w:pPr>
              <w:pStyle w:val="TableParagraph"/>
              <w:spacing w:line="250" w:lineRule="exact"/>
              <w:rPr>
                <w:lang w:val="hu-HU"/>
              </w:rPr>
            </w:pPr>
            <w:r w:rsidRPr="00F4376D">
              <w:rPr>
                <w:lang w:val="hu-HU"/>
              </w:rPr>
              <w:t>377</w:t>
            </w:r>
            <w:r w:rsidR="001F05F8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0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(149</w:t>
            </w:r>
            <w:r w:rsidRPr="00F4376D">
              <w:rPr>
                <w:spacing w:val="-1"/>
                <w:lang w:val="hu-HU"/>
              </w:rPr>
              <w:t xml:space="preserve"> </w:t>
            </w:r>
            <w:r w:rsidRPr="00F4376D">
              <w:rPr>
                <w:lang w:val="hu-HU"/>
              </w:rPr>
              <w:t>–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468)</w:t>
            </w:r>
          </w:p>
        </w:tc>
        <w:tc>
          <w:tcPr>
            <w:tcW w:w="3022" w:type="dxa"/>
          </w:tcPr>
          <w:p w14:paraId="12DCB624" w14:textId="49D756BC" w:rsidR="003052B3" w:rsidRPr="00F4376D" w:rsidRDefault="003052B3" w:rsidP="00C619EF">
            <w:pPr>
              <w:pStyle w:val="TableParagraph"/>
              <w:spacing w:line="250" w:lineRule="exact"/>
              <w:rPr>
                <w:lang w:val="hu-HU"/>
              </w:rPr>
            </w:pPr>
            <w:r w:rsidRPr="00F4376D">
              <w:rPr>
                <w:lang w:val="hu-HU"/>
              </w:rPr>
              <w:t>436</w:t>
            </w:r>
            <w:r w:rsidR="001F05F8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9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(196</w:t>
            </w:r>
            <w:r w:rsidRPr="00F4376D">
              <w:rPr>
                <w:spacing w:val="-1"/>
                <w:lang w:val="hu-HU"/>
              </w:rPr>
              <w:t xml:space="preserve"> </w:t>
            </w:r>
            <w:r w:rsidRPr="00F4376D">
              <w:rPr>
                <w:lang w:val="hu-HU"/>
              </w:rPr>
              <w:t>–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493)</w:t>
            </w:r>
          </w:p>
        </w:tc>
      </w:tr>
      <w:tr w:rsidR="003052B3" w:rsidRPr="00986BD5" w14:paraId="51630A69" w14:textId="77777777" w:rsidTr="005D5610">
        <w:trPr>
          <w:trHeight w:val="761"/>
        </w:trPr>
        <w:tc>
          <w:tcPr>
            <w:tcW w:w="3020" w:type="dxa"/>
            <w:tcBorders>
              <w:bottom w:val="nil"/>
            </w:tcBorders>
          </w:tcPr>
          <w:p w14:paraId="2A5E293C" w14:textId="326CAEB3" w:rsidR="003052B3" w:rsidRPr="00F4376D" w:rsidRDefault="005968FD" w:rsidP="00027697">
            <w:pPr>
              <w:pStyle w:val="TableParagraph"/>
              <w:spacing w:line="251" w:lineRule="exact"/>
              <w:ind w:left="108"/>
              <w:rPr>
                <w:lang w:val="hu-HU"/>
              </w:rPr>
            </w:pPr>
            <w:r w:rsidRPr="00027697">
              <w:rPr>
                <w:lang w:val="hu-HU"/>
              </w:rPr>
              <w:t>Relatív dózisintenzitás (%) a</w:t>
            </w:r>
            <w:r w:rsidR="00A6650E" w:rsidRPr="00027697">
              <w:rPr>
                <w:lang w:val="hu-HU"/>
              </w:rPr>
              <w:t xml:space="preserve"> </w:t>
            </w:r>
            <w:r w:rsidRPr="00027697">
              <w:rPr>
                <w:lang w:val="hu-HU"/>
              </w:rPr>
              <w:t>naponta kétszer 230</w:t>
            </w:r>
            <w:r w:rsidR="00662264" w:rsidRPr="00027697">
              <w:rPr>
                <w:lang w:val="hu-HU"/>
              </w:rPr>
              <w:t> </w:t>
            </w:r>
            <w:r w:rsidRPr="00027697">
              <w:rPr>
                <w:lang w:val="hu-HU"/>
              </w:rPr>
              <w:t>mg/m</w:t>
            </w:r>
            <w:r w:rsidRPr="00027697">
              <w:rPr>
                <w:vertAlign w:val="superscript"/>
                <w:lang w:val="hu-HU"/>
              </w:rPr>
              <w:t>2</w:t>
            </w:r>
            <w:r w:rsidRPr="00027697">
              <w:rPr>
                <w:lang w:val="hu-HU"/>
              </w:rPr>
              <w:t>-es</w:t>
            </w:r>
            <w:r w:rsidR="00550EBD" w:rsidRPr="00027697">
              <w:rPr>
                <w:lang w:val="hu-HU"/>
              </w:rPr>
              <w:t xml:space="preserve"> </w:t>
            </w:r>
            <w:r w:rsidRPr="00F4376D">
              <w:rPr>
                <w:lang w:val="hu-HU"/>
              </w:rPr>
              <w:t>tervezett dózishoz képest</w:t>
            </w:r>
          </w:p>
        </w:tc>
        <w:tc>
          <w:tcPr>
            <w:tcW w:w="3022" w:type="dxa"/>
            <w:tcBorders>
              <w:bottom w:val="nil"/>
            </w:tcBorders>
          </w:tcPr>
          <w:p w14:paraId="7960B990" w14:textId="77777777" w:rsidR="003052B3" w:rsidRPr="00F4376D" w:rsidRDefault="003052B3" w:rsidP="00C619EF">
            <w:pPr>
              <w:pStyle w:val="TableParagraph"/>
              <w:ind w:left="0"/>
              <w:rPr>
                <w:lang w:val="hu-HU"/>
              </w:rPr>
            </w:pPr>
          </w:p>
        </w:tc>
        <w:tc>
          <w:tcPr>
            <w:tcW w:w="3022" w:type="dxa"/>
            <w:tcBorders>
              <w:bottom w:val="nil"/>
            </w:tcBorders>
          </w:tcPr>
          <w:p w14:paraId="0EBBB031" w14:textId="77777777" w:rsidR="003052B3" w:rsidRPr="00F4376D" w:rsidRDefault="003052B3" w:rsidP="00C619EF">
            <w:pPr>
              <w:pStyle w:val="TableParagraph"/>
              <w:ind w:left="0"/>
              <w:rPr>
                <w:lang w:val="hu-HU"/>
              </w:rPr>
            </w:pPr>
          </w:p>
        </w:tc>
      </w:tr>
      <w:tr w:rsidR="003052B3" w:rsidRPr="00986BD5" w14:paraId="5486F533" w14:textId="77777777" w:rsidTr="005D5610">
        <w:trPr>
          <w:trHeight w:val="253"/>
        </w:trPr>
        <w:tc>
          <w:tcPr>
            <w:tcW w:w="3020" w:type="dxa"/>
            <w:tcBorders>
              <w:top w:val="nil"/>
              <w:bottom w:val="nil"/>
            </w:tcBorders>
          </w:tcPr>
          <w:p w14:paraId="5F934A57" w14:textId="1155001C" w:rsidR="003052B3" w:rsidRPr="00F4376D" w:rsidRDefault="002307CC" w:rsidP="00027697">
            <w:pPr>
              <w:pStyle w:val="TableParagraph"/>
              <w:spacing w:line="233" w:lineRule="exact"/>
              <w:ind w:left="475"/>
              <w:rPr>
                <w:lang w:val="hu-HU"/>
              </w:rPr>
            </w:pPr>
            <w:r w:rsidRPr="00F4376D">
              <w:rPr>
                <w:lang w:val="hu-HU"/>
              </w:rPr>
              <w:lastRenderedPageBreak/>
              <w:t>Medián (tartomány)</w:t>
            </w:r>
          </w:p>
        </w:tc>
        <w:tc>
          <w:tcPr>
            <w:tcW w:w="3022" w:type="dxa"/>
            <w:tcBorders>
              <w:top w:val="nil"/>
              <w:bottom w:val="nil"/>
            </w:tcBorders>
          </w:tcPr>
          <w:p w14:paraId="3097D089" w14:textId="2DA13981" w:rsidR="003052B3" w:rsidRPr="00F4376D" w:rsidRDefault="003052B3" w:rsidP="00C619EF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>82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0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(32-</w:t>
            </w:r>
            <w:r w:rsidRPr="00F4376D">
              <w:rPr>
                <w:spacing w:val="-4"/>
                <w:lang w:val="hu-HU"/>
              </w:rPr>
              <w:t>102)</w:t>
            </w:r>
          </w:p>
        </w:tc>
        <w:tc>
          <w:tcPr>
            <w:tcW w:w="3022" w:type="dxa"/>
            <w:tcBorders>
              <w:top w:val="nil"/>
              <w:bottom w:val="nil"/>
            </w:tcBorders>
          </w:tcPr>
          <w:p w14:paraId="4B27E4F2" w14:textId="2E74895E" w:rsidR="003052B3" w:rsidRPr="00F4376D" w:rsidRDefault="003052B3" w:rsidP="00C619EF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>95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0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(43-</w:t>
            </w:r>
            <w:r w:rsidRPr="00F4376D">
              <w:rPr>
                <w:spacing w:val="-4"/>
                <w:lang w:val="hu-HU"/>
              </w:rPr>
              <w:t>107)</w:t>
            </w:r>
          </w:p>
        </w:tc>
      </w:tr>
      <w:tr w:rsidR="003052B3" w:rsidRPr="00986BD5" w14:paraId="4F4B073D" w14:textId="77777777" w:rsidTr="005D5610">
        <w:trPr>
          <w:trHeight w:val="503"/>
        </w:trPr>
        <w:tc>
          <w:tcPr>
            <w:tcW w:w="3020" w:type="dxa"/>
            <w:tcBorders>
              <w:top w:val="nil"/>
            </w:tcBorders>
          </w:tcPr>
          <w:p w14:paraId="587984D6" w14:textId="01FB6F8C" w:rsidR="003052B3" w:rsidRPr="00F4376D" w:rsidRDefault="002307CC" w:rsidP="00027697">
            <w:pPr>
              <w:pStyle w:val="TableParagraph"/>
              <w:spacing w:line="233" w:lineRule="exact"/>
              <w:ind w:left="475"/>
              <w:rPr>
                <w:lang w:val="hu-HU"/>
              </w:rPr>
            </w:pPr>
            <w:r w:rsidRPr="00F4376D">
              <w:rPr>
                <w:lang w:val="hu-HU"/>
              </w:rPr>
              <w:t>90% feletti értékkel</w:t>
            </w:r>
            <w:r w:rsidR="00550EBD">
              <w:rPr>
                <w:lang w:val="hu-HU"/>
              </w:rPr>
              <w:t xml:space="preserve"> </w:t>
            </w:r>
            <w:r w:rsidRPr="00F4376D">
              <w:rPr>
                <w:lang w:val="hu-HU"/>
              </w:rPr>
              <w:t>rendelkező betegek</w:t>
            </w:r>
            <w:r w:rsidR="00550EBD">
              <w:rPr>
                <w:lang w:val="hu-HU"/>
              </w:rPr>
              <w:t xml:space="preserve"> </w:t>
            </w:r>
            <w:r w:rsidRPr="00F4376D">
              <w:rPr>
                <w:lang w:val="hu-HU"/>
              </w:rPr>
              <w:t>száma</w:t>
            </w:r>
          </w:p>
        </w:tc>
        <w:tc>
          <w:tcPr>
            <w:tcW w:w="3022" w:type="dxa"/>
            <w:tcBorders>
              <w:top w:val="nil"/>
            </w:tcBorders>
          </w:tcPr>
          <w:p w14:paraId="48E9E161" w14:textId="7D3A7E54" w:rsidR="003052B3" w:rsidRPr="00F4376D" w:rsidRDefault="003052B3" w:rsidP="00C619EF">
            <w:pPr>
              <w:pStyle w:val="TableParagraph"/>
              <w:spacing w:line="249" w:lineRule="exact"/>
              <w:rPr>
                <w:lang w:val="hu-HU"/>
              </w:rPr>
            </w:pPr>
            <w:r w:rsidRPr="00F4376D">
              <w:rPr>
                <w:lang w:val="hu-HU"/>
              </w:rPr>
              <w:t xml:space="preserve">12 </w:t>
            </w:r>
            <w:r w:rsidRPr="00F4376D">
              <w:rPr>
                <w:spacing w:val="-2"/>
                <w:lang w:val="hu-HU"/>
              </w:rPr>
              <w:t>(48</w:t>
            </w:r>
            <w:r w:rsidR="00FC458A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0%)</w:t>
            </w:r>
          </w:p>
        </w:tc>
        <w:tc>
          <w:tcPr>
            <w:tcW w:w="3022" w:type="dxa"/>
            <w:tcBorders>
              <w:top w:val="nil"/>
            </w:tcBorders>
          </w:tcPr>
          <w:p w14:paraId="4F7825B2" w14:textId="35BC1EDA" w:rsidR="003052B3" w:rsidRPr="00F4376D" w:rsidRDefault="003052B3" w:rsidP="00C619EF">
            <w:pPr>
              <w:pStyle w:val="TableParagraph"/>
              <w:spacing w:line="249" w:lineRule="exact"/>
              <w:rPr>
                <w:lang w:val="hu-HU"/>
              </w:rPr>
            </w:pPr>
            <w:r w:rsidRPr="00F4376D">
              <w:rPr>
                <w:lang w:val="hu-HU"/>
              </w:rPr>
              <w:t xml:space="preserve">19 </w:t>
            </w:r>
            <w:r w:rsidRPr="00F4376D">
              <w:rPr>
                <w:spacing w:val="-2"/>
                <w:lang w:val="hu-HU"/>
              </w:rPr>
              <w:t>(57</w:t>
            </w:r>
            <w:r w:rsidR="00FF41B4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6%)</w:t>
            </w:r>
          </w:p>
        </w:tc>
      </w:tr>
      <w:tr w:rsidR="003052B3" w:rsidRPr="00986BD5" w14:paraId="3216B5C9" w14:textId="77777777" w:rsidTr="005D5610">
        <w:trPr>
          <w:trHeight w:val="758"/>
        </w:trPr>
        <w:tc>
          <w:tcPr>
            <w:tcW w:w="3020" w:type="dxa"/>
          </w:tcPr>
          <w:p w14:paraId="59EDBC1A" w14:textId="77777777" w:rsidR="002307CC" w:rsidRPr="00F4376D" w:rsidRDefault="002307CC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  <w:kern w:val="0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MMR (BCR-ABL/ABL</w:t>
            </w:r>
          </w:p>
          <w:p w14:paraId="146CFB34" w14:textId="3308A6C4" w:rsidR="003052B3" w:rsidRPr="00F4376D" w:rsidRDefault="002307CC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eastAsia="TimesNewRomanPSMT" w:hAnsi="Times New Roman" w:cs="Times New Roman"/>
                <w:kern w:val="0"/>
              </w:rPr>
              <w:t xml:space="preserve">≤ </w:t>
            </w:r>
            <w:r w:rsidRPr="00F4376D">
              <w:rPr>
                <w:rFonts w:ascii="Times New Roman" w:hAnsi="Times New Roman" w:cs="Times New Roman"/>
                <w:kern w:val="0"/>
              </w:rPr>
              <w:t>0,1% IS) 12 ciklus elteltével,</w:t>
            </w:r>
            <w:r w:rsidR="00986BD5" w:rsidRPr="00F4376D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F4376D">
              <w:rPr>
                <w:rFonts w:ascii="Times New Roman" w:hAnsi="Times New Roman" w:cs="Times New Roman"/>
                <w:kern w:val="0"/>
              </w:rPr>
              <w:t>(95%</w:t>
            </w:r>
            <w:r w:rsidR="00986BD5" w:rsidRPr="00F4376D">
              <w:rPr>
                <w:rFonts w:ascii="Times New Roman" w:hAnsi="Times New Roman" w:cs="Times New Roman"/>
                <w:kern w:val="0"/>
              </w:rPr>
              <w:noBreakHyphen/>
            </w:r>
            <w:r w:rsidRPr="00F4376D">
              <w:rPr>
                <w:rFonts w:ascii="Times New Roman" w:hAnsi="Times New Roman" w:cs="Times New Roman"/>
                <w:kern w:val="0"/>
              </w:rPr>
              <w:t>os CI)</w:t>
            </w:r>
          </w:p>
        </w:tc>
        <w:tc>
          <w:tcPr>
            <w:tcW w:w="3022" w:type="dxa"/>
          </w:tcPr>
          <w:p w14:paraId="33EDA3B4" w14:textId="48F797D4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lang w:val="hu-HU"/>
              </w:rPr>
              <w:t>60%,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lang w:val="hu-HU"/>
              </w:rPr>
              <w:t>(38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7,</w:t>
            </w:r>
            <w:r w:rsidRPr="00F4376D">
              <w:rPr>
                <w:spacing w:val="1"/>
                <w:lang w:val="hu-HU"/>
              </w:rPr>
              <w:t xml:space="preserve"> </w:t>
            </w:r>
            <w:r w:rsidRPr="00F4376D">
              <w:rPr>
                <w:spacing w:val="-2"/>
                <w:lang w:val="hu-HU"/>
              </w:rPr>
              <w:t>78</w:t>
            </w:r>
            <w:r w:rsidR="00FF41B4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9)</w:t>
            </w:r>
          </w:p>
        </w:tc>
        <w:tc>
          <w:tcPr>
            <w:tcW w:w="3022" w:type="dxa"/>
          </w:tcPr>
          <w:p w14:paraId="3EADF181" w14:textId="1631D686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lang w:val="hu-HU"/>
              </w:rPr>
              <w:t>48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5%,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(30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8,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66.5)</w:t>
            </w:r>
          </w:p>
        </w:tc>
      </w:tr>
      <w:tr w:rsidR="003052B3" w:rsidRPr="00986BD5" w14:paraId="4F468293" w14:textId="77777777" w:rsidTr="005D5610">
        <w:trPr>
          <w:trHeight w:val="253"/>
        </w:trPr>
        <w:tc>
          <w:tcPr>
            <w:tcW w:w="3020" w:type="dxa"/>
          </w:tcPr>
          <w:p w14:paraId="2C48A448" w14:textId="3895B362" w:rsidR="003052B3" w:rsidRPr="00F4376D" w:rsidRDefault="00DB1D72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MMR a 12. ciklus végére,</w:t>
            </w:r>
            <w:r w:rsidR="00986BD5" w:rsidRPr="00F4376D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F4376D">
              <w:rPr>
                <w:rFonts w:ascii="Times New Roman" w:hAnsi="Times New Roman" w:cs="Times New Roman"/>
                <w:kern w:val="0"/>
              </w:rPr>
              <w:t>(95%</w:t>
            </w:r>
            <w:r w:rsidR="00986BD5" w:rsidRPr="00F4376D">
              <w:rPr>
                <w:rFonts w:ascii="Times New Roman" w:hAnsi="Times New Roman" w:cs="Times New Roman"/>
                <w:kern w:val="0"/>
              </w:rPr>
              <w:noBreakHyphen/>
            </w:r>
            <w:r w:rsidRPr="00F4376D">
              <w:rPr>
                <w:rFonts w:ascii="Times New Roman" w:hAnsi="Times New Roman" w:cs="Times New Roman"/>
                <w:kern w:val="0"/>
              </w:rPr>
              <w:t>os CI)</w:t>
            </w:r>
          </w:p>
        </w:tc>
        <w:tc>
          <w:tcPr>
            <w:tcW w:w="3022" w:type="dxa"/>
          </w:tcPr>
          <w:p w14:paraId="79D323D6" w14:textId="005497E6" w:rsidR="003052B3" w:rsidRPr="00F4376D" w:rsidRDefault="003052B3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F4376D">
              <w:rPr>
                <w:lang w:val="hu-HU"/>
              </w:rPr>
              <w:t>64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0%,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lang w:val="hu-HU"/>
              </w:rPr>
              <w:t>(42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5,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82</w:t>
            </w:r>
            <w:r w:rsidR="00FF41B4" w:rsidRPr="00F4376D">
              <w:rPr>
                <w:spacing w:val="-4"/>
                <w:lang w:val="hu-HU"/>
              </w:rPr>
              <w:t>,</w:t>
            </w:r>
            <w:r w:rsidRPr="00F4376D">
              <w:rPr>
                <w:spacing w:val="-4"/>
                <w:lang w:val="hu-HU"/>
              </w:rPr>
              <w:t>0)</w:t>
            </w:r>
          </w:p>
        </w:tc>
        <w:tc>
          <w:tcPr>
            <w:tcW w:w="3022" w:type="dxa"/>
          </w:tcPr>
          <w:p w14:paraId="3412C619" w14:textId="0F214748" w:rsidR="003052B3" w:rsidRPr="00F4376D" w:rsidRDefault="003052B3" w:rsidP="00C619EF">
            <w:pPr>
              <w:pStyle w:val="TableParagraph"/>
              <w:spacing w:line="234" w:lineRule="exact"/>
              <w:rPr>
                <w:lang w:val="hu-HU"/>
              </w:rPr>
            </w:pPr>
            <w:r w:rsidRPr="00F4376D">
              <w:rPr>
                <w:lang w:val="hu-HU"/>
              </w:rPr>
              <w:t>57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6%,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lang w:val="hu-HU"/>
              </w:rPr>
              <w:t>(39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2,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74.5)</w:t>
            </w:r>
          </w:p>
        </w:tc>
      </w:tr>
      <w:tr w:rsidR="003052B3" w:rsidRPr="00986BD5" w14:paraId="2C409E1F" w14:textId="77777777" w:rsidTr="005D5610">
        <w:trPr>
          <w:trHeight w:val="251"/>
        </w:trPr>
        <w:tc>
          <w:tcPr>
            <w:tcW w:w="3020" w:type="dxa"/>
          </w:tcPr>
          <w:p w14:paraId="5F0C24E8" w14:textId="06871E5C" w:rsidR="003052B3" w:rsidRPr="00F4376D" w:rsidRDefault="00DB1D72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MMR a 66. ciklus végére,</w:t>
            </w:r>
            <w:r w:rsidR="00986BD5" w:rsidRPr="00F4376D">
              <w:rPr>
                <w:rFonts w:ascii="Times New Roman" w:hAnsi="Times New Roman" w:cs="Times New Roman"/>
                <w:kern w:val="0"/>
              </w:rPr>
              <w:t xml:space="preserve"> </w:t>
            </w:r>
            <w:r w:rsidRPr="00F4376D">
              <w:rPr>
                <w:rFonts w:ascii="Times New Roman" w:hAnsi="Times New Roman" w:cs="Times New Roman"/>
                <w:kern w:val="0"/>
              </w:rPr>
              <w:t>(95%</w:t>
            </w:r>
            <w:r w:rsidR="00986BD5" w:rsidRPr="00F4376D">
              <w:rPr>
                <w:rFonts w:ascii="Times New Roman" w:hAnsi="Times New Roman" w:cs="Times New Roman"/>
                <w:kern w:val="0"/>
              </w:rPr>
              <w:noBreakHyphen/>
            </w:r>
            <w:r w:rsidRPr="00F4376D">
              <w:rPr>
                <w:rFonts w:ascii="Times New Roman" w:hAnsi="Times New Roman" w:cs="Times New Roman"/>
                <w:kern w:val="0"/>
              </w:rPr>
              <w:t>os CI)</w:t>
            </w:r>
          </w:p>
        </w:tc>
        <w:tc>
          <w:tcPr>
            <w:tcW w:w="3022" w:type="dxa"/>
          </w:tcPr>
          <w:p w14:paraId="6FF0BA82" w14:textId="30A0C088" w:rsidR="003052B3" w:rsidRPr="00F4376D" w:rsidRDefault="003052B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F4376D">
              <w:rPr>
                <w:lang w:val="hu-HU"/>
              </w:rPr>
              <w:t>76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0%,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lang w:val="hu-HU"/>
              </w:rPr>
              <w:t>(54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9,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90</w:t>
            </w:r>
            <w:r w:rsidR="00FF41B4" w:rsidRPr="00F4376D">
              <w:rPr>
                <w:spacing w:val="-4"/>
                <w:lang w:val="hu-HU"/>
              </w:rPr>
              <w:t>,</w:t>
            </w:r>
            <w:r w:rsidRPr="00F4376D">
              <w:rPr>
                <w:spacing w:val="-4"/>
                <w:lang w:val="hu-HU"/>
              </w:rPr>
              <w:t>6)</w:t>
            </w:r>
          </w:p>
        </w:tc>
        <w:tc>
          <w:tcPr>
            <w:tcW w:w="3022" w:type="dxa"/>
          </w:tcPr>
          <w:p w14:paraId="01301274" w14:textId="5B319BBD" w:rsidR="003052B3" w:rsidRPr="00F4376D" w:rsidRDefault="003052B3" w:rsidP="00C619EF">
            <w:pPr>
              <w:pStyle w:val="TableParagraph"/>
              <w:spacing w:line="232" w:lineRule="exact"/>
              <w:rPr>
                <w:lang w:val="hu-HU"/>
              </w:rPr>
            </w:pPr>
            <w:r w:rsidRPr="00F4376D">
              <w:rPr>
                <w:lang w:val="hu-HU"/>
              </w:rPr>
              <w:t>60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6%,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lang w:val="hu-HU"/>
              </w:rPr>
              <w:t>(42</w:t>
            </w:r>
            <w:r w:rsidR="00FF41B4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1,</w:t>
            </w:r>
            <w:r w:rsidRPr="00F4376D">
              <w:rPr>
                <w:spacing w:val="-3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77.1)</w:t>
            </w:r>
          </w:p>
        </w:tc>
      </w:tr>
      <w:tr w:rsidR="003052B3" w:rsidRPr="00986BD5" w14:paraId="6EB84B76" w14:textId="77777777" w:rsidTr="005D5610">
        <w:trPr>
          <w:trHeight w:val="506"/>
        </w:trPr>
        <w:tc>
          <w:tcPr>
            <w:tcW w:w="3020" w:type="dxa"/>
          </w:tcPr>
          <w:p w14:paraId="45FEC4A8" w14:textId="05BBF990" w:rsidR="003052B3" w:rsidRPr="00F4376D" w:rsidRDefault="00986BD5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Az MMR-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 xml:space="preserve">ig eltelt medián idő </w:t>
            </w:r>
            <w:r w:rsidRPr="00F4376D">
              <w:rPr>
                <w:rFonts w:ascii="Times New Roman" w:hAnsi="Times New Roman" w:cs="Times New Roman"/>
                <w:kern w:val="0"/>
              </w:rPr>
              <w:t>hónapokban (95%-os CI)</w:t>
            </w:r>
          </w:p>
        </w:tc>
        <w:tc>
          <w:tcPr>
            <w:tcW w:w="3022" w:type="dxa"/>
          </w:tcPr>
          <w:p w14:paraId="59CB4B9E" w14:textId="27B3EC8E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lang w:val="hu-HU"/>
              </w:rPr>
              <w:t>5</w:t>
            </w:r>
            <w:r w:rsidR="003D3013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56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(5</w:t>
            </w:r>
            <w:r w:rsidR="003D3013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52,</w:t>
            </w:r>
            <w:r w:rsidRPr="00F4376D">
              <w:rPr>
                <w:spacing w:val="-1"/>
                <w:lang w:val="hu-HU"/>
              </w:rPr>
              <w:t xml:space="preserve"> </w:t>
            </w:r>
            <w:r w:rsidRPr="00F4376D">
              <w:rPr>
                <w:spacing w:val="-2"/>
                <w:lang w:val="hu-HU"/>
              </w:rPr>
              <w:t>10</w:t>
            </w:r>
            <w:r w:rsidR="003D3013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84)</w:t>
            </w:r>
          </w:p>
        </w:tc>
        <w:tc>
          <w:tcPr>
            <w:tcW w:w="3022" w:type="dxa"/>
          </w:tcPr>
          <w:p w14:paraId="6720C1D1" w14:textId="18ECFE2F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lang w:val="hu-HU"/>
              </w:rPr>
              <w:t>2</w:t>
            </w:r>
            <w:r w:rsidR="003D3013" w:rsidRPr="00F4376D">
              <w:rPr>
                <w:lang w:val="hu-HU"/>
              </w:rPr>
              <w:t>,</w:t>
            </w:r>
            <w:r w:rsidRPr="00F4376D">
              <w:rPr>
                <w:lang w:val="hu-HU"/>
              </w:rPr>
              <w:t>79</w:t>
            </w:r>
            <w:r w:rsidRPr="00F4376D">
              <w:rPr>
                <w:spacing w:val="-2"/>
                <w:lang w:val="hu-HU"/>
              </w:rPr>
              <w:t xml:space="preserve"> </w:t>
            </w:r>
            <w:r w:rsidRPr="00F4376D">
              <w:rPr>
                <w:lang w:val="hu-HU"/>
              </w:rPr>
              <w:t>(0.03,</w:t>
            </w:r>
            <w:r w:rsidRPr="00F4376D">
              <w:rPr>
                <w:spacing w:val="-1"/>
                <w:lang w:val="hu-HU"/>
              </w:rPr>
              <w:t xml:space="preserve"> </w:t>
            </w:r>
            <w:r w:rsidRPr="00F4376D">
              <w:rPr>
                <w:spacing w:val="-4"/>
                <w:lang w:val="hu-HU"/>
              </w:rPr>
              <w:t>5.75)</w:t>
            </w:r>
          </w:p>
        </w:tc>
      </w:tr>
      <w:tr w:rsidR="003052B3" w:rsidRPr="00083332" w14:paraId="219F0B3D" w14:textId="77777777" w:rsidTr="005D5610">
        <w:trPr>
          <w:trHeight w:val="756"/>
        </w:trPr>
        <w:tc>
          <w:tcPr>
            <w:tcW w:w="3020" w:type="dxa"/>
          </w:tcPr>
          <w:p w14:paraId="726146FA" w14:textId="5F66CED1" w:rsidR="003052B3" w:rsidRPr="00F4376D" w:rsidRDefault="00083332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A 66. ciklus végére MR4,0</w:t>
            </w:r>
            <w:r w:rsidR="007A7DBD">
              <w:rPr>
                <w:rFonts w:ascii="Times New Roman" w:hAnsi="Times New Roman" w:cs="Times New Roman"/>
                <w:kern w:val="0"/>
              </w:rPr>
              <w:t xml:space="preserve"> választ</w:t>
            </w:r>
            <w:r w:rsidRPr="00F4376D">
              <w:rPr>
                <w:rFonts w:ascii="Times New Roman" w:hAnsi="Times New Roman" w:cs="Times New Roman"/>
                <w:kern w:val="0"/>
              </w:rPr>
              <w:t xml:space="preserve"> (BCR-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 xml:space="preserve">ABL/ABL ≤ </w:t>
            </w:r>
            <w:r w:rsidRPr="00F4376D">
              <w:rPr>
                <w:rFonts w:ascii="Times New Roman" w:hAnsi="Times New Roman" w:cs="Times New Roman"/>
                <w:kern w:val="0"/>
              </w:rPr>
              <w:t xml:space="preserve">0,01% IS) 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>elérő betegek száma (%)</w:t>
            </w:r>
          </w:p>
        </w:tc>
        <w:tc>
          <w:tcPr>
            <w:tcW w:w="3022" w:type="dxa"/>
          </w:tcPr>
          <w:p w14:paraId="18ECCE79" w14:textId="1A5DEE5C" w:rsidR="003052B3" w:rsidRPr="00F4376D" w:rsidRDefault="003052B3" w:rsidP="00C619EF">
            <w:pPr>
              <w:pStyle w:val="TableParagraph"/>
              <w:spacing w:line="249" w:lineRule="exact"/>
              <w:rPr>
                <w:lang w:val="hu-HU"/>
              </w:rPr>
            </w:pPr>
            <w:r w:rsidRPr="00F4376D">
              <w:rPr>
                <w:lang w:val="hu-HU"/>
              </w:rPr>
              <w:t xml:space="preserve">14 </w:t>
            </w:r>
            <w:r w:rsidRPr="00F4376D">
              <w:rPr>
                <w:spacing w:val="-2"/>
                <w:lang w:val="hu-HU"/>
              </w:rPr>
              <w:t>(56</w:t>
            </w:r>
            <w:r w:rsidR="00B07853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0%)</w:t>
            </w:r>
          </w:p>
        </w:tc>
        <w:tc>
          <w:tcPr>
            <w:tcW w:w="3022" w:type="dxa"/>
          </w:tcPr>
          <w:p w14:paraId="4FB9AFEE" w14:textId="61B746AD" w:rsidR="003052B3" w:rsidRPr="00F4376D" w:rsidRDefault="003052B3" w:rsidP="00C619EF">
            <w:pPr>
              <w:pStyle w:val="TableParagraph"/>
              <w:spacing w:line="249" w:lineRule="exact"/>
              <w:rPr>
                <w:lang w:val="hu-HU"/>
              </w:rPr>
            </w:pPr>
            <w:r w:rsidRPr="00F4376D">
              <w:rPr>
                <w:lang w:val="hu-HU"/>
              </w:rPr>
              <w:t xml:space="preserve">9 </w:t>
            </w:r>
            <w:r w:rsidRPr="00F4376D">
              <w:rPr>
                <w:spacing w:val="-2"/>
                <w:lang w:val="hu-HU"/>
              </w:rPr>
              <w:t>(27</w:t>
            </w:r>
            <w:r w:rsidR="00FC458A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3%)</w:t>
            </w:r>
          </w:p>
        </w:tc>
      </w:tr>
      <w:tr w:rsidR="003052B3" w:rsidRPr="00083332" w14:paraId="2DC6FF5B" w14:textId="77777777" w:rsidTr="005D5610">
        <w:trPr>
          <w:trHeight w:val="760"/>
        </w:trPr>
        <w:tc>
          <w:tcPr>
            <w:tcW w:w="3020" w:type="dxa"/>
          </w:tcPr>
          <w:p w14:paraId="391C18EF" w14:textId="0B598BDE" w:rsidR="003052B3" w:rsidRPr="00F4376D" w:rsidRDefault="00083332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A 66. ciklus végére MR4,5</w:t>
            </w:r>
            <w:r w:rsidR="007A7DBD">
              <w:rPr>
                <w:rFonts w:ascii="Times New Roman" w:hAnsi="Times New Roman" w:cs="Times New Roman"/>
                <w:kern w:val="0"/>
              </w:rPr>
              <w:t xml:space="preserve"> választ </w:t>
            </w:r>
            <w:r w:rsidRPr="00F4376D">
              <w:rPr>
                <w:rFonts w:ascii="Times New Roman" w:hAnsi="Times New Roman" w:cs="Times New Roman"/>
                <w:kern w:val="0"/>
              </w:rPr>
              <w:t xml:space="preserve">(BCR-ABL/ABL 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 xml:space="preserve">≤ </w:t>
            </w:r>
            <w:r w:rsidRPr="00F4376D">
              <w:rPr>
                <w:rFonts w:ascii="Times New Roman" w:hAnsi="Times New Roman" w:cs="Times New Roman"/>
                <w:kern w:val="0"/>
              </w:rPr>
              <w:t xml:space="preserve">0,0032% IS) 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 xml:space="preserve">elérő betegek </w:t>
            </w:r>
            <w:r w:rsidRPr="00F4376D">
              <w:rPr>
                <w:rFonts w:ascii="Times New Roman" w:hAnsi="Times New Roman" w:cs="Times New Roman"/>
                <w:kern w:val="0"/>
              </w:rPr>
              <w:t>száma (%)</w:t>
            </w:r>
          </w:p>
        </w:tc>
        <w:tc>
          <w:tcPr>
            <w:tcW w:w="3022" w:type="dxa"/>
          </w:tcPr>
          <w:p w14:paraId="05F56776" w14:textId="2B73653B" w:rsidR="003052B3" w:rsidRPr="00F4376D" w:rsidRDefault="003052B3" w:rsidP="00C619EF">
            <w:pPr>
              <w:pStyle w:val="TableParagraph"/>
              <w:spacing w:before="1"/>
              <w:rPr>
                <w:lang w:val="hu-HU"/>
              </w:rPr>
            </w:pPr>
            <w:r w:rsidRPr="00F4376D">
              <w:rPr>
                <w:lang w:val="hu-HU"/>
              </w:rPr>
              <w:t xml:space="preserve">11 </w:t>
            </w:r>
            <w:r w:rsidRPr="00F4376D">
              <w:rPr>
                <w:spacing w:val="-2"/>
                <w:lang w:val="hu-HU"/>
              </w:rPr>
              <w:t>(44</w:t>
            </w:r>
            <w:r w:rsidR="00B07853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0%)</w:t>
            </w:r>
          </w:p>
        </w:tc>
        <w:tc>
          <w:tcPr>
            <w:tcW w:w="3022" w:type="dxa"/>
          </w:tcPr>
          <w:p w14:paraId="328EDD27" w14:textId="4F81C19E" w:rsidR="003052B3" w:rsidRPr="00F4376D" w:rsidRDefault="003052B3" w:rsidP="00C619EF">
            <w:pPr>
              <w:pStyle w:val="TableParagraph"/>
              <w:spacing w:before="1"/>
              <w:rPr>
                <w:lang w:val="hu-HU"/>
              </w:rPr>
            </w:pPr>
            <w:r w:rsidRPr="00F4376D">
              <w:rPr>
                <w:lang w:val="hu-HU"/>
              </w:rPr>
              <w:t xml:space="preserve">4 </w:t>
            </w:r>
            <w:r w:rsidRPr="00F4376D">
              <w:rPr>
                <w:spacing w:val="-2"/>
                <w:lang w:val="hu-HU"/>
              </w:rPr>
              <w:t>(12</w:t>
            </w:r>
            <w:r w:rsidR="00B07853" w:rsidRPr="00F4376D">
              <w:rPr>
                <w:spacing w:val="-2"/>
                <w:lang w:val="hu-HU"/>
              </w:rPr>
              <w:t>,</w:t>
            </w:r>
            <w:r w:rsidRPr="00F4376D">
              <w:rPr>
                <w:spacing w:val="-2"/>
                <w:lang w:val="hu-HU"/>
              </w:rPr>
              <w:t>1%)</w:t>
            </w:r>
          </w:p>
        </w:tc>
      </w:tr>
      <w:tr w:rsidR="003052B3" w:rsidRPr="00054B09" w14:paraId="2075D4E2" w14:textId="77777777" w:rsidTr="005D5610">
        <w:trPr>
          <w:trHeight w:val="758"/>
        </w:trPr>
        <w:tc>
          <w:tcPr>
            <w:tcW w:w="3020" w:type="dxa"/>
          </w:tcPr>
          <w:p w14:paraId="463F05E6" w14:textId="4CBFEEF5" w:rsidR="003052B3" w:rsidRPr="00F4376D" w:rsidRDefault="00DE3A2F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Az MMR igazolt elvesztése azon betegek körében, akik elérték az MMR-t</w:t>
            </w:r>
          </w:p>
        </w:tc>
        <w:tc>
          <w:tcPr>
            <w:tcW w:w="3022" w:type="dxa"/>
          </w:tcPr>
          <w:p w14:paraId="7AD21919" w14:textId="4A098477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spacing w:val="-5"/>
                <w:lang w:val="hu-HU"/>
              </w:rPr>
              <w:t>19</w:t>
            </w:r>
            <w:r w:rsidR="00B07853" w:rsidRPr="00F4376D">
              <w:rPr>
                <w:spacing w:val="-5"/>
                <w:lang w:val="hu-HU"/>
              </w:rPr>
              <w:t>-ből 3</w:t>
            </w:r>
          </w:p>
        </w:tc>
        <w:tc>
          <w:tcPr>
            <w:tcW w:w="3022" w:type="dxa"/>
          </w:tcPr>
          <w:p w14:paraId="6919DE66" w14:textId="79C870E5" w:rsidR="003052B3" w:rsidRPr="00F4376D" w:rsidRDefault="00B0785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lang w:val="hu-HU"/>
              </w:rPr>
              <w:t>20-ból senki</w:t>
            </w:r>
          </w:p>
        </w:tc>
      </w:tr>
      <w:tr w:rsidR="003052B3" w:rsidRPr="00DE3A2F" w14:paraId="2FF80FB2" w14:textId="77777777" w:rsidTr="005D5610">
        <w:trPr>
          <w:trHeight w:val="505"/>
        </w:trPr>
        <w:tc>
          <w:tcPr>
            <w:tcW w:w="3020" w:type="dxa"/>
          </w:tcPr>
          <w:p w14:paraId="6374B62B" w14:textId="63ED86BC" w:rsidR="003052B3" w:rsidRPr="00F4376D" w:rsidRDefault="00DE3A2F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eastAsia="TimesNewRomanPSMT" w:hAnsi="Times New Roman" w:cs="Times New Roman"/>
                <w:kern w:val="0"/>
              </w:rPr>
              <w:t>Fellépő mutáció a kezelés közben</w:t>
            </w:r>
          </w:p>
        </w:tc>
        <w:tc>
          <w:tcPr>
            <w:tcW w:w="3022" w:type="dxa"/>
          </w:tcPr>
          <w:p w14:paraId="0F7D882F" w14:textId="2DD05012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spacing w:val="-4"/>
                <w:lang w:val="hu-HU"/>
              </w:rPr>
              <w:t>N</w:t>
            </w:r>
            <w:r w:rsidR="00B07853" w:rsidRPr="00F4376D">
              <w:rPr>
                <w:spacing w:val="-4"/>
                <w:lang w:val="hu-HU"/>
              </w:rPr>
              <w:t>incs</w:t>
            </w:r>
          </w:p>
        </w:tc>
        <w:tc>
          <w:tcPr>
            <w:tcW w:w="3022" w:type="dxa"/>
          </w:tcPr>
          <w:p w14:paraId="5DDE3084" w14:textId="5F07A07F" w:rsidR="003052B3" w:rsidRPr="00F4376D" w:rsidRDefault="003052B3" w:rsidP="00C619EF">
            <w:pPr>
              <w:pStyle w:val="TableParagraph"/>
              <w:spacing w:line="251" w:lineRule="exact"/>
              <w:rPr>
                <w:lang w:val="hu-HU"/>
              </w:rPr>
            </w:pPr>
            <w:r w:rsidRPr="00F4376D">
              <w:rPr>
                <w:spacing w:val="-4"/>
                <w:lang w:val="hu-HU"/>
              </w:rPr>
              <w:t>N</w:t>
            </w:r>
            <w:r w:rsidR="00B07853" w:rsidRPr="00F4376D">
              <w:rPr>
                <w:spacing w:val="-4"/>
                <w:lang w:val="hu-HU"/>
              </w:rPr>
              <w:t>incs</w:t>
            </w:r>
          </w:p>
        </w:tc>
      </w:tr>
      <w:tr w:rsidR="003052B3" w:rsidRPr="00054B09" w14:paraId="064BF41A" w14:textId="77777777" w:rsidTr="005D5610">
        <w:trPr>
          <w:trHeight w:val="758"/>
        </w:trPr>
        <w:tc>
          <w:tcPr>
            <w:tcW w:w="3020" w:type="dxa"/>
          </w:tcPr>
          <w:p w14:paraId="5A7EEE0A" w14:textId="0821174B" w:rsidR="003052B3" w:rsidRPr="00F4376D" w:rsidRDefault="00F56EF7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Betegségprogresszió a kezelés közben</w:t>
            </w:r>
          </w:p>
        </w:tc>
        <w:tc>
          <w:tcPr>
            <w:tcW w:w="3022" w:type="dxa"/>
          </w:tcPr>
          <w:p w14:paraId="527ECF52" w14:textId="2285DCC4" w:rsidR="003052B3" w:rsidRPr="00F4376D" w:rsidRDefault="000F74B4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1 beteg átmenetileg megfelelt az AP/BC-</w:t>
            </w:r>
            <w:r w:rsidRPr="00F4376D">
              <w:rPr>
                <w:rFonts w:ascii="Times New Roman" w:eastAsia="TimesNewRomanPSMT" w:hAnsi="Times New Roman" w:cs="Times New Roman"/>
                <w:kern w:val="0"/>
              </w:rPr>
              <w:t xml:space="preserve">be történő </w:t>
            </w:r>
            <w:r w:rsidRPr="00F4376D">
              <w:rPr>
                <w:rFonts w:ascii="Times New Roman" w:hAnsi="Times New Roman" w:cs="Times New Roman"/>
                <w:kern w:val="0"/>
              </w:rPr>
              <w:t>progresszió technikai definíciójának *</w:t>
            </w:r>
          </w:p>
        </w:tc>
        <w:tc>
          <w:tcPr>
            <w:tcW w:w="3022" w:type="dxa"/>
          </w:tcPr>
          <w:p w14:paraId="65E466E3" w14:textId="24F7C824" w:rsidR="003052B3" w:rsidRPr="00F4376D" w:rsidRDefault="000F74B4" w:rsidP="00027697">
            <w:pPr>
              <w:autoSpaceDE w:val="0"/>
              <w:autoSpaceDN w:val="0"/>
              <w:adjustRightInd w:val="0"/>
              <w:spacing w:after="0" w:line="240" w:lineRule="auto"/>
              <w:ind w:left="108"/>
              <w:rPr>
                <w:rFonts w:ascii="Times New Roman" w:hAnsi="Times New Roman" w:cs="Times New Roman"/>
              </w:rPr>
            </w:pPr>
            <w:r w:rsidRPr="00F4376D">
              <w:rPr>
                <w:rFonts w:ascii="Times New Roman" w:hAnsi="Times New Roman" w:cs="Times New Roman"/>
                <w:kern w:val="0"/>
              </w:rPr>
              <w:t>1 beteg AP/BC-be progrediált 10,1 hónap kezelés után</w:t>
            </w:r>
          </w:p>
        </w:tc>
      </w:tr>
      <w:tr w:rsidR="003052B3" w:rsidRPr="00054B09" w14:paraId="027B1AC2" w14:textId="77777777" w:rsidTr="005D5610">
        <w:trPr>
          <w:trHeight w:val="255"/>
        </w:trPr>
        <w:tc>
          <w:tcPr>
            <w:tcW w:w="3020" w:type="dxa"/>
            <w:tcBorders>
              <w:bottom w:val="nil"/>
            </w:tcBorders>
          </w:tcPr>
          <w:p w14:paraId="2AE0308F" w14:textId="3F322480" w:rsidR="003052B3" w:rsidRPr="00F4376D" w:rsidRDefault="006A7051" w:rsidP="00027697">
            <w:pPr>
              <w:pStyle w:val="TableParagraph"/>
              <w:spacing w:line="235" w:lineRule="exact"/>
              <w:ind w:left="108"/>
              <w:rPr>
                <w:lang w:val="hu-HU"/>
              </w:rPr>
            </w:pPr>
            <w:r w:rsidRPr="00F4376D">
              <w:rPr>
                <w:lang w:val="hu-HU"/>
              </w:rPr>
              <w:t>Teljes túlélés</w:t>
            </w:r>
          </w:p>
        </w:tc>
        <w:tc>
          <w:tcPr>
            <w:tcW w:w="3022" w:type="dxa"/>
            <w:tcBorders>
              <w:bottom w:val="nil"/>
            </w:tcBorders>
          </w:tcPr>
          <w:p w14:paraId="75B3B0BE" w14:textId="77777777" w:rsidR="003052B3" w:rsidRPr="00F4376D" w:rsidRDefault="003052B3" w:rsidP="00C619EF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  <w:tc>
          <w:tcPr>
            <w:tcW w:w="3022" w:type="dxa"/>
            <w:tcBorders>
              <w:bottom w:val="nil"/>
            </w:tcBorders>
          </w:tcPr>
          <w:p w14:paraId="09905E37" w14:textId="77777777" w:rsidR="003052B3" w:rsidRPr="00F4376D" w:rsidRDefault="003052B3" w:rsidP="00C619EF">
            <w:pPr>
              <w:pStyle w:val="TableParagraph"/>
              <w:ind w:left="0"/>
              <w:rPr>
                <w:sz w:val="18"/>
                <w:lang w:val="hu-HU"/>
              </w:rPr>
            </w:pPr>
          </w:p>
        </w:tc>
      </w:tr>
      <w:tr w:rsidR="003052B3" w:rsidRPr="00054B09" w14:paraId="757A04BF" w14:textId="77777777" w:rsidTr="005D5610">
        <w:trPr>
          <w:trHeight w:val="253"/>
        </w:trPr>
        <w:tc>
          <w:tcPr>
            <w:tcW w:w="3020" w:type="dxa"/>
            <w:tcBorders>
              <w:top w:val="nil"/>
              <w:bottom w:val="nil"/>
            </w:tcBorders>
          </w:tcPr>
          <w:p w14:paraId="47BE2F7C" w14:textId="20F67F17" w:rsidR="003052B3" w:rsidRPr="00F4376D" w:rsidRDefault="00946E5C" w:rsidP="00027697">
            <w:pPr>
              <w:pStyle w:val="TableParagraph"/>
              <w:spacing w:line="233" w:lineRule="exact"/>
              <w:ind w:left="108"/>
              <w:rPr>
                <w:lang w:val="hu-HU"/>
              </w:rPr>
            </w:pPr>
            <w:r w:rsidRPr="00F4376D">
              <w:rPr>
                <w:lang w:val="hu-HU"/>
              </w:rPr>
              <w:t>Események száma</w:t>
            </w:r>
          </w:p>
        </w:tc>
        <w:tc>
          <w:tcPr>
            <w:tcW w:w="3022" w:type="dxa"/>
            <w:tcBorders>
              <w:top w:val="nil"/>
              <w:bottom w:val="nil"/>
            </w:tcBorders>
          </w:tcPr>
          <w:p w14:paraId="66308BED" w14:textId="77777777" w:rsidR="003052B3" w:rsidRPr="00F4376D" w:rsidRDefault="003052B3" w:rsidP="00C619EF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>0</w:t>
            </w:r>
          </w:p>
        </w:tc>
        <w:tc>
          <w:tcPr>
            <w:tcW w:w="3022" w:type="dxa"/>
            <w:tcBorders>
              <w:top w:val="nil"/>
              <w:bottom w:val="nil"/>
            </w:tcBorders>
          </w:tcPr>
          <w:p w14:paraId="6F74F8CF" w14:textId="77777777" w:rsidR="003052B3" w:rsidRPr="00F4376D" w:rsidRDefault="003052B3" w:rsidP="00C619EF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>0</w:t>
            </w:r>
          </w:p>
        </w:tc>
      </w:tr>
      <w:tr w:rsidR="003052B3" w:rsidRPr="00054B09" w14:paraId="236502D6" w14:textId="77777777" w:rsidTr="005D5610">
        <w:trPr>
          <w:trHeight w:val="253"/>
        </w:trPr>
        <w:tc>
          <w:tcPr>
            <w:tcW w:w="3020" w:type="dxa"/>
            <w:tcBorders>
              <w:top w:val="nil"/>
              <w:bottom w:val="nil"/>
            </w:tcBorders>
          </w:tcPr>
          <w:p w14:paraId="651514C9" w14:textId="1EED27B4" w:rsidR="003052B3" w:rsidRPr="00F4376D" w:rsidRDefault="00946E5C" w:rsidP="00027697">
            <w:pPr>
              <w:pStyle w:val="TableParagraph"/>
              <w:spacing w:line="233" w:lineRule="exact"/>
              <w:ind w:left="108"/>
              <w:rPr>
                <w:lang w:val="hu-HU"/>
              </w:rPr>
            </w:pPr>
            <w:r w:rsidRPr="00F4376D">
              <w:rPr>
                <w:lang w:val="hu-HU"/>
              </w:rPr>
              <w:t>Halál a kezelés közben</w:t>
            </w:r>
          </w:p>
        </w:tc>
        <w:tc>
          <w:tcPr>
            <w:tcW w:w="3022" w:type="dxa"/>
            <w:tcBorders>
              <w:top w:val="nil"/>
              <w:bottom w:val="nil"/>
            </w:tcBorders>
          </w:tcPr>
          <w:p w14:paraId="74CB5788" w14:textId="77777777" w:rsidR="003052B3" w:rsidRPr="00F4376D" w:rsidRDefault="003052B3" w:rsidP="00C619EF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 xml:space="preserve">3 </w:t>
            </w:r>
            <w:r w:rsidRPr="00F4376D">
              <w:rPr>
                <w:spacing w:val="-2"/>
                <w:lang w:val="hu-HU"/>
              </w:rPr>
              <w:t>(12%)</w:t>
            </w:r>
          </w:p>
        </w:tc>
        <w:tc>
          <w:tcPr>
            <w:tcW w:w="3022" w:type="dxa"/>
            <w:tcBorders>
              <w:top w:val="nil"/>
              <w:bottom w:val="nil"/>
            </w:tcBorders>
          </w:tcPr>
          <w:p w14:paraId="37E9E78E" w14:textId="77777777" w:rsidR="003052B3" w:rsidRPr="00F4376D" w:rsidRDefault="003052B3" w:rsidP="00C619EF">
            <w:pPr>
              <w:pStyle w:val="TableParagraph"/>
              <w:spacing w:line="233" w:lineRule="exact"/>
              <w:rPr>
                <w:lang w:val="hu-HU"/>
              </w:rPr>
            </w:pPr>
            <w:r w:rsidRPr="00F4376D">
              <w:rPr>
                <w:lang w:val="hu-HU"/>
              </w:rPr>
              <w:t xml:space="preserve">1 </w:t>
            </w:r>
            <w:r w:rsidRPr="00F4376D">
              <w:rPr>
                <w:spacing w:val="-4"/>
                <w:lang w:val="hu-HU"/>
              </w:rPr>
              <w:t>(3%)</w:t>
            </w:r>
          </w:p>
        </w:tc>
      </w:tr>
      <w:tr w:rsidR="003052B3" w:rsidRPr="00054B09" w14:paraId="598A7F66" w14:textId="77777777" w:rsidTr="005D5610">
        <w:trPr>
          <w:trHeight w:val="502"/>
        </w:trPr>
        <w:tc>
          <w:tcPr>
            <w:tcW w:w="3020" w:type="dxa"/>
            <w:tcBorders>
              <w:top w:val="nil"/>
            </w:tcBorders>
          </w:tcPr>
          <w:p w14:paraId="2B45A22E" w14:textId="77777777" w:rsidR="00946E5C" w:rsidRPr="00F4376D" w:rsidRDefault="00946E5C" w:rsidP="00027697">
            <w:pPr>
              <w:pStyle w:val="TableParagraph"/>
              <w:spacing w:line="233" w:lineRule="exact"/>
              <w:ind w:left="108"/>
              <w:rPr>
                <w:lang w:val="hu-HU"/>
              </w:rPr>
            </w:pPr>
            <w:r w:rsidRPr="00F4376D">
              <w:rPr>
                <w:lang w:val="hu-HU"/>
              </w:rPr>
              <w:t>Halál a túlélés követése</w:t>
            </w:r>
          </w:p>
          <w:p w14:paraId="752A93D2" w14:textId="296B8EA9" w:rsidR="003052B3" w:rsidRPr="00F4376D" w:rsidRDefault="00946E5C" w:rsidP="00027697">
            <w:pPr>
              <w:pStyle w:val="TableParagraph"/>
              <w:spacing w:line="233" w:lineRule="exact"/>
              <w:ind w:left="108"/>
              <w:rPr>
                <w:lang w:val="hu-HU"/>
              </w:rPr>
            </w:pPr>
            <w:r w:rsidRPr="00F4376D">
              <w:rPr>
                <w:lang w:val="hu-HU"/>
              </w:rPr>
              <w:t>során</w:t>
            </w:r>
          </w:p>
        </w:tc>
        <w:tc>
          <w:tcPr>
            <w:tcW w:w="3022" w:type="dxa"/>
            <w:tcBorders>
              <w:top w:val="nil"/>
            </w:tcBorders>
          </w:tcPr>
          <w:p w14:paraId="7D75D573" w14:textId="00B7FF4D" w:rsidR="003052B3" w:rsidRPr="00F4376D" w:rsidRDefault="003052B3" w:rsidP="00C619EF">
            <w:pPr>
              <w:pStyle w:val="TableParagraph"/>
              <w:spacing w:line="248" w:lineRule="exact"/>
              <w:rPr>
                <w:lang w:val="hu-HU"/>
              </w:rPr>
            </w:pPr>
            <w:r w:rsidRPr="00F4376D">
              <w:rPr>
                <w:lang w:val="hu-HU"/>
              </w:rPr>
              <w:t>N</w:t>
            </w:r>
            <w:r w:rsidR="00946E5C" w:rsidRPr="00F4376D">
              <w:rPr>
                <w:lang w:val="hu-HU"/>
              </w:rPr>
              <w:t>em megbecsülhető</w:t>
            </w:r>
          </w:p>
        </w:tc>
        <w:tc>
          <w:tcPr>
            <w:tcW w:w="3022" w:type="dxa"/>
            <w:tcBorders>
              <w:top w:val="nil"/>
            </w:tcBorders>
          </w:tcPr>
          <w:p w14:paraId="2C8A87DA" w14:textId="322A1B0F" w:rsidR="003052B3" w:rsidRPr="00F4376D" w:rsidRDefault="003052B3" w:rsidP="00C619EF">
            <w:pPr>
              <w:pStyle w:val="TableParagraph"/>
              <w:spacing w:line="248" w:lineRule="exact"/>
              <w:rPr>
                <w:lang w:val="hu-HU"/>
              </w:rPr>
            </w:pPr>
            <w:r w:rsidRPr="00F4376D">
              <w:rPr>
                <w:lang w:val="hu-HU"/>
              </w:rPr>
              <w:t>N</w:t>
            </w:r>
            <w:r w:rsidR="00946E5C" w:rsidRPr="00F4376D">
              <w:rPr>
                <w:lang w:val="hu-HU"/>
              </w:rPr>
              <w:t>em megbecsülhető</w:t>
            </w:r>
          </w:p>
        </w:tc>
      </w:tr>
    </w:tbl>
    <w:p w14:paraId="399849AB" w14:textId="1A49F1D3" w:rsidR="003052B3" w:rsidRDefault="005D5610" w:rsidP="005D561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kern w:val="0"/>
        </w:rPr>
      </w:pPr>
      <w:r w:rsidRPr="005D5610">
        <w:rPr>
          <w:rFonts w:ascii="Times New Roman" w:hAnsi="Times New Roman" w:cs="Times New Roman"/>
          <w:kern w:val="0"/>
        </w:rPr>
        <w:t>* 1 beteg átmenetileg megfelelt az AP/BC-</w:t>
      </w:r>
      <w:r w:rsidRPr="005D5610">
        <w:rPr>
          <w:rFonts w:ascii="Times New Roman" w:eastAsia="TimesNewRomanPSMT" w:hAnsi="Times New Roman" w:cs="Times New Roman"/>
          <w:kern w:val="0"/>
        </w:rPr>
        <w:t>be történő progresszió technikai definíciójának (ugyanis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5D5610">
        <w:rPr>
          <w:rFonts w:ascii="Times New Roman" w:eastAsia="TimesNewRomanPSMT" w:hAnsi="Times New Roman" w:cs="Times New Roman"/>
          <w:kern w:val="0"/>
        </w:rPr>
        <w:t>megemelkedett a bazofil sejtek száma) egy hónappal a nilotinib megkezdése után (az első ciklusban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5D5610">
        <w:rPr>
          <w:rFonts w:ascii="Times New Roman" w:hAnsi="Times New Roman" w:cs="Times New Roman"/>
          <w:kern w:val="0"/>
        </w:rPr>
        <w:t>13</w:t>
      </w:r>
      <w:r>
        <w:rPr>
          <w:rFonts w:ascii="Times New Roman" w:hAnsi="Times New Roman" w:cs="Times New Roman"/>
          <w:kern w:val="0"/>
        </w:rPr>
        <w:t> </w:t>
      </w:r>
      <w:r w:rsidRPr="005D5610">
        <w:rPr>
          <w:rFonts w:ascii="Times New Roman" w:hAnsi="Times New Roman" w:cs="Times New Roman"/>
          <w:kern w:val="0"/>
        </w:rPr>
        <w:t>napra átmenetileg felfüggesztették a kezelését). A beteg nem lépett ki a vizsgálatból, visszatért a</w:t>
      </w:r>
      <w:r>
        <w:rPr>
          <w:rFonts w:ascii="Times New Roman" w:hAnsi="Times New Roman" w:cs="Times New Roman"/>
          <w:kern w:val="0"/>
        </w:rPr>
        <w:t xml:space="preserve"> </w:t>
      </w:r>
      <w:r w:rsidRPr="005D5610">
        <w:rPr>
          <w:rFonts w:ascii="Times New Roman" w:hAnsi="Times New Roman" w:cs="Times New Roman"/>
          <w:kern w:val="0"/>
        </w:rPr>
        <w:t>CP-be, majd 6 ciklusnyi nilotinib-kezelés után CHR-ben és CCyR-ben volt.</w:t>
      </w:r>
    </w:p>
    <w:p w14:paraId="4C76FDD8" w14:textId="77777777" w:rsidR="00E06E0C" w:rsidRDefault="00E06E0C" w:rsidP="008E68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2EE1491" w14:textId="71B99C83" w:rsidR="00E97447" w:rsidRDefault="00E97447" w:rsidP="00120D3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E97447">
        <w:rPr>
          <w:rFonts w:ascii="Times New Roman" w:hAnsi="Times New Roman" w:cs="Times New Roman"/>
          <w:b/>
          <w:bCs/>
          <w:kern w:val="0"/>
        </w:rPr>
        <w:t>5.2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E97447">
        <w:rPr>
          <w:rFonts w:ascii="Times New Roman" w:hAnsi="Times New Roman" w:cs="Times New Roman"/>
          <w:b/>
          <w:bCs/>
          <w:kern w:val="0"/>
        </w:rPr>
        <w:t>Farmakokinetikai tulajdonságok</w:t>
      </w:r>
    </w:p>
    <w:p w14:paraId="4D304C48" w14:textId="77777777" w:rsidR="008601D7" w:rsidRPr="00E97447" w:rsidRDefault="008601D7" w:rsidP="00120D3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297B8E5" w14:textId="77777777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8601D7">
        <w:rPr>
          <w:rFonts w:ascii="Times New Roman" w:hAnsi="Times New Roman" w:cs="Times New Roman"/>
          <w:kern w:val="0"/>
          <w:u w:val="single"/>
        </w:rPr>
        <w:t>Felszívódás</w:t>
      </w:r>
    </w:p>
    <w:p w14:paraId="6D19BEC3" w14:textId="77777777" w:rsidR="008601D7" w:rsidRPr="008601D7" w:rsidRDefault="008601D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65E9EB0" w14:textId="05576D03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t>A nilotinib csúcskoncentrációi 3</w:t>
      </w:r>
      <w:r w:rsidR="008601D7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eastAsia="TimesNewRomanPSMT" w:hAnsi="Times New Roman" w:cs="Times New Roman"/>
          <w:kern w:val="0"/>
        </w:rPr>
        <w:t>órával a</w:t>
      </w:r>
      <w:r w:rsidR="00B03B99">
        <w:rPr>
          <w:rFonts w:ascii="Times New Roman" w:eastAsia="TimesNewRomanPSMT" w:hAnsi="Times New Roman" w:cs="Times New Roman"/>
          <w:kern w:val="0"/>
        </w:rPr>
        <w:t xml:space="preserve"> szájon át történő beadást</w:t>
      </w:r>
      <w:r w:rsidRPr="00E97447">
        <w:rPr>
          <w:rFonts w:ascii="Times New Roman" w:eastAsia="TimesNewRomanPSMT" w:hAnsi="Times New Roman" w:cs="Times New Roman"/>
          <w:kern w:val="0"/>
        </w:rPr>
        <w:t xml:space="preserve"> követően alakulnak ki. A nilotinib</w:t>
      </w:r>
      <w:r w:rsidR="00B03B99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 xml:space="preserve">felszívódása </w:t>
      </w:r>
      <w:r w:rsidR="00B03B99">
        <w:rPr>
          <w:rFonts w:ascii="Times New Roman" w:eastAsia="TimesNewRomanPSMT" w:hAnsi="Times New Roman" w:cs="Times New Roman"/>
          <w:kern w:val="0"/>
        </w:rPr>
        <w:t>szájon át történő</w:t>
      </w:r>
      <w:r w:rsidRPr="00E97447">
        <w:rPr>
          <w:rFonts w:ascii="Times New Roman" w:hAnsi="Times New Roman" w:cs="Times New Roman"/>
          <w:kern w:val="0"/>
        </w:rPr>
        <w:t xml:space="preserve"> bevételt </w:t>
      </w:r>
      <w:r w:rsidRPr="00E97447">
        <w:rPr>
          <w:rFonts w:ascii="Times New Roman" w:eastAsia="TimesNewRomanPSMT" w:hAnsi="Times New Roman" w:cs="Times New Roman"/>
          <w:kern w:val="0"/>
        </w:rPr>
        <w:t>követően kb. 30%</w:t>
      </w:r>
      <w:r w:rsidRPr="00E97447">
        <w:rPr>
          <w:rFonts w:ascii="Times New Roman" w:hAnsi="Times New Roman" w:cs="Times New Roman"/>
          <w:kern w:val="0"/>
        </w:rPr>
        <w:t>-</w:t>
      </w:r>
      <w:r w:rsidRPr="00E97447">
        <w:rPr>
          <w:rFonts w:ascii="Times New Roman" w:eastAsia="TimesNewRomanPSMT" w:hAnsi="Times New Roman" w:cs="Times New Roman"/>
          <w:kern w:val="0"/>
        </w:rPr>
        <w:t>os mértékű volt. A nilotinib abszolút biohasznosulását</w:t>
      </w:r>
      <w:r w:rsidR="00BC299A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nem állapították meg. Szájon át beadott oldathoz viszonyítva (pH 1,2-1,3) a re</w:t>
      </w:r>
      <w:r w:rsidR="003C3ABE">
        <w:rPr>
          <w:rFonts w:ascii="Times New Roman" w:hAnsi="Times New Roman" w:cs="Times New Roman"/>
          <w:kern w:val="0"/>
        </w:rPr>
        <w:t>la</w:t>
      </w:r>
      <w:r w:rsidRPr="00E97447">
        <w:rPr>
          <w:rFonts w:ascii="Times New Roman" w:hAnsi="Times New Roman" w:cs="Times New Roman"/>
          <w:kern w:val="0"/>
        </w:rPr>
        <w:t>tív biohasznosulás</w:t>
      </w:r>
      <w:r w:rsidR="00BC299A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körülbelül 50%. Egészséges önkéntesek esetében a nilotinib C</w:t>
      </w:r>
      <w:r w:rsidRPr="00BC299A">
        <w:rPr>
          <w:rFonts w:ascii="Times New Roman" w:hAnsi="Times New Roman" w:cs="Times New Roman"/>
          <w:kern w:val="0"/>
          <w:vertAlign w:val="subscript"/>
        </w:rPr>
        <w:t>max</w:t>
      </w:r>
      <w:r w:rsidRPr="00E97447">
        <w:rPr>
          <w:rFonts w:ascii="Times New Roman" w:hAnsi="Times New Roman" w:cs="Times New Roman"/>
          <w:kern w:val="0"/>
        </w:rPr>
        <w:t xml:space="preserve"> 112%-kal és a szérumkoncentráció</w:t>
      </w:r>
      <w:r w:rsidR="00BC299A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eastAsia="TimesNewRomanPSMT" w:hAnsi="Times New Roman" w:cs="Times New Roman"/>
          <w:kern w:val="0"/>
        </w:rPr>
        <w:t>– idő görbe alatti terület (AUC) 82%</w:t>
      </w:r>
      <w:r w:rsidRPr="00E97447">
        <w:rPr>
          <w:rFonts w:ascii="Times New Roman" w:hAnsi="Times New Roman" w:cs="Times New Roman"/>
          <w:kern w:val="0"/>
        </w:rPr>
        <w:t>-</w:t>
      </w:r>
      <w:r w:rsidRPr="00E97447">
        <w:rPr>
          <w:rFonts w:ascii="Times New Roman" w:eastAsia="TimesNewRomanPSMT" w:hAnsi="Times New Roman" w:cs="Times New Roman"/>
          <w:kern w:val="0"/>
        </w:rPr>
        <w:t xml:space="preserve">kal nőtt az éhgyomorra történő bevételhez képest, ha a </w:t>
      </w:r>
      <w:r w:rsidR="00BC299A">
        <w:rPr>
          <w:rFonts w:ascii="Times New Roman" w:eastAsia="TimesNewRomanPSMT" w:hAnsi="Times New Roman" w:cs="Times New Roman"/>
          <w:kern w:val="0"/>
        </w:rPr>
        <w:t>nilotinibe</w:t>
      </w:r>
      <w:r w:rsidRPr="00E97447">
        <w:rPr>
          <w:rFonts w:ascii="Times New Roman" w:hAnsi="Times New Roman" w:cs="Times New Roman"/>
          <w:kern w:val="0"/>
        </w:rPr>
        <w:t>t</w:t>
      </w:r>
      <w:r w:rsidR="00BC299A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 xml:space="preserve">táplálékkal együtt alkalmazták. A </w:t>
      </w:r>
      <w:r w:rsidR="00652D7B">
        <w:rPr>
          <w:rFonts w:ascii="Times New Roman" w:hAnsi="Times New Roman" w:cs="Times New Roman"/>
          <w:kern w:val="0"/>
        </w:rPr>
        <w:t>nilotinib</w:t>
      </w:r>
      <w:r w:rsidRPr="00E97447">
        <w:rPr>
          <w:rFonts w:ascii="Times New Roman" w:hAnsi="Times New Roman" w:cs="Times New Roman"/>
          <w:kern w:val="0"/>
        </w:rPr>
        <w:t xml:space="preserve"> 30</w:t>
      </w:r>
      <w:r w:rsidR="00652D7B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perccel, illetve 2</w:t>
      </w:r>
      <w:r w:rsidR="00652D7B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eastAsia="TimesNewRomanPSMT" w:hAnsi="Times New Roman" w:cs="Times New Roman"/>
          <w:kern w:val="0"/>
        </w:rPr>
        <w:t>órával a táplálkozást követő bevétele a</w:t>
      </w:r>
      <w:r w:rsidR="00652D7B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nilotinib biohasznosulását sorrendben 29%-kal, illetve 15%-kal növelte (lásd 4.2, 4.4 és 4.5</w:t>
      </w:r>
      <w:r w:rsidR="00652D7B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pont).</w:t>
      </w:r>
    </w:p>
    <w:p w14:paraId="188C2CF3" w14:textId="77777777" w:rsidR="00652D7B" w:rsidRPr="00E97447" w:rsidRDefault="00652D7B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32A5C82" w14:textId="2665AB18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t>A nilotinib felszívódása (relatív biohasznosulása) a total gastrectomián átesett betegeknél kb. 48%-kal</w:t>
      </w:r>
      <w:r w:rsidR="00652D7B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és a partialis gastrectomián átesett betegeknél kb. 22%-kal csökkenhet.</w:t>
      </w:r>
    </w:p>
    <w:p w14:paraId="79040A8D" w14:textId="77777777" w:rsidR="00341350" w:rsidRPr="00E97447" w:rsidRDefault="00341350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B2BAC63" w14:textId="77777777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341350">
        <w:rPr>
          <w:rFonts w:ascii="Times New Roman" w:hAnsi="Times New Roman" w:cs="Times New Roman"/>
          <w:kern w:val="0"/>
          <w:u w:val="single"/>
        </w:rPr>
        <w:t>Eloszlás</w:t>
      </w:r>
    </w:p>
    <w:p w14:paraId="7AE33657" w14:textId="77777777" w:rsidR="00341350" w:rsidRPr="00341350" w:rsidRDefault="00341350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45811E8B" w14:textId="05FDC9C2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lastRenderedPageBreak/>
        <w:t>A nilotinib vér-</w:t>
      </w:r>
      <w:r w:rsidRPr="00E97447">
        <w:rPr>
          <w:rFonts w:ascii="Times New Roman" w:eastAsia="TimesNewRomanPSMT" w:hAnsi="Times New Roman" w:cs="Times New Roman"/>
          <w:kern w:val="0"/>
        </w:rPr>
        <w:t>plazma aránya 0,71. A plazmafehérj</w:t>
      </w:r>
      <w:r w:rsidR="007A7DBD">
        <w:rPr>
          <w:rFonts w:ascii="Times New Roman" w:eastAsia="TimesNewRomanPSMT" w:hAnsi="Times New Roman" w:cs="Times New Roman"/>
          <w:kern w:val="0"/>
        </w:rPr>
        <w:t>éhez</w:t>
      </w:r>
      <w:r w:rsidRPr="00E97447">
        <w:rPr>
          <w:rFonts w:ascii="Times New Roman" w:eastAsia="TimesNewRomanPSMT" w:hAnsi="Times New Roman" w:cs="Times New Roman"/>
          <w:kern w:val="0"/>
        </w:rPr>
        <w:t xml:space="preserve"> </w:t>
      </w:r>
      <w:r w:rsidR="00933FD4">
        <w:rPr>
          <w:rFonts w:ascii="Times New Roman" w:eastAsia="TimesNewRomanPSMT" w:hAnsi="Times New Roman" w:cs="Times New Roman"/>
          <w:kern w:val="0"/>
        </w:rPr>
        <w:t xml:space="preserve">való </w:t>
      </w:r>
      <w:proofErr w:type="gramStart"/>
      <w:r w:rsidRPr="00E97447">
        <w:rPr>
          <w:rFonts w:ascii="Times New Roman" w:eastAsia="TimesNewRomanPSMT" w:hAnsi="Times New Roman" w:cs="Times New Roman"/>
          <w:kern w:val="0"/>
        </w:rPr>
        <w:t xml:space="preserve">kötődés </w:t>
      </w:r>
      <w:r w:rsidRPr="00E97447">
        <w:rPr>
          <w:rFonts w:ascii="Times New Roman" w:hAnsi="Times New Roman" w:cs="Times New Roman"/>
          <w:i/>
          <w:iCs/>
          <w:kern w:val="0"/>
        </w:rPr>
        <w:t>in</w:t>
      </w:r>
      <w:proofErr w:type="gramEnd"/>
      <w:r w:rsidRPr="00E97447">
        <w:rPr>
          <w:rFonts w:ascii="Times New Roman" w:hAnsi="Times New Roman" w:cs="Times New Roman"/>
          <w:i/>
          <w:iCs/>
          <w:kern w:val="0"/>
        </w:rPr>
        <w:t xml:space="preserve"> vitro </w:t>
      </w:r>
      <w:r w:rsidRPr="00E97447">
        <w:rPr>
          <w:rFonts w:ascii="Times New Roman" w:hAnsi="Times New Roman" w:cs="Times New Roman"/>
          <w:kern w:val="0"/>
        </w:rPr>
        <w:t xml:space="preserve">kísérletek </w:t>
      </w:r>
      <w:r w:rsidRPr="00501B2A">
        <w:rPr>
          <w:rFonts w:ascii="Times New Roman" w:hAnsi="Times New Roman" w:cs="Times New Roman"/>
          <w:kern w:val="0"/>
        </w:rPr>
        <w:t>alapján kb. 98</w:t>
      </w:r>
      <w:r w:rsidRPr="00E97447">
        <w:rPr>
          <w:rFonts w:ascii="Times New Roman" w:hAnsi="Times New Roman" w:cs="Times New Roman"/>
          <w:kern w:val="0"/>
        </w:rPr>
        <w:t>%.</w:t>
      </w:r>
    </w:p>
    <w:p w14:paraId="57851326" w14:textId="77777777" w:rsidR="00341350" w:rsidRPr="00E97447" w:rsidRDefault="00341350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57D8667" w14:textId="77777777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341350">
        <w:rPr>
          <w:rFonts w:ascii="Times New Roman" w:hAnsi="Times New Roman" w:cs="Times New Roman"/>
          <w:kern w:val="0"/>
          <w:u w:val="single"/>
        </w:rPr>
        <w:t>Biotranszformáció</w:t>
      </w:r>
    </w:p>
    <w:p w14:paraId="5506F59D" w14:textId="77777777" w:rsidR="00341350" w:rsidRPr="00341350" w:rsidRDefault="00341350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176C8847" w14:textId="7880FB27" w:rsidR="00E97447" w:rsidRP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eastAsia="TimesNewRomanPSMT" w:hAnsi="Times New Roman" w:cs="Times New Roman"/>
          <w:kern w:val="0"/>
        </w:rPr>
        <w:t>A fő azonosított anyagcsereutak közé egészséges önkéntesek esetén az oxidáció és a hidroxiláció</w:t>
      </w:r>
      <w:r w:rsidR="00341350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eastAsia="TimesNewRomanPSMT" w:hAnsi="Times New Roman" w:cs="Times New Roman"/>
          <w:kern w:val="0"/>
        </w:rPr>
        <w:t>tartozik. A nilotinib a fő keringő összetevő a szérumban. A metabolitok egyike sem járult hozzá</w:t>
      </w:r>
      <w:r w:rsidR="00341350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eastAsia="TimesNewRomanPSMT" w:hAnsi="Times New Roman" w:cs="Times New Roman"/>
          <w:kern w:val="0"/>
        </w:rPr>
        <w:t>jelentős mértékben a nilotinib farmakológiai hatásához. A nilotinibet elsősorban a CYP3A4</w:t>
      </w:r>
      <w:r w:rsidR="00341350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metabolizálja, a CYP2C8 esetleges csekély hozzájárulásával.</w:t>
      </w:r>
    </w:p>
    <w:p w14:paraId="565762FA" w14:textId="77777777" w:rsidR="00341350" w:rsidRDefault="00341350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9B4D419" w14:textId="5F86EDA3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341350">
        <w:rPr>
          <w:rFonts w:ascii="Times New Roman" w:hAnsi="Times New Roman" w:cs="Times New Roman"/>
          <w:kern w:val="0"/>
          <w:u w:val="single"/>
        </w:rPr>
        <w:t>Elimináció</w:t>
      </w:r>
    </w:p>
    <w:p w14:paraId="5F856F9A" w14:textId="77777777" w:rsidR="00341350" w:rsidRPr="00341350" w:rsidRDefault="00341350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2E0F852" w14:textId="02BF20BC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t>A</w:t>
      </w:r>
      <w:r w:rsidR="00341350">
        <w:rPr>
          <w:rFonts w:ascii="Times New Roman" w:hAnsi="Times New Roman" w:cs="Times New Roman"/>
          <w:kern w:val="0"/>
        </w:rPr>
        <w:t>z</w:t>
      </w:r>
      <w:r w:rsidRPr="00E97447">
        <w:rPr>
          <w:rFonts w:ascii="Times New Roman" w:hAnsi="Times New Roman" w:cs="Times New Roman"/>
          <w:kern w:val="0"/>
        </w:rPr>
        <w:t xml:space="preserve"> izotóppal jelzett nilotinib eg</w:t>
      </w:r>
      <w:r w:rsidRPr="00E97447">
        <w:rPr>
          <w:rFonts w:ascii="Times New Roman" w:eastAsia="TimesNewRomanPSMT" w:hAnsi="Times New Roman" w:cs="Times New Roman"/>
          <w:kern w:val="0"/>
        </w:rPr>
        <w:t xml:space="preserve">yszeri dózisának </w:t>
      </w:r>
      <w:r w:rsidR="007A7DBD">
        <w:rPr>
          <w:rFonts w:ascii="Times New Roman" w:eastAsia="TimesNewRomanPSMT" w:hAnsi="Times New Roman" w:cs="Times New Roman"/>
          <w:kern w:val="0"/>
        </w:rPr>
        <w:t>be</w:t>
      </w:r>
      <w:r w:rsidRPr="00E97447">
        <w:rPr>
          <w:rFonts w:ascii="Times New Roman" w:eastAsia="TimesNewRomanPSMT" w:hAnsi="Times New Roman" w:cs="Times New Roman"/>
          <w:kern w:val="0"/>
        </w:rPr>
        <w:t>adását követően egészséges önkénteseknél a dózis több</w:t>
      </w:r>
      <w:r w:rsidR="00341350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mint 90%-a ürült ki 7</w:t>
      </w:r>
      <w:r w:rsidR="00231466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eastAsia="TimesNewRomanPSMT" w:hAnsi="Times New Roman" w:cs="Times New Roman"/>
          <w:kern w:val="0"/>
        </w:rPr>
        <w:t>napon belül, főként a széklettel (a dózis 94%</w:t>
      </w:r>
      <w:r w:rsidRPr="00E97447">
        <w:rPr>
          <w:rFonts w:ascii="Times New Roman" w:hAnsi="Times New Roman" w:cs="Times New Roman"/>
          <w:kern w:val="0"/>
        </w:rPr>
        <w:t>-a). A változatlan nilotinib a dózis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69%-át tette ki.</w:t>
      </w:r>
    </w:p>
    <w:p w14:paraId="79875EFB" w14:textId="77777777" w:rsidR="006B78AF" w:rsidRPr="00E97447" w:rsidRDefault="006B78AF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D4370ED" w14:textId="2D3A35AE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t>A napi adagolás melletti ismételt dózisos farmakokinetika alapján becsült látszólagos eliminációs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eastAsia="TimesNewRomanPSMT" w:hAnsi="Times New Roman" w:cs="Times New Roman"/>
          <w:kern w:val="0"/>
        </w:rPr>
        <w:t>felezési idő kb. 17</w:t>
      </w:r>
      <w:r w:rsidR="00231466">
        <w:rPr>
          <w:rFonts w:ascii="Times New Roman" w:eastAsia="TimesNewRomanPSMT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óra volt. A nilotinib farmakokinetikájának betegek közötti variabilitása közepes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eastAsia="TimesNewRomanPSMT" w:hAnsi="Times New Roman" w:cs="Times New Roman"/>
          <w:kern w:val="0"/>
        </w:rPr>
        <w:t>vagy jelentős mértékű volt.</w:t>
      </w:r>
    </w:p>
    <w:p w14:paraId="48549C5A" w14:textId="77777777" w:rsidR="006B78AF" w:rsidRPr="00E97447" w:rsidRDefault="006B78AF" w:rsidP="00E97447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0F4FF1B1" w14:textId="3B906AB0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6B78AF">
        <w:rPr>
          <w:rFonts w:ascii="Times New Roman" w:hAnsi="Times New Roman" w:cs="Times New Roman"/>
          <w:kern w:val="0"/>
          <w:u w:val="single"/>
        </w:rPr>
        <w:t>Linearitás/</w:t>
      </w:r>
      <w:r w:rsidR="006D7CB1">
        <w:rPr>
          <w:rFonts w:ascii="Times New Roman" w:hAnsi="Times New Roman" w:cs="Times New Roman"/>
          <w:kern w:val="0"/>
          <w:u w:val="single"/>
        </w:rPr>
        <w:t>non</w:t>
      </w:r>
      <w:r w:rsidRPr="006B78AF">
        <w:rPr>
          <w:rFonts w:ascii="Times New Roman" w:hAnsi="Times New Roman" w:cs="Times New Roman"/>
          <w:kern w:val="0"/>
          <w:u w:val="single"/>
        </w:rPr>
        <w:t>linearitás</w:t>
      </w:r>
    </w:p>
    <w:p w14:paraId="0421FBA6" w14:textId="77777777" w:rsidR="006B78AF" w:rsidRPr="006B78AF" w:rsidRDefault="006B78AF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BDC28DA" w14:textId="54AFB360" w:rsidR="00E97447" w:rsidRDefault="00E97447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t>A steady-state nilotinib-</w:t>
      </w:r>
      <w:r w:rsidRPr="00E97447">
        <w:rPr>
          <w:rFonts w:ascii="Times New Roman" w:eastAsia="TimesNewRomanPSMT" w:hAnsi="Times New Roman" w:cs="Times New Roman"/>
          <w:kern w:val="0"/>
        </w:rPr>
        <w:t>expozíció dózisfüggő volt, naponta egys</w:t>
      </w:r>
      <w:r w:rsidRPr="00E97447">
        <w:rPr>
          <w:rFonts w:ascii="Times New Roman" w:hAnsi="Times New Roman" w:cs="Times New Roman"/>
          <w:kern w:val="0"/>
        </w:rPr>
        <w:t>zer alkalmazott 400</w:t>
      </w:r>
      <w:r w:rsidR="006B78AF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mg-nál nagyobb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dózisszinteknél a szisztémás expozíció a dózisarányoshoz képest kevésbé növekedett. Naponta kétszer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400</w:t>
      </w:r>
      <w:r w:rsidR="00662834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adagolásnál a napi szisztémás expozíció steady-state állapotban 35%-kal nagyobb volt,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mint a naponta egyszer 800</w:t>
      </w:r>
      <w:r w:rsidR="00662834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adagolás esetén. A naponta kétszer 400</w:t>
      </w:r>
      <w:r w:rsidR="00662834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dózisszint mellett,</w:t>
      </w:r>
      <w:r w:rsidR="006B78AF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 xml:space="preserve">dinamikus egyensúlyi állapotban mért </w:t>
      </w:r>
      <w:r w:rsidRPr="00E97447">
        <w:rPr>
          <w:rFonts w:ascii="Times New Roman" w:eastAsia="TimesNewRomanPSMT" w:hAnsi="Times New Roman" w:cs="Times New Roman"/>
          <w:kern w:val="0"/>
        </w:rPr>
        <w:t>nilotinib szisztémás expozíció (AUC) megközelítőleg</w:t>
      </w:r>
      <w:r w:rsidR="006B78AF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13,4%</w:t>
      </w:r>
      <w:r w:rsidR="008817E2">
        <w:rPr>
          <w:rFonts w:ascii="Times New Roman" w:hAnsi="Times New Roman" w:cs="Times New Roman"/>
          <w:kern w:val="0"/>
        </w:rPr>
        <w:noBreakHyphen/>
      </w:r>
      <w:r w:rsidRPr="00E97447">
        <w:rPr>
          <w:rFonts w:ascii="Times New Roman" w:hAnsi="Times New Roman" w:cs="Times New Roman"/>
          <w:kern w:val="0"/>
        </w:rPr>
        <w:t>kal magasabb volt, mint a naponta kétszer 300</w:t>
      </w:r>
      <w:r w:rsidR="00733B67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dózisszint mellett. A 12</w:t>
      </w:r>
      <w:r w:rsidR="00662834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hónap alatt a</w:t>
      </w:r>
      <w:r w:rsidR="008817E2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 xml:space="preserve">nilotinib átlagos mélyponti- </w:t>
      </w:r>
      <w:r w:rsidRPr="00E97447">
        <w:rPr>
          <w:rFonts w:ascii="Times New Roman" w:eastAsia="TimesNewRomanPSMT" w:hAnsi="Times New Roman" w:cs="Times New Roman"/>
          <w:kern w:val="0"/>
        </w:rPr>
        <w:t>és csúcskoncentrációja sorrendben megközelítőleg 15,7%</w:t>
      </w:r>
      <w:r w:rsidRPr="00E97447">
        <w:rPr>
          <w:rFonts w:ascii="Times New Roman" w:hAnsi="Times New Roman" w:cs="Times New Roman"/>
          <w:kern w:val="0"/>
        </w:rPr>
        <w:t>-kal és</w:t>
      </w:r>
      <w:r w:rsidR="008817E2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14,8%</w:t>
      </w:r>
      <w:r w:rsidR="00733B67">
        <w:rPr>
          <w:rFonts w:ascii="Times New Roman" w:hAnsi="Times New Roman" w:cs="Times New Roman"/>
          <w:kern w:val="0"/>
        </w:rPr>
        <w:noBreakHyphen/>
      </w:r>
      <w:r w:rsidRPr="00E97447">
        <w:rPr>
          <w:rFonts w:ascii="Times New Roman" w:hAnsi="Times New Roman" w:cs="Times New Roman"/>
          <w:kern w:val="0"/>
        </w:rPr>
        <w:t>kal volt magasabb a naponta kétszer 400</w:t>
      </w:r>
      <w:r w:rsidR="00733B67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dózis, mint a naponta kétszer 300</w:t>
      </w:r>
      <w:r w:rsidR="00662834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dózis</w:t>
      </w:r>
      <w:r w:rsidR="00733B67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adása után. Nem találtak lényeges emelkedést a nilotinib-expozícióban, amikor a naponta kétszer</w:t>
      </w:r>
      <w:r w:rsidR="00733B67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400</w:t>
      </w:r>
      <w:r w:rsidR="00733B67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mg-os dózist naponta kétszer 600</w:t>
      </w:r>
      <w:r w:rsidR="00733B67">
        <w:rPr>
          <w:rFonts w:ascii="Times New Roman" w:hAnsi="Times New Roman" w:cs="Times New Roman"/>
          <w:kern w:val="0"/>
        </w:rPr>
        <w:t> </w:t>
      </w:r>
      <w:r w:rsidRPr="00E97447">
        <w:rPr>
          <w:rFonts w:ascii="Times New Roman" w:hAnsi="Times New Roman" w:cs="Times New Roman"/>
          <w:kern w:val="0"/>
        </w:rPr>
        <w:t>mg-ra növelték.</w:t>
      </w:r>
    </w:p>
    <w:p w14:paraId="3D240963" w14:textId="77777777" w:rsidR="008817E2" w:rsidRPr="00E97447" w:rsidRDefault="008817E2" w:rsidP="00E974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7B41842" w14:textId="4998619E" w:rsidR="00E1407D" w:rsidRDefault="00E97447" w:rsidP="006628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E97447">
        <w:rPr>
          <w:rFonts w:ascii="Times New Roman" w:hAnsi="Times New Roman" w:cs="Times New Roman"/>
          <w:kern w:val="0"/>
        </w:rPr>
        <w:t>A steady-state lényegében a 8. napra alakult ki. A nilotinib szérum-</w:t>
      </w:r>
      <w:r w:rsidRPr="00E97447">
        <w:rPr>
          <w:rFonts w:ascii="Times New Roman" w:eastAsia="TimesNewRomanPSMT" w:hAnsi="Times New Roman" w:cs="Times New Roman"/>
          <w:kern w:val="0"/>
        </w:rPr>
        <w:t>expozíció emelkedése az első dózis</w:t>
      </w:r>
      <w:r w:rsidR="00662834">
        <w:rPr>
          <w:rFonts w:ascii="Times New Roman" w:eastAsia="TimesNewRomanPSMT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és a steady-state között mintegy kétszeres volt a napi adagolás és 3,8-szeres a napi kétszeri adagolás</w:t>
      </w:r>
      <w:r w:rsidR="00662834">
        <w:rPr>
          <w:rFonts w:ascii="Times New Roman" w:hAnsi="Times New Roman" w:cs="Times New Roman"/>
          <w:kern w:val="0"/>
        </w:rPr>
        <w:t xml:space="preserve"> </w:t>
      </w:r>
      <w:r w:rsidRPr="00E97447">
        <w:rPr>
          <w:rFonts w:ascii="Times New Roman" w:hAnsi="Times New Roman" w:cs="Times New Roman"/>
          <w:kern w:val="0"/>
        </w:rPr>
        <w:t>esetén.</w:t>
      </w:r>
    </w:p>
    <w:p w14:paraId="2E616255" w14:textId="77777777" w:rsidR="00FF541E" w:rsidRDefault="00FF541E" w:rsidP="006628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6A960AD" w14:textId="0C10E982" w:rsidR="00C76FF8" w:rsidRDefault="00C76FF8" w:rsidP="006628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eastAsia="TimesNewRomanPSMT" w:hAnsi="Times New Roman" w:cs="Times New Roman"/>
          <w:kern w:val="0"/>
        </w:rPr>
        <w:t>Olyan betegek esetében, akiknél nyelési nehézség áll fent</w:t>
      </w:r>
      <w:r w:rsidRPr="00551E8B">
        <w:rPr>
          <w:rFonts w:ascii="Times New Roman" w:eastAsia="TimesNewRomanPSMT" w:hAnsi="Times New Roman" w:cs="Times New Roman"/>
          <w:kern w:val="0"/>
        </w:rPr>
        <w:t>, beleértve a</w:t>
      </w:r>
      <w:r w:rsidR="00A55C53">
        <w:rPr>
          <w:rFonts w:ascii="Times New Roman" w:eastAsia="TimesNewRomanPSMT" w:hAnsi="Times New Roman" w:cs="Times New Roman"/>
          <w:kern w:val="0"/>
        </w:rPr>
        <w:t>zokat a</w:t>
      </w:r>
      <w:r w:rsidRPr="00551E8B">
        <w:rPr>
          <w:rFonts w:ascii="Times New Roman" w:eastAsia="TimesNewRomanPSMT" w:hAnsi="Times New Roman" w:cs="Times New Roman"/>
          <w:kern w:val="0"/>
        </w:rPr>
        <w:t xml:space="preserve"> gyermek</w:t>
      </w:r>
      <w:r>
        <w:rPr>
          <w:rFonts w:ascii="Times New Roman" w:eastAsia="TimesNewRomanPSMT" w:hAnsi="Times New Roman" w:cs="Times New Roman"/>
          <w:kern w:val="0"/>
        </w:rPr>
        <w:t xml:space="preserve">gyógyászati </w:t>
      </w:r>
      <w:r w:rsidRPr="00551E8B">
        <w:rPr>
          <w:rFonts w:ascii="Times New Roman" w:eastAsia="TimesNewRomanPSMT" w:hAnsi="Times New Roman" w:cs="Times New Roman"/>
          <w:kern w:val="0"/>
        </w:rPr>
        <w:t xml:space="preserve">betegeket, akik nem képesek lenyelni a kemény kapszulát, a </w:t>
      </w:r>
      <w:r w:rsidR="00DE7C90">
        <w:rPr>
          <w:rFonts w:ascii="Times New Roman" w:eastAsia="TimesNewRomanPSMT" w:hAnsi="Times New Roman" w:cs="Times New Roman"/>
          <w:kern w:val="0"/>
        </w:rPr>
        <w:t>Krufton</w:t>
      </w:r>
      <w:r w:rsidRPr="00551E8B">
        <w:rPr>
          <w:rFonts w:ascii="Times New Roman" w:eastAsia="TimesNewRomanPSMT" w:hAnsi="Times New Roman" w:cs="Times New Roman"/>
          <w:kern w:val="0"/>
        </w:rPr>
        <w:t xml:space="preserve"> helyett </w:t>
      </w:r>
      <w:r w:rsidRPr="003A601B">
        <w:rPr>
          <w:rFonts w:ascii="Times New Roman" w:eastAsia="TimesNewRomanPSMT" w:hAnsi="Times New Roman" w:cs="Times New Roman"/>
          <w:b/>
          <w:bCs/>
          <w:kern w:val="0"/>
        </w:rPr>
        <w:t>más, nilotinibet tartalmazó gyógyszert kell alkalmazni.</w:t>
      </w:r>
    </w:p>
    <w:p w14:paraId="1B6E77D7" w14:textId="77777777" w:rsidR="00420A40" w:rsidRDefault="00420A40" w:rsidP="00420A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A612D9C" w14:textId="77777777" w:rsidR="00AD7D93" w:rsidRP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  <w:u w:val="single"/>
        </w:rPr>
      </w:pPr>
      <w:r w:rsidRPr="00AD7D93">
        <w:rPr>
          <w:rFonts w:ascii="Times New Roman" w:hAnsi="Times New Roman" w:cs="Times New Roman"/>
          <w:kern w:val="0"/>
          <w:u w:val="single"/>
        </w:rPr>
        <w:t xml:space="preserve">Gyermekek </w:t>
      </w:r>
      <w:r w:rsidRPr="00AD7D93">
        <w:rPr>
          <w:rFonts w:ascii="Times New Roman" w:eastAsia="TimesNewRomanPSMT" w:hAnsi="Times New Roman" w:cs="Times New Roman"/>
          <w:kern w:val="0"/>
          <w:u w:val="single"/>
        </w:rPr>
        <w:t>és serdülők</w:t>
      </w:r>
    </w:p>
    <w:p w14:paraId="0F58AF37" w14:textId="52B1F234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D7D93">
        <w:rPr>
          <w:rFonts w:ascii="Times New Roman" w:hAnsi="Times New Roman" w:cs="Times New Roman"/>
          <w:kern w:val="0"/>
        </w:rPr>
        <w:t>A naponta kétszer 230</w:t>
      </w:r>
      <w:r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mg/m</w:t>
      </w:r>
      <w:r w:rsidRPr="00AD7D93">
        <w:rPr>
          <w:rFonts w:ascii="Times New Roman" w:hAnsi="Times New Roman" w:cs="Times New Roman"/>
          <w:kern w:val="0"/>
          <w:vertAlign w:val="superscript"/>
        </w:rPr>
        <w:t>2</w:t>
      </w:r>
      <w:r w:rsidRPr="00AD7D93">
        <w:rPr>
          <w:rFonts w:ascii="Times New Roman" w:hAnsi="Times New Roman" w:cs="Times New Roman"/>
          <w:kern w:val="0"/>
        </w:rPr>
        <w:t xml:space="preserve"> nilotinibet (a legközelebbi 50</w:t>
      </w:r>
      <w:r w:rsidR="00047ABC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 dózisra kerekítve) kapó betegeknél</w:t>
      </w:r>
      <w:r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(legfeljebb 400</w:t>
      </w:r>
      <w:r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 egyszeri dózisig) a dinamikus egyensúlyi állapotban mért nilotinib-expozíciót és</w:t>
      </w:r>
      <w:r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clearance-értéket hasonlónak találták (kétszeres értéken belül) a naponta kétszer 400</w:t>
      </w:r>
      <w:r w:rsidR="00047ABC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 dózist kapó</w:t>
      </w:r>
      <w:r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felnőtt betegekéh</w:t>
      </w:r>
      <w:r w:rsidRPr="00AD7D93">
        <w:rPr>
          <w:rFonts w:ascii="Times New Roman" w:hAnsi="Times New Roman" w:cs="Times New Roman"/>
          <w:kern w:val="0"/>
        </w:rPr>
        <w:t xml:space="preserve">ez. A nilotinib </w:t>
      </w:r>
      <w:r w:rsidRPr="00AD7D93">
        <w:rPr>
          <w:rFonts w:ascii="Times New Roman" w:eastAsia="TimesNewRomanPSMT" w:hAnsi="Times New Roman" w:cs="Times New Roman"/>
          <w:kern w:val="0"/>
        </w:rPr>
        <w:t>farmakokinetikai expozíciója egyszeri és ismételt adagokat követően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hasonlónak bizonyult a 2</w:t>
      </w:r>
      <w:proofErr w:type="gramStart"/>
      <w:r w:rsidRPr="00AD7D93">
        <w:rPr>
          <w:rFonts w:ascii="Times New Roman" w:eastAsia="TimesNewRomanPSMT" w:hAnsi="Times New Roman" w:cs="Times New Roman"/>
          <w:kern w:val="0"/>
        </w:rPr>
        <w:t>–</w:t>
      </w:r>
      <w:r w:rsidRPr="00AD7D93">
        <w:rPr>
          <w:rFonts w:ascii="Times New Roman" w:hAnsi="Times New Roman" w:cs="Times New Roman"/>
          <w:kern w:val="0"/>
        </w:rPr>
        <w:t>&lt; 10</w:t>
      </w:r>
      <w:proofErr w:type="gramEnd"/>
      <w:r w:rsidR="00C37CCA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 xml:space="preserve">éves, illetve a </w:t>
      </w:r>
      <w:r w:rsidRPr="00AD7D93">
        <w:rPr>
          <w:rFonts w:ascii="Times New Roman" w:eastAsia="TimesNewRomanPSMT" w:hAnsi="Times New Roman" w:cs="Times New Roman"/>
          <w:kern w:val="0"/>
        </w:rPr>
        <w:t xml:space="preserve">≥ </w:t>
      </w:r>
      <w:r w:rsidRPr="00AD7D93">
        <w:rPr>
          <w:rFonts w:ascii="Times New Roman" w:hAnsi="Times New Roman" w:cs="Times New Roman"/>
          <w:kern w:val="0"/>
        </w:rPr>
        <w:t>10</w:t>
      </w:r>
      <w:r w:rsidRPr="00AD7D93">
        <w:rPr>
          <w:rFonts w:ascii="Times New Roman" w:eastAsia="TimesNewRomanPSMT" w:hAnsi="Times New Roman" w:cs="Times New Roman"/>
          <w:kern w:val="0"/>
        </w:rPr>
        <w:t>–</w:t>
      </w:r>
      <w:r w:rsidRPr="00AD7D93">
        <w:rPr>
          <w:rFonts w:ascii="Times New Roman" w:hAnsi="Times New Roman" w:cs="Times New Roman"/>
          <w:kern w:val="0"/>
        </w:rPr>
        <w:t>&lt; 18</w:t>
      </w:r>
      <w:r w:rsidR="00C37CCA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éves gyermekeknél.</w:t>
      </w:r>
    </w:p>
    <w:p w14:paraId="754718BA" w14:textId="77777777" w:rsidR="00AD7D93" w:rsidRP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8467EC3" w14:textId="02E101AE" w:rsidR="00AD7D93" w:rsidRP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AD7D93">
        <w:rPr>
          <w:rFonts w:ascii="Times New Roman" w:hAnsi="Times New Roman" w:cs="Times New Roman"/>
          <w:b/>
          <w:bCs/>
          <w:kern w:val="0"/>
        </w:rPr>
        <w:t>5.3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AD7D93">
        <w:rPr>
          <w:rFonts w:ascii="Times New Roman" w:hAnsi="Times New Roman" w:cs="Times New Roman"/>
          <w:b/>
          <w:bCs/>
          <w:kern w:val="0"/>
        </w:rPr>
        <w:t>A preklinikai biztonságossági vizsgálatok eredményei</w:t>
      </w:r>
    </w:p>
    <w:p w14:paraId="2C57C5E8" w14:textId="77777777" w:rsidR="007A7DBD" w:rsidRDefault="007A7DBD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4D06A79" w14:textId="381543DA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D7D93">
        <w:rPr>
          <w:rFonts w:ascii="Times New Roman" w:hAnsi="Times New Roman" w:cs="Times New Roman"/>
          <w:kern w:val="0"/>
        </w:rPr>
        <w:t>A nilotinibet gyógyszerbiztonsági farmakológiai, ismételt dózistoxicitási, genotoxicitási, reproduk</w:t>
      </w:r>
      <w:r w:rsidR="007A7DBD">
        <w:rPr>
          <w:rFonts w:ascii="Times New Roman" w:hAnsi="Times New Roman" w:cs="Times New Roman"/>
          <w:kern w:val="0"/>
        </w:rPr>
        <w:t xml:space="preserve">ciós </w:t>
      </w:r>
      <w:r w:rsidRPr="00AD7D93">
        <w:rPr>
          <w:rFonts w:ascii="Times New Roman" w:hAnsi="Times New Roman" w:cs="Times New Roman"/>
          <w:kern w:val="0"/>
        </w:rPr>
        <w:t>toxicitási, fototoxicitási, valamint karcinogenicitási vizsgálatokban (patkányokon és egereken)</w:t>
      </w:r>
      <w:r w:rsidR="00047ABC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értékelték.</w:t>
      </w:r>
    </w:p>
    <w:p w14:paraId="539DF0C0" w14:textId="77777777" w:rsidR="00BB0981" w:rsidRPr="00AD7D93" w:rsidRDefault="00BB0981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A91952C" w14:textId="77777777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BB0981">
        <w:rPr>
          <w:rFonts w:ascii="Times New Roman" w:hAnsi="Times New Roman" w:cs="Times New Roman"/>
          <w:kern w:val="0"/>
          <w:u w:val="single"/>
        </w:rPr>
        <w:t>Farmakológiai biztonságossági vizsgálatok</w:t>
      </w:r>
    </w:p>
    <w:p w14:paraId="7BDEF98E" w14:textId="77777777" w:rsidR="00BB0981" w:rsidRPr="00BB0981" w:rsidRDefault="00BB0981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26844183" w14:textId="0FA5975A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D7D93">
        <w:rPr>
          <w:rFonts w:ascii="Times New Roman" w:hAnsi="Times New Roman" w:cs="Times New Roman"/>
          <w:kern w:val="0"/>
        </w:rPr>
        <w:lastRenderedPageBreak/>
        <w:t xml:space="preserve">A nilotinibnek nem volt központi idegrendszeri, illetve légzésfunkciókra gyakorolt hatása. Az </w:t>
      </w:r>
      <w:r w:rsidRPr="00AD7D93">
        <w:rPr>
          <w:rFonts w:ascii="Times New Roman" w:hAnsi="Times New Roman" w:cs="Times New Roman"/>
          <w:i/>
          <w:iCs/>
          <w:kern w:val="0"/>
        </w:rPr>
        <w:t>in vitro</w:t>
      </w:r>
      <w:r w:rsidR="00BB0981">
        <w:rPr>
          <w:rFonts w:ascii="Times New Roman" w:hAnsi="Times New Roman" w:cs="Times New Roman"/>
          <w:i/>
          <w:iCs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kardiális biztonságossági vizsgálatokban kimutattak egy QT-megnyúlásra utaló preklinikai jelet annak</w:t>
      </w:r>
      <w:r w:rsidR="00BB0981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alapján, hogy a nilotinibet izolált nyúlszíveken vizsgálva a hERG áramok gátlását és az akciós</w:t>
      </w:r>
      <w:r w:rsidR="00BB0981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potenciál időtartamának megnyúlását tapasztalták. Nem észleltek az EKG</w:t>
      </w:r>
      <w:r w:rsidRPr="00AD7D93">
        <w:rPr>
          <w:rFonts w:ascii="Times New Roman" w:hAnsi="Times New Roman" w:cs="Times New Roman"/>
          <w:kern w:val="0"/>
        </w:rPr>
        <w:t>-ra gyakorolt hatásokat sem</w:t>
      </w:r>
      <w:r w:rsidR="00BB0981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kutyákban, sem majmokban a legfeljebb 39</w:t>
      </w:r>
      <w:r w:rsidR="0029196D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eastAsia="TimesNewRomanPSMT" w:hAnsi="Times New Roman" w:cs="Times New Roman"/>
          <w:kern w:val="0"/>
        </w:rPr>
        <w:t>hétig történő kezelés során, illetve speciális telemetriás</w:t>
      </w:r>
      <w:r w:rsidR="00BB0981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vizsgálatban kutyákon.</w:t>
      </w:r>
    </w:p>
    <w:p w14:paraId="3F3EFF0D" w14:textId="77777777" w:rsidR="007E2131" w:rsidRPr="00AD7D93" w:rsidRDefault="007E2131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AD1F2E4" w14:textId="7AE0BEE0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D31D18">
        <w:rPr>
          <w:rFonts w:ascii="Times New Roman" w:hAnsi="Times New Roman" w:cs="Times New Roman"/>
          <w:kern w:val="0"/>
          <w:u w:val="single"/>
        </w:rPr>
        <w:t xml:space="preserve">Ismételt </w:t>
      </w:r>
      <w:r w:rsidR="00D31D18" w:rsidRPr="00D31D18">
        <w:rPr>
          <w:rFonts w:ascii="Times New Roman" w:hAnsi="Times New Roman" w:cs="Times New Roman"/>
          <w:kern w:val="0"/>
          <w:u w:val="single"/>
        </w:rPr>
        <w:t>adagolású</w:t>
      </w:r>
      <w:r w:rsidRPr="00D31D18">
        <w:rPr>
          <w:rFonts w:ascii="Times New Roman" w:hAnsi="Times New Roman" w:cs="Times New Roman"/>
          <w:kern w:val="0"/>
          <w:u w:val="single"/>
        </w:rPr>
        <w:t xml:space="preserve"> toxicitásvizsgálatok</w:t>
      </w:r>
    </w:p>
    <w:p w14:paraId="0A917A12" w14:textId="77777777" w:rsidR="00D31D18" w:rsidRPr="00D31D18" w:rsidRDefault="00D31D18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C6B7059" w14:textId="74A65521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D7D93">
        <w:rPr>
          <w:rFonts w:ascii="Times New Roman" w:hAnsi="Times New Roman" w:cs="Times New Roman"/>
          <w:kern w:val="0"/>
        </w:rPr>
        <w:t>A kutyák</w:t>
      </w:r>
      <w:r w:rsidR="007A7DBD">
        <w:rPr>
          <w:rFonts w:ascii="Times New Roman" w:hAnsi="Times New Roman" w:cs="Times New Roman"/>
          <w:kern w:val="0"/>
        </w:rPr>
        <w:t>kal</w:t>
      </w:r>
      <w:r w:rsidRPr="00AD7D93">
        <w:rPr>
          <w:rFonts w:ascii="Times New Roman" w:hAnsi="Times New Roman" w:cs="Times New Roman"/>
          <w:kern w:val="0"/>
        </w:rPr>
        <w:t xml:space="preserve"> legfeljebb 4</w:t>
      </w:r>
      <w:r w:rsidR="00B91DA7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héten át, illetve cynomolgus majmok</w:t>
      </w:r>
      <w:r w:rsidR="007A7DBD">
        <w:rPr>
          <w:rFonts w:ascii="Times New Roman" w:hAnsi="Times New Roman" w:cs="Times New Roman"/>
          <w:kern w:val="0"/>
        </w:rPr>
        <w:t>kal</w:t>
      </w:r>
      <w:r w:rsidRPr="00AD7D93">
        <w:rPr>
          <w:rFonts w:ascii="Times New Roman" w:hAnsi="Times New Roman" w:cs="Times New Roman"/>
          <w:kern w:val="0"/>
        </w:rPr>
        <w:t xml:space="preserve"> legfeljebb 9</w:t>
      </w:r>
      <w:r w:rsidR="00B91DA7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hónapon át végzett</w:t>
      </w:r>
      <w:r w:rsidR="00B91DA7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ismételt dózisú toxicitási vizsgálatok alapján a nilotinib-</w:t>
      </w:r>
      <w:r w:rsidRPr="00AD7D93">
        <w:rPr>
          <w:rFonts w:ascii="Times New Roman" w:eastAsia="TimesNewRomanPSMT" w:hAnsi="Times New Roman" w:cs="Times New Roman"/>
          <w:kern w:val="0"/>
        </w:rPr>
        <w:t>toxicitás elsőszámú célszerve a máj. Az</w:t>
      </w:r>
      <w:r w:rsidR="00B91DA7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 xml:space="preserve">elváltozások közé tartozott az </w:t>
      </w:r>
      <w:r w:rsidR="005638E4" w:rsidRPr="005638E4">
        <w:rPr>
          <w:rFonts w:ascii="Times New Roman" w:hAnsi="Times New Roman" w:cs="Times New Roman"/>
          <w:kern w:val="0"/>
        </w:rPr>
        <w:t xml:space="preserve">glutamát-piruvát-transzamináz </w:t>
      </w:r>
      <w:r w:rsidRPr="00AD7D93">
        <w:rPr>
          <w:rFonts w:ascii="Times New Roman" w:hAnsi="Times New Roman" w:cs="Times New Roman"/>
          <w:kern w:val="0"/>
        </w:rPr>
        <w:t>és az alkalikus foszfatáz aktivitás fokozódása</w:t>
      </w:r>
      <w:r w:rsidR="005638E4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és hisztopatológiai eltérések (főként sinusoid sejt, illetve Kupffer sejt hyperplasia/hypertrophia,</w:t>
      </w:r>
      <w:r w:rsidR="005638E4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epevezeték hyperplasia és periportalis fibrosis). Általában a klinikai kémiai változások teljes</w:t>
      </w:r>
      <w:r w:rsidR="005638E4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mértékben reverzíbilisek voltak egy négyhetes regenerálódási időszakot követően, míg a szövettani</w:t>
      </w:r>
      <w:r w:rsidR="001F20C6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elváltozások részleges reverzíbilitást mutattak. A májra észlelhető hatást gyakorló legalacsonyabb</w:t>
      </w:r>
      <w:r w:rsidR="001F20C6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dózisszinteknél megfigyelt expozíciók alacsonyabbak voltak, mint a 800</w:t>
      </w:r>
      <w:r w:rsidR="001F20C6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mg/nap dózisnál mért humán</w:t>
      </w:r>
      <w:r w:rsidR="001F20C6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expozíció. Csak csekély májelváltozásokat tapasztaltak legfeljebb 26</w:t>
      </w:r>
      <w:r w:rsidR="001F20C6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hétig kezelt egereknél és</w:t>
      </w:r>
      <w:r w:rsidR="001F20C6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patkányoknál. Patkányok, kutyák és majmok esetében főként reverzíbilis</w:t>
      </w:r>
      <w:r w:rsidR="001F20C6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koleszterinszint-emelkedéseket észleltek.</w:t>
      </w:r>
    </w:p>
    <w:p w14:paraId="74E1FB10" w14:textId="77777777" w:rsidR="005638E4" w:rsidRPr="00AD7D93" w:rsidRDefault="005638E4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0C1C1E7" w14:textId="77777777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1F20C6">
        <w:rPr>
          <w:rFonts w:ascii="Times New Roman" w:hAnsi="Times New Roman" w:cs="Times New Roman"/>
          <w:kern w:val="0"/>
          <w:u w:val="single"/>
        </w:rPr>
        <w:t>Genotoxicitási vizsgálatok</w:t>
      </w:r>
    </w:p>
    <w:p w14:paraId="7A5CF24E" w14:textId="77777777" w:rsidR="009F5131" w:rsidRPr="001F20C6" w:rsidRDefault="009F5131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40EE6A9E" w14:textId="1B21BC75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D7D93">
        <w:rPr>
          <w:rFonts w:ascii="Times New Roman" w:hAnsi="Times New Roman" w:cs="Times New Roman"/>
          <w:kern w:val="0"/>
        </w:rPr>
        <w:t xml:space="preserve">Bakteriális </w:t>
      </w:r>
      <w:r w:rsidRPr="00AD7D93">
        <w:rPr>
          <w:rFonts w:ascii="Times New Roman" w:hAnsi="Times New Roman" w:cs="Times New Roman"/>
          <w:i/>
          <w:iCs/>
          <w:kern w:val="0"/>
        </w:rPr>
        <w:t xml:space="preserve">in vitro </w:t>
      </w:r>
      <w:r w:rsidRPr="00AD7D93">
        <w:rPr>
          <w:rFonts w:ascii="Times New Roman" w:eastAsia="TimesNewRomanPSMT" w:hAnsi="Times New Roman" w:cs="Times New Roman"/>
          <w:kern w:val="0"/>
        </w:rPr>
        <w:t xml:space="preserve">rendszerekben végzett genotoxicitási vizsgálatokban, illetve </w:t>
      </w:r>
      <w:proofErr w:type="gramStart"/>
      <w:r w:rsidRPr="00AD7D93">
        <w:rPr>
          <w:rFonts w:ascii="Times New Roman" w:eastAsia="TimesNewRomanPSMT" w:hAnsi="Times New Roman" w:cs="Times New Roman"/>
          <w:kern w:val="0"/>
        </w:rPr>
        <w:t xml:space="preserve">emlős </w:t>
      </w:r>
      <w:r w:rsidRPr="00AD7D93">
        <w:rPr>
          <w:rFonts w:ascii="Times New Roman" w:hAnsi="Times New Roman" w:cs="Times New Roman"/>
          <w:i/>
          <w:iCs/>
          <w:kern w:val="0"/>
        </w:rPr>
        <w:t>in</w:t>
      </w:r>
      <w:proofErr w:type="gramEnd"/>
      <w:r w:rsidRPr="00AD7D93">
        <w:rPr>
          <w:rFonts w:ascii="Times New Roman" w:hAnsi="Times New Roman" w:cs="Times New Roman"/>
          <w:i/>
          <w:iCs/>
          <w:kern w:val="0"/>
        </w:rPr>
        <w:t xml:space="preserve"> vitro </w:t>
      </w:r>
      <w:r w:rsidRPr="00AD7D93">
        <w:rPr>
          <w:rFonts w:ascii="Times New Roman" w:hAnsi="Times New Roman" w:cs="Times New Roman"/>
          <w:kern w:val="0"/>
        </w:rPr>
        <w:t>és</w:t>
      </w:r>
      <w:r w:rsidR="000610E8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i/>
          <w:iCs/>
          <w:kern w:val="0"/>
        </w:rPr>
        <w:t xml:space="preserve">in vivo </w:t>
      </w:r>
      <w:r w:rsidRPr="00AD7D93">
        <w:rPr>
          <w:rFonts w:ascii="Times New Roman" w:hAnsi="Times New Roman" w:cs="Times New Roman"/>
          <w:kern w:val="0"/>
        </w:rPr>
        <w:t>rendszerekben metabolikus aktivációval vagy anélkül semmilyen bizonyítékot nem találtak a</w:t>
      </w:r>
      <w:r w:rsidR="000610E8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nilotinib mutagén potenciáljára.</w:t>
      </w:r>
    </w:p>
    <w:p w14:paraId="6DD91B97" w14:textId="77777777" w:rsidR="000610E8" w:rsidRPr="00AD7D93" w:rsidRDefault="000610E8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57D056B" w14:textId="77777777" w:rsidR="00AD7D93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0610E8">
        <w:rPr>
          <w:rFonts w:ascii="Times New Roman" w:hAnsi="Times New Roman" w:cs="Times New Roman"/>
          <w:kern w:val="0"/>
          <w:u w:val="single"/>
        </w:rPr>
        <w:t>Karcinogenitási vizsgálatok</w:t>
      </w:r>
    </w:p>
    <w:p w14:paraId="401F7C77" w14:textId="77777777" w:rsidR="009F5131" w:rsidRPr="000610E8" w:rsidRDefault="009F5131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084B7884" w14:textId="1797CF7F" w:rsidR="00420A40" w:rsidRDefault="00AD7D93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D7D93">
        <w:rPr>
          <w:rFonts w:ascii="Times New Roman" w:hAnsi="Times New Roman" w:cs="Times New Roman"/>
          <w:kern w:val="0"/>
        </w:rPr>
        <w:t xml:space="preserve">A </w:t>
      </w:r>
      <w:r w:rsidR="003C5370">
        <w:rPr>
          <w:rFonts w:ascii="Times New Roman" w:hAnsi="Times New Roman" w:cs="Times New Roman"/>
          <w:kern w:val="0"/>
        </w:rPr>
        <w:t>2</w:t>
      </w:r>
      <w:r w:rsidRPr="00AD7D93">
        <w:rPr>
          <w:rFonts w:ascii="Times New Roman" w:hAnsi="Times New Roman" w:cs="Times New Roman"/>
          <w:kern w:val="0"/>
        </w:rPr>
        <w:t xml:space="preserve"> évig tartó, patkányon végzett karcinogenitási vizsgálatban a nem daganatos elváltozások</w:t>
      </w:r>
      <w:r w:rsidR="008E18AD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eastAsia="TimesNewRomanPSMT" w:hAnsi="Times New Roman" w:cs="Times New Roman"/>
          <w:kern w:val="0"/>
        </w:rPr>
        <w:t>(dilatáció, vascularis ectasia, endothelsejt hyperplasia, gyulladás és/vagy epithelialis hyperplasia) fő</w:t>
      </w:r>
      <w:r w:rsidR="008E18AD">
        <w:rPr>
          <w:rFonts w:ascii="Times New Roman" w:eastAsia="TimesNewRomanPSMT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célszerve az uterus volt. Az 5, 15 és 40</w:t>
      </w:r>
      <w:r w:rsidR="003C5370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mg/ttkg/nap nilotinib adása mellett nem volt karcinogenitásra</w:t>
      </w:r>
      <w:r w:rsidR="008E18AD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utaló bizonyíték. A legmagasabb dózisszint melletti expozíciók (az AUC szempontjából) a</w:t>
      </w:r>
      <w:r w:rsidR="008E18AD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800</w:t>
      </w:r>
      <w:r w:rsidR="008E18AD">
        <w:rPr>
          <w:rFonts w:ascii="Times New Roman" w:hAnsi="Times New Roman" w:cs="Times New Roman"/>
          <w:kern w:val="0"/>
        </w:rPr>
        <w:t> </w:t>
      </w:r>
      <w:r w:rsidRPr="00AD7D93">
        <w:rPr>
          <w:rFonts w:ascii="Times New Roman" w:hAnsi="Times New Roman" w:cs="Times New Roman"/>
          <w:kern w:val="0"/>
        </w:rPr>
        <w:t>mg/nap nilotinib adag melletti dinamikus egyensúlyi állapotú mindennapos humán expozíció kb.</w:t>
      </w:r>
      <w:r w:rsidR="003C5370">
        <w:rPr>
          <w:rFonts w:ascii="Times New Roman" w:hAnsi="Times New Roman" w:cs="Times New Roman"/>
          <w:kern w:val="0"/>
        </w:rPr>
        <w:t xml:space="preserve"> </w:t>
      </w:r>
      <w:r w:rsidRPr="00AD7D93">
        <w:rPr>
          <w:rFonts w:ascii="Times New Roman" w:hAnsi="Times New Roman" w:cs="Times New Roman"/>
          <w:kern w:val="0"/>
        </w:rPr>
        <w:t>2</w:t>
      </w:r>
      <w:r w:rsidR="003C5370">
        <w:rPr>
          <w:rFonts w:ascii="Times New Roman" w:hAnsi="Times New Roman" w:cs="Times New Roman"/>
          <w:kern w:val="0"/>
        </w:rPr>
        <w:noBreakHyphen/>
      </w:r>
      <w:r w:rsidRPr="00AD7D93">
        <w:rPr>
          <w:rFonts w:ascii="Times New Roman" w:hAnsi="Times New Roman" w:cs="Times New Roman"/>
          <w:kern w:val="0"/>
        </w:rPr>
        <w:t>3</w:t>
      </w:r>
      <w:r w:rsidR="003C5370">
        <w:rPr>
          <w:rFonts w:ascii="Times New Roman" w:hAnsi="Times New Roman" w:cs="Times New Roman"/>
          <w:kern w:val="0"/>
        </w:rPr>
        <w:noBreakHyphen/>
      </w:r>
      <w:r w:rsidRPr="00AD7D93">
        <w:rPr>
          <w:rFonts w:ascii="Times New Roman" w:hAnsi="Times New Roman" w:cs="Times New Roman"/>
          <w:kern w:val="0"/>
        </w:rPr>
        <w:t>szorosai voltak (az AUC alapján).</w:t>
      </w:r>
    </w:p>
    <w:p w14:paraId="3DADCD25" w14:textId="77777777" w:rsidR="00AC2C45" w:rsidRDefault="00AC2C45" w:rsidP="00AD7D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6179260" w14:textId="65E7F2B0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2C45">
        <w:rPr>
          <w:rFonts w:ascii="Times New Roman" w:hAnsi="Times New Roman" w:cs="Times New Roman"/>
          <w:kern w:val="0"/>
        </w:rPr>
        <w:t>A 26 hetes Tg.ras</w:t>
      </w:r>
      <w:r w:rsidR="007A7DBD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H2 egér karcinogenitási vizsgálatban, amelyben a nilotinibet napi 30, 100 és</w:t>
      </w:r>
      <w:r w:rsidR="00463784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300</w:t>
      </w:r>
      <w:r w:rsidR="00463784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mg/ttkg-os adagban adták, cutan papillomákat/carcinomákat detektáltak a 300</w:t>
      </w:r>
      <w:r w:rsidR="00463784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mg/ttkg-os dózis</w:t>
      </w:r>
      <w:r w:rsidR="00463784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mellett, ami a napi 800</w:t>
      </w:r>
      <w:r w:rsidR="00463784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mg-os engedélyezett maximális dózis (naponta kétszer 400</w:t>
      </w:r>
      <w:r w:rsidR="00463784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mg-</w:t>
      </w:r>
      <w:r w:rsidR="007A7DBD">
        <w:rPr>
          <w:rFonts w:ascii="Times New Roman" w:hAnsi="Times New Roman" w:cs="Times New Roman"/>
          <w:kern w:val="0"/>
        </w:rPr>
        <w:t>ban</w:t>
      </w:r>
      <w:r w:rsidR="007A7DBD" w:rsidRPr="00AC2C45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adva)</w:t>
      </w:r>
      <w:r w:rsidR="009763F3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melletti humán expozíció megközelítőleg 30–</w:t>
      </w:r>
      <w:r w:rsidRPr="00AC2C45">
        <w:rPr>
          <w:rFonts w:ascii="Times New Roman" w:hAnsi="Times New Roman" w:cs="Times New Roman"/>
          <w:kern w:val="0"/>
        </w:rPr>
        <w:t>40-szeresét jelenti (az AUC alapján). A daganatos</w:t>
      </w:r>
      <w:r w:rsidR="009763F3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bőrléziók esetén a mellékhatást még nem okozó szint (</w:t>
      </w:r>
      <w:r w:rsidRPr="009763F3">
        <w:rPr>
          <w:rFonts w:ascii="Times New Roman" w:eastAsia="TimesNewRomanPSMT" w:hAnsi="Times New Roman" w:cs="Times New Roman"/>
          <w:i/>
          <w:iCs/>
          <w:kern w:val="0"/>
        </w:rPr>
        <w:t>no observed eff</w:t>
      </w:r>
      <w:r w:rsidRPr="009763F3">
        <w:rPr>
          <w:rFonts w:ascii="Times New Roman" w:hAnsi="Times New Roman" w:cs="Times New Roman"/>
          <w:i/>
          <w:iCs/>
          <w:kern w:val="0"/>
        </w:rPr>
        <w:t>ect level</w:t>
      </w:r>
      <w:r w:rsidRPr="00AC2C45">
        <w:rPr>
          <w:rFonts w:ascii="Times New Roman" w:hAnsi="Times New Roman" w:cs="Times New Roman"/>
          <w:kern w:val="0"/>
        </w:rPr>
        <w:t>) napi 100</w:t>
      </w:r>
      <w:r w:rsidR="009763F3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mg/ttkg volt,</w:t>
      </w:r>
      <w:r w:rsidR="009763F3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ami a napi 800</w:t>
      </w:r>
      <w:r w:rsidR="009763F3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mg-os engedélyezett maximális dózis (naponta kétszer 400 mg-</w:t>
      </w:r>
      <w:r w:rsidR="007A7DBD">
        <w:rPr>
          <w:rFonts w:ascii="Times New Roman" w:hAnsi="Times New Roman" w:cs="Times New Roman"/>
          <w:kern w:val="0"/>
        </w:rPr>
        <w:t>ban</w:t>
      </w:r>
      <w:r w:rsidR="007A7DBD" w:rsidRPr="00AC2C45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adva) melletti</w:t>
      </w:r>
      <w:r w:rsidR="009763F3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humán expozíció megközelítőleg 10–</w:t>
      </w:r>
      <w:r w:rsidRPr="00AC2C45">
        <w:rPr>
          <w:rFonts w:ascii="Times New Roman" w:hAnsi="Times New Roman" w:cs="Times New Roman"/>
          <w:kern w:val="0"/>
        </w:rPr>
        <w:t>20-</w:t>
      </w:r>
      <w:r w:rsidRPr="00AC2C45">
        <w:rPr>
          <w:rFonts w:ascii="Times New Roman" w:eastAsia="TimesNewRomanPSMT" w:hAnsi="Times New Roman" w:cs="Times New Roman"/>
          <w:kern w:val="0"/>
        </w:rPr>
        <w:t>szorosát jelenti. A nem daganatos léziók főbb célszervei a bőr</w:t>
      </w:r>
      <w:r w:rsidR="009763F3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 xml:space="preserve">(epidermalis hyperplasia), </w:t>
      </w:r>
      <w:r w:rsidRPr="00AC2C45">
        <w:rPr>
          <w:rFonts w:ascii="Times New Roman" w:eastAsia="TimesNewRomanPSMT" w:hAnsi="Times New Roman" w:cs="Times New Roman"/>
          <w:kern w:val="0"/>
        </w:rPr>
        <w:t>a növekvő fogak (a felső metszőfogak zománcszervének</w:t>
      </w:r>
      <w:r w:rsidR="009763F3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degeneratiója/atrophiája és a gingiva/a metszőfogak odontogen epitheliumának gyulladása), valamint a</w:t>
      </w:r>
      <w:r w:rsidR="009763F3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thymus (a kisebb lymphocyták emelkedett előfordulási gyakorisága és/vagy fokozott súlyossága)</w:t>
      </w:r>
      <w:r w:rsidR="009763F3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voltak.</w:t>
      </w:r>
    </w:p>
    <w:p w14:paraId="5485B34E" w14:textId="77777777" w:rsidR="009763F3" w:rsidRPr="00AC2C45" w:rsidRDefault="009763F3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1574657" w14:textId="0E563816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9763F3">
        <w:rPr>
          <w:rFonts w:ascii="Times New Roman" w:hAnsi="Times New Roman" w:cs="Times New Roman"/>
          <w:kern w:val="0"/>
          <w:u w:val="single"/>
        </w:rPr>
        <w:t>Reproduk</w:t>
      </w:r>
      <w:r w:rsidR="007A7DBD">
        <w:rPr>
          <w:rFonts w:ascii="Times New Roman" w:hAnsi="Times New Roman" w:cs="Times New Roman"/>
          <w:kern w:val="0"/>
          <w:u w:val="single"/>
        </w:rPr>
        <w:t>ciós</w:t>
      </w:r>
      <w:r w:rsidRPr="009763F3">
        <w:rPr>
          <w:rFonts w:ascii="Times New Roman" w:hAnsi="Times New Roman" w:cs="Times New Roman"/>
          <w:kern w:val="0"/>
          <w:u w:val="single"/>
        </w:rPr>
        <w:t xml:space="preserve"> toxicitási és fertilitási vizsgálatok</w:t>
      </w:r>
    </w:p>
    <w:p w14:paraId="39A819D8" w14:textId="77777777" w:rsidR="009763F3" w:rsidRPr="009763F3" w:rsidRDefault="009763F3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1796270D" w14:textId="05B0922A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2C45">
        <w:rPr>
          <w:rFonts w:ascii="Times New Roman" w:eastAsia="TimesNewRomanPSMT" w:hAnsi="Times New Roman" w:cs="Times New Roman"/>
          <w:kern w:val="0"/>
        </w:rPr>
        <w:t>A nilotinib nem okozott teratogenitást, de az anyai toxicitást is előidéző dózisoknál embryo</w:t>
      </w:r>
      <w:r w:rsidRPr="00AC2C45">
        <w:rPr>
          <w:rFonts w:ascii="Times New Roman" w:hAnsi="Times New Roman" w:cs="Times New Roman"/>
          <w:kern w:val="0"/>
        </w:rPr>
        <w:t>- és</w:t>
      </w:r>
      <w:r w:rsidR="0041160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foetotoxicitást mutatott. Fokozott posztimplantációs veszteséget figyeltek meg mind a fertilitási</w:t>
      </w:r>
      <w:r w:rsidR="0041160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vizsgála</w:t>
      </w:r>
      <w:r w:rsidRPr="00AC2C45">
        <w:rPr>
          <w:rFonts w:ascii="Times New Roman" w:eastAsia="TimesNewRomanPSMT" w:hAnsi="Times New Roman" w:cs="Times New Roman"/>
          <w:kern w:val="0"/>
        </w:rPr>
        <w:t>tban, ahol hímeket és nőstényeket is kezeltek, mind pedig az embryotoxicitási vizsgálatban,</w:t>
      </w:r>
      <w:r w:rsidR="0041160A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amelyben csak nőstényeket kezeltek. Az embr</w:t>
      </w:r>
      <w:r w:rsidR="007A7DBD">
        <w:rPr>
          <w:rFonts w:ascii="Times New Roman" w:eastAsia="TimesNewRomanPSMT" w:hAnsi="Times New Roman" w:cs="Times New Roman"/>
          <w:kern w:val="0"/>
        </w:rPr>
        <w:t>i</w:t>
      </w:r>
      <w:r w:rsidRPr="00AC2C45">
        <w:rPr>
          <w:rFonts w:ascii="Times New Roman" w:eastAsia="TimesNewRomanPSMT" w:hAnsi="Times New Roman" w:cs="Times New Roman"/>
          <w:kern w:val="0"/>
        </w:rPr>
        <w:t>otoxicitási vizsgálatokban patkányok esetén</w:t>
      </w:r>
      <w:r w:rsidR="0041160A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embr</w:t>
      </w:r>
      <w:r w:rsidR="007A7DBD">
        <w:rPr>
          <w:rFonts w:ascii="Times New Roman" w:hAnsi="Times New Roman" w:cs="Times New Roman"/>
          <w:kern w:val="0"/>
        </w:rPr>
        <w:t>i</w:t>
      </w:r>
      <w:r w:rsidRPr="00AC2C45">
        <w:rPr>
          <w:rFonts w:ascii="Times New Roman" w:hAnsi="Times New Roman" w:cs="Times New Roman"/>
          <w:kern w:val="0"/>
        </w:rPr>
        <w:t>o-</w:t>
      </w:r>
      <w:r w:rsidRPr="00AC2C45">
        <w:rPr>
          <w:rFonts w:ascii="Times New Roman" w:eastAsia="TimesNewRomanPSMT" w:hAnsi="Times New Roman" w:cs="Times New Roman"/>
          <w:kern w:val="0"/>
        </w:rPr>
        <w:t>letalitást és foetalis hatásokat (főként csökkent foetalis testtömege</w:t>
      </w:r>
      <w:r w:rsidRPr="00AC2C45">
        <w:rPr>
          <w:rFonts w:ascii="Times New Roman" w:hAnsi="Times New Roman" w:cs="Times New Roman"/>
          <w:kern w:val="0"/>
        </w:rPr>
        <w:t>t, az arccsontok korai</w:t>
      </w:r>
      <w:r w:rsidR="0041160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fúzióját [maxilla és os zygomaticus fusio], visceralis és csontváz-variációkat) találtak, míg nyulaknál a</w:t>
      </w:r>
      <w:r w:rsidR="0041160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foetalis reszorpció fokozódását és csontváz-variációkat mutattak ki. Egy patkányokon végzett pre- és</w:t>
      </w:r>
      <w:r w:rsidR="0041160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lastRenderedPageBreak/>
        <w:t>posztnatális fejlődési viz</w:t>
      </w:r>
      <w:r w:rsidRPr="00AC2C45">
        <w:rPr>
          <w:rFonts w:ascii="Times New Roman" w:hAnsi="Times New Roman" w:cs="Times New Roman"/>
          <w:kern w:val="0"/>
        </w:rPr>
        <w:t>sgálatban az anyai nilotinib-</w:t>
      </w:r>
      <w:r w:rsidRPr="00AC2C45">
        <w:rPr>
          <w:rFonts w:ascii="Times New Roman" w:eastAsia="TimesNewRomanPSMT" w:hAnsi="Times New Roman" w:cs="Times New Roman"/>
          <w:kern w:val="0"/>
        </w:rPr>
        <w:t>expozíció a testi fejlődési paraméterekben</w:t>
      </w:r>
      <w:r w:rsidR="0097251E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kialakuló változásokkal együtt a fiatal állatok csökkent test</w:t>
      </w:r>
      <w:r w:rsidR="0041160A">
        <w:rPr>
          <w:rFonts w:ascii="Times New Roman" w:hAnsi="Times New Roman" w:cs="Times New Roman"/>
          <w:kern w:val="0"/>
        </w:rPr>
        <w:t>tömegé</w:t>
      </w:r>
      <w:r w:rsidRPr="00AC2C45">
        <w:rPr>
          <w:rFonts w:ascii="Times New Roman" w:hAnsi="Times New Roman" w:cs="Times New Roman"/>
          <w:kern w:val="0"/>
        </w:rPr>
        <w:t>t</w:t>
      </w:r>
      <w:r w:rsidR="00933FD4">
        <w:rPr>
          <w:rFonts w:ascii="Times New Roman" w:hAnsi="Times New Roman" w:cs="Times New Roman"/>
          <w:kern w:val="0"/>
        </w:rPr>
        <w:t>,</w:t>
      </w:r>
      <w:r w:rsidRPr="00AC2C45">
        <w:rPr>
          <w:rFonts w:ascii="Times New Roman" w:hAnsi="Times New Roman" w:cs="Times New Roman"/>
          <w:kern w:val="0"/>
        </w:rPr>
        <w:t xml:space="preserve"> valamint a párzási és fertilitási</w:t>
      </w:r>
      <w:r w:rsidR="0097251E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mutatók csökkenését idézte elő az utódokban. Az észlelhető mellékhatásokat nem mut</w:t>
      </w:r>
      <w:r w:rsidRPr="00AC2C45">
        <w:rPr>
          <w:rFonts w:ascii="Times New Roman" w:hAnsi="Times New Roman" w:cs="Times New Roman"/>
          <w:kern w:val="0"/>
        </w:rPr>
        <w:t>ató legnagyobb</w:t>
      </w:r>
      <w:r w:rsidR="0097251E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dózis esetén nőstényekben a nilotinib</w:t>
      </w:r>
      <w:r w:rsidRPr="00AC2C45">
        <w:rPr>
          <w:rFonts w:ascii="Times New Roman" w:hAnsi="Times New Roman" w:cs="Times New Roman"/>
          <w:kern w:val="0"/>
        </w:rPr>
        <w:t xml:space="preserve">-expozíció általában kisebb vagy </w:t>
      </w:r>
      <w:r w:rsidR="007A7DBD">
        <w:rPr>
          <w:rFonts w:ascii="Times New Roman" w:hAnsi="Times New Roman" w:cs="Times New Roman"/>
          <w:kern w:val="0"/>
        </w:rPr>
        <w:t>ugyanakkora</w:t>
      </w:r>
      <w:r w:rsidR="00933FD4">
        <w:rPr>
          <w:rFonts w:ascii="Times New Roman" w:hAnsi="Times New Roman" w:cs="Times New Roman"/>
          <w:kern w:val="0"/>
        </w:rPr>
        <w:t>,</w:t>
      </w:r>
      <w:r w:rsidR="007A7DBD" w:rsidRPr="00AC2C45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mint a 800</w:t>
      </w:r>
      <w:r w:rsidR="0097251E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mg/nap</w:t>
      </w:r>
      <w:r w:rsidR="0097251E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humán dózis esetén.</w:t>
      </w:r>
    </w:p>
    <w:p w14:paraId="0A8610E4" w14:textId="77777777" w:rsidR="0097251E" w:rsidRPr="00AC2C45" w:rsidRDefault="0097251E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54CFC9B" w14:textId="1D6A96F4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2C45">
        <w:rPr>
          <w:rFonts w:ascii="Times New Roman" w:eastAsia="TimesNewRomanPSMT" w:hAnsi="Times New Roman" w:cs="Times New Roman"/>
          <w:kern w:val="0"/>
        </w:rPr>
        <w:t>A legmagasabb tesztelt dózisokig, ami a javasolt humán adag kb. ötszöröse, hím és nőstény</w:t>
      </w:r>
      <w:r w:rsidR="00E57411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patkányoknál nem észleltek a spermiumszámra/-motilitásra vagy a fertilitásra gyakorolt hatást.</w:t>
      </w:r>
    </w:p>
    <w:p w14:paraId="7C18A739" w14:textId="77777777" w:rsidR="00E57411" w:rsidRPr="00AC2C45" w:rsidRDefault="00E57411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45838D6A" w14:textId="2F4EBDAF" w:rsidR="00AC2C45" w:rsidRPr="00027697" w:rsidRDefault="008E01AA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027697">
        <w:rPr>
          <w:rFonts w:ascii="Times New Roman" w:hAnsi="Times New Roman" w:cs="Times New Roman"/>
          <w:kern w:val="0"/>
          <w:u w:val="single"/>
        </w:rPr>
        <w:t>Fiatal</w:t>
      </w:r>
      <w:r w:rsidR="00AC2C45" w:rsidRPr="00027697">
        <w:rPr>
          <w:rFonts w:ascii="Times New Roman" w:hAnsi="Times New Roman" w:cs="Times New Roman"/>
          <w:kern w:val="0"/>
          <w:u w:val="single"/>
        </w:rPr>
        <w:t xml:space="preserve"> állatokon végzett vizsgálatok</w:t>
      </w:r>
    </w:p>
    <w:p w14:paraId="5FEB7FFA" w14:textId="77777777" w:rsidR="00E57411" w:rsidRPr="00AC2C45" w:rsidRDefault="00E57411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5F66861" w14:textId="2D922B6F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AC2C45">
        <w:rPr>
          <w:rFonts w:ascii="Times New Roman" w:eastAsia="TimesNewRomanPSMT" w:hAnsi="Times New Roman" w:cs="Times New Roman"/>
          <w:kern w:val="0"/>
        </w:rPr>
        <w:t xml:space="preserve">Egy </w:t>
      </w:r>
      <w:r w:rsidR="008E01AA">
        <w:rPr>
          <w:rFonts w:ascii="Times New Roman" w:eastAsia="TimesNewRomanPSMT" w:hAnsi="Times New Roman" w:cs="Times New Roman"/>
          <w:kern w:val="0"/>
        </w:rPr>
        <w:t>fiatalkori</w:t>
      </w:r>
      <w:r w:rsidRPr="00AC2C45">
        <w:rPr>
          <w:rFonts w:ascii="Times New Roman" w:eastAsia="TimesNewRomanPSMT" w:hAnsi="Times New Roman" w:cs="Times New Roman"/>
          <w:kern w:val="0"/>
        </w:rPr>
        <w:t xml:space="preserve"> fejlődési vizsgálatban a nilotinibet a szülést követő első héttől kezdve fiatal felnőttkorig</w:t>
      </w:r>
      <w:r w:rsidR="008E01AA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(a születést követő 70.</w:t>
      </w:r>
      <w:r w:rsidR="008E01AA">
        <w:rPr>
          <w:rFonts w:ascii="Times New Roman" w:eastAsia="TimesNewRomanPSMT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napig) 2, 6 és 20</w:t>
      </w:r>
      <w:r w:rsidR="008E01AA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>mg/ttkg/nap dózisokban adták szájon át levezetett</w:t>
      </w:r>
      <w:r w:rsidR="008E01A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gyomorszondán át fiatal patkányoknak. Standard vizsgálati paraméterek mellett a fejlődés jellemzőit, a</w:t>
      </w:r>
      <w:r w:rsidR="008E01AA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központi idegrendszeri hatásokat, a párzást és a fertilitást értékelték. A mindkét nemnél észlelt</w:t>
      </w:r>
      <w:r w:rsidR="008E01A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testtömeg</w:t>
      </w:r>
      <w:r w:rsidRPr="00AC2C45">
        <w:rPr>
          <w:rFonts w:ascii="Times New Roman" w:eastAsia="TimesNewRomanPSMT" w:hAnsi="Times New Roman" w:cs="Times New Roman"/>
          <w:kern w:val="0"/>
        </w:rPr>
        <w:t>csökkenés és a preputium hím állatoknál észlelt késői szeparáció (ami összefüggésben lehet</w:t>
      </w:r>
      <w:r w:rsidR="008E01AA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 xml:space="preserve">a testtömegcsökkenéssel) alapján </w:t>
      </w:r>
      <w:r w:rsidR="006E6495">
        <w:rPr>
          <w:rFonts w:ascii="Times New Roman" w:hAnsi="Times New Roman" w:cs="Times New Roman"/>
          <w:kern w:val="0"/>
        </w:rPr>
        <w:t>fiatal</w:t>
      </w:r>
      <w:r w:rsidRPr="00AC2C45">
        <w:rPr>
          <w:rFonts w:ascii="Times New Roman" w:hAnsi="Times New Roman" w:cs="Times New Roman"/>
          <w:kern w:val="0"/>
        </w:rPr>
        <w:t xml:space="preserve"> patkányok esetén a</w:t>
      </w:r>
      <w:r w:rsidR="007A7DBD">
        <w:rPr>
          <w:rFonts w:ascii="Times New Roman" w:hAnsi="Times New Roman" w:cs="Times New Roman"/>
          <w:kern w:val="0"/>
        </w:rPr>
        <w:t>z észlelhető</w:t>
      </w:r>
      <w:r w:rsidRPr="00AC2C45">
        <w:rPr>
          <w:rFonts w:ascii="Times New Roman" w:hAnsi="Times New Roman" w:cs="Times New Roman"/>
          <w:kern w:val="0"/>
        </w:rPr>
        <w:t xml:space="preserve"> mellékhatást nem okozó szintet</w:t>
      </w:r>
      <w:r w:rsidR="008E01AA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(No-Observed-Effect-Level) 6</w:t>
      </w:r>
      <w:r w:rsidR="001D322D">
        <w:rPr>
          <w:rFonts w:ascii="Times New Roman" w:hAnsi="Times New Roman" w:cs="Times New Roman"/>
          <w:kern w:val="0"/>
        </w:rPr>
        <w:t> </w:t>
      </w:r>
      <w:r w:rsidRPr="00AC2C45">
        <w:rPr>
          <w:rFonts w:ascii="Times New Roman" w:hAnsi="Times New Roman" w:cs="Times New Roman"/>
          <w:kern w:val="0"/>
        </w:rPr>
        <w:t xml:space="preserve">mg/ttkg/nap dózisban </w:t>
      </w:r>
      <w:r w:rsidRPr="00AC2C45">
        <w:rPr>
          <w:rFonts w:ascii="Times New Roman" w:eastAsia="TimesNewRomanPSMT" w:hAnsi="Times New Roman" w:cs="Times New Roman"/>
          <w:kern w:val="0"/>
        </w:rPr>
        <w:t>állapították meg. A fiatal állatok a felnőttekhez</w:t>
      </w:r>
      <w:r w:rsidR="008E01AA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képest nem mutattak fokozott érzékenységet a nilotinibre. Ezen kívül a fiatal patkányok toxicitási</w:t>
      </w:r>
      <w:r w:rsidR="001D322D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eastAsia="TimesNewRomanPSMT" w:hAnsi="Times New Roman" w:cs="Times New Roman"/>
          <w:kern w:val="0"/>
        </w:rPr>
        <w:t>profilja a felnőtt patkányoknál észlelthez hasonló volt.</w:t>
      </w:r>
    </w:p>
    <w:p w14:paraId="7E925CB2" w14:textId="77777777" w:rsidR="001D322D" w:rsidRPr="00AC2C45" w:rsidRDefault="001D322D" w:rsidP="00AC2C4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490F20E3" w14:textId="77777777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 w:rsidRPr="001D322D">
        <w:rPr>
          <w:rFonts w:ascii="Times New Roman" w:hAnsi="Times New Roman" w:cs="Times New Roman"/>
          <w:kern w:val="0"/>
          <w:u w:val="single"/>
        </w:rPr>
        <w:t>Fototoxicitási vizsgálatok</w:t>
      </w:r>
    </w:p>
    <w:p w14:paraId="6BF650D9" w14:textId="77777777" w:rsidR="001D322D" w:rsidRPr="001D322D" w:rsidRDefault="001D322D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</w:p>
    <w:p w14:paraId="5BE9A975" w14:textId="59E82AC0" w:rsidR="00AC2C45" w:rsidRDefault="00AC2C45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AC2C45">
        <w:rPr>
          <w:rFonts w:ascii="Times New Roman" w:hAnsi="Times New Roman" w:cs="Times New Roman"/>
          <w:kern w:val="0"/>
        </w:rPr>
        <w:t>A nilotinibról kimutatták, hogy elnyeli az UV-B és UV-</w:t>
      </w:r>
      <w:r w:rsidRPr="00AC2C45">
        <w:rPr>
          <w:rFonts w:ascii="Times New Roman" w:eastAsia="TimesNewRomanPSMT" w:hAnsi="Times New Roman" w:cs="Times New Roman"/>
          <w:kern w:val="0"/>
        </w:rPr>
        <w:t>A tartományú fényt, és bejut a bőrbe és</w:t>
      </w:r>
      <w:r w:rsidR="00986EC6">
        <w:rPr>
          <w:rFonts w:ascii="Times New Roman" w:eastAsia="TimesNewRomanPSMT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i/>
          <w:iCs/>
          <w:kern w:val="0"/>
        </w:rPr>
        <w:t xml:space="preserve">in vitro </w:t>
      </w:r>
      <w:r w:rsidRPr="00AC2C45">
        <w:rPr>
          <w:rFonts w:ascii="Times New Roman" w:hAnsi="Times New Roman" w:cs="Times New Roman"/>
          <w:kern w:val="0"/>
        </w:rPr>
        <w:t xml:space="preserve">fototoxikus potenciált mutatott, de </w:t>
      </w:r>
      <w:r w:rsidRPr="00AC2C45">
        <w:rPr>
          <w:rFonts w:ascii="Times New Roman" w:hAnsi="Times New Roman" w:cs="Times New Roman"/>
          <w:i/>
          <w:iCs/>
          <w:kern w:val="0"/>
        </w:rPr>
        <w:t xml:space="preserve">in vivo </w:t>
      </w:r>
      <w:r w:rsidRPr="00AC2C45">
        <w:rPr>
          <w:rFonts w:ascii="Times New Roman" w:hAnsi="Times New Roman" w:cs="Times New Roman"/>
          <w:kern w:val="0"/>
        </w:rPr>
        <w:t>semmilyen hatást nem figyeltek meg. Ezért annak a</w:t>
      </w:r>
      <w:r w:rsidR="00986EC6">
        <w:rPr>
          <w:rFonts w:ascii="Times New Roman" w:hAnsi="Times New Roman" w:cs="Times New Roman"/>
          <w:kern w:val="0"/>
        </w:rPr>
        <w:t xml:space="preserve"> </w:t>
      </w:r>
      <w:r w:rsidRPr="00AC2C45">
        <w:rPr>
          <w:rFonts w:ascii="Times New Roman" w:hAnsi="Times New Roman" w:cs="Times New Roman"/>
          <w:kern w:val="0"/>
        </w:rPr>
        <w:t>kockázatát, hogy a nilotinib fényérzékenységet okoz a betegeknél, nagyon alacsonynak tekintik.</w:t>
      </w:r>
    </w:p>
    <w:p w14:paraId="46293F87" w14:textId="77777777" w:rsidR="00463784" w:rsidRDefault="00463784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E738A6D" w14:textId="77777777" w:rsidR="00463784" w:rsidRDefault="00463784" w:rsidP="00AC2C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AAE4D7C" w14:textId="4234174C" w:rsidR="00463784" w:rsidRDefault="00463784" w:rsidP="0046378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463784">
        <w:rPr>
          <w:rFonts w:ascii="Times New Roman" w:hAnsi="Times New Roman" w:cs="Times New Roman"/>
          <w:b/>
          <w:bCs/>
          <w:kern w:val="0"/>
        </w:rPr>
        <w:t xml:space="preserve">6. 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463784">
        <w:rPr>
          <w:rFonts w:ascii="Times New Roman" w:eastAsia="TimesNewRomanPS-BoldMT" w:hAnsi="Times New Roman" w:cs="Times New Roman"/>
          <w:b/>
          <w:bCs/>
          <w:kern w:val="0"/>
        </w:rPr>
        <w:t>GYÓGYSZERÉSZETI JELLEMZŐK</w:t>
      </w:r>
    </w:p>
    <w:p w14:paraId="73F67996" w14:textId="77777777" w:rsidR="00463784" w:rsidRPr="00463784" w:rsidRDefault="00463784" w:rsidP="00463784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p w14:paraId="3D00D225" w14:textId="249EE82B" w:rsidR="00463784" w:rsidRDefault="00463784" w:rsidP="00463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463784">
        <w:rPr>
          <w:rFonts w:ascii="Times New Roman" w:hAnsi="Times New Roman" w:cs="Times New Roman"/>
          <w:b/>
          <w:bCs/>
          <w:kern w:val="0"/>
        </w:rPr>
        <w:t>6.1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463784">
        <w:rPr>
          <w:rFonts w:ascii="Times New Roman" w:hAnsi="Times New Roman" w:cs="Times New Roman"/>
          <w:b/>
          <w:bCs/>
          <w:kern w:val="0"/>
        </w:rPr>
        <w:t>Segédanyagok felsorolása</w:t>
      </w:r>
    </w:p>
    <w:p w14:paraId="7A2D1AC7" w14:textId="77777777" w:rsidR="00986EC6" w:rsidRDefault="00986EC6" w:rsidP="00463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149FE0F" w14:textId="2E59B350" w:rsidR="003F62A6" w:rsidRDefault="007344ED" w:rsidP="00463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>
        <w:rPr>
          <w:rFonts w:ascii="Times New Roman" w:hAnsi="Times New Roman" w:cs="Times New Roman"/>
          <w:i/>
          <w:iCs/>
          <w:kern w:val="0"/>
          <w:u w:val="single"/>
        </w:rPr>
        <w:t>Mag</w:t>
      </w:r>
    </w:p>
    <w:p w14:paraId="3C104142" w14:textId="61E41758" w:rsidR="00684099" w:rsidRPr="00EA41F9" w:rsidRDefault="008A46BD" w:rsidP="00463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l</w:t>
      </w:r>
      <w:r w:rsidR="00684099" w:rsidRPr="00EA41F9">
        <w:rPr>
          <w:rFonts w:ascii="Times New Roman" w:hAnsi="Times New Roman" w:cs="Times New Roman"/>
          <w:kern w:val="0"/>
        </w:rPr>
        <w:t>aktóz-monohidrát</w:t>
      </w:r>
    </w:p>
    <w:p w14:paraId="1E842CD3" w14:textId="06606CC1" w:rsidR="00EA41F9" w:rsidRDefault="008A46BD" w:rsidP="004637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</w:t>
      </w:r>
      <w:r w:rsidR="00EA41F9" w:rsidRPr="00EA41F9">
        <w:rPr>
          <w:rFonts w:ascii="Times New Roman" w:hAnsi="Times New Roman" w:cs="Times New Roman"/>
          <w:kern w:val="0"/>
        </w:rPr>
        <w:t>roszpovidon, A típusú</w:t>
      </w:r>
      <w:r w:rsidR="00EA41F9">
        <w:rPr>
          <w:rFonts w:ascii="Times New Roman" w:hAnsi="Times New Roman" w:cs="Times New Roman"/>
          <w:kern w:val="0"/>
        </w:rPr>
        <w:t xml:space="preserve"> (E 1202)</w:t>
      </w:r>
    </w:p>
    <w:p w14:paraId="28C5DA43" w14:textId="3C38DD2A" w:rsidR="001C4F4E" w:rsidRDefault="008A46BD" w:rsidP="001C4F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v</w:t>
      </w:r>
      <w:r w:rsidR="001C4F4E">
        <w:rPr>
          <w:rFonts w:ascii="Times New Roman" w:hAnsi="Times New Roman" w:cs="Times New Roman"/>
          <w:kern w:val="0"/>
        </w:rPr>
        <w:t>ízmentes kolloid szilícium-dioxid (E 551)</w:t>
      </w:r>
    </w:p>
    <w:p w14:paraId="5726A90F" w14:textId="6C895ECF" w:rsidR="00EA41F9" w:rsidRDefault="008A46BD" w:rsidP="001C4F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m</w:t>
      </w:r>
      <w:r w:rsidR="001C4F4E">
        <w:rPr>
          <w:rFonts w:ascii="Times New Roman" w:hAnsi="Times New Roman" w:cs="Times New Roman"/>
          <w:kern w:val="0"/>
        </w:rPr>
        <w:t>agnézium-sztearát (E 470b)</w:t>
      </w:r>
    </w:p>
    <w:p w14:paraId="319B4154" w14:textId="77777777" w:rsidR="001C4F4E" w:rsidRDefault="001C4F4E" w:rsidP="001C4F4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7BD79FE" w14:textId="4240C194" w:rsidR="0043510C" w:rsidRPr="00027697" w:rsidRDefault="0043510C" w:rsidP="004351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Pr="00027697">
        <w:rPr>
          <w:rFonts w:ascii="Times New Roman" w:hAnsi="Times New Roman" w:cs="Times New Roman"/>
          <w:kern w:val="0"/>
          <w:u w:val="single"/>
        </w:rPr>
        <w:t xml:space="preserve"> 50 mg </w:t>
      </w:r>
      <w:r>
        <w:rPr>
          <w:rFonts w:ascii="Times New Roman" w:hAnsi="Times New Roman" w:cs="Times New Roman"/>
          <w:kern w:val="0"/>
          <w:u w:val="single"/>
        </w:rPr>
        <w:t xml:space="preserve">és 150mg </w:t>
      </w:r>
      <w:r w:rsidRPr="00027697">
        <w:rPr>
          <w:rFonts w:ascii="Times New Roman" w:hAnsi="Times New Roman" w:cs="Times New Roman"/>
          <w:kern w:val="0"/>
          <w:u w:val="single"/>
        </w:rPr>
        <w:t>kemény kapszula</w:t>
      </w:r>
      <w:r>
        <w:rPr>
          <w:rFonts w:ascii="Times New Roman" w:hAnsi="Times New Roman" w:cs="Times New Roman"/>
          <w:kern w:val="0"/>
          <w:u w:val="single"/>
        </w:rPr>
        <w:t xml:space="preserve"> héja</w:t>
      </w:r>
    </w:p>
    <w:p w14:paraId="76E73A3A" w14:textId="6D072122" w:rsidR="00F73181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h</w:t>
      </w:r>
      <w:r w:rsidR="00F73181">
        <w:rPr>
          <w:rFonts w:ascii="Times New Roman" w:hAnsi="Times New Roman" w:cs="Times New Roman"/>
          <w:kern w:val="0"/>
        </w:rPr>
        <w:t>ipromellóz</w:t>
      </w:r>
      <w:r w:rsidR="004B18ED">
        <w:rPr>
          <w:rFonts w:ascii="Times New Roman" w:hAnsi="Times New Roman" w:cs="Times New Roman"/>
          <w:kern w:val="0"/>
        </w:rPr>
        <w:t xml:space="preserve"> (E 464)</w:t>
      </w:r>
    </w:p>
    <w:p w14:paraId="6C1FC84A" w14:textId="458F11F5" w:rsidR="00881F44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</w:t>
      </w:r>
      <w:r w:rsidR="00881F44" w:rsidRPr="00881F44">
        <w:rPr>
          <w:rFonts w:ascii="Times New Roman" w:hAnsi="Times New Roman" w:cs="Times New Roman"/>
          <w:kern w:val="0"/>
        </w:rPr>
        <w:t>arragén (E</w:t>
      </w:r>
      <w:r w:rsidR="004B18ED">
        <w:rPr>
          <w:rFonts w:ascii="Times New Roman" w:hAnsi="Times New Roman" w:cs="Times New Roman"/>
          <w:kern w:val="0"/>
        </w:rPr>
        <w:t xml:space="preserve"> </w:t>
      </w:r>
      <w:r w:rsidR="00881F44" w:rsidRPr="00881F44">
        <w:rPr>
          <w:rFonts w:ascii="Times New Roman" w:hAnsi="Times New Roman" w:cs="Times New Roman"/>
          <w:kern w:val="0"/>
        </w:rPr>
        <w:t xml:space="preserve">407) </w:t>
      </w:r>
    </w:p>
    <w:p w14:paraId="2FCFE1AB" w14:textId="1CB0C08B" w:rsidR="007344ED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</w:t>
      </w:r>
      <w:r w:rsidR="00881F44" w:rsidRPr="00881F44">
        <w:rPr>
          <w:rFonts w:ascii="Times New Roman" w:hAnsi="Times New Roman" w:cs="Times New Roman"/>
          <w:kern w:val="0"/>
        </w:rPr>
        <w:t>álium-klorid (E</w:t>
      </w:r>
      <w:r w:rsidR="00482040">
        <w:rPr>
          <w:rFonts w:ascii="Times New Roman" w:hAnsi="Times New Roman" w:cs="Times New Roman"/>
          <w:kern w:val="0"/>
        </w:rPr>
        <w:t xml:space="preserve"> </w:t>
      </w:r>
      <w:r w:rsidR="00881F44" w:rsidRPr="00881F44">
        <w:rPr>
          <w:rFonts w:ascii="Times New Roman" w:hAnsi="Times New Roman" w:cs="Times New Roman"/>
          <w:kern w:val="0"/>
        </w:rPr>
        <w:t xml:space="preserve">508) </w:t>
      </w:r>
    </w:p>
    <w:p w14:paraId="6086F261" w14:textId="43D7547C" w:rsidR="005D6F8C" w:rsidRPr="00F73181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e</w:t>
      </w:r>
      <w:r w:rsidR="00881F44" w:rsidRPr="00881F44">
        <w:rPr>
          <w:rFonts w:ascii="Times New Roman" w:hAnsi="Times New Roman" w:cs="Times New Roman"/>
          <w:kern w:val="0"/>
        </w:rPr>
        <w:t>ritrozin (E</w:t>
      </w:r>
      <w:r w:rsidR="00482040">
        <w:rPr>
          <w:rFonts w:ascii="Times New Roman" w:hAnsi="Times New Roman" w:cs="Times New Roman"/>
          <w:kern w:val="0"/>
        </w:rPr>
        <w:t xml:space="preserve"> </w:t>
      </w:r>
      <w:r w:rsidR="00881F44" w:rsidRPr="00881F44">
        <w:rPr>
          <w:rFonts w:ascii="Times New Roman" w:hAnsi="Times New Roman" w:cs="Times New Roman"/>
          <w:kern w:val="0"/>
        </w:rPr>
        <w:t>127)</w:t>
      </w:r>
    </w:p>
    <w:p w14:paraId="0315B550" w14:textId="36D0F788" w:rsidR="00F73181" w:rsidRPr="00F73181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s</w:t>
      </w:r>
      <w:r w:rsidR="00755C07">
        <w:rPr>
          <w:rFonts w:ascii="Times New Roman" w:hAnsi="Times New Roman" w:cs="Times New Roman"/>
          <w:kern w:val="0"/>
        </w:rPr>
        <w:t>árga</w:t>
      </w:r>
      <w:r w:rsidR="00F73181" w:rsidRPr="00F73181">
        <w:rPr>
          <w:rFonts w:ascii="Times New Roman" w:hAnsi="Times New Roman" w:cs="Times New Roman"/>
          <w:kern w:val="0"/>
        </w:rPr>
        <w:t xml:space="preserve"> vas-oxid (E</w:t>
      </w:r>
      <w:r w:rsidR="00482040">
        <w:rPr>
          <w:rFonts w:ascii="Times New Roman" w:hAnsi="Times New Roman" w:cs="Times New Roman"/>
          <w:kern w:val="0"/>
        </w:rPr>
        <w:t xml:space="preserve"> </w:t>
      </w:r>
      <w:r w:rsidR="00F73181" w:rsidRPr="00F73181">
        <w:rPr>
          <w:rFonts w:ascii="Times New Roman" w:hAnsi="Times New Roman" w:cs="Times New Roman"/>
          <w:kern w:val="0"/>
        </w:rPr>
        <w:t>172)</w:t>
      </w:r>
    </w:p>
    <w:p w14:paraId="72D97C40" w14:textId="09B4F81F" w:rsidR="00F73181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v</w:t>
      </w:r>
      <w:r w:rsidR="00755C07">
        <w:rPr>
          <w:rFonts w:ascii="Times New Roman" w:hAnsi="Times New Roman" w:cs="Times New Roman"/>
          <w:kern w:val="0"/>
        </w:rPr>
        <w:t>örös</w:t>
      </w:r>
      <w:r w:rsidR="00F73181" w:rsidRPr="00F73181">
        <w:rPr>
          <w:rFonts w:ascii="Times New Roman" w:hAnsi="Times New Roman" w:cs="Times New Roman"/>
          <w:kern w:val="0"/>
        </w:rPr>
        <w:t xml:space="preserve"> vas-oxid (E</w:t>
      </w:r>
      <w:r w:rsidR="00482040">
        <w:rPr>
          <w:rFonts w:ascii="Times New Roman" w:hAnsi="Times New Roman" w:cs="Times New Roman"/>
          <w:kern w:val="0"/>
        </w:rPr>
        <w:t xml:space="preserve"> </w:t>
      </w:r>
      <w:r w:rsidR="00F73181" w:rsidRPr="00F73181">
        <w:rPr>
          <w:rFonts w:ascii="Times New Roman" w:hAnsi="Times New Roman" w:cs="Times New Roman"/>
          <w:kern w:val="0"/>
        </w:rPr>
        <w:t>172)</w:t>
      </w:r>
    </w:p>
    <w:p w14:paraId="0E1113B6" w14:textId="7E9F7D52" w:rsidR="00881F44" w:rsidRPr="00F73181" w:rsidRDefault="008A46BD" w:rsidP="00881F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t</w:t>
      </w:r>
      <w:r w:rsidR="00881F44" w:rsidRPr="00F73181">
        <w:rPr>
          <w:rFonts w:ascii="Times New Roman" w:hAnsi="Times New Roman" w:cs="Times New Roman"/>
          <w:kern w:val="0"/>
        </w:rPr>
        <w:t>itán-dioxid (E</w:t>
      </w:r>
      <w:r w:rsidR="00482040">
        <w:rPr>
          <w:rFonts w:ascii="Times New Roman" w:hAnsi="Times New Roman" w:cs="Times New Roman"/>
          <w:kern w:val="0"/>
        </w:rPr>
        <w:t xml:space="preserve"> </w:t>
      </w:r>
      <w:r w:rsidR="00881F44" w:rsidRPr="00F73181">
        <w:rPr>
          <w:rFonts w:ascii="Times New Roman" w:hAnsi="Times New Roman" w:cs="Times New Roman"/>
          <w:kern w:val="0"/>
        </w:rPr>
        <w:t>171)</w:t>
      </w:r>
    </w:p>
    <w:p w14:paraId="2ADD7CFF" w14:textId="4797BE9B" w:rsidR="00881F44" w:rsidRDefault="008A46BD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t</w:t>
      </w:r>
      <w:r w:rsidR="00BA0551">
        <w:rPr>
          <w:rFonts w:ascii="Times New Roman" w:hAnsi="Times New Roman" w:cs="Times New Roman"/>
          <w:kern w:val="0"/>
        </w:rPr>
        <w:t>isztított víz</w:t>
      </w:r>
    </w:p>
    <w:p w14:paraId="0F6E83B6" w14:textId="77777777" w:rsidR="005C31B8" w:rsidRDefault="005C31B8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1DBFA83C" w14:textId="572E0393" w:rsidR="005C31B8" w:rsidRDefault="0043510C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Pr="00027697">
        <w:rPr>
          <w:rFonts w:ascii="Times New Roman" w:hAnsi="Times New Roman" w:cs="Times New Roman"/>
          <w:kern w:val="0"/>
          <w:u w:val="single"/>
        </w:rPr>
        <w:t xml:space="preserve"> 200 mg kemény kapszula</w:t>
      </w:r>
      <w:r w:rsidR="00F55A99">
        <w:rPr>
          <w:rFonts w:ascii="Times New Roman" w:hAnsi="Times New Roman" w:cs="Times New Roman"/>
          <w:kern w:val="0"/>
          <w:u w:val="single"/>
        </w:rPr>
        <w:t xml:space="preserve"> héja</w:t>
      </w:r>
    </w:p>
    <w:p w14:paraId="5CA5D016" w14:textId="2378180D" w:rsidR="005C31B8" w:rsidRDefault="008A46BD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h</w:t>
      </w:r>
      <w:r w:rsidR="005C31B8">
        <w:rPr>
          <w:rFonts w:ascii="Times New Roman" w:hAnsi="Times New Roman" w:cs="Times New Roman"/>
          <w:kern w:val="0"/>
        </w:rPr>
        <w:t xml:space="preserve">ipromellóz </w:t>
      </w:r>
      <w:r w:rsidR="001E0F87">
        <w:rPr>
          <w:rFonts w:ascii="Times New Roman" w:hAnsi="Times New Roman" w:cs="Times New Roman"/>
          <w:kern w:val="0"/>
        </w:rPr>
        <w:t xml:space="preserve">A típusú </w:t>
      </w:r>
      <w:r w:rsidR="005C31B8">
        <w:rPr>
          <w:rFonts w:ascii="Times New Roman" w:hAnsi="Times New Roman" w:cs="Times New Roman"/>
          <w:kern w:val="0"/>
        </w:rPr>
        <w:t>(E 464)</w:t>
      </w:r>
    </w:p>
    <w:p w14:paraId="602CCCB8" w14:textId="513F7919" w:rsidR="005C31B8" w:rsidRDefault="008A46BD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</w:t>
      </w:r>
      <w:r w:rsidR="005C31B8" w:rsidRPr="00881F44">
        <w:rPr>
          <w:rFonts w:ascii="Times New Roman" w:hAnsi="Times New Roman" w:cs="Times New Roman"/>
          <w:kern w:val="0"/>
        </w:rPr>
        <w:t>arragén (E</w:t>
      </w:r>
      <w:r w:rsidR="005C31B8">
        <w:rPr>
          <w:rFonts w:ascii="Times New Roman" w:hAnsi="Times New Roman" w:cs="Times New Roman"/>
          <w:kern w:val="0"/>
        </w:rPr>
        <w:t xml:space="preserve"> </w:t>
      </w:r>
      <w:r w:rsidR="005C31B8" w:rsidRPr="00881F44">
        <w:rPr>
          <w:rFonts w:ascii="Times New Roman" w:hAnsi="Times New Roman" w:cs="Times New Roman"/>
          <w:kern w:val="0"/>
        </w:rPr>
        <w:t xml:space="preserve">407) </w:t>
      </w:r>
    </w:p>
    <w:p w14:paraId="31B6A695" w14:textId="0B158DC6" w:rsidR="005C31B8" w:rsidRPr="00F73181" w:rsidRDefault="008A46BD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</w:t>
      </w:r>
      <w:r w:rsidR="005C31B8" w:rsidRPr="00881F44">
        <w:rPr>
          <w:rFonts w:ascii="Times New Roman" w:hAnsi="Times New Roman" w:cs="Times New Roman"/>
          <w:kern w:val="0"/>
        </w:rPr>
        <w:t>álium-klorid (E</w:t>
      </w:r>
      <w:r w:rsidR="005C31B8">
        <w:rPr>
          <w:rFonts w:ascii="Times New Roman" w:hAnsi="Times New Roman" w:cs="Times New Roman"/>
          <w:kern w:val="0"/>
        </w:rPr>
        <w:t xml:space="preserve"> </w:t>
      </w:r>
      <w:r w:rsidR="005C31B8" w:rsidRPr="00881F44">
        <w:rPr>
          <w:rFonts w:ascii="Times New Roman" w:hAnsi="Times New Roman" w:cs="Times New Roman"/>
          <w:kern w:val="0"/>
        </w:rPr>
        <w:t xml:space="preserve">508) </w:t>
      </w:r>
    </w:p>
    <w:p w14:paraId="665F1BA6" w14:textId="54ECA8AA" w:rsidR="005C31B8" w:rsidRDefault="008A46BD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s</w:t>
      </w:r>
      <w:r w:rsidR="005C31B8" w:rsidRPr="00F73181">
        <w:rPr>
          <w:rFonts w:ascii="Times New Roman" w:hAnsi="Times New Roman" w:cs="Times New Roman"/>
          <w:kern w:val="0"/>
        </w:rPr>
        <w:t>árga vas-oxid (E</w:t>
      </w:r>
      <w:r w:rsidR="005C31B8">
        <w:rPr>
          <w:rFonts w:ascii="Times New Roman" w:hAnsi="Times New Roman" w:cs="Times New Roman"/>
          <w:kern w:val="0"/>
        </w:rPr>
        <w:t xml:space="preserve"> </w:t>
      </w:r>
      <w:r w:rsidR="005C31B8" w:rsidRPr="00F73181">
        <w:rPr>
          <w:rFonts w:ascii="Times New Roman" w:hAnsi="Times New Roman" w:cs="Times New Roman"/>
          <w:kern w:val="0"/>
        </w:rPr>
        <w:t>172)</w:t>
      </w:r>
    </w:p>
    <w:p w14:paraId="69B49FEB" w14:textId="160F6364" w:rsidR="005C31B8" w:rsidRPr="00F73181" w:rsidRDefault="008A46BD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t</w:t>
      </w:r>
      <w:r w:rsidR="005C31B8" w:rsidRPr="00F73181">
        <w:rPr>
          <w:rFonts w:ascii="Times New Roman" w:hAnsi="Times New Roman" w:cs="Times New Roman"/>
          <w:kern w:val="0"/>
        </w:rPr>
        <w:t>itán-dioxid (E</w:t>
      </w:r>
      <w:r w:rsidR="005C31B8">
        <w:rPr>
          <w:rFonts w:ascii="Times New Roman" w:hAnsi="Times New Roman" w:cs="Times New Roman"/>
          <w:kern w:val="0"/>
        </w:rPr>
        <w:t xml:space="preserve"> </w:t>
      </w:r>
      <w:r w:rsidR="005C31B8" w:rsidRPr="00F73181">
        <w:rPr>
          <w:rFonts w:ascii="Times New Roman" w:hAnsi="Times New Roman" w:cs="Times New Roman"/>
          <w:kern w:val="0"/>
        </w:rPr>
        <w:t>171)</w:t>
      </w:r>
    </w:p>
    <w:p w14:paraId="5167FACC" w14:textId="6764C0CD" w:rsidR="005C31B8" w:rsidRDefault="008A46BD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t</w:t>
      </w:r>
      <w:r w:rsidR="005C31B8">
        <w:rPr>
          <w:rFonts w:ascii="Times New Roman" w:hAnsi="Times New Roman" w:cs="Times New Roman"/>
          <w:kern w:val="0"/>
        </w:rPr>
        <w:t>isztított víz</w:t>
      </w:r>
    </w:p>
    <w:p w14:paraId="1D0D4AB0" w14:textId="77777777" w:rsidR="005C31B8" w:rsidRPr="00F73181" w:rsidRDefault="005C31B8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1F70EF7" w14:textId="77777777" w:rsidR="005C31B8" w:rsidRPr="00A92B2A" w:rsidRDefault="005C31B8" w:rsidP="00D937D5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i/>
          <w:iCs/>
          <w:kern w:val="0"/>
          <w:u w:val="single"/>
        </w:rPr>
      </w:pPr>
      <w:r>
        <w:rPr>
          <w:rFonts w:ascii="Times New Roman" w:eastAsia="TimesNewRomanPSMT" w:hAnsi="Times New Roman" w:cs="Times New Roman"/>
          <w:i/>
          <w:iCs/>
          <w:kern w:val="0"/>
          <w:u w:val="single"/>
        </w:rPr>
        <w:lastRenderedPageBreak/>
        <w:t>Fekete j</w:t>
      </w:r>
      <w:r w:rsidRPr="00A92B2A">
        <w:rPr>
          <w:rFonts w:ascii="Times New Roman" w:eastAsia="TimesNewRomanPSMT" w:hAnsi="Times New Roman" w:cs="Times New Roman"/>
          <w:i/>
          <w:iCs/>
          <w:kern w:val="0"/>
          <w:u w:val="single"/>
        </w:rPr>
        <w:t>elölőfesték</w:t>
      </w:r>
    </w:p>
    <w:p w14:paraId="1E05E915" w14:textId="1F4571A2" w:rsidR="005C31B8" w:rsidRPr="00F73181" w:rsidRDefault="00C1293B" w:rsidP="00D937D5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s</w:t>
      </w:r>
      <w:r w:rsidR="005C31B8" w:rsidRPr="002226EA">
        <w:rPr>
          <w:rFonts w:ascii="Times New Roman" w:hAnsi="Times New Roman" w:cs="Times New Roman"/>
          <w:kern w:val="0"/>
        </w:rPr>
        <w:t>ellak</w:t>
      </w:r>
      <w:r w:rsidR="002226EA">
        <w:rPr>
          <w:rFonts w:ascii="Times New Roman" w:hAnsi="Times New Roman" w:cs="Times New Roman"/>
          <w:kern w:val="0"/>
        </w:rPr>
        <w:t xml:space="preserve"> (E 904)</w:t>
      </w:r>
    </w:p>
    <w:p w14:paraId="63CB8BD1" w14:textId="462522AD" w:rsidR="005C31B8" w:rsidRPr="00F73181" w:rsidRDefault="00C1293B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p</w:t>
      </w:r>
      <w:r w:rsidR="005C31B8" w:rsidRPr="00F73181">
        <w:rPr>
          <w:rFonts w:ascii="Times New Roman" w:hAnsi="Times New Roman" w:cs="Times New Roman"/>
          <w:kern w:val="0"/>
        </w:rPr>
        <w:t>ropilénglikol</w:t>
      </w:r>
      <w:r w:rsidR="005C31B8">
        <w:rPr>
          <w:rFonts w:ascii="Times New Roman" w:hAnsi="Times New Roman" w:cs="Times New Roman"/>
          <w:kern w:val="0"/>
        </w:rPr>
        <w:t xml:space="preserve"> (E 1520)</w:t>
      </w:r>
    </w:p>
    <w:p w14:paraId="5E2F3110" w14:textId="19B023FC" w:rsidR="005C31B8" w:rsidRDefault="00C1293B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k</w:t>
      </w:r>
      <w:r w:rsidR="005C31B8">
        <w:rPr>
          <w:rFonts w:ascii="Times New Roman" w:hAnsi="Times New Roman" w:cs="Times New Roman"/>
          <w:kern w:val="0"/>
        </w:rPr>
        <w:t>álium-hidroxid (E 525)</w:t>
      </w:r>
    </w:p>
    <w:p w14:paraId="537A1F3C" w14:textId="15614BEC" w:rsidR="005C31B8" w:rsidRPr="00F73181" w:rsidRDefault="00C1293B" w:rsidP="005C31B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f</w:t>
      </w:r>
      <w:r w:rsidR="005C31B8" w:rsidRPr="00F73181">
        <w:rPr>
          <w:rFonts w:ascii="Times New Roman" w:hAnsi="Times New Roman" w:cs="Times New Roman"/>
          <w:kern w:val="0"/>
        </w:rPr>
        <w:t>ekete vas-oxid (E</w:t>
      </w:r>
      <w:r w:rsidR="005C31B8">
        <w:rPr>
          <w:rFonts w:ascii="Times New Roman" w:hAnsi="Times New Roman" w:cs="Times New Roman"/>
          <w:kern w:val="0"/>
        </w:rPr>
        <w:t xml:space="preserve"> </w:t>
      </w:r>
      <w:r w:rsidR="005C31B8" w:rsidRPr="00F73181">
        <w:rPr>
          <w:rFonts w:ascii="Times New Roman" w:hAnsi="Times New Roman" w:cs="Times New Roman"/>
          <w:kern w:val="0"/>
        </w:rPr>
        <w:t>172)</w:t>
      </w:r>
    </w:p>
    <w:p w14:paraId="0E3CD374" w14:textId="77777777" w:rsidR="005C31B8" w:rsidRDefault="005C31B8" w:rsidP="00F731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kern w:val="0"/>
          <w:u w:val="single"/>
        </w:rPr>
      </w:pPr>
    </w:p>
    <w:p w14:paraId="7C6183FF" w14:textId="4E19DAB5" w:rsidR="0079077E" w:rsidRDefault="0079077E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851DE9">
        <w:rPr>
          <w:rFonts w:ascii="Times New Roman" w:hAnsi="Times New Roman" w:cs="Times New Roman"/>
          <w:b/>
          <w:bCs/>
          <w:kern w:val="0"/>
        </w:rPr>
        <w:t>6.2</w:t>
      </w:r>
      <w:r w:rsidRPr="00851DE9">
        <w:rPr>
          <w:rFonts w:ascii="Times New Roman" w:hAnsi="Times New Roman" w:cs="Times New Roman"/>
          <w:b/>
          <w:bCs/>
          <w:kern w:val="0"/>
        </w:rPr>
        <w:tab/>
        <w:t>Inkompatibilitások</w:t>
      </w:r>
    </w:p>
    <w:p w14:paraId="5536353B" w14:textId="77777777" w:rsidR="00D51928" w:rsidRPr="0079077E" w:rsidRDefault="00D51928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4411DB2E" w14:textId="77777777" w:rsidR="0079077E" w:rsidRDefault="0079077E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79077E">
        <w:rPr>
          <w:rFonts w:ascii="Times New Roman" w:eastAsia="TimesNewRomanPSMT" w:hAnsi="Times New Roman" w:cs="Times New Roman"/>
          <w:kern w:val="0"/>
        </w:rPr>
        <w:t>Nem értelmezhető.</w:t>
      </w:r>
    </w:p>
    <w:p w14:paraId="20D865A6" w14:textId="77777777" w:rsidR="00D51928" w:rsidRPr="0079077E" w:rsidRDefault="00D51928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C1242C2" w14:textId="756E758E" w:rsidR="0079077E" w:rsidRDefault="0079077E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79077E">
        <w:rPr>
          <w:rFonts w:ascii="Times New Roman" w:hAnsi="Times New Roman" w:cs="Times New Roman"/>
          <w:b/>
          <w:bCs/>
          <w:kern w:val="0"/>
        </w:rPr>
        <w:t>6.3</w:t>
      </w:r>
      <w:r w:rsidR="00665897">
        <w:rPr>
          <w:rFonts w:ascii="Times New Roman" w:hAnsi="Times New Roman" w:cs="Times New Roman"/>
          <w:b/>
          <w:bCs/>
          <w:kern w:val="0"/>
        </w:rPr>
        <w:tab/>
      </w:r>
      <w:r w:rsidRPr="0079077E">
        <w:rPr>
          <w:rFonts w:ascii="Times New Roman" w:eastAsia="TimesNewRomanPS-BoldMT" w:hAnsi="Times New Roman" w:cs="Times New Roman"/>
          <w:b/>
          <w:bCs/>
          <w:kern w:val="0"/>
        </w:rPr>
        <w:t>Felhasználhatósági időtartam</w:t>
      </w:r>
    </w:p>
    <w:p w14:paraId="7574434C" w14:textId="77777777" w:rsidR="00D51928" w:rsidRPr="0079077E" w:rsidRDefault="00D51928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p w14:paraId="6397FE84" w14:textId="325527F6" w:rsidR="0079077E" w:rsidRDefault="00632F44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2 év</w:t>
      </w:r>
    </w:p>
    <w:p w14:paraId="695C2859" w14:textId="77777777" w:rsidR="00665897" w:rsidRPr="0079077E" w:rsidRDefault="00665897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90BF979" w14:textId="149209C1" w:rsidR="0079077E" w:rsidRPr="0079077E" w:rsidRDefault="0079077E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79077E">
        <w:rPr>
          <w:rFonts w:ascii="Times New Roman" w:hAnsi="Times New Roman" w:cs="Times New Roman"/>
          <w:b/>
          <w:bCs/>
          <w:kern w:val="0"/>
        </w:rPr>
        <w:t>6.4</w:t>
      </w:r>
      <w:r w:rsidR="00665897">
        <w:rPr>
          <w:rFonts w:ascii="Times New Roman" w:hAnsi="Times New Roman" w:cs="Times New Roman"/>
          <w:b/>
          <w:bCs/>
          <w:kern w:val="0"/>
        </w:rPr>
        <w:tab/>
      </w:r>
      <w:r w:rsidRPr="0079077E">
        <w:rPr>
          <w:rFonts w:ascii="Times New Roman" w:eastAsia="TimesNewRomanPS-BoldMT" w:hAnsi="Times New Roman" w:cs="Times New Roman"/>
          <w:b/>
          <w:bCs/>
          <w:kern w:val="0"/>
        </w:rPr>
        <w:t>Különleges tárolási előírások</w:t>
      </w:r>
    </w:p>
    <w:p w14:paraId="3FCBE288" w14:textId="77777777" w:rsidR="00665897" w:rsidRDefault="00665897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286F54F" w14:textId="77777777" w:rsidR="00540865" w:rsidRPr="004C5104" w:rsidRDefault="00540865" w:rsidP="0054086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4C5104">
        <w:rPr>
          <w:rFonts w:ascii="Times New Roman" w:eastAsia="TimesNewRomanPSMT" w:hAnsi="Times New Roman" w:cs="Times New Roman"/>
          <w:kern w:val="0"/>
        </w:rPr>
        <w:t>Krufton 50</w:t>
      </w:r>
      <w:r>
        <w:rPr>
          <w:rFonts w:ascii="Times New Roman" w:eastAsia="TimesNewRomanPSMT" w:hAnsi="Times New Roman" w:cs="Times New Roman"/>
          <w:kern w:val="0"/>
        </w:rPr>
        <w:t> </w:t>
      </w:r>
      <w:r w:rsidRPr="004C5104">
        <w:rPr>
          <w:rFonts w:ascii="Times New Roman" w:eastAsia="TimesNewRomanPSMT" w:hAnsi="Times New Roman" w:cs="Times New Roman"/>
          <w:kern w:val="0"/>
        </w:rPr>
        <w:t>mg kemény kapszula PVC/PE/PVdC//Alu buborékcsomagolásban:</w:t>
      </w:r>
    </w:p>
    <w:p w14:paraId="3E7DC458" w14:textId="77777777" w:rsidR="00540865" w:rsidRDefault="00540865" w:rsidP="0054086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4C5104">
        <w:rPr>
          <w:rFonts w:ascii="Times New Roman" w:eastAsia="TimesNewRomanPSMT" w:hAnsi="Times New Roman" w:cs="Times New Roman"/>
          <w:kern w:val="0"/>
        </w:rPr>
        <w:t>Legfeljebb 30°C-on tárolandó.</w:t>
      </w:r>
    </w:p>
    <w:p w14:paraId="79E24C7E" w14:textId="77777777" w:rsidR="00540865" w:rsidRPr="004C5104" w:rsidRDefault="00540865" w:rsidP="00540865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4C5104">
        <w:rPr>
          <w:rFonts w:ascii="Times New Roman" w:eastAsia="TimesNewRomanPSMT" w:hAnsi="Times New Roman" w:cs="Times New Roman"/>
          <w:kern w:val="0"/>
        </w:rPr>
        <w:t>Krufton 150</w:t>
      </w:r>
      <w:r>
        <w:rPr>
          <w:rFonts w:ascii="Times New Roman" w:eastAsia="TimesNewRomanPSMT" w:hAnsi="Times New Roman" w:cs="Times New Roman"/>
          <w:kern w:val="0"/>
        </w:rPr>
        <w:t> </w:t>
      </w:r>
      <w:r w:rsidRPr="004C5104">
        <w:rPr>
          <w:rFonts w:ascii="Times New Roman" w:eastAsia="TimesNewRomanPSMT" w:hAnsi="Times New Roman" w:cs="Times New Roman"/>
          <w:kern w:val="0"/>
        </w:rPr>
        <w:t>mg, 200</w:t>
      </w:r>
      <w:r>
        <w:rPr>
          <w:rFonts w:ascii="Times New Roman" w:eastAsia="TimesNewRomanPSMT" w:hAnsi="Times New Roman" w:cs="Times New Roman"/>
          <w:kern w:val="0"/>
        </w:rPr>
        <w:t> mg</w:t>
      </w:r>
      <w:r w:rsidRPr="004C5104">
        <w:rPr>
          <w:rFonts w:ascii="Times New Roman" w:eastAsia="TimesNewRomanPSMT" w:hAnsi="Times New Roman" w:cs="Times New Roman"/>
          <w:kern w:val="0"/>
        </w:rPr>
        <w:t xml:space="preserve"> kemény kapszula PVC/PE/PVdC//Alu buborékcsomagolásban</w:t>
      </w:r>
      <w:r>
        <w:rPr>
          <w:rFonts w:ascii="Times New Roman" w:eastAsia="TimesNewRomanPSMT" w:hAnsi="Times New Roman" w:cs="Times New Roman"/>
          <w:kern w:val="0"/>
        </w:rPr>
        <w:t xml:space="preserve"> és Krufton</w:t>
      </w:r>
      <w:r w:rsidRPr="004C5104">
        <w:rPr>
          <w:rFonts w:ascii="Times New Roman" w:eastAsia="TimesNewRomanPSMT" w:hAnsi="Times New Roman" w:cs="Times New Roman"/>
          <w:kern w:val="0"/>
        </w:rPr>
        <w:t xml:space="preserve"> 50</w:t>
      </w:r>
      <w:r>
        <w:rPr>
          <w:rFonts w:ascii="Times New Roman" w:eastAsia="TimesNewRomanPSMT" w:hAnsi="Times New Roman" w:cs="Times New Roman"/>
          <w:kern w:val="0"/>
        </w:rPr>
        <w:t> mg</w:t>
      </w:r>
      <w:r w:rsidRPr="004C5104">
        <w:rPr>
          <w:rFonts w:ascii="Times New Roman" w:eastAsia="TimesNewRomanPSMT" w:hAnsi="Times New Roman" w:cs="Times New Roman"/>
          <w:kern w:val="0"/>
        </w:rPr>
        <w:t>, 150</w:t>
      </w:r>
      <w:r>
        <w:rPr>
          <w:rFonts w:ascii="Times New Roman" w:eastAsia="TimesNewRomanPSMT" w:hAnsi="Times New Roman" w:cs="Times New Roman"/>
          <w:kern w:val="0"/>
        </w:rPr>
        <w:t> mg</w:t>
      </w:r>
      <w:r w:rsidRPr="004C5104">
        <w:rPr>
          <w:rFonts w:ascii="Times New Roman" w:eastAsia="TimesNewRomanPSMT" w:hAnsi="Times New Roman" w:cs="Times New Roman"/>
          <w:kern w:val="0"/>
        </w:rPr>
        <w:t xml:space="preserve"> </w:t>
      </w:r>
      <w:r>
        <w:rPr>
          <w:rFonts w:ascii="Times New Roman" w:eastAsia="TimesNewRomanPSMT" w:hAnsi="Times New Roman" w:cs="Times New Roman"/>
          <w:kern w:val="0"/>
        </w:rPr>
        <w:t>és</w:t>
      </w:r>
      <w:r w:rsidRPr="004C5104">
        <w:rPr>
          <w:rFonts w:ascii="Times New Roman" w:eastAsia="TimesNewRomanPSMT" w:hAnsi="Times New Roman" w:cs="Times New Roman"/>
          <w:kern w:val="0"/>
        </w:rPr>
        <w:t xml:space="preserve"> 200</w:t>
      </w:r>
      <w:r>
        <w:rPr>
          <w:rFonts w:ascii="Times New Roman" w:eastAsia="TimesNewRomanPSMT" w:hAnsi="Times New Roman" w:cs="Times New Roman"/>
          <w:kern w:val="0"/>
        </w:rPr>
        <w:t> </w:t>
      </w:r>
      <w:r w:rsidRPr="004C5104">
        <w:rPr>
          <w:rFonts w:ascii="Times New Roman" w:eastAsia="TimesNewRomanPSMT" w:hAnsi="Times New Roman" w:cs="Times New Roman"/>
          <w:kern w:val="0"/>
        </w:rPr>
        <w:t>mg kemény kapszula OPA/Alu/PVC//Alu</w:t>
      </w:r>
      <w:r>
        <w:rPr>
          <w:rFonts w:ascii="Times New Roman" w:eastAsia="TimesNewRomanPSMT" w:hAnsi="Times New Roman" w:cs="Times New Roman"/>
          <w:kern w:val="0"/>
        </w:rPr>
        <w:t xml:space="preserve"> </w:t>
      </w:r>
      <w:r w:rsidRPr="004C5104">
        <w:rPr>
          <w:rFonts w:ascii="Times New Roman" w:eastAsia="TimesNewRomanPSMT" w:hAnsi="Times New Roman" w:cs="Times New Roman"/>
          <w:kern w:val="0"/>
        </w:rPr>
        <w:t>buborékcsomagolásban:</w:t>
      </w:r>
    </w:p>
    <w:p w14:paraId="1AAD0876" w14:textId="583BFCD6" w:rsidR="0079077E" w:rsidRDefault="008B3942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  <w:r w:rsidRPr="008B3942">
        <w:rPr>
          <w:rFonts w:ascii="Times New Roman" w:eastAsia="TimesNewRomanPSMT" w:hAnsi="Times New Roman" w:cs="Times New Roman"/>
          <w:kern w:val="0"/>
        </w:rPr>
        <w:t>Ez a gyógyszer nem igényel különleges tárolást.</w:t>
      </w:r>
    </w:p>
    <w:p w14:paraId="201B4096" w14:textId="77777777" w:rsidR="00665897" w:rsidRPr="0079077E" w:rsidRDefault="00665897" w:rsidP="0079077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kern w:val="0"/>
        </w:rPr>
      </w:pPr>
    </w:p>
    <w:p w14:paraId="7B2A4A6A" w14:textId="0502A734" w:rsidR="0079077E" w:rsidRDefault="0079077E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027697">
        <w:rPr>
          <w:rFonts w:ascii="Times New Roman" w:hAnsi="Times New Roman" w:cs="Times New Roman"/>
          <w:b/>
          <w:bCs/>
          <w:kern w:val="0"/>
        </w:rPr>
        <w:t>6.5</w:t>
      </w:r>
      <w:r w:rsidR="00A4788F" w:rsidRPr="00027697">
        <w:rPr>
          <w:rFonts w:ascii="Times New Roman" w:hAnsi="Times New Roman" w:cs="Times New Roman"/>
          <w:b/>
          <w:bCs/>
          <w:kern w:val="0"/>
        </w:rPr>
        <w:tab/>
      </w:r>
      <w:r w:rsidRPr="00027697">
        <w:rPr>
          <w:rFonts w:ascii="Times New Roman" w:hAnsi="Times New Roman" w:cs="Times New Roman"/>
          <w:b/>
          <w:bCs/>
          <w:kern w:val="0"/>
        </w:rPr>
        <w:t>Csomagolás típusa és kiszerelése</w:t>
      </w:r>
    </w:p>
    <w:p w14:paraId="160B7D33" w14:textId="77777777" w:rsidR="00A4788F" w:rsidRPr="0079077E" w:rsidRDefault="00A4788F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2075C383" w14:textId="250D34AE" w:rsidR="0079077E" w:rsidRDefault="0079077E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79077E">
        <w:rPr>
          <w:rFonts w:ascii="Times New Roman" w:hAnsi="Times New Roman" w:cs="Times New Roman"/>
          <w:kern w:val="0"/>
        </w:rPr>
        <w:t xml:space="preserve">A </w:t>
      </w:r>
      <w:r w:rsidR="00DE7C90">
        <w:rPr>
          <w:rFonts w:ascii="Times New Roman" w:hAnsi="Times New Roman" w:cs="Times New Roman"/>
          <w:kern w:val="0"/>
        </w:rPr>
        <w:t>Krufton</w:t>
      </w:r>
      <w:r w:rsidRPr="0079077E">
        <w:rPr>
          <w:rFonts w:ascii="Times New Roman" w:hAnsi="Times New Roman" w:cs="Times New Roman"/>
          <w:kern w:val="0"/>
        </w:rPr>
        <w:t xml:space="preserve"> az alábbi kiszerelésekben </w:t>
      </w:r>
      <w:r w:rsidR="00665897">
        <w:rPr>
          <w:rFonts w:ascii="Times New Roman" w:hAnsi="Times New Roman" w:cs="Times New Roman"/>
          <w:kern w:val="0"/>
        </w:rPr>
        <w:t>elérhető</w:t>
      </w:r>
      <w:r w:rsidRPr="0079077E">
        <w:rPr>
          <w:rFonts w:ascii="Times New Roman" w:hAnsi="Times New Roman" w:cs="Times New Roman"/>
          <w:kern w:val="0"/>
        </w:rPr>
        <w:t>:</w:t>
      </w:r>
    </w:p>
    <w:p w14:paraId="6AFD1DB5" w14:textId="77777777" w:rsidR="00665897" w:rsidRPr="0079077E" w:rsidRDefault="00665897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0BBE36BC" w14:textId="06AABDDF" w:rsidR="005B75BE" w:rsidRPr="005B75BE" w:rsidRDefault="00DE7C90" w:rsidP="005B75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="005B75BE" w:rsidRPr="005B75BE">
        <w:rPr>
          <w:rFonts w:ascii="Times New Roman" w:hAnsi="Times New Roman" w:cs="Times New Roman"/>
          <w:kern w:val="0"/>
          <w:u w:val="single"/>
        </w:rPr>
        <w:t xml:space="preserve"> 50 mg kemény kapszula</w:t>
      </w:r>
    </w:p>
    <w:p w14:paraId="368A8538" w14:textId="07EAD2A0" w:rsidR="005B75BE" w:rsidRDefault="005B75BE" w:rsidP="005B75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Gyűjtőcsomagolás</w:t>
      </w:r>
      <w:r w:rsidR="008B3942">
        <w:rPr>
          <w:rFonts w:ascii="Times New Roman" w:hAnsi="Times New Roman" w:cs="Times New Roman"/>
          <w:kern w:val="0"/>
        </w:rPr>
        <w:t>,</w:t>
      </w:r>
      <w:r>
        <w:rPr>
          <w:rFonts w:ascii="Times New Roman" w:hAnsi="Times New Roman" w:cs="Times New Roman"/>
          <w:kern w:val="0"/>
        </w:rPr>
        <w:t xml:space="preserve"> amely 120 db (3 × 40) kemény kapszulát tartalmaz, PVC/PE/P</w:t>
      </w:r>
      <w:r w:rsidR="008B3942">
        <w:rPr>
          <w:rFonts w:ascii="Times New Roman" w:hAnsi="Times New Roman" w:cs="Times New Roman"/>
          <w:kern w:val="0"/>
        </w:rPr>
        <w:t>V</w:t>
      </w:r>
      <w:r>
        <w:rPr>
          <w:rFonts w:ascii="Times New Roman" w:hAnsi="Times New Roman" w:cs="Times New Roman"/>
          <w:kern w:val="0"/>
        </w:rPr>
        <w:t>dC/</w:t>
      </w:r>
      <w:r w:rsidR="008B3942">
        <w:rPr>
          <w:rFonts w:ascii="Times New Roman" w:hAnsi="Times New Roman" w:cs="Times New Roman"/>
          <w:kern w:val="0"/>
        </w:rPr>
        <w:t>/</w:t>
      </w:r>
      <w:r>
        <w:rPr>
          <w:rFonts w:ascii="Times New Roman" w:hAnsi="Times New Roman" w:cs="Times New Roman"/>
          <w:kern w:val="0"/>
        </w:rPr>
        <w:t>Al vagy OPA/Al/PVC/</w:t>
      </w:r>
      <w:r w:rsidR="008B3942">
        <w:rPr>
          <w:rFonts w:ascii="Times New Roman" w:hAnsi="Times New Roman" w:cs="Times New Roman"/>
          <w:kern w:val="0"/>
        </w:rPr>
        <w:t>/</w:t>
      </w:r>
      <w:r>
        <w:rPr>
          <w:rFonts w:ascii="Times New Roman" w:hAnsi="Times New Roman" w:cs="Times New Roman"/>
          <w:kern w:val="0"/>
        </w:rPr>
        <w:t>Al buborékcsomagolásban</w:t>
      </w:r>
      <w:r w:rsidR="00632F44">
        <w:rPr>
          <w:rFonts w:ascii="Times New Roman" w:hAnsi="Times New Roman" w:cs="Times New Roman"/>
          <w:kern w:val="0"/>
        </w:rPr>
        <w:t xml:space="preserve"> és dobozban.</w:t>
      </w:r>
    </w:p>
    <w:p w14:paraId="0E9944A7" w14:textId="77777777" w:rsidR="009D245E" w:rsidRDefault="009D245E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799BEEE0" w14:textId="5F42D280" w:rsidR="005B75BE" w:rsidRPr="005B75BE" w:rsidRDefault="00DE7C90" w:rsidP="005B75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="005B75BE" w:rsidRPr="005B75BE">
        <w:rPr>
          <w:rFonts w:ascii="Times New Roman" w:hAnsi="Times New Roman" w:cs="Times New Roman"/>
          <w:kern w:val="0"/>
          <w:u w:val="single"/>
        </w:rPr>
        <w:t xml:space="preserve"> 150 mg kemény kapszula</w:t>
      </w:r>
    </w:p>
    <w:p w14:paraId="67079CE1" w14:textId="2B96403B" w:rsidR="005B75BE" w:rsidRDefault="005B75BE" w:rsidP="005B75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proofErr w:type="gramStart"/>
      <w:r>
        <w:rPr>
          <w:rFonts w:ascii="Times New Roman" w:hAnsi="Times New Roman" w:cs="Times New Roman"/>
          <w:kern w:val="0"/>
        </w:rPr>
        <w:t>Gyűjtőcsomagolás</w:t>
      </w:r>
      <w:proofErr w:type="gramEnd"/>
      <w:r>
        <w:rPr>
          <w:rFonts w:ascii="Times New Roman" w:hAnsi="Times New Roman" w:cs="Times New Roman"/>
          <w:kern w:val="0"/>
        </w:rPr>
        <w:t xml:space="preserve"> amely 112 db (4 × 28) kemény kapszulát tartalmaz, PVC/PE/P</w:t>
      </w:r>
      <w:r w:rsidR="008B3942">
        <w:rPr>
          <w:rFonts w:ascii="Times New Roman" w:hAnsi="Times New Roman" w:cs="Times New Roman"/>
          <w:kern w:val="0"/>
        </w:rPr>
        <w:t>V</w:t>
      </w:r>
      <w:r>
        <w:rPr>
          <w:rFonts w:ascii="Times New Roman" w:hAnsi="Times New Roman" w:cs="Times New Roman"/>
          <w:kern w:val="0"/>
        </w:rPr>
        <w:t>dC/</w:t>
      </w:r>
      <w:r w:rsidR="008B3942">
        <w:rPr>
          <w:rFonts w:ascii="Times New Roman" w:hAnsi="Times New Roman" w:cs="Times New Roman"/>
          <w:kern w:val="0"/>
        </w:rPr>
        <w:t>/</w:t>
      </w:r>
      <w:r>
        <w:rPr>
          <w:rFonts w:ascii="Times New Roman" w:hAnsi="Times New Roman" w:cs="Times New Roman"/>
          <w:kern w:val="0"/>
        </w:rPr>
        <w:t>Al vagy OPA/Al/PVC/</w:t>
      </w:r>
      <w:r w:rsidR="008B3942">
        <w:rPr>
          <w:rFonts w:ascii="Times New Roman" w:hAnsi="Times New Roman" w:cs="Times New Roman"/>
          <w:kern w:val="0"/>
        </w:rPr>
        <w:t>/</w:t>
      </w:r>
      <w:r>
        <w:rPr>
          <w:rFonts w:ascii="Times New Roman" w:hAnsi="Times New Roman" w:cs="Times New Roman"/>
          <w:kern w:val="0"/>
        </w:rPr>
        <w:t>Al buborékcsomagolásban</w:t>
      </w:r>
      <w:r w:rsidR="00632F44">
        <w:rPr>
          <w:rFonts w:ascii="Times New Roman" w:hAnsi="Times New Roman" w:cs="Times New Roman"/>
          <w:kern w:val="0"/>
        </w:rPr>
        <w:t xml:space="preserve"> és dobozban.</w:t>
      </w:r>
    </w:p>
    <w:p w14:paraId="3E592231" w14:textId="77777777" w:rsidR="00A9658A" w:rsidRDefault="00A9658A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2B187AC8" w14:textId="21926513" w:rsidR="005B75BE" w:rsidRPr="005B75BE" w:rsidRDefault="00DE7C90" w:rsidP="005B75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  <w:u w:val="single"/>
        </w:rPr>
      </w:pPr>
      <w:r>
        <w:rPr>
          <w:rFonts w:ascii="Times New Roman" w:hAnsi="Times New Roman" w:cs="Times New Roman"/>
          <w:kern w:val="0"/>
          <w:u w:val="single"/>
        </w:rPr>
        <w:t>Krufton</w:t>
      </w:r>
      <w:r w:rsidR="005B75BE" w:rsidRPr="005B75BE">
        <w:rPr>
          <w:rFonts w:ascii="Times New Roman" w:hAnsi="Times New Roman" w:cs="Times New Roman"/>
          <w:kern w:val="0"/>
          <w:u w:val="single"/>
        </w:rPr>
        <w:t xml:space="preserve"> 200 mg kemény kapszula</w:t>
      </w:r>
    </w:p>
    <w:p w14:paraId="652B0C97" w14:textId="0E8B5238" w:rsidR="005B75BE" w:rsidRDefault="005B75BE" w:rsidP="005B75B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proofErr w:type="gramStart"/>
      <w:r>
        <w:rPr>
          <w:rFonts w:ascii="Times New Roman" w:hAnsi="Times New Roman" w:cs="Times New Roman"/>
          <w:kern w:val="0"/>
        </w:rPr>
        <w:t>Gyűjtőcsomagolás</w:t>
      </w:r>
      <w:proofErr w:type="gramEnd"/>
      <w:r>
        <w:rPr>
          <w:rFonts w:ascii="Times New Roman" w:hAnsi="Times New Roman" w:cs="Times New Roman"/>
          <w:kern w:val="0"/>
        </w:rPr>
        <w:t xml:space="preserve"> amely 112 db (4 × 28) kemény kapszulát tartalmaz, PVC/PE/P</w:t>
      </w:r>
      <w:r w:rsidR="008B3942">
        <w:rPr>
          <w:rFonts w:ascii="Times New Roman" w:hAnsi="Times New Roman" w:cs="Times New Roman"/>
          <w:kern w:val="0"/>
        </w:rPr>
        <w:t>V</w:t>
      </w:r>
      <w:r>
        <w:rPr>
          <w:rFonts w:ascii="Times New Roman" w:hAnsi="Times New Roman" w:cs="Times New Roman"/>
          <w:kern w:val="0"/>
        </w:rPr>
        <w:t>dC/</w:t>
      </w:r>
      <w:r w:rsidR="008B3942">
        <w:rPr>
          <w:rFonts w:ascii="Times New Roman" w:hAnsi="Times New Roman" w:cs="Times New Roman"/>
          <w:kern w:val="0"/>
        </w:rPr>
        <w:t>/</w:t>
      </w:r>
      <w:r>
        <w:rPr>
          <w:rFonts w:ascii="Times New Roman" w:hAnsi="Times New Roman" w:cs="Times New Roman"/>
          <w:kern w:val="0"/>
        </w:rPr>
        <w:t>Al vagy OPA/Al/PVC/</w:t>
      </w:r>
      <w:r w:rsidR="008B3942">
        <w:rPr>
          <w:rFonts w:ascii="Times New Roman" w:hAnsi="Times New Roman" w:cs="Times New Roman"/>
          <w:kern w:val="0"/>
        </w:rPr>
        <w:t>/</w:t>
      </w:r>
      <w:r>
        <w:rPr>
          <w:rFonts w:ascii="Times New Roman" w:hAnsi="Times New Roman" w:cs="Times New Roman"/>
          <w:kern w:val="0"/>
        </w:rPr>
        <w:t>Al buborékcsomagolásban</w:t>
      </w:r>
      <w:r w:rsidR="00632F44" w:rsidRPr="00632F44">
        <w:rPr>
          <w:rFonts w:ascii="Times New Roman" w:hAnsi="Times New Roman" w:cs="Times New Roman"/>
          <w:kern w:val="0"/>
        </w:rPr>
        <w:t xml:space="preserve"> </w:t>
      </w:r>
      <w:r w:rsidR="00632F44">
        <w:rPr>
          <w:rFonts w:ascii="Times New Roman" w:hAnsi="Times New Roman" w:cs="Times New Roman"/>
          <w:kern w:val="0"/>
        </w:rPr>
        <w:t>és dobozban.</w:t>
      </w:r>
    </w:p>
    <w:p w14:paraId="237A6F9C" w14:textId="77777777" w:rsidR="005B75BE" w:rsidRDefault="005B75BE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66DCB607" w14:textId="13481524" w:rsidR="002A3A9C" w:rsidRDefault="0083241C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83241C">
        <w:rPr>
          <w:rFonts w:ascii="Times New Roman" w:hAnsi="Times New Roman" w:cs="Times New Roman"/>
          <w:b/>
          <w:bCs/>
          <w:kern w:val="0"/>
        </w:rPr>
        <w:t>6.6</w:t>
      </w:r>
      <w:r w:rsidRPr="0083241C">
        <w:rPr>
          <w:rFonts w:ascii="Times New Roman" w:hAnsi="Times New Roman" w:cs="Times New Roman"/>
          <w:b/>
          <w:bCs/>
          <w:kern w:val="0"/>
        </w:rPr>
        <w:tab/>
        <w:t>A megsemmisítésre vonatkozó különleges óvintézkedések és egyéb, a készítmény kezelésével kapcsolatos információk</w:t>
      </w:r>
    </w:p>
    <w:p w14:paraId="603D07A7" w14:textId="77777777" w:rsidR="0083241C" w:rsidRDefault="0083241C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288BF52C" w14:textId="0C2B6088" w:rsidR="0083241C" w:rsidRPr="00171A11" w:rsidRDefault="00171A11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171A11">
        <w:rPr>
          <w:rFonts w:ascii="Times New Roman" w:eastAsia="Times New Roman" w:hAnsi="Times New Roman" w:cs="Times New Roman"/>
          <w:noProof/>
        </w:rPr>
        <w:t>Bármilyen fel nem használt gyógyszer, illetve hulladékanyag megsemmisítését a gyógyszerekre vonatkozó előírások szerint kell végrehajtani.</w:t>
      </w:r>
    </w:p>
    <w:p w14:paraId="702695A7" w14:textId="77777777" w:rsidR="0083241C" w:rsidRDefault="0083241C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466FF6C4" w14:textId="77777777" w:rsidR="00A91438" w:rsidRPr="008E68D3" w:rsidRDefault="00A91438" w:rsidP="008E68D3">
      <w:pPr>
        <w:spacing w:after="0"/>
        <w:rPr>
          <w:rFonts w:ascii="Times New Roman" w:hAnsi="Times New Roman" w:cs="Times New Roman"/>
        </w:rPr>
      </w:pPr>
      <w:r w:rsidRPr="008E68D3">
        <w:rPr>
          <w:rFonts w:ascii="Times New Roman" w:hAnsi="Times New Roman" w:cs="Times New Roman"/>
          <w:b/>
        </w:rPr>
        <w:t>Megjegyzés</w:t>
      </w:r>
      <w:r w:rsidRPr="008E68D3">
        <w:rPr>
          <w:rFonts w:ascii="Times New Roman" w:hAnsi="Times New Roman" w:cs="Times New Roman"/>
        </w:rPr>
        <w:t xml:space="preserve">: </w:t>
      </w:r>
      <w:r w:rsidRPr="008E68D3">
        <w:rPr>
          <w:rFonts w:ascii="Times New Roman" w:hAnsi="Times New Roman" w:cs="Times New Roman"/>
        </w:rPr>
        <w:sym w:font="Wingdings" w:char="F058"/>
      </w:r>
      <w:r w:rsidRPr="008E68D3">
        <w:rPr>
          <w:rFonts w:ascii="Times New Roman" w:hAnsi="Times New Roman" w:cs="Times New Roman"/>
        </w:rPr>
        <w:sym w:font="Wingdings" w:char="F058"/>
      </w:r>
      <w:r w:rsidRPr="008E68D3">
        <w:rPr>
          <w:rFonts w:ascii="Times New Roman" w:hAnsi="Times New Roman" w:cs="Times New Roman"/>
        </w:rPr>
        <w:t xml:space="preserve"> (</w:t>
      </w:r>
      <w:proofErr w:type="gramStart"/>
      <w:r w:rsidRPr="008E68D3">
        <w:rPr>
          <w:rFonts w:ascii="Times New Roman" w:hAnsi="Times New Roman" w:cs="Times New Roman"/>
        </w:rPr>
        <w:t>két keresztes</w:t>
      </w:r>
      <w:proofErr w:type="gramEnd"/>
      <w:r w:rsidRPr="008E68D3">
        <w:rPr>
          <w:rFonts w:ascii="Times New Roman" w:hAnsi="Times New Roman" w:cs="Times New Roman"/>
        </w:rPr>
        <w:t>)</w:t>
      </w:r>
    </w:p>
    <w:p w14:paraId="477793A6" w14:textId="7F5DA42B" w:rsidR="00A91438" w:rsidRPr="00C1293B" w:rsidRDefault="00A91438" w:rsidP="008E68D3">
      <w:pPr>
        <w:spacing w:after="0"/>
        <w:rPr>
          <w:rFonts w:ascii="Times New Roman" w:hAnsi="Times New Roman"/>
        </w:rPr>
      </w:pPr>
      <w:r w:rsidRPr="00A91438">
        <w:rPr>
          <w:rFonts w:ascii="Times New Roman" w:hAnsi="Times New Roman" w:cs="Times New Roman"/>
        </w:rPr>
        <w:t xml:space="preserve">Osztályozás: </w:t>
      </w:r>
      <w:proofErr w:type="gramStart"/>
      <w:r w:rsidRPr="008A46BD">
        <w:rPr>
          <w:rFonts w:ascii="Times New Roman" w:hAnsi="Times New Roman" w:cs="Times New Roman"/>
          <w:b/>
        </w:rPr>
        <w:t>II./</w:t>
      </w:r>
      <w:proofErr w:type="gramEnd"/>
      <w:r w:rsidRPr="008A46BD">
        <w:rPr>
          <w:rFonts w:ascii="Times New Roman" w:hAnsi="Times New Roman" w:cs="Times New Roman"/>
          <w:b/>
        </w:rPr>
        <w:t>2 csoport</w:t>
      </w:r>
    </w:p>
    <w:p w14:paraId="51682710" w14:textId="77777777" w:rsidR="00A91438" w:rsidRPr="00A91438" w:rsidRDefault="00A91438">
      <w:pPr>
        <w:pStyle w:val="Nincstrkz"/>
        <w:rPr>
          <w:rFonts w:ascii="Times New Roman" w:hAnsi="Times New Roman"/>
        </w:rPr>
      </w:pPr>
      <w:r w:rsidRPr="00A91438">
        <w:rPr>
          <w:rFonts w:ascii="Times New Roman" w:hAnsi="Times New Roman"/>
        </w:rPr>
        <w:t>Korlátozott érvényű orvosi rendelvényhez kötött, szakorvosi kórházi diagnózist követően folyamatos szakorvosi ellenőrzés mellett alkalmazható gyógyszer (Sz).</w:t>
      </w:r>
    </w:p>
    <w:p w14:paraId="319A206D" w14:textId="77777777" w:rsidR="00171A11" w:rsidRDefault="00171A11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F02ADC4" w14:textId="77777777" w:rsidR="00171A11" w:rsidRPr="0083241C" w:rsidRDefault="00171A11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10BD056B" w14:textId="50E08502" w:rsidR="00A9658A" w:rsidRPr="003C389D" w:rsidRDefault="00A9658A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C389D">
        <w:rPr>
          <w:rFonts w:ascii="Times New Roman" w:hAnsi="Times New Roman" w:cs="Times New Roman"/>
          <w:b/>
          <w:bCs/>
          <w:kern w:val="0"/>
        </w:rPr>
        <w:t>7.</w:t>
      </w:r>
      <w:r w:rsidRPr="003C389D">
        <w:rPr>
          <w:rFonts w:ascii="Times New Roman" w:hAnsi="Times New Roman" w:cs="Times New Roman"/>
          <w:b/>
          <w:bCs/>
          <w:kern w:val="0"/>
        </w:rPr>
        <w:tab/>
        <w:t>A FORGALOMBAHOZATALI ENGEDÉLY JOGOSULTJA</w:t>
      </w:r>
    </w:p>
    <w:p w14:paraId="5E934463" w14:textId="77777777" w:rsidR="003C389D" w:rsidRDefault="003C389D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6E13B45E" w14:textId="77777777" w:rsidR="002A3A9C" w:rsidRPr="002A3A9C" w:rsidRDefault="002A3A9C" w:rsidP="002A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Egis Gyógyszergyár Zrt.</w:t>
      </w:r>
    </w:p>
    <w:p w14:paraId="04FB74F6" w14:textId="77777777" w:rsidR="002A3A9C" w:rsidRPr="002A3A9C" w:rsidRDefault="002A3A9C" w:rsidP="002A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1106 Budapest,</w:t>
      </w:r>
    </w:p>
    <w:p w14:paraId="3DC2A9C1" w14:textId="2F587722" w:rsidR="002A3A9C" w:rsidRPr="002A3A9C" w:rsidRDefault="002A3A9C" w:rsidP="002A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Keresztúri út 30</w:t>
      </w:r>
      <w:r w:rsidR="0074430C">
        <w:rPr>
          <w:rFonts w:ascii="Times New Roman" w:hAnsi="Times New Roman" w:cs="Times New Roman"/>
          <w:kern w:val="0"/>
        </w:rPr>
        <w:t>–</w:t>
      </w:r>
      <w:r w:rsidRPr="002A3A9C">
        <w:rPr>
          <w:rFonts w:ascii="Times New Roman" w:hAnsi="Times New Roman" w:cs="Times New Roman"/>
          <w:kern w:val="0"/>
        </w:rPr>
        <w:t>38.</w:t>
      </w:r>
    </w:p>
    <w:p w14:paraId="2C1EDA16" w14:textId="77A35374" w:rsidR="002A3A9C" w:rsidRPr="002A3A9C" w:rsidRDefault="002A3A9C" w:rsidP="002A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2A3A9C">
        <w:rPr>
          <w:rFonts w:ascii="Times New Roman" w:hAnsi="Times New Roman" w:cs="Times New Roman"/>
          <w:kern w:val="0"/>
        </w:rPr>
        <w:t>Magyarország</w:t>
      </w:r>
    </w:p>
    <w:p w14:paraId="7FE28636" w14:textId="77777777" w:rsidR="002A3A9C" w:rsidRDefault="002A3A9C" w:rsidP="002A3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3156CE7E" w14:textId="77777777" w:rsidR="002A3A9C" w:rsidRPr="003C389D" w:rsidRDefault="002A3A9C" w:rsidP="00813D0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4AC01CB3" w14:textId="0EA662B5" w:rsidR="003C389D" w:rsidRDefault="003C389D" w:rsidP="00813D0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C389D">
        <w:rPr>
          <w:rFonts w:ascii="Times New Roman" w:hAnsi="Times New Roman" w:cs="Times New Roman"/>
          <w:b/>
          <w:bCs/>
          <w:kern w:val="0"/>
        </w:rPr>
        <w:t>8.</w:t>
      </w:r>
      <w:r w:rsidRPr="003C389D">
        <w:rPr>
          <w:rFonts w:ascii="Times New Roman" w:hAnsi="Times New Roman" w:cs="Times New Roman"/>
          <w:b/>
          <w:bCs/>
          <w:kern w:val="0"/>
        </w:rPr>
        <w:tab/>
        <w:t>A FORGALOMBAHOZATALI ENGEDÉLY SZÁMA(I)</w:t>
      </w:r>
    </w:p>
    <w:p w14:paraId="7DD84DF1" w14:textId="77777777" w:rsidR="00813D02" w:rsidRPr="003C389D" w:rsidRDefault="00813D02" w:rsidP="00813D02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965A32A" w14:textId="30B040F1" w:rsidR="00813D02" w:rsidRPr="00813D02" w:rsidRDefault="00813D02" w:rsidP="00813D02">
      <w:pPr>
        <w:keepNext/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Krufton 50 mg kemény kapszula</w:t>
      </w:r>
      <w:r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:</w:t>
      </w:r>
    </w:p>
    <w:p w14:paraId="462DEF37" w14:textId="129BA2C9" w:rsidR="00813D02" w:rsidRPr="00813D02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OGYI-T-24443/01</w:t>
      </w:r>
      <w:r w:rsidRPr="00813D02">
        <w:rPr>
          <w:rFonts w:ascii="Times New Roman" w:hAnsi="Times New Roman" w:cs="Times New Roman"/>
          <w:lang w:eastAsia="hu-HU"/>
        </w:rPr>
        <w:tab/>
        <w:t>120x (3x40)   PVC/PE/PVdC//Al buborékcsomagolásban (gyűjtőcsomagolásban) </w:t>
      </w:r>
    </w:p>
    <w:p w14:paraId="50AD4389" w14:textId="77777777" w:rsidR="00813D02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OGYI-T-24443/02</w:t>
      </w:r>
      <w:r w:rsidRPr="00813D02">
        <w:rPr>
          <w:rFonts w:ascii="Times New Roman" w:hAnsi="Times New Roman" w:cs="Times New Roman"/>
          <w:lang w:eastAsia="hu-HU"/>
        </w:rPr>
        <w:tab/>
        <w:t xml:space="preserve">120x (3x40)   OPA/Al/PVC//Al buborékcsomagolásban </w:t>
      </w:r>
    </w:p>
    <w:p w14:paraId="658D0570" w14:textId="7F448BB8" w:rsidR="00813D02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(gyűjtőcsomagolásban</w:t>
      </w:r>
      <w:r>
        <w:rPr>
          <w:rFonts w:ascii="Times New Roman" w:hAnsi="Times New Roman" w:cs="Times New Roman"/>
          <w:lang w:eastAsia="hu-HU"/>
        </w:rPr>
        <w:t>)</w:t>
      </w:r>
    </w:p>
    <w:p w14:paraId="03B11280" w14:textId="77777777" w:rsidR="00813D02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</w:p>
    <w:p w14:paraId="790BA28E" w14:textId="77777777" w:rsidR="00B13308" w:rsidRDefault="00813D02" w:rsidP="00B13308">
      <w:pPr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Krufton 150 mg kemény kapszula</w:t>
      </w:r>
      <w:r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:</w:t>
      </w:r>
    </w:p>
    <w:p w14:paraId="0F532BB2" w14:textId="7E14A505" w:rsidR="00813D02" w:rsidRPr="00B13308" w:rsidRDefault="00813D02" w:rsidP="00B13308">
      <w:pPr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OGYI-T-24443/03</w:t>
      </w:r>
      <w:r w:rsidRPr="00813D02">
        <w:rPr>
          <w:lang w:eastAsia="hu-HU"/>
        </w:rPr>
        <w:tab/>
      </w:r>
      <w:r w:rsidRPr="00813D02">
        <w:rPr>
          <w:rFonts w:ascii="Times New Roman" w:hAnsi="Times New Roman" w:cs="Times New Roman"/>
          <w:lang w:eastAsia="hu-HU"/>
        </w:rPr>
        <w:t xml:space="preserve"> 112x (4x28)    PVC/PE/PVdC//Al buborékcsomagolásban (gyűjtőcsomagolásban)</w:t>
      </w:r>
    </w:p>
    <w:p w14:paraId="04C00C55" w14:textId="77777777" w:rsidR="00813D02" w:rsidRPr="00813D02" w:rsidRDefault="00813D02" w:rsidP="00813D02">
      <w:pPr>
        <w:keepNext/>
        <w:spacing w:after="0" w:line="240" w:lineRule="auto"/>
      </w:pPr>
      <w:r w:rsidRPr="00813D02">
        <w:rPr>
          <w:rFonts w:ascii="Times New Roman" w:hAnsi="Times New Roman" w:cs="Times New Roman"/>
          <w:lang w:eastAsia="hu-HU"/>
        </w:rPr>
        <w:t>OGYI-T-24443/04</w:t>
      </w:r>
      <w:r w:rsidRPr="00813D02">
        <w:rPr>
          <w:lang w:eastAsia="hu-HU"/>
        </w:rPr>
        <w:tab/>
      </w:r>
      <w:r w:rsidRPr="00813D02">
        <w:rPr>
          <w:rFonts w:ascii="Times New Roman" w:hAnsi="Times New Roman" w:cs="Times New Roman"/>
          <w:lang w:eastAsia="hu-HU"/>
        </w:rPr>
        <w:t xml:space="preserve"> 112x (4x28)    OPA/Al/PVC//Al buborékcsomagolásban (gyűjtőcsomagolásban)  </w:t>
      </w:r>
    </w:p>
    <w:p w14:paraId="3ECBEF83" w14:textId="77777777" w:rsidR="00813D02" w:rsidRDefault="00813D02" w:rsidP="00813D02">
      <w:pPr>
        <w:autoSpaceDE w:val="0"/>
        <w:autoSpaceDN w:val="0"/>
        <w:spacing w:after="0"/>
        <w:rPr>
          <w:rFonts w:ascii="Times New Roman" w:hAnsi="Times New Roman" w:cs="Times New Roman"/>
          <w:b/>
          <w:bCs/>
          <w:sz w:val="24"/>
          <w:szCs w:val="24"/>
          <w:lang w:eastAsia="hu-HU"/>
        </w:rPr>
      </w:pPr>
    </w:p>
    <w:p w14:paraId="2408CCEC" w14:textId="5AB8E2EC" w:rsidR="00813D02" w:rsidRPr="00813D02" w:rsidRDefault="00813D02" w:rsidP="00813D02">
      <w:pPr>
        <w:autoSpaceDE w:val="0"/>
        <w:autoSpaceDN w:val="0"/>
        <w:spacing w:after="0"/>
        <w:rPr>
          <w:rFonts w:ascii="Times New Roman" w:hAnsi="Times New Roman" w:cs="Times New Roman"/>
          <w:i/>
          <w:iCs/>
          <w:sz w:val="24"/>
          <w:szCs w:val="24"/>
          <w:lang w:eastAsia="hu-HU"/>
        </w:rPr>
      </w:pPr>
      <w:r w:rsidRPr="00813D02"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Krufton 200 mg kemény kapszula</w:t>
      </w:r>
      <w:r>
        <w:rPr>
          <w:rFonts w:ascii="Times New Roman" w:hAnsi="Times New Roman" w:cs="Times New Roman"/>
          <w:i/>
          <w:iCs/>
          <w:sz w:val="24"/>
          <w:szCs w:val="24"/>
          <w:lang w:eastAsia="hu-HU"/>
        </w:rPr>
        <w:t>:</w:t>
      </w:r>
    </w:p>
    <w:p w14:paraId="6ED55E0E" w14:textId="3007455E" w:rsidR="00813D02" w:rsidRPr="00813D02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OGYI-T-24443/05</w:t>
      </w:r>
      <w:r w:rsidRPr="00813D02">
        <w:rPr>
          <w:rFonts w:ascii="Times New Roman" w:hAnsi="Times New Roman" w:cs="Times New Roman"/>
          <w:lang w:eastAsia="hu-HU"/>
        </w:rPr>
        <w:tab/>
        <w:t>112x (4x28) PVC/PE/PVdC//Al buborékcsomagolásban (gyűjtőcsomagolásban)</w:t>
      </w:r>
    </w:p>
    <w:p w14:paraId="4868F891" w14:textId="77777777" w:rsidR="00B13308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>OGYI-T-24443/06</w:t>
      </w:r>
      <w:r w:rsidRPr="00813D02">
        <w:rPr>
          <w:rFonts w:ascii="Times New Roman" w:hAnsi="Times New Roman" w:cs="Times New Roman"/>
          <w:lang w:eastAsia="hu-HU"/>
        </w:rPr>
        <w:tab/>
        <w:t xml:space="preserve">112x (4x28) OPA/Al/PVC//Al buborékcsomagolásban </w:t>
      </w:r>
    </w:p>
    <w:p w14:paraId="0A863AA5" w14:textId="7BA37268" w:rsidR="00813D02" w:rsidRPr="00813D02" w:rsidRDefault="00813D02" w:rsidP="00813D02">
      <w:pPr>
        <w:keepNext/>
        <w:spacing w:after="0"/>
        <w:rPr>
          <w:rFonts w:ascii="Times New Roman" w:hAnsi="Times New Roman" w:cs="Times New Roman"/>
          <w:lang w:eastAsia="hu-HU"/>
        </w:rPr>
      </w:pPr>
      <w:r w:rsidRPr="00813D02">
        <w:rPr>
          <w:rFonts w:ascii="Times New Roman" w:hAnsi="Times New Roman" w:cs="Times New Roman"/>
          <w:lang w:eastAsia="hu-HU"/>
        </w:rPr>
        <w:t xml:space="preserve">(gyűjtőcsomagolásban)  </w:t>
      </w:r>
    </w:p>
    <w:p w14:paraId="789A6DA0" w14:textId="576C89BC" w:rsidR="00813D02" w:rsidRDefault="00813D02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79ECDFD0" w14:textId="77777777" w:rsidR="00813D02" w:rsidRPr="003C389D" w:rsidRDefault="00813D02" w:rsidP="007907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A338033" w14:textId="0E841E45" w:rsidR="003C389D" w:rsidRPr="003C389D" w:rsidRDefault="003C389D" w:rsidP="003C389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3C389D">
        <w:rPr>
          <w:rFonts w:ascii="Times New Roman" w:hAnsi="Times New Roman" w:cs="Times New Roman"/>
          <w:b/>
          <w:bCs/>
          <w:kern w:val="0"/>
        </w:rPr>
        <w:t>9.</w:t>
      </w:r>
      <w:r w:rsidRPr="003C389D">
        <w:rPr>
          <w:rFonts w:ascii="Times New Roman" w:hAnsi="Times New Roman" w:cs="Times New Roman"/>
          <w:b/>
          <w:bCs/>
          <w:kern w:val="0"/>
        </w:rPr>
        <w:tab/>
        <w:t xml:space="preserve">A FORGALOMBAHOZATALI </w:t>
      </w:r>
      <w:r w:rsidRPr="003C389D">
        <w:rPr>
          <w:rFonts w:ascii="Times New Roman" w:eastAsia="TimesNewRomanPS-BoldMT" w:hAnsi="Times New Roman" w:cs="Times New Roman"/>
          <w:b/>
          <w:bCs/>
          <w:kern w:val="0"/>
        </w:rPr>
        <w:t>ENGEDÉLY ELSŐ KIADÁSÁNAK/</w:t>
      </w:r>
    </w:p>
    <w:p w14:paraId="6F36AC13" w14:textId="04CA02B7" w:rsidR="003C389D" w:rsidRDefault="003C389D" w:rsidP="003C3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  <w:r w:rsidRPr="003C389D">
        <w:rPr>
          <w:rFonts w:ascii="Times New Roman" w:hAnsi="Times New Roman" w:cs="Times New Roman"/>
          <w:b/>
          <w:bCs/>
          <w:kern w:val="0"/>
        </w:rPr>
        <w:t>MEGÚJÍTÁSÁNAK DÁTUMA</w:t>
      </w:r>
    </w:p>
    <w:p w14:paraId="5ED23CB8" w14:textId="77777777" w:rsidR="003C389D" w:rsidRDefault="003C389D" w:rsidP="003C3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0"/>
        </w:rPr>
      </w:pPr>
    </w:p>
    <w:p w14:paraId="58126481" w14:textId="77777777" w:rsidR="00813D02" w:rsidRPr="00142F1D" w:rsidRDefault="003C389D" w:rsidP="00813D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 w:rsidRPr="003C389D">
        <w:rPr>
          <w:rFonts w:ascii="Times New Roman" w:hAnsi="Times New Roman" w:cs="Times New Roman"/>
          <w:kern w:val="0"/>
        </w:rPr>
        <w:t>A forgalombahozatali engedély első kiadásának dátuma:</w:t>
      </w:r>
      <w:r w:rsidR="00813D02">
        <w:rPr>
          <w:rFonts w:ascii="Times New Roman" w:hAnsi="Times New Roman" w:cs="Times New Roman"/>
          <w:kern w:val="0"/>
        </w:rPr>
        <w:t xml:space="preserve"> 2024. szeptember 2.</w:t>
      </w:r>
    </w:p>
    <w:p w14:paraId="5E64FB91" w14:textId="54A69116" w:rsidR="003C389D" w:rsidRDefault="003C389D" w:rsidP="003C3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3538C53B" w14:textId="77777777" w:rsidR="00142F1D" w:rsidRDefault="00142F1D" w:rsidP="003C3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</w:p>
    <w:p w14:paraId="58C96306" w14:textId="3AA71624" w:rsidR="00142F1D" w:rsidRDefault="00142F1D" w:rsidP="003C389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  <w:r w:rsidRPr="00142F1D">
        <w:rPr>
          <w:rFonts w:ascii="Times New Roman" w:hAnsi="Times New Roman" w:cs="Times New Roman"/>
          <w:b/>
          <w:bCs/>
          <w:kern w:val="0"/>
        </w:rPr>
        <w:t>10.</w:t>
      </w:r>
      <w:r>
        <w:rPr>
          <w:rFonts w:ascii="Times New Roman" w:hAnsi="Times New Roman" w:cs="Times New Roman"/>
          <w:b/>
          <w:bCs/>
          <w:kern w:val="0"/>
        </w:rPr>
        <w:tab/>
      </w:r>
      <w:r w:rsidRPr="00142F1D">
        <w:rPr>
          <w:rFonts w:ascii="Times New Roman" w:eastAsia="TimesNewRomanPS-BoldMT" w:hAnsi="Times New Roman" w:cs="Times New Roman"/>
          <w:b/>
          <w:bCs/>
          <w:kern w:val="0"/>
        </w:rPr>
        <w:t>A SZÖVEG ELLENŐRZÉSÉNEK DÁTUMA</w:t>
      </w:r>
    </w:p>
    <w:p w14:paraId="1917BE57" w14:textId="77777777" w:rsidR="00775F6B" w:rsidRDefault="00775F6B" w:rsidP="003C389D">
      <w:pPr>
        <w:autoSpaceDE w:val="0"/>
        <w:autoSpaceDN w:val="0"/>
        <w:adjustRightInd w:val="0"/>
        <w:spacing w:after="0" w:line="240" w:lineRule="auto"/>
        <w:rPr>
          <w:rFonts w:ascii="Times New Roman" w:eastAsia="TimesNewRomanPS-BoldMT" w:hAnsi="Times New Roman" w:cs="Times New Roman"/>
          <w:b/>
          <w:bCs/>
          <w:kern w:val="0"/>
        </w:rPr>
      </w:pPr>
    </w:p>
    <w:p w14:paraId="43BD9EA7" w14:textId="2511FDFD" w:rsidR="00775F6B" w:rsidRPr="00142F1D" w:rsidRDefault="00540865" w:rsidP="003C38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>2024. szeptember 19.</w:t>
      </w:r>
    </w:p>
    <w:sectPr w:rsidR="00775F6B" w:rsidRPr="00142F1D" w:rsidSect="0070665A">
      <w:headerReference w:type="defaul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071D06" w14:textId="77777777" w:rsidR="00A601A0" w:rsidRDefault="00A601A0" w:rsidP="001F0897">
      <w:pPr>
        <w:spacing w:after="0" w:line="240" w:lineRule="auto"/>
      </w:pPr>
      <w:r>
        <w:separator/>
      </w:r>
    </w:p>
  </w:endnote>
  <w:endnote w:type="continuationSeparator" w:id="0">
    <w:p w14:paraId="36912D40" w14:textId="77777777" w:rsidR="00A601A0" w:rsidRDefault="00A601A0" w:rsidP="001F0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70BF0" w14:textId="4B9457ED" w:rsidR="00A601A0" w:rsidRPr="008E68D3" w:rsidRDefault="00540865">
    <w:pPr>
      <w:pStyle w:val="llb"/>
      <w:rPr>
        <w:rFonts w:ascii="Times New Roman" w:hAnsi="Times New Roman" w:cs="Times New Roman"/>
        <w:sz w:val="18"/>
        <w:szCs w:val="18"/>
      </w:rPr>
    </w:pPr>
    <w:bookmarkStart w:id="3" w:name="_Hlk172187364"/>
    <w:bookmarkStart w:id="4" w:name="_Hlk172187365"/>
    <w:r w:rsidRPr="00540865">
      <w:rPr>
        <w:rFonts w:ascii="Times New Roman" w:hAnsi="Times New Roman" w:cs="Times New Roman"/>
        <w:sz w:val="18"/>
        <w:szCs w:val="18"/>
        <w:lang w:eastAsia="hu-HU"/>
      </w:rPr>
      <w:t>NNGYK/GYSZ/39862/2024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ECE27" w14:textId="77777777" w:rsidR="00A601A0" w:rsidRDefault="00A601A0" w:rsidP="001F0897">
      <w:pPr>
        <w:spacing w:after="0" w:line="240" w:lineRule="auto"/>
      </w:pPr>
      <w:r>
        <w:separator/>
      </w:r>
    </w:p>
  </w:footnote>
  <w:footnote w:type="continuationSeparator" w:id="0">
    <w:p w14:paraId="1A1701CD" w14:textId="77777777" w:rsidR="00A601A0" w:rsidRDefault="00A601A0" w:rsidP="001F0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05755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50187F17" w14:textId="135B18F4" w:rsidR="00A601A0" w:rsidRPr="008E68D3" w:rsidRDefault="00A601A0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8E68D3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8E68D3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8E68D3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8E68D3">
          <w:rPr>
            <w:rFonts w:ascii="Times New Roman" w:hAnsi="Times New Roman" w:cs="Times New Roman"/>
            <w:sz w:val="18"/>
            <w:szCs w:val="18"/>
          </w:rPr>
          <w:t>2</w:t>
        </w:r>
        <w:r w:rsidRPr="008E68D3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5AE5126E" w14:textId="77777777" w:rsidR="00A601A0" w:rsidRDefault="00A601A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3E4D"/>
    <w:multiLevelType w:val="hybridMultilevel"/>
    <w:tmpl w:val="9468D1F4"/>
    <w:lvl w:ilvl="0" w:tplc="389AEF44">
      <w:start w:val="1"/>
      <w:numFmt w:val="decimal"/>
      <w:lvlText w:val="%1."/>
      <w:lvlJc w:val="left"/>
      <w:pPr>
        <w:ind w:left="42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C7ACBF28">
      <w:numFmt w:val="bullet"/>
      <w:lvlText w:val="•"/>
      <w:lvlJc w:val="left"/>
      <w:pPr>
        <w:ind w:left="788" w:hanging="284"/>
      </w:pPr>
      <w:rPr>
        <w:rFonts w:hint="default"/>
        <w:lang w:val="en-US" w:eastAsia="en-US" w:bidi="ar-SA"/>
      </w:rPr>
    </w:lvl>
    <w:lvl w:ilvl="2" w:tplc="1068EB7A">
      <w:numFmt w:val="bullet"/>
      <w:lvlText w:val="•"/>
      <w:lvlJc w:val="left"/>
      <w:pPr>
        <w:ind w:left="1156" w:hanging="284"/>
      </w:pPr>
      <w:rPr>
        <w:rFonts w:hint="default"/>
        <w:lang w:val="en-US" w:eastAsia="en-US" w:bidi="ar-SA"/>
      </w:rPr>
    </w:lvl>
    <w:lvl w:ilvl="3" w:tplc="666840C2">
      <w:numFmt w:val="bullet"/>
      <w:lvlText w:val="•"/>
      <w:lvlJc w:val="left"/>
      <w:pPr>
        <w:ind w:left="1524" w:hanging="284"/>
      </w:pPr>
      <w:rPr>
        <w:rFonts w:hint="default"/>
        <w:lang w:val="en-US" w:eastAsia="en-US" w:bidi="ar-SA"/>
      </w:rPr>
    </w:lvl>
    <w:lvl w:ilvl="4" w:tplc="B4709A02">
      <w:numFmt w:val="bullet"/>
      <w:lvlText w:val="•"/>
      <w:lvlJc w:val="left"/>
      <w:pPr>
        <w:ind w:left="1892" w:hanging="284"/>
      </w:pPr>
      <w:rPr>
        <w:rFonts w:hint="default"/>
        <w:lang w:val="en-US" w:eastAsia="en-US" w:bidi="ar-SA"/>
      </w:rPr>
    </w:lvl>
    <w:lvl w:ilvl="5" w:tplc="D5546F5E">
      <w:numFmt w:val="bullet"/>
      <w:lvlText w:val="•"/>
      <w:lvlJc w:val="left"/>
      <w:pPr>
        <w:ind w:left="2261" w:hanging="284"/>
      </w:pPr>
      <w:rPr>
        <w:rFonts w:hint="default"/>
        <w:lang w:val="en-US" w:eastAsia="en-US" w:bidi="ar-SA"/>
      </w:rPr>
    </w:lvl>
    <w:lvl w:ilvl="6" w:tplc="ED14B8A6">
      <w:numFmt w:val="bullet"/>
      <w:lvlText w:val="•"/>
      <w:lvlJc w:val="left"/>
      <w:pPr>
        <w:ind w:left="2629" w:hanging="284"/>
      </w:pPr>
      <w:rPr>
        <w:rFonts w:hint="default"/>
        <w:lang w:val="en-US" w:eastAsia="en-US" w:bidi="ar-SA"/>
      </w:rPr>
    </w:lvl>
    <w:lvl w:ilvl="7" w:tplc="39B66920">
      <w:numFmt w:val="bullet"/>
      <w:lvlText w:val="•"/>
      <w:lvlJc w:val="left"/>
      <w:pPr>
        <w:ind w:left="2997" w:hanging="284"/>
      </w:pPr>
      <w:rPr>
        <w:rFonts w:hint="default"/>
        <w:lang w:val="en-US" w:eastAsia="en-US" w:bidi="ar-SA"/>
      </w:rPr>
    </w:lvl>
    <w:lvl w:ilvl="8" w:tplc="8592989A">
      <w:numFmt w:val="bullet"/>
      <w:lvlText w:val="•"/>
      <w:lvlJc w:val="left"/>
      <w:pPr>
        <w:ind w:left="3365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1FE96455"/>
    <w:multiLevelType w:val="hybridMultilevel"/>
    <w:tmpl w:val="AE28CAE0"/>
    <w:lvl w:ilvl="0" w:tplc="AE14AC14">
      <w:start w:val="1"/>
      <w:numFmt w:val="decimal"/>
      <w:lvlText w:val="%1."/>
      <w:lvlJc w:val="left"/>
      <w:pPr>
        <w:ind w:left="424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0E7875AA">
      <w:numFmt w:val="bullet"/>
      <w:lvlText w:val="•"/>
      <w:lvlJc w:val="left"/>
      <w:pPr>
        <w:ind w:left="788" w:hanging="317"/>
      </w:pPr>
      <w:rPr>
        <w:rFonts w:hint="default"/>
        <w:lang w:val="en-US" w:eastAsia="en-US" w:bidi="ar-SA"/>
      </w:rPr>
    </w:lvl>
    <w:lvl w:ilvl="2" w:tplc="7EEA74B6">
      <w:numFmt w:val="bullet"/>
      <w:lvlText w:val="•"/>
      <w:lvlJc w:val="left"/>
      <w:pPr>
        <w:ind w:left="1156" w:hanging="317"/>
      </w:pPr>
      <w:rPr>
        <w:rFonts w:hint="default"/>
        <w:lang w:val="en-US" w:eastAsia="en-US" w:bidi="ar-SA"/>
      </w:rPr>
    </w:lvl>
    <w:lvl w:ilvl="3" w:tplc="D8D60610">
      <w:numFmt w:val="bullet"/>
      <w:lvlText w:val="•"/>
      <w:lvlJc w:val="left"/>
      <w:pPr>
        <w:ind w:left="1524" w:hanging="317"/>
      </w:pPr>
      <w:rPr>
        <w:rFonts w:hint="default"/>
        <w:lang w:val="en-US" w:eastAsia="en-US" w:bidi="ar-SA"/>
      </w:rPr>
    </w:lvl>
    <w:lvl w:ilvl="4" w:tplc="E64EE5DC">
      <w:numFmt w:val="bullet"/>
      <w:lvlText w:val="•"/>
      <w:lvlJc w:val="left"/>
      <w:pPr>
        <w:ind w:left="1892" w:hanging="317"/>
      </w:pPr>
      <w:rPr>
        <w:rFonts w:hint="default"/>
        <w:lang w:val="en-US" w:eastAsia="en-US" w:bidi="ar-SA"/>
      </w:rPr>
    </w:lvl>
    <w:lvl w:ilvl="5" w:tplc="AF2469B0">
      <w:numFmt w:val="bullet"/>
      <w:lvlText w:val="•"/>
      <w:lvlJc w:val="left"/>
      <w:pPr>
        <w:ind w:left="2261" w:hanging="317"/>
      </w:pPr>
      <w:rPr>
        <w:rFonts w:hint="default"/>
        <w:lang w:val="en-US" w:eastAsia="en-US" w:bidi="ar-SA"/>
      </w:rPr>
    </w:lvl>
    <w:lvl w:ilvl="6" w:tplc="F028D896">
      <w:numFmt w:val="bullet"/>
      <w:lvlText w:val="•"/>
      <w:lvlJc w:val="left"/>
      <w:pPr>
        <w:ind w:left="2629" w:hanging="317"/>
      </w:pPr>
      <w:rPr>
        <w:rFonts w:hint="default"/>
        <w:lang w:val="en-US" w:eastAsia="en-US" w:bidi="ar-SA"/>
      </w:rPr>
    </w:lvl>
    <w:lvl w:ilvl="7" w:tplc="A25AF850">
      <w:numFmt w:val="bullet"/>
      <w:lvlText w:val="•"/>
      <w:lvlJc w:val="left"/>
      <w:pPr>
        <w:ind w:left="2997" w:hanging="317"/>
      </w:pPr>
      <w:rPr>
        <w:rFonts w:hint="default"/>
        <w:lang w:val="en-US" w:eastAsia="en-US" w:bidi="ar-SA"/>
      </w:rPr>
    </w:lvl>
    <w:lvl w:ilvl="8" w:tplc="D5D2637A">
      <w:numFmt w:val="bullet"/>
      <w:lvlText w:val="•"/>
      <w:lvlJc w:val="left"/>
      <w:pPr>
        <w:ind w:left="3365" w:hanging="317"/>
      </w:pPr>
      <w:rPr>
        <w:rFonts w:hint="default"/>
        <w:lang w:val="en-US" w:eastAsia="en-US" w:bidi="ar-SA"/>
      </w:rPr>
    </w:lvl>
  </w:abstractNum>
  <w:abstractNum w:abstractNumId="2" w15:restartNumberingAfterBreak="0">
    <w:nsid w:val="26CD451B"/>
    <w:multiLevelType w:val="hybridMultilevel"/>
    <w:tmpl w:val="16E466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50885"/>
    <w:multiLevelType w:val="hybridMultilevel"/>
    <w:tmpl w:val="15E2FDAA"/>
    <w:lvl w:ilvl="0" w:tplc="0D3277F2">
      <w:start w:val="1"/>
      <w:numFmt w:val="decimal"/>
      <w:lvlText w:val="%1."/>
      <w:lvlJc w:val="left"/>
      <w:pPr>
        <w:ind w:left="424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FDFE7ED0">
      <w:numFmt w:val="bullet"/>
      <w:lvlText w:val="•"/>
      <w:lvlJc w:val="left"/>
      <w:pPr>
        <w:ind w:left="788" w:hanging="317"/>
      </w:pPr>
      <w:rPr>
        <w:rFonts w:hint="default"/>
        <w:lang w:val="en-US" w:eastAsia="en-US" w:bidi="ar-SA"/>
      </w:rPr>
    </w:lvl>
    <w:lvl w:ilvl="2" w:tplc="95405FB2">
      <w:numFmt w:val="bullet"/>
      <w:lvlText w:val="•"/>
      <w:lvlJc w:val="left"/>
      <w:pPr>
        <w:ind w:left="1156" w:hanging="317"/>
      </w:pPr>
      <w:rPr>
        <w:rFonts w:hint="default"/>
        <w:lang w:val="en-US" w:eastAsia="en-US" w:bidi="ar-SA"/>
      </w:rPr>
    </w:lvl>
    <w:lvl w:ilvl="3" w:tplc="C7B61758">
      <w:numFmt w:val="bullet"/>
      <w:lvlText w:val="•"/>
      <w:lvlJc w:val="left"/>
      <w:pPr>
        <w:ind w:left="1524" w:hanging="317"/>
      </w:pPr>
      <w:rPr>
        <w:rFonts w:hint="default"/>
        <w:lang w:val="en-US" w:eastAsia="en-US" w:bidi="ar-SA"/>
      </w:rPr>
    </w:lvl>
    <w:lvl w:ilvl="4" w:tplc="E7F89C1C">
      <w:numFmt w:val="bullet"/>
      <w:lvlText w:val="•"/>
      <w:lvlJc w:val="left"/>
      <w:pPr>
        <w:ind w:left="1892" w:hanging="317"/>
      </w:pPr>
      <w:rPr>
        <w:rFonts w:hint="default"/>
        <w:lang w:val="en-US" w:eastAsia="en-US" w:bidi="ar-SA"/>
      </w:rPr>
    </w:lvl>
    <w:lvl w:ilvl="5" w:tplc="78EA32C2">
      <w:numFmt w:val="bullet"/>
      <w:lvlText w:val="•"/>
      <w:lvlJc w:val="left"/>
      <w:pPr>
        <w:ind w:left="2261" w:hanging="317"/>
      </w:pPr>
      <w:rPr>
        <w:rFonts w:hint="default"/>
        <w:lang w:val="en-US" w:eastAsia="en-US" w:bidi="ar-SA"/>
      </w:rPr>
    </w:lvl>
    <w:lvl w:ilvl="6" w:tplc="95D22C76">
      <w:numFmt w:val="bullet"/>
      <w:lvlText w:val="•"/>
      <w:lvlJc w:val="left"/>
      <w:pPr>
        <w:ind w:left="2629" w:hanging="317"/>
      </w:pPr>
      <w:rPr>
        <w:rFonts w:hint="default"/>
        <w:lang w:val="en-US" w:eastAsia="en-US" w:bidi="ar-SA"/>
      </w:rPr>
    </w:lvl>
    <w:lvl w:ilvl="7" w:tplc="F84E7F5E">
      <w:numFmt w:val="bullet"/>
      <w:lvlText w:val="•"/>
      <w:lvlJc w:val="left"/>
      <w:pPr>
        <w:ind w:left="2997" w:hanging="317"/>
      </w:pPr>
      <w:rPr>
        <w:rFonts w:hint="default"/>
        <w:lang w:val="en-US" w:eastAsia="en-US" w:bidi="ar-SA"/>
      </w:rPr>
    </w:lvl>
    <w:lvl w:ilvl="8" w:tplc="A238E6D4">
      <w:numFmt w:val="bullet"/>
      <w:lvlText w:val="•"/>
      <w:lvlJc w:val="left"/>
      <w:pPr>
        <w:ind w:left="3365" w:hanging="317"/>
      </w:pPr>
      <w:rPr>
        <w:rFonts w:hint="default"/>
        <w:lang w:val="en-US" w:eastAsia="en-US" w:bidi="ar-SA"/>
      </w:rPr>
    </w:lvl>
  </w:abstractNum>
  <w:abstractNum w:abstractNumId="4" w15:restartNumberingAfterBreak="0">
    <w:nsid w:val="30305B73"/>
    <w:multiLevelType w:val="hybridMultilevel"/>
    <w:tmpl w:val="53206146"/>
    <w:lvl w:ilvl="0" w:tplc="481005D0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851"/>
    <w:rsid w:val="000009AE"/>
    <w:rsid w:val="000023C6"/>
    <w:rsid w:val="00003424"/>
    <w:rsid w:val="00012528"/>
    <w:rsid w:val="00013FEA"/>
    <w:rsid w:val="00017492"/>
    <w:rsid w:val="000234E7"/>
    <w:rsid w:val="00024B2B"/>
    <w:rsid w:val="00027697"/>
    <w:rsid w:val="000277C3"/>
    <w:rsid w:val="000324AD"/>
    <w:rsid w:val="00034872"/>
    <w:rsid w:val="00042309"/>
    <w:rsid w:val="0004749C"/>
    <w:rsid w:val="00047ABC"/>
    <w:rsid w:val="00052B7C"/>
    <w:rsid w:val="00053329"/>
    <w:rsid w:val="00053480"/>
    <w:rsid w:val="000610E8"/>
    <w:rsid w:val="00062D9A"/>
    <w:rsid w:val="00064AD5"/>
    <w:rsid w:val="000652CD"/>
    <w:rsid w:val="00080179"/>
    <w:rsid w:val="0008176B"/>
    <w:rsid w:val="00081BB6"/>
    <w:rsid w:val="00083332"/>
    <w:rsid w:val="00092ABF"/>
    <w:rsid w:val="000931C4"/>
    <w:rsid w:val="00093B3A"/>
    <w:rsid w:val="000946CA"/>
    <w:rsid w:val="0009546B"/>
    <w:rsid w:val="0009718A"/>
    <w:rsid w:val="00097436"/>
    <w:rsid w:val="00097BCA"/>
    <w:rsid w:val="000A07B5"/>
    <w:rsid w:val="000A667D"/>
    <w:rsid w:val="000B3E47"/>
    <w:rsid w:val="000B4C43"/>
    <w:rsid w:val="000B6043"/>
    <w:rsid w:val="000C3581"/>
    <w:rsid w:val="000C4D45"/>
    <w:rsid w:val="000C7F1C"/>
    <w:rsid w:val="000D0186"/>
    <w:rsid w:val="000D0815"/>
    <w:rsid w:val="000D3B0A"/>
    <w:rsid w:val="000D4688"/>
    <w:rsid w:val="000D6394"/>
    <w:rsid w:val="000E07CC"/>
    <w:rsid w:val="000E0B55"/>
    <w:rsid w:val="000E57C4"/>
    <w:rsid w:val="000F0E6E"/>
    <w:rsid w:val="000F4439"/>
    <w:rsid w:val="000F74B4"/>
    <w:rsid w:val="001016F0"/>
    <w:rsid w:val="00101848"/>
    <w:rsid w:val="00112C30"/>
    <w:rsid w:val="00113935"/>
    <w:rsid w:val="00117712"/>
    <w:rsid w:val="00117C3F"/>
    <w:rsid w:val="001208AD"/>
    <w:rsid w:val="00120D3D"/>
    <w:rsid w:val="00121B00"/>
    <w:rsid w:val="00125FC3"/>
    <w:rsid w:val="001307AA"/>
    <w:rsid w:val="001321DC"/>
    <w:rsid w:val="00132F04"/>
    <w:rsid w:val="001348FA"/>
    <w:rsid w:val="0014084B"/>
    <w:rsid w:val="00140D4A"/>
    <w:rsid w:val="00142F1D"/>
    <w:rsid w:val="00146AD2"/>
    <w:rsid w:val="00147C10"/>
    <w:rsid w:val="0015110C"/>
    <w:rsid w:val="00153C1B"/>
    <w:rsid w:val="0015473D"/>
    <w:rsid w:val="0016108E"/>
    <w:rsid w:val="001673D8"/>
    <w:rsid w:val="00171A11"/>
    <w:rsid w:val="00172AAA"/>
    <w:rsid w:val="00174D67"/>
    <w:rsid w:val="00181A80"/>
    <w:rsid w:val="00183444"/>
    <w:rsid w:val="00185ADD"/>
    <w:rsid w:val="001870CD"/>
    <w:rsid w:val="00195299"/>
    <w:rsid w:val="0019607D"/>
    <w:rsid w:val="0019704D"/>
    <w:rsid w:val="00197E07"/>
    <w:rsid w:val="001A090F"/>
    <w:rsid w:val="001A0D90"/>
    <w:rsid w:val="001A38FB"/>
    <w:rsid w:val="001A7577"/>
    <w:rsid w:val="001B0775"/>
    <w:rsid w:val="001B0FFF"/>
    <w:rsid w:val="001B2E0B"/>
    <w:rsid w:val="001C02D1"/>
    <w:rsid w:val="001C39CD"/>
    <w:rsid w:val="001C4F4E"/>
    <w:rsid w:val="001C75CE"/>
    <w:rsid w:val="001D322D"/>
    <w:rsid w:val="001D3332"/>
    <w:rsid w:val="001D399B"/>
    <w:rsid w:val="001D4833"/>
    <w:rsid w:val="001D559B"/>
    <w:rsid w:val="001D7E21"/>
    <w:rsid w:val="001E0033"/>
    <w:rsid w:val="001E0106"/>
    <w:rsid w:val="001E0F87"/>
    <w:rsid w:val="001E2AA2"/>
    <w:rsid w:val="001E7BEE"/>
    <w:rsid w:val="001F05F8"/>
    <w:rsid w:val="001F0897"/>
    <w:rsid w:val="001F1E3D"/>
    <w:rsid w:val="001F20C6"/>
    <w:rsid w:val="001F5201"/>
    <w:rsid w:val="001F7E84"/>
    <w:rsid w:val="002006F0"/>
    <w:rsid w:val="00201EA3"/>
    <w:rsid w:val="00202587"/>
    <w:rsid w:val="00202FCD"/>
    <w:rsid w:val="002109D9"/>
    <w:rsid w:val="002114B3"/>
    <w:rsid w:val="00211603"/>
    <w:rsid w:val="0021326A"/>
    <w:rsid w:val="00213608"/>
    <w:rsid w:val="002226EA"/>
    <w:rsid w:val="002307CC"/>
    <w:rsid w:val="00231466"/>
    <w:rsid w:val="00233B7F"/>
    <w:rsid w:val="0023534E"/>
    <w:rsid w:val="0023654D"/>
    <w:rsid w:val="00236E0A"/>
    <w:rsid w:val="00240E68"/>
    <w:rsid w:val="00243B46"/>
    <w:rsid w:val="00244628"/>
    <w:rsid w:val="00245776"/>
    <w:rsid w:val="002501BF"/>
    <w:rsid w:val="00262775"/>
    <w:rsid w:val="002652B0"/>
    <w:rsid w:val="002657B0"/>
    <w:rsid w:val="00266295"/>
    <w:rsid w:val="00267B9B"/>
    <w:rsid w:val="002717DE"/>
    <w:rsid w:val="00276980"/>
    <w:rsid w:val="00284201"/>
    <w:rsid w:val="00286C4C"/>
    <w:rsid w:val="0029196D"/>
    <w:rsid w:val="002935DB"/>
    <w:rsid w:val="002936C0"/>
    <w:rsid w:val="002A3A9C"/>
    <w:rsid w:val="002A3C18"/>
    <w:rsid w:val="002A409A"/>
    <w:rsid w:val="002A49B0"/>
    <w:rsid w:val="002B5709"/>
    <w:rsid w:val="002B608F"/>
    <w:rsid w:val="002B6F6D"/>
    <w:rsid w:val="002C0B05"/>
    <w:rsid w:val="002C348D"/>
    <w:rsid w:val="002C5F6D"/>
    <w:rsid w:val="002C64CE"/>
    <w:rsid w:val="002C6BA6"/>
    <w:rsid w:val="002C733E"/>
    <w:rsid w:val="002D425E"/>
    <w:rsid w:val="002E0257"/>
    <w:rsid w:val="002E1A95"/>
    <w:rsid w:val="002E473B"/>
    <w:rsid w:val="002E499E"/>
    <w:rsid w:val="002F4CE3"/>
    <w:rsid w:val="002F6880"/>
    <w:rsid w:val="002F701C"/>
    <w:rsid w:val="003024EB"/>
    <w:rsid w:val="00303EA4"/>
    <w:rsid w:val="003052B3"/>
    <w:rsid w:val="003075E5"/>
    <w:rsid w:val="00321ABB"/>
    <w:rsid w:val="003221EF"/>
    <w:rsid w:val="003224A5"/>
    <w:rsid w:val="00322D66"/>
    <w:rsid w:val="003235E6"/>
    <w:rsid w:val="00326556"/>
    <w:rsid w:val="00330FD1"/>
    <w:rsid w:val="00334BDC"/>
    <w:rsid w:val="00336705"/>
    <w:rsid w:val="00337373"/>
    <w:rsid w:val="00341350"/>
    <w:rsid w:val="003426D9"/>
    <w:rsid w:val="00345EBE"/>
    <w:rsid w:val="00353133"/>
    <w:rsid w:val="00354AF9"/>
    <w:rsid w:val="00355874"/>
    <w:rsid w:val="00357864"/>
    <w:rsid w:val="003723E0"/>
    <w:rsid w:val="00376A6B"/>
    <w:rsid w:val="00391401"/>
    <w:rsid w:val="0039276C"/>
    <w:rsid w:val="00392A1A"/>
    <w:rsid w:val="003959DF"/>
    <w:rsid w:val="00396D74"/>
    <w:rsid w:val="003A1D66"/>
    <w:rsid w:val="003A3DDD"/>
    <w:rsid w:val="003A4767"/>
    <w:rsid w:val="003B5710"/>
    <w:rsid w:val="003C0022"/>
    <w:rsid w:val="003C0DB1"/>
    <w:rsid w:val="003C389D"/>
    <w:rsid w:val="003C3ABE"/>
    <w:rsid w:val="003C5370"/>
    <w:rsid w:val="003C7DC3"/>
    <w:rsid w:val="003D038B"/>
    <w:rsid w:val="003D2D6D"/>
    <w:rsid w:val="003D3013"/>
    <w:rsid w:val="003D4E72"/>
    <w:rsid w:val="003D525C"/>
    <w:rsid w:val="003D6BEE"/>
    <w:rsid w:val="003E1B07"/>
    <w:rsid w:val="003E1DF5"/>
    <w:rsid w:val="003E2264"/>
    <w:rsid w:val="003F62A6"/>
    <w:rsid w:val="00401843"/>
    <w:rsid w:val="004041D2"/>
    <w:rsid w:val="00404EE5"/>
    <w:rsid w:val="00410729"/>
    <w:rsid w:val="00410814"/>
    <w:rsid w:val="00410956"/>
    <w:rsid w:val="0041099C"/>
    <w:rsid w:val="0041160A"/>
    <w:rsid w:val="004116A3"/>
    <w:rsid w:val="00412099"/>
    <w:rsid w:val="0041261B"/>
    <w:rsid w:val="004148D3"/>
    <w:rsid w:val="00420A40"/>
    <w:rsid w:val="00420F26"/>
    <w:rsid w:val="00423997"/>
    <w:rsid w:val="0042452B"/>
    <w:rsid w:val="0042614C"/>
    <w:rsid w:val="00434083"/>
    <w:rsid w:val="0043510C"/>
    <w:rsid w:val="00441240"/>
    <w:rsid w:val="00441CF6"/>
    <w:rsid w:val="00446CE0"/>
    <w:rsid w:val="00453F40"/>
    <w:rsid w:val="004546E5"/>
    <w:rsid w:val="004572E7"/>
    <w:rsid w:val="0045744D"/>
    <w:rsid w:val="004612A6"/>
    <w:rsid w:val="00461A7A"/>
    <w:rsid w:val="00463784"/>
    <w:rsid w:val="004705F0"/>
    <w:rsid w:val="00470A53"/>
    <w:rsid w:val="00477BA5"/>
    <w:rsid w:val="00481A7D"/>
    <w:rsid w:val="00482040"/>
    <w:rsid w:val="00484CAA"/>
    <w:rsid w:val="00491219"/>
    <w:rsid w:val="00491B2B"/>
    <w:rsid w:val="00497B4A"/>
    <w:rsid w:val="004A109F"/>
    <w:rsid w:val="004A3753"/>
    <w:rsid w:val="004A524D"/>
    <w:rsid w:val="004B0FF8"/>
    <w:rsid w:val="004B18ED"/>
    <w:rsid w:val="004B5CCE"/>
    <w:rsid w:val="004C032E"/>
    <w:rsid w:val="004C1497"/>
    <w:rsid w:val="004D4A06"/>
    <w:rsid w:val="004D519B"/>
    <w:rsid w:val="004E0015"/>
    <w:rsid w:val="004E1B80"/>
    <w:rsid w:val="004E1D62"/>
    <w:rsid w:val="004E2F74"/>
    <w:rsid w:val="004E4127"/>
    <w:rsid w:val="004E6C22"/>
    <w:rsid w:val="004E715D"/>
    <w:rsid w:val="004F37BF"/>
    <w:rsid w:val="004F40EB"/>
    <w:rsid w:val="00501007"/>
    <w:rsid w:val="00501B2A"/>
    <w:rsid w:val="005078DB"/>
    <w:rsid w:val="005129BB"/>
    <w:rsid w:val="00512BEE"/>
    <w:rsid w:val="00513AC3"/>
    <w:rsid w:val="0051536E"/>
    <w:rsid w:val="00515AC3"/>
    <w:rsid w:val="005206D3"/>
    <w:rsid w:val="00521493"/>
    <w:rsid w:val="0052413A"/>
    <w:rsid w:val="00526A09"/>
    <w:rsid w:val="00530EB1"/>
    <w:rsid w:val="0053672A"/>
    <w:rsid w:val="00537A0F"/>
    <w:rsid w:val="00540865"/>
    <w:rsid w:val="005409CC"/>
    <w:rsid w:val="00540E7A"/>
    <w:rsid w:val="00550C6D"/>
    <w:rsid w:val="00550EBD"/>
    <w:rsid w:val="00551759"/>
    <w:rsid w:val="00551E8B"/>
    <w:rsid w:val="00552366"/>
    <w:rsid w:val="0055523A"/>
    <w:rsid w:val="00562445"/>
    <w:rsid w:val="005626B2"/>
    <w:rsid w:val="005637C7"/>
    <w:rsid w:val="005638E4"/>
    <w:rsid w:val="00564564"/>
    <w:rsid w:val="00566368"/>
    <w:rsid w:val="0057283C"/>
    <w:rsid w:val="00576FDA"/>
    <w:rsid w:val="00577851"/>
    <w:rsid w:val="00581312"/>
    <w:rsid w:val="00586B03"/>
    <w:rsid w:val="00587A25"/>
    <w:rsid w:val="00587B10"/>
    <w:rsid w:val="005917A4"/>
    <w:rsid w:val="00593D5D"/>
    <w:rsid w:val="005968FD"/>
    <w:rsid w:val="00596FE4"/>
    <w:rsid w:val="005B0FEE"/>
    <w:rsid w:val="005B3E79"/>
    <w:rsid w:val="005B75BE"/>
    <w:rsid w:val="005C0FD8"/>
    <w:rsid w:val="005C10B9"/>
    <w:rsid w:val="005C1A3E"/>
    <w:rsid w:val="005C207F"/>
    <w:rsid w:val="005C31B8"/>
    <w:rsid w:val="005C68A1"/>
    <w:rsid w:val="005D0EA5"/>
    <w:rsid w:val="005D1B2D"/>
    <w:rsid w:val="005D233F"/>
    <w:rsid w:val="005D411D"/>
    <w:rsid w:val="005D52B1"/>
    <w:rsid w:val="005D5562"/>
    <w:rsid w:val="005D5610"/>
    <w:rsid w:val="005D5CB4"/>
    <w:rsid w:val="005D6F8C"/>
    <w:rsid w:val="005D785C"/>
    <w:rsid w:val="005E43A2"/>
    <w:rsid w:val="005E7336"/>
    <w:rsid w:val="005F0121"/>
    <w:rsid w:val="005F1FAD"/>
    <w:rsid w:val="005F6832"/>
    <w:rsid w:val="00600848"/>
    <w:rsid w:val="00611455"/>
    <w:rsid w:val="00615CFB"/>
    <w:rsid w:val="006160C9"/>
    <w:rsid w:val="006200D1"/>
    <w:rsid w:val="00621BE4"/>
    <w:rsid w:val="00632F44"/>
    <w:rsid w:val="006330B4"/>
    <w:rsid w:val="0063581C"/>
    <w:rsid w:val="006401D1"/>
    <w:rsid w:val="006443EC"/>
    <w:rsid w:val="0065019A"/>
    <w:rsid w:val="00651527"/>
    <w:rsid w:val="00652D7B"/>
    <w:rsid w:val="0065311C"/>
    <w:rsid w:val="0065371B"/>
    <w:rsid w:val="00656EF6"/>
    <w:rsid w:val="00662264"/>
    <w:rsid w:val="00662500"/>
    <w:rsid w:val="00662834"/>
    <w:rsid w:val="00665897"/>
    <w:rsid w:val="00667C36"/>
    <w:rsid w:val="00673869"/>
    <w:rsid w:val="0067417C"/>
    <w:rsid w:val="0068394F"/>
    <w:rsid w:val="00684099"/>
    <w:rsid w:val="00690565"/>
    <w:rsid w:val="00691AE8"/>
    <w:rsid w:val="00693411"/>
    <w:rsid w:val="006935E3"/>
    <w:rsid w:val="00693BBA"/>
    <w:rsid w:val="00695EBA"/>
    <w:rsid w:val="0069729D"/>
    <w:rsid w:val="006979E5"/>
    <w:rsid w:val="006A137C"/>
    <w:rsid w:val="006A2564"/>
    <w:rsid w:val="006A275E"/>
    <w:rsid w:val="006A301C"/>
    <w:rsid w:val="006A3DC5"/>
    <w:rsid w:val="006A7051"/>
    <w:rsid w:val="006B2020"/>
    <w:rsid w:val="006B78AF"/>
    <w:rsid w:val="006C4519"/>
    <w:rsid w:val="006C7242"/>
    <w:rsid w:val="006D4B1B"/>
    <w:rsid w:val="006D6DB0"/>
    <w:rsid w:val="006D7CB1"/>
    <w:rsid w:val="006E087E"/>
    <w:rsid w:val="006E2272"/>
    <w:rsid w:val="006E2A90"/>
    <w:rsid w:val="006E35C5"/>
    <w:rsid w:val="006E5343"/>
    <w:rsid w:val="006E6495"/>
    <w:rsid w:val="006F0CEA"/>
    <w:rsid w:val="006F165A"/>
    <w:rsid w:val="006F4B40"/>
    <w:rsid w:val="006F6090"/>
    <w:rsid w:val="006F76B2"/>
    <w:rsid w:val="00702F29"/>
    <w:rsid w:val="0070449E"/>
    <w:rsid w:val="00704584"/>
    <w:rsid w:val="00705C32"/>
    <w:rsid w:val="0070619A"/>
    <w:rsid w:val="0070627A"/>
    <w:rsid w:val="0070665A"/>
    <w:rsid w:val="00712A0D"/>
    <w:rsid w:val="00712B9F"/>
    <w:rsid w:val="00714FA7"/>
    <w:rsid w:val="00715395"/>
    <w:rsid w:val="007242AE"/>
    <w:rsid w:val="00733B67"/>
    <w:rsid w:val="007344ED"/>
    <w:rsid w:val="007374B5"/>
    <w:rsid w:val="00737B6D"/>
    <w:rsid w:val="00737E0F"/>
    <w:rsid w:val="00743B0A"/>
    <w:rsid w:val="0074430C"/>
    <w:rsid w:val="00747D5E"/>
    <w:rsid w:val="007511F1"/>
    <w:rsid w:val="00751F49"/>
    <w:rsid w:val="007545CD"/>
    <w:rsid w:val="00755C07"/>
    <w:rsid w:val="00760930"/>
    <w:rsid w:val="00760E3B"/>
    <w:rsid w:val="00765C54"/>
    <w:rsid w:val="00767ECF"/>
    <w:rsid w:val="0077205D"/>
    <w:rsid w:val="00772AC9"/>
    <w:rsid w:val="00775F6B"/>
    <w:rsid w:val="00776332"/>
    <w:rsid w:val="0079077E"/>
    <w:rsid w:val="00795C84"/>
    <w:rsid w:val="00796A05"/>
    <w:rsid w:val="007A5C08"/>
    <w:rsid w:val="007A6465"/>
    <w:rsid w:val="007A65FC"/>
    <w:rsid w:val="007A7DBD"/>
    <w:rsid w:val="007B0154"/>
    <w:rsid w:val="007B032C"/>
    <w:rsid w:val="007B1107"/>
    <w:rsid w:val="007B1487"/>
    <w:rsid w:val="007B4DEE"/>
    <w:rsid w:val="007C102D"/>
    <w:rsid w:val="007C1CBE"/>
    <w:rsid w:val="007C3700"/>
    <w:rsid w:val="007E2131"/>
    <w:rsid w:val="007E2A9B"/>
    <w:rsid w:val="007E4844"/>
    <w:rsid w:val="007E4D22"/>
    <w:rsid w:val="007F17B0"/>
    <w:rsid w:val="007F3F8A"/>
    <w:rsid w:val="007F5B7B"/>
    <w:rsid w:val="007F6FC0"/>
    <w:rsid w:val="007F72AC"/>
    <w:rsid w:val="007F7759"/>
    <w:rsid w:val="00802B03"/>
    <w:rsid w:val="00802B42"/>
    <w:rsid w:val="00803041"/>
    <w:rsid w:val="00805070"/>
    <w:rsid w:val="008134D3"/>
    <w:rsid w:val="00813D02"/>
    <w:rsid w:val="0081491F"/>
    <w:rsid w:val="00817916"/>
    <w:rsid w:val="0082199A"/>
    <w:rsid w:val="008219EE"/>
    <w:rsid w:val="00821C3E"/>
    <w:rsid w:val="0083241C"/>
    <w:rsid w:val="0083303A"/>
    <w:rsid w:val="00841B91"/>
    <w:rsid w:val="00843653"/>
    <w:rsid w:val="008442BA"/>
    <w:rsid w:val="00851C35"/>
    <w:rsid w:val="00851DE9"/>
    <w:rsid w:val="00851E02"/>
    <w:rsid w:val="00855DFD"/>
    <w:rsid w:val="008571E8"/>
    <w:rsid w:val="008601D7"/>
    <w:rsid w:val="00862485"/>
    <w:rsid w:val="0086540C"/>
    <w:rsid w:val="00865981"/>
    <w:rsid w:val="0086719F"/>
    <w:rsid w:val="008676F2"/>
    <w:rsid w:val="00873274"/>
    <w:rsid w:val="00876131"/>
    <w:rsid w:val="00876F1C"/>
    <w:rsid w:val="008774E1"/>
    <w:rsid w:val="00877CB4"/>
    <w:rsid w:val="008817E2"/>
    <w:rsid w:val="00881F44"/>
    <w:rsid w:val="008837E1"/>
    <w:rsid w:val="00885035"/>
    <w:rsid w:val="00893DCF"/>
    <w:rsid w:val="008951B7"/>
    <w:rsid w:val="008A1CE6"/>
    <w:rsid w:val="008A46BD"/>
    <w:rsid w:val="008A7057"/>
    <w:rsid w:val="008A7FDB"/>
    <w:rsid w:val="008B3942"/>
    <w:rsid w:val="008C16F7"/>
    <w:rsid w:val="008C285C"/>
    <w:rsid w:val="008C3243"/>
    <w:rsid w:val="008C4F87"/>
    <w:rsid w:val="008C7179"/>
    <w:rsid w:val="008D4428"/>
    <w:rsid w:val="008E01AA"/>
    <w:rsid w:val="008E0479"/>
    <w:rsid w:val="008E18AD"/>
    <w:rsid w:val="008E68D3"/>
    <w:rsid w:val="008F0836"/>
    <w:rsid w:val="008F08EB"/>
    <w:rsid w:val="008F11E3"/>
    <w:rsid w:val="008F49D1"/>
    <w:rsid w:val="008F633C"/>
    <w:rsid w:val="00902D22"/>
    <w:rsid w:val="009056F9"/>
    <w:rsid w:val="009066AE"/>
    <w:rsid w:val="0091454C"/>
    <w:rsid w:val="00915ACF"/>
    <w:rsid w:val="00916FDC"/>
    <w:rsid w:val="00917F0D"/>
    <w:rsid w:val="00923E90"/>
    <w:rsid w:val="0092407D"/>
    <w:rsid w:val="009326BB"/>
    <w:rsid w:val="00932945"/>
    <w:rsid w:val="009332B2"/>
    <w:rsid w:val="00933FD4"/>
    <w:rsid w:val="009349A5"/>
    <w:rsid w:val="00935CD1"/>
    <w:rsid w:val="00937A3F"/>
    <w:rsid w:val="00937A48"/>
    <w:rsid w:val="00943D39"/>
    <w:rsid w:val="00946E5C"/>
    <w:rsid w:val="0095197E"/>
    <w:rsid w:val="00955039"/>
    <w:rsid w:val="0095780E"/>
    <w:rsid w:val="00964A8A"/>
    <w:rsid w:val="00964D66"/>
    <w:rsid w:val="00971055"/>
    <w:rsid w:val="0097224B"/>
    <w:rsid w:val="0097251E"/>
    <w:rsid w:val="009725CF"/>
    <w:rsid w:val="009753C7"/>
    <w:rsid w:val="009763F3"/>
    <w:rsid w:val="00977802"/>
    <w:rsid w:val="00981B74"/>
    <w:rsid w:val="00986A53"/>
    <w:rsid w:val="00986BD5"/>
    <w:rsid w:val="00986EC6"/>
    <w:rsid w:val="00986F45"/>
    <w:rsid w:val="0099029A"/>
    <w:rsid w:val="0099086E"/>
    <w:rsid w:val="009940F1"/>
    <w:rsid w:val="009A0331"/>
    <w:rsid w:val="009A195D"/>
    <w:rsid w:val="009B4508"/>
    <w:rsid w:val="009B483C"/>
    <w:rsid w:val="009B5A67"/>
    <w:rsid w:val="009B70CE"/>
    <w:rsid w:val="009C7047"/>
    <w:rsid w:val="009D19BD"/>
    <w:rsid w:val="009D245E"/>
    <w:rsid w:val="009D657F"/>
    <w:rsid w:val="009D7B3D"/>
    <w:rsid w:val="009E5E24"/>
    <w:rsid w:val="009F06F1"/>
    <w:rsid w:val="009F136C"/>
    <w:rsid w:val="009F341E"/>
    <w:rsid w:val="009F4D27"/>
    <w:rsid w:val="009F5131"/>
    <w:rsid w:val="009F6291"/>
    <w:rsid w:val="00A028F8"/>
    <w:rsid w:val="00A12346"/>
    <w:rsid w:val="00A12C57"/>
    <w:rsid w:val="00A16210"/>
    <w:rsid w:val="00A1799F"/>
    <w:rsid w:val="00A269A8"/>
    <w:rsid w:val="00A26E39"/>
    <w:rsid w:val="00A30274"/>
    <w:rsid w:val="00A30B8A"/>
    <w:rsid w:val="00A4148D"/>
    <w:rsid w:val="00A432F7"/>
    <w:rsid w:val="00A447BC"/>
    <w:rsid w:val="00A4788F"/>
    <w:rsid w:val="00A4791F"/>
    <w:rsid w:val="00A51EFA"/>
    <w:rsid w:val="00A55C53"/>
    <w:rsid w:val="00A601A0"/>
    <w:rsid w:val="00A604A0"/>
    <w:rsid w:val="00A6650E"/>
    <w:rsid w:val="00A6735D"/>
    <w:rsid w:val="00A71371"/>
    <w:rsid w:val="00A72325"/>
    <w:rsid w:val="00A72D24"/>
    <w:rsid w:val="00A73995"/>
    <w:rsid w:val="00A76B82"/>
    <w:rsid w:val="00A77F23"/>
    <w:rsid w:val="00A816E5"/>
    <w:rsid w:val="00A8181E"/>
    <w:rsid w:val="00A818B3"/>
    <w:rsid w:val="00A83CFE"/>
    <w:rsid w:val="00A87E64"/>
    <w:rsid w:val="00A91438"/>
    <w:rsid w:val="00A92B2A"/>
    <w:rsid w:val="00A953AE"/>
    <w:rsid w:val="00A960F4"/>
    <w:rsid w:val="00A9658A"/>
    <w:rsid w:val="00AA3DDF"/>
    <w:rsid w:val="00AB11D7"/>
    <w:rsid w:val="00AB5587"/>
    <w:rsid w:val="00AC2313"/>
    <w:rsid w:val="00AC2C45"/>
    <w:rsid w:val="00AC2ED8"/>
    <w:rsid w:val="00AC5719"/>
    <w:rsid w:val="00AC5B83"/>
    <w:rsid w:val="00AC7010"/>
    <w:rsid w:val="00AC7188"/>
    <w:rsid w:val="00AD00E1"/>
    <w:rsid w:val="00AD0275"/>
    <w:rsid w:val="00AD1E6D"/>
    <w:rsid w:val="00AD3BBB"/>
    <w:rsid w:val="00AD4214"/>
    <w:rsid w:val="00AD631D"/>
    <w:rsid w:val="00AD7D93"/>
    <w:rsid w:val="00AE0590"/>
    <w:rsid w:val="00AE6941"/>
    <w:rsid w:val="00AF0E34"/>
    <w:rsid w:val="00AF3678"/>
    <w:rsid w:val="00B00DA6"/>
    <w:rsid w:val="00B01F16"/>
    <w:rsid w:val="00B02991"/>
    <w:rsid w:val="00B03B99"/>
    <w:rsid w:val="00B04EB1"/>
    <w:rsid w:val="00B0695E"/>
    <w:rsid w:val="00B07853"/>
    <w:rsid w:val="00B10EED"/>
    <w:rsid w:val="00B110E9"/>
    <w:rsid w:val="00B13308"/>
    <w:rsid w:val="00B1458F"/>
    <w:rsid w:val="00B158D7"/>
    <w:rsid w:val="00B171C8"/>
    <w:rsid w:val="00B201FD"/>
    <w:rsid w:val="00B209C8"/>
    <w:rsid w:val="00B21C6D"/>
    <w:rsid w:val="00B227E6"/>
    <w:rsid w:val="00B2313F"/>
    <w:rsid w:val="00B250BC"/>
    <w:rsid w:val="00B26586"/>
    <w:rsid w:val="00B27443"/>
    <w:rsid w:val="00B27ACD"/>
    <w:rsid w:val="00B31014"/>
    <w:rsid w:val="00B321F4"/>
    <w:rsid w:val="00B33FE0"/>
    <w:rsid w:val="00B35B30"/>
    <w:rsid w:val="00B35C70"/>
    <w:rsid w:val="00B37287"/>
    <w:rsid w:val="00B40DAC"/>
    <w:rsid w:val="00B62004"/>
    <w:rsid w:val="00B7003D"/>
    <w:rsid w:val="00B74126"/>
    <w:rsid w:val="00B746ED"/>
    <w:rsid w:val="00B7728E"/>
    <w:rsid w:val="00B77E3E"/>
    <w:rsid w:val="00B8478C"/>
    <w:rsid w:val="00B855E2"/>
    <w:rsid w:val="00B9002B"/>
    <w:rsid w:val="00B909DA"/>
    <w:rsid w:val="00B90CA3"/>
    <w:rsid w:val="00B91DA7"/>
    <w:rsid w:val="00B933B5"/>
    <w:rsid w:val="00BA0551"/>
    <w:rsid w:val="00BA05B5"/>
    <w:rsid w:val="00BA4AD8"/>
    <w:rsid w:val="00BB0981"/>
    <w:rsid w:val="00BC299A"/>
    <w:rsid w:val="00BC3ABA"/>
    <w:rsid w:val="00BC4FA6"/>
    <w:rsid w:val="00BC5F26"/>
    <w:rsid w:val="00BD0AD4"/>
    <w:rsid w:val="00BD0FFE"/>
    <w:rsid w:val="00BD252E"/>
    <w:rsid w:val="00BD5E1E"/>
    <w:rsid w:val="00BE061A"/>
    <w:rsid w:val="00BE43D8"/>
    <w:rsid w:val="00BE59DE"/>
    <w:rsid w:val="00BE5E90"/>
    <w:rsid w:val="00BF0274"/>
    <w:rsid w:val="00BF6FC6"/>
    <w:rsid w:val="00C000FA"/>
    <w:rsid w:val="00C00EFD"/>
    <w:rsid w:val="00C01842"/>
    <w:rsid w:val="00C044FA"/>
    <w:rsid w:val="00C075A6"/>
    <w:rsid w:val="00C10CAF"/>
    <w:rsid w:val="00C1293B"/>
    <w:rsid w:val="00C20CB9"/>
    <w:rsid w:val="00C22719"/>
    <w:rsid w:val="00C23E02"/>
    <w:rsid w:val="00C30C16"/>
    <w:rsid w:val="00C341B8"/>
    <w:rsid w:val="00C355DA"/>
    <w:rsid w:val="00C36CE3"/>
    <w:rsid w:val="00C374F4"/>
    <w:rsid w:val="00C37CCA"/>
    <w:rsid w:val="00C4051D"/>
    <w:rsid w:val="00C431A1"/>
    <w:rsid w:val="00C43641"/>
    <w:rsid w:val="00C507D1"/>
    <w:rsid w:val="00C617F5"/>
    <w:rsid w:val="00C619EF"/>
    <w:rsid w:val="00C61DB6"/>
    <w:rsid w:val="00C676FF"/>
    <w:rsid w:val="00C72D3B"/>
    <w:rsid w:val="00C744AA"/>
    <w:rsid w:val="00C7599C"/>
    <w:rsid w:val="00C76FF8"/>
    <w:rsid w:val="00C848A9"/>
    <w:rsid w:val="00C856BB"/>
    <w:rsid w:val="00C90253"/>
    <w:rsid w:val="00C91D94"/>
    <w:rsid w:val="00C92C95"/>
    <w:rsid w:val="00C94267"/>
    <w:rsid w:val="00C955E3"/>
    <w:rsid w:val="00CA45F2"/>
    <w:rsid w:val="00CA541A"/>
    <w:rsid w:val="00CB0C66"/>
    <w:rsid w:val="00CC02D9"/>
    <w:rsid w:val="00CC32B9"/>
    <w:rsid w:val="00CC3CC1"/>
    <w:rsid w:val="00CC59E9"/>
    <w:rsid w:val="00CD6F15"/>
    <w:rsid w:val="00CE1349"/>
    <w:rsid w:val="00CE5AA4"/>
    <w:rsid w:val="00CF1228"/>
    <w:rsid w:val="00CF1613"/>
    <w:rsid w:val="00D02651"/>
    <w:rsid w:val="00D0273E"/>
    <w:rsid w:val="00D03C4A"/>
    <w:rsid w:val="00D10CA1"/>
    <w:rsid w:val="00D13135"/>
    <w:rsid w:val="00D13BCE"/>
    <w:rsid w:val="00D14E4A"/>
    <w:rsid w:val="00D16ADD"/>
    <w:rsid w:val="00D176D6"/>
    <w:rsid w:val="00D241CB"/>
    <w:rsid w:val="00D27DBB"/>
    <w:rsid w:val="00D31D18"/>
    <w:rsid w:val="00D34123"/>
    <w:rsid w:val="00D361CE"/>
    <w:rsid w:val="00D36BB6"/>
    <w:rsid w:val="00D4150C"/>
    <w:rsid w:val="00D46177"/>
    <w:rsid w:val="00D47132"/>
    <w:rsid w:val="00D50A29"/>
    <w:rsid w:val="00D50DE7"/>
    <w:rsid w:val="00D51928"/>
    <w:rsid w:val="00D522E5"/>
    <w:rsid w:val="00D5313F"/>
    <w:rsid w:val="00D56C88"/>
    <w:rsid w:val="00D6001D"/>
    <w:rsid w:val="00D67230"/>
    <w:rsid w:val="00D6748E"/>
    <w:rsid w:val="00D70E48"/>
    <w:rsid w:val="00D75A1F"/>
    <w:rsid w:val="00D773C3"/>
    <w:rsid w:val="00D85C2A"/>
    <w:rsid w:val="00D90080"/>
    <w:rsid w:val="00D937D5"/>
    <w:rsid w:val="00D9447E"/>
    <w:rsid w:val="00D9538E"/>
    <w:rsid w:val="00DA0684"/>
    <w:rsid w:val="00DA2FBB"/>
    <w:rsid w:val="00DA536B"/>
    <w:rsid w:val="00DA5AAF"/>
    <w:rsid w:val="00DA6E71"/>
    <w:rsid w:val="00DA7965"/>
    <w:rsid w:val="00DB1D72"/>
    <w:rsid w:val="00DB45AC"/>
    <w:rsid w:val="00DB4DEF"/>
    <w:rsid w:val="00DB6789"/>
    <w:rsid w:val="00DC219A"/>
    <w:rsid w:val="00DD2056"/>
    <w:rsid w:val="00DD6A57"/>
    <w:rsid w:val="00DE0946"/>
    <w:rsid w:val="00DE0B0B"/>
    <w:rsid w:val="00DE3A2F"/>
    <w:rsid w:val="00DE4EB6"/>
    <w:rsid w:val="00DE7C90"/>
    <w:rsid w:val="00DF039F"/>
    <w:rsid w:val="00DF18C5"/>
    <w:rsid w:val="00DF79B1"/>
    <w:rsid w:val="00E03484"/>
    <w:rsid w:val="00E03B40"/>
    <w:rsid w:val="00E049D7"/>
    <w:rsid w:val="00E058CC"/>
    <w:rsid w:val="00E06E0C"/>
    <w:rsid w:val="00E1407D"/>
    <w:rsid w:val="00E142B1"/>
    <w:rsid w:val="00E14EB6"/>
    <w:rsid w:val="00E26D7B"/>
    <w:rsid w:val="00E3355C"/>
    <w:rsid w:val="00E33A4D"/>
    <w:rsid w:val="00E36F5A"/>
    <w:rsid w:val="00E4146A"/>
    <w:rsid w:val="00E4451B"/>
    <w:rsid w:val="00E463C9"/>
    <w:rsid w:val="00E54092"/>
    <w:rsid w:val="00E54145"/>
    <w:rsid w:val="00E57411"/>
    <w:rsid w:val="00E6382C"/>
    <w:rsid w:val="00E70037"/>
    <w:rsid w:val="00E75F67"/>
    <w:rsid w:val="00E766A4"/>
    <w:rsid w:val="00E7792D"/>
    <w:rsid w:val="00E82F1A"/>
    <w:rsid w:val="00E83611"/>
    <w:rsid w:val="00E837CC"/>
    <w:rsid w:val="00E87683"/>
    <w:rsid w:val="00E90CDB"/>
    <w:rsid w:val="00E91443"/>
    <w:rsid w:val="00E914CB"/>
    <w:rsid w:val="00E97447"/>
    <w:rsid w:val="00EA20F2"/>
    <w:rsid w:val="00EA41F9"/>
    <w:rsid w:val="00EA505B"/>
    <w:rsid w:val="00EB54F4"/>
    <w:rsid w:val="00EB759E"/>
    <w:rsid w:val="00ED0C56"/>
    <w:rsid w:val="00ED1AF6"/>
    <w:rsid w:val="00ED3A91"/>
    <w:rsid w:val="00ED5A9A"/>
    <w:rsid w:val="00ED5CFA"/>
    <w:rsid w:val="00EE2A2C"/>
    <w:rsid w:val="00EF1667"/>
    <w:rsid w:val="00EF2F0A"/>
    <w:rsid w:val="00F0774E"/>
    <w:rsid w:val="00F10A5A"/>
    <w:rsid w:val="00F13A4D"/>
    <w:rsid w:val="00F14473"/>
    <w:rsid w:val="00F14874"/>
    <w:rsid w:val="00F157F9"/>
    <w:rsid w:val="00F25806"/>
    <w:rsid w:val="00F26EDE"/>
    <w:rsid w:val="00F275CA"/>
    <w:rsid w:val="00F328E2"/>
    <w:rsid w:val="00F36946"/>
    <w:rsid w:val="00F4376D"/>
    <w:rsid w:val="00F476D7"/>
    <w:rsid w:val="00F50B87"/>
    <w:rsid w:val="00F52F5A"/>
    <w:rsid w:val="00F53797"/>
    <w:rsid w:val="00F54F37"/>
    <w:rsid w:val="00F55A99"/>
    <w:rsid w:val="00F56DEE"/>
    <w:rsid w:val="00F56EF7"/>
    <w:rsid w:val="00F60D1F"/>
    <w:rsid w:val="00F62CDF"/>
    <w:rsid w:val="00F677F9"/>
    <w:rsid w:val="00F73181"/>
    <w:rsid w:val="00F83B86"/>
    <w:rsid w:val="00F84E1D"/>
    <w:rsid w:val="00F854D4"/>
    <w:rsid w:val="00F8664A"/>
    <w:rsid w:val="00F869D3"/>
    <w:rsid w:val="00F91207"/>
    <w:rsid w:val="00F91372"/>
    <w:rsid w:val="00F9675B"/>
    <w:rsid w:val="00F96ABD"/>
    <w:rsid w:val="00F97540"/>
    <w:rsid w:val="00FA0419"/>
    <w:rsid w:val="00FA3273"/>
    <w:rsid w:val="00FB693A"/>
    <w:rsid w:val="00FC2060"/>
    <w:rsid w:val="00FC2748"/>
    <w:rsid w:val="00FC3BA5"/>
    <w:rsid w:val="00FC424F"/>
    <w:rsid w:val="00FC4324"/>
    <w:rsid w:val="00FC458A"/>
    <w:rsid w:val="00FD2062"/>
    <w:rsid w:val="00FD235C"/>
    <w:rsid w:val="00FD2A3E"/>
    <w:rsid w:val="00FD4988"/>
    <w:rsid w:val="00FE3722"/>
    <w:rsid w:val="00FE4633"/>
    <w:rsid w:val="00FF3E8F"/>
    <w:rsid w:val="00FF41B4"/>
    <w:rsid w:val="00FF541E"/>
    <w:rsid w:val="00FF67B2"/>
    <w:rsid w:val="00FF67F8"/>
    <w:rsid w:val="00FF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E03C6"/>
  <w15:chartTrackingRefBased/>
  <w15:docId w15:val="{E52439F2-6DAB-4191-B9B9-704295C7D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5778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778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778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778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778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778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778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778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778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778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778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778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77851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77851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77851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77851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77851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77851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5778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778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5778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5778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5778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577851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577851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577851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778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77851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577851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l"/>
    <w:uiPriority w:val="1"/>
    <w:qFormat/>
    <w:rsid w:val="000D3B0A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Hiperhivatkozs">
    <w:name w:val="Hyperlink"/>
    <w:basedOn w:val="Bekezdsalapbettpusa"/>
    <w:uiPriority w:val="99"/>
    <w:unhideWhenUsed/>
    <w:rsid w:val="00E54145"/>
    <w:rPr>
      <w:color w:val="467886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54145"/>
    <w:rPr>
      <w:color w:val="605E5C"/>
      <w:shd w:val="clear" w:color="auto" w:fill="E1DFDD"/>
    </w:rPr>
  </w:style>
  <w:style w:type="character" w:styleId="Jegyzethivatkozs">
    <w:name w:val="annotation reference"/>
    <w:basedOn w:val="Bekezdsalapbettpusa"/>
    <w:uiPriority w:val="99"/>
    <w:semiHidden/>
    <w:unhideWhenUsed/>
    <w:rsid w:val="004041D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41D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41D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41D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041D2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D03C4A"/>
    <w:pPr>
      <w:spacing w:after="0" w:line="240" w:lineRule="auto"/>
    </w:pPr>
  </w:style>
  <w:style w:type="paragraph" w:styleId="Kpalrs">
    <w:name w:val="caption"/>
    <w:basedOn w:val="Norml"/>
    <w:next w:val="Norml"/>
    <w:uiPriority w:val="35"/>
    <w:unhideWhenUsed/>
    <w:qFormat/>
    <w:rsid w:val="00751F49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619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619EF"/>
    <w:rPr>
      <w:rFonts w:ascii="Segoe UI" w:hAnsi="Segoe UI" w:cs="Segoe UI"/>
      <w:sz w:val="18"/>
      <w:szCs w:val="18"/>
    </w:rPr>
  </w:style>
  <w:style w:type="character" w:styleId="Mrltotthiperhivatkozs">
    <w:name w:val="FollowedHyperlink"/>
    <w:basedOn w:val="Bekezdsalapbettpusa"/>
    <w:uiPriority w:val="99"/>
    <w:semiHidden/>
    <w:unhideWhenUsed/>
    <w:rsid w:val="008F0836"/>
    <w:rPr>
      <w:color w:val="96607D" w:themeColor="followed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1F0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F0897"/>
  </w:style>
  <w:style w:type="paragraph" w:styleId="llb">
    <w:name w:val="footer"/>
    <w:basedOn w:val="Norml"/>
    <w:link w:val="llbChar"/>
    <w:uiPriority w:val="99"/>
    <w:unhideWhenUsed/>
    <w:rsid w:val="001F08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F0897"/>
  </w:style>
  <w:style w:type="paragraph" w:styleId="Nincstrkz">
    <w:name w:val="No Spacing"/>
    <w:uiPriority w:val="1"/>
    <w:qFormat/>
    <w:rsid w:val="00A91438"/>
    <w:pPr>
      <w:spacing w:after="0" w:line="240" w:lineRule="auto"/>
    </w:pPr>
    <w:rPr>
      <w:rFonts w:ascii="Calibri" w:eastAsia="SimSu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33</Pages>
  <Words>12238</Words>
  <Characters>84444</Characters>
  <Application>Microsoft Office Word</Application>
  <DocSecurity>0</DocSecurity>
  <Lines>703</Lines>
  <Paragraphs>192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EGIS PLC</Company>
  <LinksUpToDate>false</LinksUpToDate>
  <CharactersWithSpaces>96490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Egis_001_KK</dc:creator>
  <cp:keywords/>
  <dc:description/>
  <cp:lastModifiedBy>HU OGYI 8.2</cp:lastModifiedBy>
  <cp:revision>18</cp:revision>
  <dcterms:created xsi:type="dcterms:W3CDTF">2024-07-25T06:18:00Z</dcterms:created>
  <dcterms:modified xsi:type="dcterms:W3CDTF">2024-11-06T09:55:00Z</dcterms:modified>
</cp:coreProperties>
</file>