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0CEC1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GYÓGYSZER NEVE</w:t>
      </w:r>
    </w:p>
    <w:p w14:paraId="1A48AD90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5D12C7DA" w14:textId="7EA8885F" w:rsidR="005E22BE" w:rsidRPr="004A00F4" w:rsidRDefault="00A9547A" w:rsidP="004A00F4">
      <w:pPr>
        <w:pStyle w:val="Szvegtrzs"/>
        <w:contextualSpacing/>
      </w:pPr>
      <w:r w:rsidRPr="004A00F4">
        <w:rPr>
          <w:lang w:bidi="hu-HU"/>
        </w:rPr>
        <w:t>Teicoplanin Anfarm 200 mg por és oldószer oldatos injekcióhoz/infúzióhoz vagy belsőleges oldathoz</w:t>
      </w:r>
    </w:p>
    <w:p w14:paraId="3489F0DB" w14:textId="4F218CC2" w:rsidR="005E22BE" w:rsidRPr="004A00F4" w:rsidRDefault="00A9547A" w:rsidP="004A00F4">
      <w:pPr>
        <w:pStyle w:val="Szvegtrzs"/>
        <w:contextualSpacing/>
      </w:pPr>
      <w:r w:rsidRPr="004A00F4">
        <w:rPr>
          <w:lang w:bidi="hu-HU"/>
        </w:rPr>
        <w:t>Teicoplanin Anfarm 400 mg por és oldószer oldatos injekcióhoz/infúzióhoz vagy belsőleges oldathoz</w:t>
      </w:r>
    </w:p>
    <w:p w14:paraId="6DA957C1" w14:textId="77777777" w:rsidR="001F7224" w:rsidRPr="004A00F4" w:rsidRDefault="001F7224" w:rsidP="004A00F4">
      <w:pPr>
        <w:pStyle w:val="Szvegtrzs"/>
        <w:contextualSpacing/>
      </w:pPr>
    </w:p>
    <w:p w14:paraId="14988705" w14:textId="77777777" w:rsidR="001F7224" w:rsidRPr="004A00F4" w:rsidRDefault="001F7224" w:rsidP="004A00F4">
      <w:pPr>
        <w:pStyle w:val="Szvegtrzs"/>
        <w:contextualSpacing/>
      </w:pPr>
    </w:p>
    <w:p w14:paraId="3A8080B1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MINŐSÉGI ÉS MENNYISÉGI ÖSSZETÉTEL</w:t>
      </w:r>
    </w:p>
    <w:p w14:paraId="61759CE5" w14:textId="41A373D3" w:rsidR="005E22BE" w:rsidRPr="004A00F4" w:rsidRDefault="005E22BE" w:rsidP="004A00F4">
      <w:pPr>
        <w:pStyle w:val="Szvegtrzs"/>
        <w:contextualSpacing/>
      </w:pPr>
    </w:p>
    <w:p w14:paraId="38B7F382" w14:textId="0BFA7E02" w:rsidR="00F51673" w:rsidRPr="004A00F4" w:rsidRDefault="00A9547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Teicoplanin Anfarm 200 mg por és oldószer oldatos injekcióhoz/infúzióhoz vagy belsőleges oldathoz</w:t>
      </w:r>
    </w:p>
    <w:p w14:paraId="5E20892D" w14:textId="03505742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>200 mg teikoplanint tartalmaz</w:t>
      </w:r>
      <w:r w:rsidR="00F1020A">
        <w:rPr>
          <w:lang w:bidi="hu-HU"/>
        </w:rPr>
        <w:t xml:space="preserve"> –</w:t>
      </w:r>
      <w:r w:rsidRPr="004A00F4">
        <w:rPr>
          <w:lang w:bidi="hu-HU"/>
        </w:rPr>
        <w:t xml:space="preserve"> ami legalább 200 000 NE mennyiségnek felel meg</w:t>
      </w:r>
      <w:r w:rsidR="00F1020A">
        <w:rPr>
          <w:lang w:bidi="hu-HU"/>
        </w:rPr>
        <w:t xml:space="preserve"> – injekciós üvegenként</w:t>
      </w:r>
      <w:r w:rsidRPr="004A00F4">
        <w:rPr>
          <w:lang w:bidi="hu-HU"/>
        </w:rPr>
        <w:t>.</w:t>
      </w:r>
    </w:p>
    <w:p w14:paraId="725B8749" w14:textId="1F166426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>Feloldás után az oldat 200 mg teikoplanint tartalmaz 3,0 ml-enként.</w:t>
      </w:r>
    </w:p>
    <w:p w14:paraId="7B1CEACA" w14:textId="3823747B" w:rsidR="005E22BE" w:rsidRPr="004A00F4" w:rsidRDefault="005E22BE" w:rsidP="004A00F4">
      <w:pPr>
        <w:pStyle w:val="Szvegtrzs"/>
        <w:contextualSpacing/>
      </w:pPr>
    </w:p>
    <w:p w14:paraId="655211BD" w14:textId="34023BC4" w:rsidR="00F51673" w:rsidRPr="004A00F4" w:rsidRDefault="00A9547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Teicoplanin Anfarm 400 mg por és oldószer oldatos injekcióhoz/infúzióhoz vagy belsőleges oldathoz</w:t>
      </w:r>
    </w:p>
    <w:p w14:paraId="10253C4C" w14:textId="1EEA0AE1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>400 mg teikoplanint tartalmaz</w:t>
      </w:r>
      <w:r w:rsidR="00F1020A">
        <w:rPr>
          <w:lang w:bidi="hu-HU"/>
        </w:rPr>
        <w:t xml:space="preserve"> –</w:t>
      </w:r>
      <w:r w:rsidRPr="004A00F4">
        <w:rPr>
          <w:lang w:bidi="hu-HU"/>
        </w:rPr>
        <w:t xml:space="preserve"> ami legalább 400 000 NE mennyiségnek felel meg</w:t>
      </w:r>
      <w:r w:rsidR="00F1020A">
        <w:rPr>
          <w:lang w:bidi="hu-HU"/>
        </w:rPr>
        <w:t xml:space="preserve"> –</w:t>
      </w:r>
      <w:r w:rsidR="00F1020A" w:rsidRPr="00F1020A">
        <w:rPr>
          <w:lang w:bidi="hu-HU"/>
        </w:rPr>
        <w:t xml:space="preserve"> </w:t>
      </w:r>
      <w:r w:rsidR="00F1020A">
        <w:rPr>
          <w:lang w:bidi="hu-HU"/>
        </w:rPr>
        <w:t>injekciós üvegenként</w:t>
      </w:r>
      <w:r w:rsidRPr="004A00F4">
        <w:rPr>
          <w:lang w:bidi="hu-HU"/>
        </w:rPr>
        <w:t>.</w:t>
      </w:r>
    </w:p>
    <w:p w14:paraId="3D872AC6" w14:textId="3BADA87B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>Feloldás után az oldat 400 mg teikoplanint tartalmaz 3,0 ml-enként.</w:t>
      </w:r>
    </w:p>
    <w:p w14:paraId="3C61E5D8" w14:textId="77777777" w:rsidR="005E22BE" w:rsidRPr="004A00F4" w:rsidRDefault="005E22BE" w:rsidP="004A00F4">
      <w:pPr>
        <w:pStyle w:val="Szvegtrzs"/>
        <w:contextualSpacing/>
      </w:pPr>
    </w:p>
    <w:p w14:paraId="76550583" w14:textId="230A5518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>A segédanyagok teljes listáját lásd a 6.1 pontban.</w:t>
      </w:r>
    </w:p>
    <w:p w14:paraId="1E3B15CC" w14:textId="77777777" w:rsidR="001F7224" w:rsidRPr="004A00F4" w:rsidRDefault="001F7224" w:rsidP="004A00F4">
      <w:pPr>
        <w:pStyle w:val="Szvegtrzs"/>
        <w:contextualSpacing/>
      </w:pPr>
    </w:p>
    <w:p w14:paraId="5BBFE503" w14:textId="77777777" w:rsidR="001F7224" w:rsidRPr="004A00F4" w:rsidRDefault="001F7224" w:rsidP="004A00F4">
      <w:pPr>
        <w:pStyle w:val="Szvegtrzs"/>
        <w:contextualSpacing/>
      </w:pPr>
    </w:p>
    <w:p w14:paraId="6BC17CE1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GYÓGYSZERFORMA</w:t>
      </w:r>
    </w:p>
    <w:p w14:paraId="78E0A6F1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2201AB12" w14:textId="77777777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>Por és oldószer oldatos injekcióhoz/infúzióhoz vagy belsőleges oldathoz.</w:t>
      </w:r>
    </w:p>
    <w:p w14:paraId="350C9906" w14:textId="77777777" w:rsidR="005E22BE" w:rsidRPr="004A00F4" w:rsidRDefault="005E22BE" w:rsidP="004A00F4">
      <w:pPr>
        <w:pStyle w:val="Szvegtrzs"/>
        <w:contextualSpacing/>
      </w:pPr>
    </w:p>
    <w:p w14:paraId="572BBD72" w14:textId="667BABAE" w:rsidR="0031278C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Por oldatos injekcióhoz/infúzióhoz vagy belsőleges oldathoz: fehér vagy </w:t>
      </w:r>
      <w:r w:rsidR="00F1020A">
        <w:rPr>
          <w:lang w:bidi="hu-HU"/>
        </w:rPr>
        <w:t xml:space="preserve">csaknem </w:t>
      </w:r>
      <w:r w:rsidRPr="004A00F4">
        <w:rPr>
          <w:lang w:bidi="hu-HU"/>
        </w:rPr>
        <w:t>fehér liofilizált por</w:t>
      </w:r>
      <w:r w:rsidR="00F1020A">
        <w:rPr>
          <w:lang w:bidi="hu-HU"/>
        </w:rPr>
        <w:t xml:space="preserve"> vagy </w:t>
      </w:r>
      <w:r w:rsidR="00F1020A">
        <w:t>pogácsává összetapadt por</w:t>
      </w:r>
      <w:r w:rsidRPr="004A00F4">
        <w:rPr>
          <w:lang w:bidi="hu-HU"/>
        </w:rPr>
        <w:t>.</w:t>
      </w:r>
    </w:p>
    <w:p w14:paraId="0A8CA229" w14:textId="31762F91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Oldószer: </w:t>
      </w:r>
      <w:r w:rsidR="00F1020A">
        <w:rPr>
          <w:lang w:bidi="hu-HU"/>
        </w:rPr>
        <w:t>tiszta</w:t>
      </w:r>
      <w:r w:rsidRPr="004A00F4">
        <w:rPr>
          <w:lang w:bidi="hu-HU"/>
        </w:rPr>
        <w:t>, színtelen folyadék.</w:t>
      </w:r>
    </w:p>
    <w:p w14:paraId="366B138B" w14:textId="58D8FB29" w:rsidR="001F7224" w:rsidRPr="004A00F4" w:rsidRDefault="001F7224" w:rsidP="004A00F4">
      <w:pPr>
        <w:pStyle w:val="Szvegtrzs"/>
        <w:contextualSpacing/>
      </w:pPr>
    </w:p>
    <w:p w14:paraId="17283A53" w14:textId="77777777" w:rsidR="00391D44" w:rsidRPr="004A00F4" w:rsidRDefault="00391D44" w:rsidP="004A00F4">
      <w:pPr>
        <w:pStyle w:val="Szvegtrzs"/>
        <w:contextualSpacing/>
      </w:pPr>
    </w:p>
    <w:p w14:paraId="44D98287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KLINIKAI JELLEMZŐK</w:t>
      </w:r>
    </w:p>
    <w:p w14:paraId="6771565F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020B78D8" w14:textId="77777777" w:rsidR="001F7224" w:rsidRPr="004A00F4" w:rsidRDefault="00001F79" w:rsidP="004A00F4">
      <w:pPr>
        <w:pStyle w:val="Listaszerbekezds"/>
        <w:numPr>
          <w:ilvl w:val="1"/>
          <w:numId w:val="3"/>
        </w:numPr>
        <w:ind w:left="567"/>
        <w:contextualSpacing/>
        <w:rPr>
          <w:b/>
        </w:rPr>
      </w:pPr>
      <w:r w:rsidRPr="004A00F4">
        <w:rPr>
          <w:b/>
          <w:lang w:bidi="hu-HU"/>
        </w:rPr>
        <w:t>Terápiás javallatok</w:t>
      </w:r>
    </w:p>
    <w:p w14:paraId="1094F1C1" w14:textId="77777777" w:rsidR="005E22BE" w:rsidRPr="004A00F4" w:rsidRDefault="005E22BE" w:rsidP="004A00F4">
      <w:pPr>
        <w:pStyle w:val="Szvegtrzs"/>
        <w:contextualSpacing/>
      </w:pPr>
    </w:p>
    <w:p w14:paraId="27B5AA30" w14:textId="3F7CAC41" w:rsidR="005E22BE" w:rsidRPr="004A00F4" w:rsidRDefault="00A9547A" w:rsidP="004A00F4">
      <w:pPr>
        <w:pStyle w:val="Szvegtrzs"/>
        <w:contextualSpacing/>
      </w:pPr>
      <w:r w:rsidRPr="004A00F4">
        <w:rPr>
          <w:lang w:bidi="hu-HU"/>
        </w:rPr>
        <w:t xml:space="preserve">A Teicoplanin Anfarm </w:t>
      </w:r>
      <w:r w:rsidR="00182CC9" w:rsidRPr="00630338">
        <w:t>felnőttek</w:t>
      </w:r>
      <w:r w:rsidR="00182CC9">
        <w:t>, serdülők</w:t>
      </w:r>
      <w:r w:rsidR="00182CC9" w:rsidRPr="00630338">
        <w:t xml:space="preserve"> és gyermekek (újszülöttkortól </w:t>
      </w:r>
      <w:r w:rsidR="00182CC9">
        <w:t>kezdődően</w:t>
      </w:r>
      <w:r w:rsidR="00182CC9" w:rsidRPr="00630338">
        <w:t xml:space="preserve">) alábbi fertőzéseinek parenterális kezelésére </w:t>
      </w:r>
      <w:r w:rsidR="00182CC9">
        <w:t>javallott</w:t>
      </w:r>
      <w:r w:rsidR="00182CC9" w:rsidRPr="00630338">
        <w:t xml:space="preserve"> (lásd 4.2, 4.4 és 5.1 pont)</w:t>
      </w:r>
      <w:r w:rsidR="00182CC9">
        <w:t>:</w:t>
      </w:r>
    </w:p>
    <w:p w14:paraId="7F08D6B8" w14:textId="77777777" w:rsidR="00AF229B" w:rsidRPr="004A00F4" w:rsidRDefault="00AF229B" w:rsidP="004A00F4">
      <w:pPr>
        <w:pStyle w:val="Szvegtrzs"/>
        <w:contextualSpacing/>
      </w:pPr>
    </w:p>
    <w:p w14:paraId="7934180C" w14:textId="63AC8AB1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>szövődményes bőr- és lágyrészfertőzések</w:t>
      </w:r>
      <w:r w:rsidR="00182CC9">
        <w:rPr>
          <w:lang w:bidi="hu-HU"/>
        </w:rPr>
        <w:t>;</w:t>
      </w:r>
    </w:p>
    <w:p w14:paraId="5E8B6AB6" w14:textId="6CDD5B05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>csont- és ízületi fertőzések</w:t>
      </w:r>
      <w:r w:rsidR="00182CC9">
        <w:rPr>
          <w:lang w:bidi="hu-HU"/>
        </w:rPr>
        <w:t>;</w:t>
      </w:r>
    </w:p>
    <w:p w14:paraId="2589A6C1" w14:textId="4437482F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>kórházban szerzett pneumonia</w:t>
      </w:r>
      <w:r w:rsidR="00182CC9">
        <w:rPr>
          <w:lang w:bidi="hu-HU"/>
        </w:rPr>
        <w:t>;</w:t>
      </w:r>
    </w:p>
    <w:p w14:paraId="2CCEFD66" w14:textId="38D88EF3" w:rsidR="00182CC9" w:rsidRDefault="00182CC9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>
        <w:rPr>
          <w:lang w:bidi="hu-HU"/>
        </w:rPr>
        <w:t>területen</w:t>
      </w:r>
      <w:r w:rsidRPr="004A00F4">
        <w:rPr>
          <w:lang w:bidi="hu-HU"/>
        </w:rPr>
        <w:t xml:space="preserve"> </w:t>
      </w:r>
      <w:r w:rsidR="005E22BE" w:rsidRPr="004A00F4">
        <w:rPr>
          <w:lang w:bidi="hu-HU"/>
        </w:rPr>
        <w:t>szerzett pneumonia</w:t>
      </w:r>
      <w:r>
        <w:rPr>
          <w:lang w:bidi="hu-HU"/>
        </w:rPr>
        <w:t>;</w:t>
      </w:r>
    </w:p>
    <w:p w14:paraId="1BDC103E" w14:textId="3EAD9C70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>szövődményes húgyúti fertőzések</w:t>
      </w:r>
      <w:r w:rsidR="00182CC9">
        <w:rPr>
          <w:lang w:bidi="hu-HU"/>
        </w:rPr>
        <w:t>;</w:t>
      </w:r>
    </w:p>
    <w:p w14:paraId="6467DA5C" w14:textId="1E6445A3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>infektív endocarditis</w:t>
      </w:r>
      <w:r w:rsidR="00182CC9">
        <w:rPr>
          <w:lang w:bidi="hu-HU"/>
        </w:rPr>
        <w:t>;</w:t>
      </w:r>
    </w:p>
    <w:p w14:paraId="7F30F254" w14:textId="7BF09648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>folyamatos ambuláns peritoneális dialízissel</w:t>
      </w:r>
      <w:r w:rsidR="00182CC9">
        <w:rPr>
          <w:lang w:bidi="hu-HU"/>
        </w:rPr>
        <w:t xml:space="preserve"> </w:t>
      </w:r>
      <w:r w:rsidR="00182CC9" w:rsidRPr="004A00F4">
        <w:rPr>
          <w:lang w:bidi="hu-HU"/>
        </w:rPr>
        <w:t>(CAPD)</w:t>
      </w:r>
      <w:r w:rsidRPr="004A00F4">
        <w:rPr>
          <w:lang w:bidi="hu-HU"/>
        </w:rPr>
        <w:t xml:space="preserve"> összefüggő peritonitis</w:t>
      </w:r>
      <w:r w:rsidR="00182CC9">
        <w:rPr>
          <w:lang w:bidi="hu-HU"/>
        </w:rPr>
        <w:t>;</w:t>
      </w:r>
    </w:p>
    <w:p w14:paraId="710677F4" w14:textId="53F6F23D" w:rsidR="005E22BE" w:rsidRPr="004A00F4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</w:pPr>
      <w:r w:rsidRPr="004A00F4">
        <w:rPr>
          <w:lang w:bidi="hu-HU"/>
        </w:rPr>
        <w:t>a fent felsorolt javallatok bármelyikével együtt járó bacteriaemia.</w:t>
      </w:r>
    </w:p>
    <w:p w14:paraId="05346CAC" w14:textId="77777777" w:rsidR="005E22BE" w:rsidRPr="004A00F4" w:rsidRDefault="005E22BE" w:rsidP="004A00F4">
      <w:pPr>
        <w:pStyle w:val="Szvegtrzs"/>
        <w:contextualSpacing/>
      </w:pPr>
    </w:p>
    <w:p w14:paraId="2034C267" w14:textId="5167B9BA" w:rsidR="005E22BE" w:rsidRPr="004A00F4" w:rsidRDefault="00A9547A" w:rsidP="004A00F4">
      <w:pPr>
        <w:pStyle w:val="Szvegtrzs"/>
        <w:contextualSpacing/>
      </w:pPr>
      <w:r w:rsidRPr="004A00F4">
        <w:rPr>
          <w:lang w:bidi="hu-HU"/>
        </w:rPr>
        <w:t xml:space="preserve">A Teicoplanin Anfarm alternatív </w:t>
      </w:r>
      <w:r w:rsidRPr="001C32A7">
        <w:rPr>
          <w:i/>
          <w:lang w:bidi="hu-HU"/>
        </w:rPr>
        <w:t>per os</w:t>
      </w:r>
      <w:r w:rsidRPr="004A00F4">
        <w:rPr>
          <w:lang w:bidi="hu-HU"/>
        </w:rPr>
        <w:t xml:space="preserve"> kezelésként a </w:t>
      </w:r>
      <w:r w:rsidR="00182CC9">
        <w:rPr>
          <w:i/>
          <w:lang w:bidi="hu-HU"/>
        </w:rPr>
        <w:t>Clostridioides </w:t>
      </w:r>
      <w:r w:rsidRPr="004A00F4">
        <w:rPr>
          <w:i/>
          <w:lang w:bidi="hu-HU"/>
        </w:rPr>
        <w:t>difficile</w:t>
      </w:r>
      <w:r w:rsidRPr="004A00F4">
        <w:rPr>
          <w:lang w:bidi="hu-HU"/>
        </w:rPr>
        <w:t>-fertőzés okozta hasmenés és colitis kezelésére is javal</w:t>
      </w:r>
      <w:r w:rsidR="00182CC9">
        <w:rPr>
          <w:lang w:bidi="hu-HU"/>
        </w:rPr>
        <w:t>lot</w:t>
      </w:r>
      <w:r w:rsidRPr="004A00F4">
        <w:rPr>
          <w:lang w:bidi="hu-HU"/>
        </w:rPr>
        <w:t>t.</w:t>
      </w:r>
    </w:p>
    <w:p w14:paraId="2312BF83" w14:textId="77777777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>Adott esetben a teikoplanint más antibakteriális szerrel együttes kombinációban kell alkalmazni.</w:t>
      </w:r>
    </w:p>
    <w:p w14:paraId="26E33EDA" w14:textId="2149D31E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>Figyelembe kell venni az antibakteriális szerek megfelelő alkalmazására vonatkozó hivatalos irányelveket.</w:t>
      </w:r>
    </w:p>
    <w:p w14:paraId="3D732CC5" w14:textId="77777777" w:rsidR="001F7224" w:rsidRPr="004A00F4" w:rsidRDefault="001F7224" w:rsidP="004A00F4">
      <w:pPr>
        <w:pStyle w:val="Szvegtrzs"/>
        <w:contextualSpacing/>
      </w:pPr>
    </w:p>
    <w:p w14:paraId="068961A1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Adagolás és alkalmazás</w:t>
      </w:r>
    </w:p>
    <w:p w14:paraId="5F730BB8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0A790F2D" w14:textId="77777777" w:rsidR="005E22BE" w:rsidRPr="004A00F4" w:rsidRDefault="005E22BE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Adagolás</w:t>
      </w:r>
    </w:p>
    <w:p w14:paraId="20DFA4C5" w14:textId="134CE63F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lastRenderedPageBreak/>
        <w:t xml:space="preserve">A kezelés </w:t>
      </w:r>
      <w:r w:rsidR="00182CC9">
        <w:rPr>
          <w:lang w:bidi="hu-HU"/>
        </w:rPr>
        <w:t>dózisát</w:t>
      </w:r>
      <w:r w:rsidRPr="004A00F4">
        <w:rPr>
          <w:lang w:bidi="hu-HU"/>
        </w:rPr>
        <w:t xml:space="preserve"> és időtartamát a fennálló fertőzés típusának és súlyosságának, valamint a beteg klinikai válaszának, illetve egyéb tényezőknek, például az életkornak és a vesefunkciónak megfelelően kell meghatározni.</w:t>
      </w:r>
    </w:p>
    <w:p w14:paraId="56F90AEC" w14:textId="77777777" w:rsidR="005E22BE" w:rsidRPr="004A00F4" w:rsidRDefault="005E22BE" w:rsidP="004A00F4">
      <w:pPr>
        <w:pStyle w:val="Szvegtrzs"/>
        <w:contextualSpacing/>
      </w:pPr>
    </w:p>
    <w:p w14:paraId="3EC0EADD" w14:textId="3CB716F8" w:rsidR="005E22BE" w:rsidRPr="004A00F4" w:rsidRDefault="005E22BE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A szérumkoncentráció mérése</w:t>
      </w:r>
    </w:p>
    <w:p w14:paraId="7876FD4D" w14:textId="77777777" w:rsidR="008B01BC" w:rsidRDefault="008B01BC" w:rsidP="001C32A7">
      <w:pPr>
        <w:pStyle w:val="Szvegtrzs"/>
        <w:contextualSpacing/>
      </w:pPr>
      <w:r w:rsidRPr="008B01BC">
        <w:rPr>
          <w:lang w:bidi="hu-HU"/>
        </w:rPr>
        <w:t>A teikoplanin mélyponti koncentrációját a telítő adagolási séma beadása után kialakult dinamikus egyensúlyi állapotban kell monitorozni a minimális mélyponti koncentráció elérésének érdekében:</w:t>
      </w:r>
    </w:p>
    <w:p w14:paraId="072A5357" w14:textId="55FCC58C" w:rsidR="005E22BE" w:rsidRPr="004A00F4" w:rsidRDefault="008B01BC" w:rsidP="004A00F4">
      <w:pPr>
        <w:pStyle w:val="Szvegtrzs"/>
        <w:numPr>
          <w:ilvl w:val="0"/>
          <w:numId w:val="8"/>
        </w:numPr>
        <w:ind w:left="567" w:hanging="567"/>
        <w:contextualSpacing/>
      </w:pPr>
      <w:r>
        <w:rPr>
          <w:lang w:bidi="hu-HU"/>
        </w:rPr>
        <w:t>a</w:t>
      </w:r>
      <w:r w:rsidR="005E22BE" w:rsidRPr="004A00F4">
        <w:rPr>
          <w:lang w:bidi="hu-HU"/>
        </w:rPr>
        <w:t xml:space="preserve"> legtöbb Gram-pozitív fertőzés esetén a teikoplanin mélyponti szintjének legalább 10 mg/l-nek kell lennie nagyteljesítményű folyadékkromatográfiával (High Performance Liquid Chromatography – HPLC), illetve 15 mg/l-nek fluoreszcens polarizációs immunoassay (FPIA) módszerrel mérve</w:t>
      </w:r>
      <w:r>
        <w:rPr>
          <w:lang w:bidi="hu-HU"/>
        </w:rPr>
        <w:t>;</w:t>
      </w:r>
    </w:p>
    <w:p w14:paraId="11365F99" w14:textId="3CA58267" w:rsidR="005E22BE" w:rsidRPr="004A00F4" w:rsidRDefault="008B01BC" w:rsidP="004A00F4">
      <w:pPr>
        <w:pStyle w:val="Szvegtrzs"/>
        <w:numPr>
          <w:ilvl w:val="0"/>
          <w:numId w:val="8"/>
        </w:numPr>
        <w:ind w:left="567" w:hanging="567"/>
        <w:contextualSpacing/>
      </w:pPr>
      <w:r>
        <w:rPr>
          <w:lang w:bidi="hu-HU"/>
        </w:rPr>
        <w:t>e</w:t>
      </w:r>
      <w:r w:rsidR="005E22BE" w:rsidRPr="004A00F4">
        <w:rPr>
          <w:lang w:bidi="hu-HU"/>
        </w:rPr>
        <w:t>ndocarditis és más súlyos fertőzések esetén a teikoplanin mélyponti szintjének 15</w:t>
      </w:r>
      <w:r w:rsidR="00DA461B">
        <w:rPr>
          <w:lang w:bidi="hu-HU"/>
        </w:rPr>
        <w:t>–</w:t>
      </w:r>
      <w:r w:rsidR="005E22BE" w:rsidRPr="004A00F4">
        <w:rPr>
          <w:lang w:bidi="hu-HU"/>
        </w:rPr>
        <w:t>30 mg/l-nek kell lennie HPLC, illetve 30</w:t>
      </w:r>
      <w:r w:rsidR="00DA461B">
        <w:rPr>
          <w:lang w:bidi="hu-HU"/>
        </w:rPr>
        <w:t>–</w:t>
      </w:r>
      <w:r w:rsidR="005E22BE" w:rsidRPr="004A00F4">
        <w:rPr>
          <w:lang w:bidi="hu-HU"/>
        </w:rPr>
        <w:t>40 mg/l-nek FPIA módszerrel mérve.</w:t>
      </w:r>
    </w:p>
    <w:p w14:paraId="439E6A12" w14:textId="77777777" w:rsidR="00AF229B" w:rsidRPr="004A00F4" w:rsidRDefault="00AF229B" w:rsidP="004A00F4">
      <w:pPr>
        <w:pStyle w:val="Szvegtrzs"/>
        <w:contextualSpacing/>
      </w:pPr>
    </w:p>
    <w:p w14:paraId="4D9CB860" w14:textId="580336F3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>A fenntartó kezelés alatt a teikoplanin mélyponti szérumkoncentrációjának monitorozását legalább heti egy alkalommal el kell végezni, ezen koncentrációk stabilitásának biztosítása érdekében.</w:t>
      </w:r>
    </w:p>
    <w:p w14:paraId="4DEC318A" w14:textId="77777777" w:rsidR="00AF229B" w:rsidRPr="004A00F4" w:rsidRDefault="00AF229B" w:rsidP="004A00F4">
      <w:pPr>
        <w:pStyle w:val="Szvegtrzs"/>
        <w:contextualSpacing/>
      </w:pPr>
    </w:p>
    <w:p w14:paraId="108D43E2" w14:textId="00BF8209" w:rsidR="005E22BE" w:rsidRPr="004A00F4" w:rsidRDefault="005E22BE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Normál vesefunkciójú felnőttek és idősek</w:t>
      </w:r>
    </w:p>
    <w:p w14:paraId="6B29F689" w14:textId="3EDB0F96" w:rsidR="005E22BE" w:rsidRPr="004A00F4" w:rsidRDefault="005E22BE" w:rsidP="004A00F4">
      <w:pPr>
        <w:pStyle w:val="Szvegtrzs"/>
        <w:contextualSpacing/>
      </w:pPr>
    </w:p>
    <w:tbl>
      <w:tblPr>
        <w:tblStyle w:val="Rcsostblzat"/>
        <w:tblW w:w="0" w:type="auto"/>
        <w:tblInd w:w="250" w:type="dxa"/>
        <w:tblLook w:val="04A0" w:firstRow="1" w:lastRow="0" w:firstColumn="1" w:lastColumn="0" w:noHBand="0" w:noVBand="1"/>
      </w:tblPr>
      <w:tblGrid>
        <w:gridCol w:w="1908"/>
        <w:gridCol w:w="1821"/>
        <w:gridCol w:w="1639"/>
        <w:gridCol w:w="1809"/>
        <w:gridCol w:w="1639"/>
      </w:tblGrid>
      <w:tr w:rsidR="009C170A" w:rsidRPr="004A00F4" w14:paraId="0C7522E9" w14:textId="77777777" w:rsidTr="00543AD1">
        <w:tc>
          <w:tcPr>
            <w:tcW w:w="1574" w:type="dxa"/>
            <w:vMerge w:val="restart"/>
          </w:tcPr>
          <w:p w14:paraId="3E8A62A9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/>
              </w:rPr>
            </w:pPr>
            <w:r w:rsidRPr="004A00F4">
              <w:rPr>
                <w:b/>
                <w:i/>
                <w:lang w:val="hu-HU" w:bidi="hu-HU"/>
              </w:rPr>
              <w:t>Javallatok</w:t>
            </w:r>
          </w:p>
        </w:tc>
        <w:tc>
          <w:tcPr>
            <w:tcW w:w="3747" w:type="dxa"/>
            <w:gridSpan w:val="2"/>
          </w:tcPr>
          <w:p w14:paraId="5DF7C8A8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Cs/>
              </w:rPr>
            </w:pPr>
            <w:r w:rsidRPr="004A00F4">
              <w:rPr>
                <w:b/>
                <w:lang w:val="hu-HU" w:bidi="hu-HU"/>
              </w:rPr>
              <w:t>Telítő dózis</w:t>
            </w:r>
          </w:p>
        </w:tc>
        <w:tc>
          <w:tcPr>
            <w:tcW w:w="3719" w:type="dxa"/>
            <w:gridSpan w:val="2"/>
          </w:tcPr>
          <w:p w14:paraId="05D9B804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Cs/>
              </w:rPr>
            </w:pPr>
            <w:r w:rsidRPr="004A00F4">
              <w:rPr>
                <w:b/>
                <w:lang w:val="hu-HU" w:bidi="hu-HU"/>
              </w:rPr>
              <w:t>Fenntartó dózis</w:t>
            </w:r>
          </w:p>
        </w:tc>
      </w:tr>
      <w:tr w:rsidR="009C170A" w:rsidRPr="004A00F4" w14:paraId="6DBABF51" w14:textId="77777777" w:rsidTr="00543AD1">
        <w:tc>
          <w:tcPr>
            <w:tcW w:w="1574" w:type="dxa"/>
            <w:vMerge/>
          </w:tcPr>
          <w:p w14:paraId="04C8F3A1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Cs/>
              </w:rPr>
            </w:pPr>
          </w:p>
        </w:tc>
        <w:tc>
          <w:tcPr>
            <w:tcW w:w="1871" w:type="dxa"/>
          </w:tcPr>
          <w:p w14:paraId="2C3716B2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Cs/>
              </w:rPr>
            </w:pPr>
            <w:r w:rsidRPr="004A00F4">
              <w:rPr>
                <w:b/>
                <w:lang w:val="hu-HU" w:bidi="hu-HU"/>
              </w:rPr>
              <w:t>Telítő dózis adagolási séma</w:t>
            </w:r>
          </w:p>
        </w:tc>
        <w:tc>
          <w:tcPr>
            <w:tcW w:w="1876" w:type="dxa"/>
          </w:tcPr>
          <w:p w14:paraId="586E6EC6" w14:textId="3488747F" w:rsidR="009C170A" w:rsidRPr="004A00F4" w:rsidRDefault="009C170A" w:rsidP="009D1FDC">
            <w:pPr>
              <w:tabs>
                <w:tab w:val="left" w:pos="0"/>
              </w:tabs>
              <w:contextualSpacing/>
              <w:rPr>
                <w:b/>
                <w:bCs/>
                <w:iCs/>
                <w:lang w:val="en-US"/>
              </w:rPr>
            </w:pPr>
            <w:r w:rsidRPr="004A00F4">
              <w:rPr>
                <w:b/>
                <w:lang w:val="hu-HU" w:bidi="hu-HU"/>
              </w:rPr>
              <w:t>Célzott mélyponti koncentráció a 3</w:t>
            </w:r>
            <w:r w:rsidR="00DA461B">
              <w:rPr>
                <w:b/>
                <w:lang w:val="hu-HU" w:bidi="hu-HU"/>
              </w:rPr>
              <w:t>–</w:t>
            </w:r>
            <w:r w:rsidRPr="004A00F4">
              <w:rPr>
                <w:b/>
                <w:lang w:val="hu-HU" w:bidi="hu-HU"/>
              </w:rPr>
              <w:t>5. napon</w:t>
            </w:r>
          </w:p>
        </w:tc>
        <w:tc>
          <w:tcPr>
            <w:tcW w:w="1843" w:type="dxa"/>
          </w:tcPr>
          <w:p w14:paraId="1F9C800B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Cs/>
              </w:rPr>
            </w:pPr>
            <w:r w:rsidRPr="004A00F4">
              <w:rPr>
                <w:b/>
                <w:lang w:val="hu-HU" w:bidi="hu-HU"/>
              </w:rPr>
              <w:t>Fenntartó dózis</w:t>
            </w:r>
          </w:p>
        </w:tc>
        <w:tc>
          <w:tcPr>
            <w:tcW w:w="1876" w:type="dxa"/>
          </w:tcPr>
          <w:p w14:paraId="51E8DEDE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Cs/>
                <w:lang w:val="en-US"/>
              </w:rPr>
            </w:pPr>
            <w:r w:rsidRPr="004A00F4">
              <w:rPr>
                <w:b/>
                <w:lang w:val="hu-HU" w:bidi="hu-HU"/>
              </w:rPr>
              <w:t>Célzott mélyponti koncentráció a fenntartó kezelés során</w:t>
            </w:r>
          </w:p>
        </w:tc>
      </w:tr>
      <w:tr w:rsidR="009C170A" w:rsidRPr="004A00F4" w14:paraId="14D45214" w14:textId="77777777" w:rsidTr="00543AD1">
        <w:tc>
          <w:tcPr>
            <w:tcW w:w="1574" w:type="dxa"/>
          </w:tcPr>
          <w:p w14:paraId="304A6A02" w14:textId="71EA061F" w:rsidR="009C170A" w:rsidRPr="00B27B3E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- Szövődményes bőr- és lágyrészfertőzések,</w:t>
            </w:r>
          </w:p>
          <w:p w14:paraId="31D191A4" w14:textId="77777777" w:rsidR="009C170A" w:rsidRPr="00B27B3E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</w:p>
          <w:p w14:paraId="4FCCFBEC" w14:textId="77777777" w:rsidR="009C170A" w:rsidRPr="00B27B3E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- Pneumonia</w:t>
            </w:r>
          </w:p>
          <w:p w14:paraId="05E9612F" w14:textId="77777777" w:rsidR="009C170A" w:rsidRPr="00B27B3E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</w:p>
          <w:p w14:paraId="6541F062" w14:textId="77777777" w:rsidR="009C170A" w:rsidRPr="00B27B3E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- Szövődményes húgyúti fertőzések</w:t>
            </w:r>
          </w:p>
        </w:tc>
        <w:tc>
          <w:tcPr>
            <w:tcW w:w="1871" w:type="dxa"/>
          </w:tcPr>
          <w:p w14:paraId="2DAFD52A" w14:textId="410FA3F2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6 mg/ttkg 12</w:t>
            </w:r>
            <w:r w:rsidR="008B01BC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>óránként, 3</w:t>
            </w:r>
            <w:r w:rsidR="008B01BC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>alkalommal intravénásan vagy intramuscularisan</w:t>
            </w:r>
          </w:p>
        </w:tc>
        <w:tc>
          <w:tcPr>
            <w:tcW w:w="1876" w:type="dxa"/>
          </w:tcPr>
          <w:p w14:paraId="4D9185DF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&gt;15 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  <w:tc>
          <w:tcPr>
            <w:tcW w:w="1843" w:type="dxa"/>
          </w:tcPr>
          <w:p w14:paraId="62C99F24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6 mg/ttkg intravénásan vagy intramuscularisan naponta egyszer</w:t>
            </w:r>
          </w:p>
        </w:tc>
        <w:tc>
          <w:tcPr>
            <w:tcW w:w="1876" w:type="dxa"/>
          </w:tcPr>
          <w:p w14:paraId="6BEB0DD4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&gt;15 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  <w:p w14:paraId="337E717B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hetente egyszer</w:t>
            </w:r>
          </w:p>
        </w:tc>
      </w:tr>
      <w:tr w:rsidR="009C170A" w:rsidRPr="004A00F4" w14:paraId="52EFBB3A" w14:textId="77777777" w:rsidTr="00543AD1">
        <w:tc>
          <w:tcPr>
            <w:tcW w:w="1574" w:type="dxa"/>
          </w:tcPr>
          <w:p w14:paraId="305D8D4D" w14:textId="3E190C34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- Csont- és ízület</w:t>
            </w:r>
            <w:r w:rsidR="008B01BC">
              <w:rPr>
                <w:lang w:val="hu-HU" w:bidi="hu-HU"/>
              </w:rPr>
              <w:t xml:space="preserve">i </w:t>
            </w:r>
            <w:r w:rsidRPr="004A00F4">
              <w:rPr>
                <w:lang w:val="hu-HU" w:bidi="hu-HU"/>
              </w:rPr>
              <w:t>fertőzések</w:t>
            </w:r>
          </w:p>
        </w:tc>
        <w:tc>
          <w:tcPr>
            <w:tcW w:w="1871" w:type="dxa"/>
          </w:tcPr>
          <w:p w14:paraId="10029A1E" w14:textId="024C748B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12 mg/ttkg 12</w:t>
            </w:r>
            <w:r w:rsidR="008B01BC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>óránként, 3</w:t>
            </w:r>
            <w:r w:rsidR="00DA461B">
              <w:rPr>
                <w:lang w:val="hu-HU" w:bidi="hu-HU"/>
              </w:rPr>
              <w:t>–</w:t>
            </w:r>
            <w:r w:rsidRPr="004A00F4">
              <w:rPr>
                <w:lang w:val="hu-HU" w:bidi="hu-HU"/>
              </w:rPr>
              <w:t>5 alkalommal intravénásan</w:t>
            </w:r>
          </w:p>
        </w:tc>
        <w:tc>
          <w:tcPr>
            <w:tcW w:w="1876" w:type="dxa"/>
          </w:tcPr>
          <w:p w14:paraId="4EDF2DE4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&gt;20 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  <w:tc>
          <w:tcPr>
            <w:tcW w:w="1843" w:type="dxa"/>
          </w:tcPr>
          <w:p w14:paraId="62F0581F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12 mg/ttkg intravénásan vagy intramuscularisan naponta egyszer</w:t>
            </w:r>
          </w:p>
        </w:tc>
        <w:tc>
          <w:tcPr>
            <w:tcW w:w="1876" w:type="dxa"/>
          </w:tcPr>
          <w:p w14:paraId="3971845D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&gt;20 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</w:tr>
      <w:tr w:rsidR="009C170A" w:rsidRPr="004A00F4" w14:paraId="30D68814" w14:textId="77777777" w:rsidTr="00543AD1">
        <w:tc>
          <w:tcPr>
            <w:tcW w:w="1574" w:type="dxa"/>
          </w:tcPr>
          <w:p w14:paraId="51EE78EF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- Infektív endocarditis</w:t>
            </w:r>
          </w:p>
        </w:tc>
        <w:tc>
          <w:tcPr>
            <w:tcW w:w="1871" w:type="dxa"/>
          </w:tcPr>
          <w:p w14:paraId="44A252FF" w14:textId="4A1F9B43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12 mg/ttkg 12 óránként, 3</w:t>
            </w:r>
            <w:r w:rsidR="00DA461B">
              <w:rPr>
                <w:lang w:val="hu-HU" w:bidi="hu-HU"/>
              </w:rPr>
              <w:t>–</w:t>
            </w:r>
            <w:r w:rsidRPr="004A00F4">
              <w:rPr>
                <w:lang w:val="hu-HU" w:bidi="hu-HU"/>
              </w:rPr>
              <w:t>5 alkalommal intravénásan</w:t>
            </w:r>
          </w:p>
        </w:tc>
        <w:tc>
          <w:tcPr>
            <w:tcW w:w="1876" w:type="dxa"/>
          </w:tcPr>
          <w:p w14:paraId="2256E93D" w14:textId="39943DF9" w:rsidR="009C170A" w:rsidRPr="004A00F4" w:rsidRDefault="009C170A" w:rsidP="009D1FDC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30</w:t>
            </w:r>
            <w:r w:rsidR="00394763">
              <w:rPr>
                <w:lang w:val="hu-HU" w:bidi="hu-HU"/>
              </w:rPr>
              <w:t>–</w:t>
            </w:r>
            <w:r w:rsidRPr="004A00F4">
              <w:rPr>
                <w:lang w:val="hu-HU" w:bidi="hu-HU"/>
              </w:rPr>
              <w:t>40 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  <w:tc>
          <w:tcPr>
            <w:tcW w:w="1843" w:type="dxa"/>
          </w:tcPr>
          <w:p w14:paraId="7B3E9283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12 mg/ttkg intravénásan vagy intramuscularisan naponta egyszer</w:t>
            </w:r>
          </w:p>
        </w:tc>
        <w:tc>
          <w:tcPr>
            <w:tcW w:w="1876" w:type="dxa"/>
          </w:tcPr>
          <w:p w14:paraId="2A87A520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&gt;30 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</w:tr>
    </w:tbl>
    <w:p w14:paraId="21F38A51" w14:textId="77777777" w:rsidR="009C170A" w:rsidRPr="004A00F4" w:rsidRDefault="00AF229B" w:rsidP="004A00F4">
      <w:pPr>
        <w:pStyle w:val="Szvegtrzs"/>
        <w:contextualSpacing/>
      </w:pPr>
      <w:r w:rsidRPr="004A00F4">
        <w:rPr>
          <w:vertAlign w:val="superscript"/>
          <w:lang w:bidi="hu-HU"/>
        </w:rPr>
        <w:t>1</w:t>
      </w:r>
      <w:r w:rsidRPr="004A00F4">
        <w:rPr>
          <w:lang w:bidi="hu-HU"/>
        </w:rPr>
        <w:t xml:space="preserve"> FPIA módszerrel mérve</w:t>
      </w:r>
    </w:p>
    <w:p w14:paraId="26BE67E1" w14:textId="170DFD8D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dózist a testtömeghez kell igazítani a beteg tömegétől függetlenül.</w:t>
      </w:r>
    </w:p>
    <w:p w14:paraId="3FC6422F" w14:textId="77777777" w:rsidR="009C170A" w:rsidRPr="004A00F4" w:rsidRDefault="009C170A" w:rsidP="004A00F4">
      <w:pPr>
        <w:pStyle w:val="Szvegtrzs"/>
        <w:contextualSpacing/>
      </w:pPr>
    </w:p>
    <w:p w14:paraId="71A3E19A" w14:textId="22F22D72" w:rsidR="00AF229B" w:rsidRPr="004A00F4" w:rsidRDefault="00AF229B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A kezelés időtartama</w:t>
      </w:r>
    </w:p>
    <w:p w14:paraId="64763896" w14:textId="071A41C4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kezelés időtartamát a klinikai válasz alapján kell meghatározni. Infektív endocarditis esetén általában legalább 21 napos kezelést tekintenek megfelelőnek. A kezelés nem haladhatja meg a 4</w:t>
      </w:r>
      <w:r w:rsidR="008B01BC">
        <w:rPr>
          <w:lang w:bidi="hu-HU"/>
        </w:rPr>
        <w:t> </w:t>
      </w:r>
      <w:r w:rsidRPr="004A00F4">
        <w:rPr>
          <w:lang w:bidi="hu-HU"/>
        </w:rPr>
        <w:t>hónapot.</w:t>
      </w:r>
    </w:p>
    <w:p w14:paraId="20034DE1" w14:textId="77777777" w:rsidR="009C170A" w:rsidRPr="004A00F4" w:rsidRDefault="009C170A" w:rsidP="004A00F4">
      <w:pPr>
        <w:pStyle w:val="Szvegtrzs"/>
        <w:contextualSpacing/>
      </w:pPr>
    </w:p>
    <w:p w14:paraId="2665C13D" w14:textId="1559BA8C" w:rsidR="00AF229B" w:rsidRPr="004A00F4" w:rsidRDefault="00AF229B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Kombiná</w:t>
      </w:r>
      <w:r w:rsidR="008B01BC">
        <w:rPr>
          <w:i/>
          <w:lang w:bidi="hu-HU"/>
        </w:rPr>
        <w:t>ciós</w:t>
      </w:r>
      <w:r w:rsidRPr="004A00F4">
        <w:rPr>
          <w:i/>
          <w:lang w:bidi="hu-HU"/>
        </w:rPr>
        <w:t xml:space="preserve"> kezelés</w:t>
      </w:r>
    </w:p>
    <w:p w14:paraId="230669D6" w14:textId="34E85B3A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teikoplanin antibakteriális spektruma limitált (Gram-pozitív). Néhány típusú fertőzés kezelésére önmagában nem alkalmas, kivéve, ha a kórokozót már azonosították, és ismerten érzékeny a teikoplaninra; vagy erősen gyanítható, hogy a fertőzést legnagyobb valószínűséggel okozó kórokozó(k) kezelésére a teikoplanin alkalmas.</w:t>
      </w:r>
    </w:p>
    <w:p w14:paraId="200906B7" w14:textId="77777777" w:rsidR="009C170A" w:rsidRPr="004A00F4" w:rsidRDefault="009C170A" w:rsidP="004A00F4">
      <w:pPr>
        <w:pStyle w:val="Szvegtrzs"/>
        <w:contextualSpacing/>
      </w:pPr>
    </w:p>
    <w:p w14:paraId="4816EB1E" w14:textId="2E564522" w:rsidR="00AF229B" w:rsidRPr="004A00F4" w:rsidRDefault="00182CC9" w:rsidP="004A00F4">
      <w:pPr>
        <w:pStyle w:val="Szvegtrzs"/>
        <w:contextualSpacing/>
        <w:rPr>
          <w:i/>
          <w:iCs/>
        </w:rPr>
      </w:pPr>
      <w:r>
        <w:rPr>
          <w:i/>
          <w:lang w:bidi="hu-HU"/>
        </w:rPr>
        <w:lastRenderedPageBreak/>
        <w:t>Clostridioides </w:t>
      </w:r>
      <w:r w:rsidR="00DD2646" w:rsidRPr="004A00F4">
        <w:rPr>
          <w:i/>
          <w:lang w:bidi="hu-HU"/>
        </w:rPr>
        <w:t>difficile-fertőzés okozta hasmenés és colitis</w:t>
      </w:r>
    </w:p>
    <w:p w14:paraId="17ADF8D5" w14:textId="0215BA43" w:rsidR="00391D44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javasolt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100</w:t>
      </w:r>
      <w:r w:rsidR="00DA461B">
        <w:rPr>
          <w:lang w:bidi="hu-HU"/>
        </w:rPr>
        <w:t>–</w:t>
      </w:r>
      <w:r w:rsidRPr="004A00F4">
        <w:rPr>
          <w:lang w:bidi="hu-HU"/>
        </w:rPr>
        <w:t>200 mg orálisan naponta kétszer adagolva 7</w:t>
      </w:r>
      <w:r w:rsidR="00DA461B">
        <w:rPr>
          <w:lang w:bidi="hu-HU"/>
        </w:rPr>
        <w:t>–</w:t>
      </w:r>
      <w:r w:rsidRPr="004A00F4">
        <w:rPr>
          <w:lang w:bidi="hu-HU"/>
        </w:rPr>
        <w:t>14 napon keresztül.</w:t>
      </w:r>
    </w:p>
    <w:p w14:paraId="79575120" w14:textId="25D026D9" w:rsidR="00AF229B" w:rsidRPr="004A00F4" w:rsidRDefault="00AF229B" w:rsidP="004A00F4">
      <w:pPr>
        <w:pStyle w:val="Szvegtrzs"/>
        <w:contextualSpacing/>
      </w:pPr>
    </w:p>
    <w:p w14:paraId="7A59242F" w14:textId="77777777" w:rsidR="00AF229B" w:rsidRPr="004A00F4" w:rsidRDefault="00AF229B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Idősek</w:t>
      </w:r>
    </w:p>
    <w:p w14:paraId="48CE068D" w14:textId="16974687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Amennyiben nem áll fenn vesekárosodás (lásd alább), akkor nincs szükség a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módosítására.</w:t>
      </w:r>
    </w:p>
    <w:p w14:paraId="38EAF5C7" w14:textId="77777777" w:rsidR="009C170A" w:rsidRPr="004A00F4" w:rsidRDefault="009C170A" w:rsidP="004A00F4">
      <w:pPr>
        <w:pStyle w:val="Szvegtrzs"/>
        <w:contextualSpacing/>
      </w:pPr>
    </w:p>
    <w:p w14:paraId="22DE2338" w14:textId="447966A3" w:rsidR="00AF229B" w:rsidRPr="004A00F4" w:rsidRDefault="008B01BC" w:rsidP="004A00F4">
      <w:pPr>
        <w:pStyle w:val="Szvegtrzs"/>
        <w:contextualSpacing/>
        <w:rPr>
          <w:i/>
        </w:rPr>
      </w:pPr>
      <w:r>
        <w:rPr>
          <w:i/>
          <w:lang w:bidi="hu-HU"/>
        </w:rPr>
        <w:t>Vesekárosodásban szenvedő</w:t>
      </w:r>
      <w:r w:rsidR="00AF229B" w:rsidRPr="004A00F4">
        <w:rPr>
          <w:i/>
          <w:lang w:bidi="hu-HU"/>
        </w:rPr>
        <w:t xml:space="preserve"> felnőttek és idősek</w:t>
      </w:r>
    </w:p>
    <w:p w14:paraId="140F56F8" w14:textId="76223A01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kezelés negyedik napjáig nincs szükség a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 xml:space="preserve">módosítására, ekkor azonban a </w:t>
      </w:r>
      <w:r w:rsidR="00182CC9">
        <w:rPr>
          <w:lang w:bidi="hu-HU"/>
        </w:rPr>
        <w:t>dózist</w:t>
      </w:r>
      <w:r w:rsidRPr="004A00F4">
        <w:rPr>
          <w:lang w:bidi="hu-HU"/>
        </w:rPr>
        <w:t xml:space="preserve"> úgy kell beállítani, hogy a fenntartó szakaszban a mélyponti szérumkoncentráció legalább 10 mg/l legyen HPLC módszerrel mérve, vagy legalább 15 mg/l FPIA módszerrel mérve.</w:t>
      </w:r>
    </w:p>
    <w:p w14:paraId="2B881919" w14:textId="77777777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kezelés negyedik napja után:</w:t>
      </w:r>
    </w:p>
    <w:p w14:paraId="7FF65280" w14:textId="77777777" w:rsidR="009C170A" w:rsidRPr="004A00F4" w:rsidRDefault="009C170A" w:rsidP="004A00F4">
      <w:pPr>
        <w:pStyle w:val="Szvegtrzs"/>
        <w:contextualSpacing/>
      </w:pPr>
    </w:p>
    <w:p w14:paraId="34E7561E" w14:textId="2C05BE08" w:rsidR="00AF229B" w:rsidRPr="004A00F4" w:rsidRDefault="00AF229B" w:rsidP="004A00F4">
      <w:pPr>
        <w:pStyle w:val="Szvegtrzs"/>
        <w:numPr>
          <w:ilvl w:val="0"/>
          <w:numId w:val="11"/>
        </w:numPr>
        <w:ind w:left="567" w:hanging="567"/>
        <w:contextualSpacing/>
      </w:pPr>
      <w:r w:rsidRPr="004A00F4">
        <w:rPr>
          <w:lang w:bidi="hu-HU"/>
        </w:rPr>
        <w:t>Enyhe vagy közepesen súlyos vesekárosodás (kreatinin-clearance 30</w:t>
      </w:r>
      <w:r w:rsidR="00DA461B">
        <w:rPr>
          <w:lang w:bidi="hu-HU"/>
        </w:rPr>
        <w:t>–</w:t>
      </w:r>
      <w:r w:rsidRPr="004A00F4">
        <w:rPr>
          <w:lang w:bidi="hu-HU"/>
        </w:rPr>
        <w:t xml:space="preserve">80 ml/perc) esetén a fenntartó </w:t>
      </w:r>
      <w:r w:rsidR="00182CC9">
        <w:rPr>
          <w:lang w:bidi="hu-HU"/>
        </w:rPr>
        <w:t>dózist</w:t>
      </w:r>
      <w:r w:rsidRPr="004A00F4">
        <w:rPr>
          <w:lang w:bidi="hu-HU"/>
        </w:rPr>
        <w:t xml:space="preserve"> meg kell felezni: a dózist vagy kétnaponta kell alkalmazni, vagy a dózis felét naponta egyszer kell alkalmazni.</w:t>
      </w:r>
    </w:p>
    <w:p w14:paraId="18AA1342" w14:textId="0262914C" w:rsidR="00AF229B" w:rsidRPr="004A00F4" w:rsidRDefault="00AF229B" w:rsidP="004A00F4">
      <w:pPr>
        <w:pStyle w:val="Szvegtrzs"/>
        <w:numPr>
          <w:ilvl w:val="0"/>
          <w:numId w:val="11"/>
        </w:numPr>
        <w:ind w:left="567" w:hanging="567"/>
        <w:contextualSpacing/>
      </w:pPr>
      <w:r w:rsidRPr="004A00F4">
        <w:rPr>
          <w:lang w:bidi="hu-HU"/>
        </w:rPr>
        <w:t>Súlyos vesekárosodás (kreatinin-clearance &lt;30 ml/perc) és hemodializált betegek esetén a dózis a szokásos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egyharmada: a kezdeti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háromnaponta egyszer alkalmazva, vagy a kezdeti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egyharmada naponta egy alkalommal.</w:t>
      </w:r>
    </w:p>
    <w:p w14:paraId="24E67072" w14:textId="77777777" w:rsidR="009C170A" w:rsidRPr="004A00F4" w:rsidRDefault="009C170A" w:rsidP="004A00F4">
      <w:pPr>
        <w:pStyle w:val="Szvegtrzs"/>
        <w:contextualSpacing/>
      </w:pPr>
    </w:p>
    <w:p w14:paraId="4FB1947B" w14:textId="66A6B7CF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teikoplanin hemodialízissel nem távolítható el.</w:t>
      </w:r>
    </w:p>
    <w:p w14:paraId="0ADE4E0A" w14:textId="77777777" w:rsidR="009C170A" w:rsidRPr="004A00F4" w:rsidRDefault="009C170A" w:rsidP="004A00F4">
      <w:pPr>
        <w:pStyle w:val="Szvegtrzs"/>
        <w:contextualSpacing/>
      </w:pPr>
    </w:p>
    <w:p w14:paraId="6A9A13CA" w14:textId="37747CA3" w:rsidR="00AF229B" w:rsidRPr="004A00F4" w:rsidRDefault="00AF229B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Folyamatos ambuláns peritoneális dialízis (CAPD) kezelésben részesülő betegek</w:t>
      </w:r>
    </w:p>
    <w:p w14:paraId="02AF6F7C" w14:textId="1A6CC703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Egyszeri intravénás 6 mg/ttkg-os telítő dózis után az első héten a dialízis oldatot tartalmazó tasakba 20</w:t>
      </w:r>
      <w:r w:rsidR="00F2371C">
        <w:rPr>
          <w:lang w:bidi="hu-HU"/>
        </w:rPr>
        <w:t> </w:t>
      </w:r>
      <w:r w:rsidRPr="004A00F4">
        <w:rPr>
          <w:lang w:bidi="hu-HU"/>
        </w:rPr>
        <w:t>mg/l-t, a második héten minden második tasakba 20 mg/l-t, majd a harmadik héten az éjszakai folyadékba 20 mg/l-t kell beadni.</w:t>
      </w:r>
    </w:p>
    <w:p w14:paraId="6FE86167" w14:textId="77777777" w:rsidR="009C170A" w:rsidRPr="004A00F4" w:rsidRDefault="009C170A" w:rsidP="004A00F4">
      <w:pPr>
        <w:pStyle w:val="Szvegtrzs"/>
        <w:contextualSpacing/>
      </w:pPr>
    </w:p>
    <w:p w14:paraId="1F548DE3" w14:textId="7CF8CD49" w:rsidR="00AF229B" w:rsidRPr="004A00F4" w:rsidRDefault="00AF229B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Gyermekek és serdülők</w:t>
      </w:r>
    </w:p>
    <w:p w14:paraId="09D40CE5" w14:textId="63590FE8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Az adagolási javaslat felnőttek és 12 év feletti gyermekek és serdülők esetén megegyezik.</w:t>
      </w:r>
    </w:p>
    <w:p w14:paraId="79C515D0" w14:textId="77777777" w:rsidR="009C170A" w:rsidRPr="004A00F4" w:rsidRDefault="009C170A" w:rsidP="004A00F4">
      <w:pPr>
        <w:pStyle w:val="Szvegtrzs"/>
        <w:contextualSpacing/>
      </w:pPr>
    </w:p>
    <w:p w14:paraId="26FF65FD" w14:textId="79B6ED93" w:rsidR="00AF229B" w:rsidRPr="004A00F4" w:rsidRDefault="00AF229B" w:rsidP="004A00F4">
      <w:pPr>
        <w:pStyle w:val="Szvegtrzs"/>
        <w:contextualSpacing/>
        <w:rPr>
          <w:i/>
          <w:iCs/>
          <w:u w:val="single"/>
        </w:rPr>
      </w:pPr>
      <w:r w:rsidRPr="004A00F4">
        <w:rPr>
          <w:i/>
          <w:u w:val="single"/>
          <w:lang w:bidi="hu-HU"/>
        </w:rPr>
        <w:t>Újszülöttek és csecsemők 2 hónapos korig:</w:t>
      </w:r>
    </w:p>
    <w:p w14:paraId="2EF8689D" w14:textId="77777777" w:rsidR="00AF229B" w:rsidRPr="004A00F4" w:rsidRDefault="00AF229B" w:rsidP="004A00F4">
      <w:pPr>
        <w:pStyle w:val="Szvegtrzs"/>
        <w:contextualSpacing/>
        <w:rPr>
          <w:i/>
          <w:iCs/>
        </w:rPr>
      </w:pPr>
      <w:r w:rsidRPr="004A00F4">
        <w:rPr>
          <w:i/>
          <w:lang w:bidi="hu-HU"/>
        </w:rPr>
        <w:t>Telítő dózis</w:t>
      </w:r>
    </w:p>
    <w:p w14:paraId="0AD21060" w14:textId="5A1B6C9F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Egyszeri 16 mg/ttkg-os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intravénás infúzióban az első napon.</w:t>
      </w:r>
    </w:p>
    <w:p w14:paraId="37CAF556" w14:textId="77777777" w:rsidR="00AF229B" w:rsidRPr="004A00F4" w:rsidRDefault="00AF229B" w:rsidP="004A00F4">
      <w:pPr>
        <w:pStyle w:val="Szvegtrzs"/>
        <w:contextualSpacing/>
        <w:rPr>
          <w:i/>
          <w:iCs/>
        </w:rPr>
      </w:pPr>
      <w:r w:rsidRPr="004A00F4">
        <w:rPr>
          <w:i/>
          <w:lang w:bidi="hu-HU"/>
        </w:rPr>
        <w:t>Fenntartó dózis</w:t>
      </w:r>
    </w:p>
    <w:p w14:paraId="0032C282" w14:textId="7DB2F03B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8 mg/ttkg-os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intravénás infúzióban naponta</w:t>
      </w:r>
      <w:r w:rsidR="00F2371C">
        <w:rPr>
          <w:lang w:bidi="hu-HU"/>
        </w:rPr>
        <w:t xml:space="preserve"> egyszer</w:t>
      </w:r>
      <w:r w:rsidRPr="004A00F4">
        <w:rPr>
          <w:lang w:bidi="hu-HU"/>
        </w:rPr>
        <w:t>.</w:t>
      </w:r>
    </w:p>
    <w:p w14:paraId="459EB704" w14:textId="77777777" w:rsidR="009C170A" w:rsidRPr="004A00F4" w:rsidRDefault="009C170A" w:rsidP="004A00F4">
      <w:pPr>
        <w:pStyle w:val="Szvegtrzs"/>
        <w:contextualSpacing/>
      </w:pPr>
    </w:p>
    <w:p w14:paraId="365C95AC" w14:textId="2615454F" w:rsidR="00AF229B" w:rsidRPr="004A00F4" w:rsidRDefault="00AF229B" w:rsidP="004A00F4">
      <w:pPr>
        <w:pStyle w:val="Szvegtrzs"/>
        <w:contextualSpacing/>
        <w:rPr>
          <w:i/>
          <w:iCs/>
          <w:u w:val="single"/>
        </w:rPr>
      </w:pPr>
      <w:r w:rsidRPr="004A00F4">
        <w:rPr>
          <w:i/>
          <w:u w:val="single"/>
          <w:lang w:bidi="hu-HU"/>
        </w:rPr>
        <w:t>2 hónapos</w:t>
      </w:r>
      <w:r w:rsidR="008B01BC">
        <w:rPr>
          <w:i/>
          <w:u w:val="single"/>
          <w:lang w:bidi="hu-HU"/>
        </w:rPr>
        <w:t xml:space="preserve"> és</w:t>
      </w:r>
      <w:r w:rsidRPr="004A00F4">
        <w:rPr>
          <w:i/>
          <w:u w:val="single"/>
          <w:lang w:bidi="hu-HU"/>
        </w:rPr>
        <w:t xml:space="preserve"> 12 éves kor közötti gyermekek:</w:t>
      </w:r>
    </w:p>
    <w:p w14:paraId="18E6B3EA" w14:textId="77777777" w:rsidR="00AF229B" w:rsidRPr="004A00F4" w:rsidRDefault="00AF229B" w:rsidP="004A00F4">
      <w:pPr>
        <w:pStyle w:val="Szvegtrzs"/>
        <w:contextualSpacing/>
        <w:rPr>
          <w:i/>
          <w:iCs/>
        </w:rPr>
      </w:pPr>
      <w:r w:rsidRPr="004A00F4">
        <w:rPr>
          <w:i/>
          <w:lang w:bidi="hu-HU"/>
        </w:rPr>
        <w:t>Telítő dózis</w:t>
      </w:r>
    </w:p>
    <w:p w14:paraId="6590E45C" w14:textId="0D1A050D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10 mg/ttkg-os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 xml:space="preserve">intravénásan, 12 óránként, </w:t>
      </w:r>
      <w:r w:rsidR="00F2371C">
        <w:rPr>
          <w:lang w:bidi="hu-HU"/>
        </w:rPr>
        <w:t xml:space="preserve">összesen </w:t>
      </w:r>
      <w:r w:rsidRPr="004A00F4">
        <w:rPr>
          <w:lang w:bidi="hu-HU"/>
        </w:rPr>
        <w:t>3-szor ismételve.</w:t>
      </w:r>
    </w:p>
    <w:p w14:paraId="02957AC9" w14:textId="77777777" w:rsidR="00AF229B" w:rsidRPr="004A00F4" w:rsidRDefault="00AF229B" w:rsidP="004A00F4">
      <w:pPr>
        <w:pStyle w:val="Szvegtrzs"/>
        <w:contextualSpacing/>
        <w:rPr>
          <w:i/>
          <w:iCs/>
        </w:rPr>
      </w:pPr>
      <w:r w:rsidRPr="004A00F4">
        <w:rPr>
          <w:i/>
          <w:lang w:bidi="hu-HU"/>
        </w:rPr>
        <w:t>Fenntartó dózis</w:t>
      </w:r>
    </w:p>
    <w:p w14:paraId="3B9430EF" w14:textId="56AB0B61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6–10 mg/ttkg-os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intravénásan, naponta egyszer beadva.</w:t>
      </w:r>
    </w:p>
    <w:p w14:paraId="4E5AFE31" w14:textId="77777777" w:rsidR="009C170A" w:rsidRPr="004A00F4" w:rsidRDefault="009C170A" w:rsidP="004A00F4">
      <w:pPr>
        <w:pStyle w:val="Szvegtrzs"/>
        <w:contextualSpacing/>
      </w:pPr>
    </w:p>
    <w:p w14:paraId="3F261858" w14:textId="74DFF22F" w:rsidR="00AF229B" w:rsidRPr="004A00F4" w:rsidRDefault="00AF229B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Az alkalmazás módja</w:t>
      </w:r>
    </w:p>
    <w:p w14:paraId="6C30A409" w14:textId="543A65E1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r w:rsidR="008B01BC" w:rsidRPr="00630338">
        <w:t xml:space="preserve">teikoplanint </w:t>
      </w:r>
      <w:r w:rsidRPr="004A00F4">
        <w:rPr>
          <w:lang w:bidi="hu-HU"/>
        </w:rPr>
        <w:t xml:space="preserve">intravénásan vagy </w:t>
      </w:r>
      <w:r w:rsidR="008B01BC">
        <w:rPr>
          <w:lang w:bidi="hu-HU"/>
        </w:rPr>
        <w:t>intramuscularisan</w:t>
      </w:r>
      <w:r w:rsidR="008B01BC" w:rsidRPr="004A00F4">
        <w:rPr>
          <w:lang w:bidi="hu-HU"/>
        </w:rPr>
        <w:t xml:space="preserve"> </w:t>
      </w:r>
      <w:r w:rsidRPr="004A00F4">
        <w:rPr>
          <w:lang w:bidi="hu-HU"/>
        </w:rPr>
        <w:t>kell beadni. Az intravénás injekció beadható 3</w:t>
      </w:r>
      <w:r w:rsidR="00DA461B">
        <w:rPr>
          <w:lang w:bidi="hu-HU"/>
        </w:rPr>
        <w:t>–</w:t>
      </w:r>
      <w:r w:rsidRPr="004A00F4">
        <w:rPr>
          <w:lang w:bidi="hu-HU"/>
        </w:rPr>
        <w:t>5</w:t>
      </w:r>
      <w:r w:rsidR="00DA461B">
        <w:rPr>
          <w:lang w:bidi="hu-HU"/>
        </w:rPr>
        <w:t> </w:t>
      </w:r>
      <w:r w:rsidRPr="004A00F4">
        <w:rPr>
          <w:lang w:bidi="hu-HU"/>
        </w:rPr>
        <w:t>perc alatt bolusként vagy 30 perces infúzióban is.</w:t>
      </w:r>
    </w:p>
    <w:p w14:paraId="2111D712" w14:textId="77777777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Újszülötteknek csak infúzióban adható.</w:t>
      </w:r>
    </w:p>
    <w:p w14:paraId="4474934C" w14:textId="5F634D11" w:rsidR="00AF229B" w:rsidRPr="004A00F4" w:rsidRDefault="00182CC9" w:rsidP="004A00F4">
      <w:pPr>
        <w:pStyle w:val="Szvegtrzs"/>
        <w:contextualSpacing/>
      </w:pPr>
      <w:r>
        <w:rPr>
          <w:i/>
          <w:lang w:bidi="hu-HU"/>
        </w:rPr>
        <w:t>Clostridioides </w:t>
      </w:r>
      <w:r w:rsidR="00AF229B" w:rsidRPr="004A00F4">
        <w:rPr>
          <w:i/>
          <w:lang w:bidi="hu-HU"/>
        </w:rPr>
        <w:t>difficile</w:t>
      </w:r>
      <w:r w:rsidR="00AF229B" w:rsidRPr="004A00F4">
        <w:rPr>
          <w:lang w:bidi="hu-HU"/>
        </w:rPr>
        <w:t xml:space="preserve">-fertőzés okozta hasmenés és colitis kezelése esetén </w:t>
      </w:r>
      <w:r w:rsidR="00AF229B" w:rsidRPr="001C32A7">
        <w:rPr>
          <w:i/>
          <w:lang w:bidi="hu-HU"/>
        </w:rPr>
        <w:t>per os</w:t>
      </w:r>
      <w:r w:rsidR="00AF229B" w:rsidRPr="004A00F4">
        <w:rPr>
          <w:lang w:bidi="hu-HU"/>
        </w:rPr>
        <w:t xml:space="preserve"> alkalmazandó.</w:t>
      </w:r>
    </w:p>
    <w:p w14:paraId="25BDF457" w14:textId="77777777" w:rsidR="009C170A" w:rsidRPr="004A00F4" w:rsidRDefault="009C170A" w:rsidP="004A00F4">
      <w:pPr>
        <w:pStyle w:val="Szvegtrzs"/>
        <w:contextualSpacing/>
      </w:pPr>
    </w:p>
    <w:p w14:paraId="3D6F0DCD" w14:textId="4102DBFB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gyógyszer alkalmazás előtti feloldására és hígítására vonatkozó utasításokat lásd a 6.6 pontban.</w:t>
      </w:r>
    </w:p>
    <w:p w14:paraId="7F64BFE3" w14:textId="77777777" w:rsidR="001F7224" w:rsidRPr="004A00F4" w:rsidRDefault="001F7224" w:rsidP="004A00F4">
      <w:pPr>
        <w:pStyle w:val="Szvegtrzs"/>
        <w:contextualSpacing/>
      </w:pPr>
    </w:p>
    <w:p w14:paraId="57227215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Ellenjavallatok</w:t>
      </w:r>
    </w:p>
    <w:p w14:paraId="6CF3E21F" w14:textId="77777777" w:rsidR="009C170A" w:rsidRPr="004A00F4" w:rsidRDefault="009C170A" w:rsidP="004A00F4">
      <w:pPr>
        <w:pStyle w:val="Szvegtrzs"/>
        <w:contextualSpacing/>
      </w:pPr>
    </w:p>
    <w:p w14:paraId="360A1764" w14:textId="6158917D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A teikoplaninnal vagy a készítmény 6.1 pontban felsorolt bármely segédanyagával szembeni túlérzékenység.</w:t>
      </w:r>
    </w:p>
    <w:p w14:paraId="08064F4D" w14:textId="77777777" w:rsidR="00CB1B59" w:rsidRPr="004A00F4" w:rsidRDefault="00CB1B59" w:rsidP="004A00F4">
      <w:pPr>
        <w:pStyle w:val="Szvegtrzs"/>
        <w:contextualSpacing/>
      </w:pPr>
    </w:p>
    <w:p w14:paraId="07C439E9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Különleges figyelmeztetések és az alkalmazással kapcsolatos óvintézkedések</w:t>
      </w:r>
    </w:p>
    <w:p w14:paraId="2751F33B" w14:textId="77777777" w:rsidR="001F7224" w:rsidRPr="004A00F4" w:rsidRDefault="001F7224" w:rsidP="004A00F4">
      <w:pPr>
        <w:pStyle w:val="Szvegtrzs"/>
        <w:contextualSpacing/>
      </w:pPr>
    </w:p>
    <w:p w14:paraId="265A097D" w14:textId="77777777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A teikoplanin intraventricularisan nem alkalmazható.</w:t>
      </w:r>
    </w:p>
    <w:p w14:paraId="1872BCF6" w14:textId="77777777" w:rsidR="009C170A" w:rsidRPr="004A00F4" w:rsidRDefault="009C170A" w:rsidP="004A00F4">
      <w:pPr>
        <w:pStyle w:val="Szvegtrzs"/>
        <w:contextualSpacing/>
      </w:pPr>
    </w:p>
    <w:p w14:paraId="672ABBFA" w14:textId="42036CD3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Túlérzékenységi reakciók</w:t>
      </w:r>
    </w:p>
    <w:p w14:paraId="02D6ED03" w14:textId="7F906754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A teikoplaninnal kapcsolatosan súlyos, életveszélyes, néhány esetben halálos kimenetelű túlérzékenységi reakciókról (pl. a</w:t>
      </w:r>
      <w:r w:rsidR="00F2371C">
        <w:rPr>
          <w:lang w:bidi="hu-HU"/>
        </w:rPr>
        <w:t>naphyl</w:t>
      </w:r>
      <w:r w:rsidRPr="004A00F4">
        <w:rPr>
          <w:lang w:bidi="hu-HU"/>
        </w:rPr>
        <w:t>axiás sokkról) számoltak be. A teikoplaninnal kapcsolatos allergiás reakció előfordulása esetén a kezelést azonnal abba kell hagyni, és megfelelő sürgősségi intézkedéseket kell tenni.</w:t>
      </w:r>
    </w:p>
    <w:p w14:paraId="1CB3D5F3" w14:textId="61D8FFC5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A vankomicinnel szembeni ismert túlérzékenységben szenvedő betegek esetében a teikoplanint elővigyázatossággal kell alkalmazni, mivel túlérzékenységi keresztreakció fordulhat elő, beleértve a halálos kimenetelű a</w:t>
      </w:r>
      <w:r w:rsidR="00F2371C">
        <w:rPr>
          <w:lang w:bidi="hu-HU"/>
        </w:rPr>
        <w:t>naphyl</w:t>
      </w:r>
      <w:r w:rsidRPr="004A00F4">
        <w:rPr>
          <w:lang w:bidi="hu-HU"/>
        </w:rPr>
        <w:t>axiás sokkot is.</w:t>
      </w:r>
    </w:p>
    <w:p w14:paraId="594806D2" w14:textId="77777777" w:rsidR="009C170A" w:rsidRPr="004A00F4" w:rsidRDefault="009C170A" w:rsidP="004A00F4">
      <w:pPr>
        <w:pStyle w:val="Szvegtrzs"/>
        <w:contextualSpacing/>
      </w:pPr>
    </w:p>
    <w:p w14:paraId="5A1841A5" w14:textId="6BF048CF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A</w:t>
      </w:r>
      <w:r w:rsidR="00DA461B">
        <w:rPr>
          <w:lang w:bidi="hu-HU"/>
        </w:rPr>
        <w:t>z anamnézisben szereplő,</w:t>
      </w:r>
      <w:r w:rsidRPr="004A00F4">
        <w:rPr>
          <w:lang w:bidi="hu-HU"/>
        </w:rPr>
        <w:t xml:space="preserve"> vankomicin</w:t>
      </w:r>
      <w:r w:rsidR="00DA461B">
        <w:rPr>
          <w:lang w:bidi="hu-HU"/>
        </w:rPr>
        <w:t xml:space="preserve"> alkalmazásával összefüggésben kialakult</w:t>
      </w:r>
      <w:r w:rsidRPr="004A00F4">
        <w:rPr>
          <w:lang w:bidi="hu-HU"/>
        </w:rPr>
        <w:t xml:space="preserve"> „red man szindróma” esetében azonban a teikoplanin alkalmazása nem ellenjavallt.</w:t>
      </w:r>
    </w:p>
    <w:p w14:paraId="4F7D3636" w14:textId="77777777" w:rsidR="009C170A" w:rsidRPr="004A00F4" w:rsidRDefault="009C170A" w:rsidP="004A00F4">
      <w:pPr>
        <w:pStyle w:val="Szvegtrzs"/>
        <w:contextualSpacing/>
      </w:pPr>
    </w:p>
    <w:p w14:paraId="6E57CC6E" w14:textId="3B3A87EC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Az infúzióval kapcsolatos reakciók</w:t>
      </w:r>
    </w:p>
    <w:p w14:paraId="7D398AD9" w14:textId="5FD3B84C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Ritkán (akár az első </w:t>
      </w:r>
      <w:r w:rsidR="00182CC9">
        <w:rPr>
          <w:lang w:bidi="hu-HU"/>
        </w:rPr>
        <w:t>dózisnál</w:t>
      </w:r>
      <w:r w:rsidR="00182CC9" w:rsidRPr="004A00F4">
        <w:rPr>
          <w:lang w:bidi="hu-HU"/>
        </w:rPr>
        <w:t xml:space="preserve"> </w:t>
      </w:r>
      <w:r w:rsidRPr="004A00F4">
        <w:rPr>
          <w:lang w:bidi="hu-HU"/>
        </w:rPr>
        <w:t xml:space="preserve">is) </w:t>
      </w:r>
      <w:r w:rsidR="00F2371C">
        <w:rPr>
          <w:lang w:bidi="hu-HU"/>
        </w:rPr>
        <w:t>„red man”</w:t>
      </w:r>
      <w:r w:rsidRPr="004A00F4">
        <w:rPr>
          <w:lang w:bidi="hu-HU"/>
        </w:rPr>
        <w:t xml:space="preserve"> szindróma (pruritusszal, urticariával, erythemával, angioneuroticus oedemával, tachycardiával, hypotensioval és dyspnoeval járó tünetegyüttes) jelentkezését figyelték meg.</w:t>
      </w:r>
    </w:p>
    <w:p w14:paraId="7F33F849" w14:textId="585231EC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Az infúzió leállítása vagy lelassítása után ezek a reakciók elmúlhatnak. Az infúzióval kapcsolatos reakciók korlátozható</w:t>
      </w:r>
      <w:r w:rsidR="00F2371C">
        <w:rPr>
          <w:lang w:bidi="hu-HU"/>
        </w:rPr>
        <w:t>a</w:t>
      </w:r>
      <w:r w:rsidRPr="004A00F4">
        <w:rPr>
          <w:lang w:bidi="hu-HU"/>
        </w:rPr>
        <w:t xml:space="preserve">k, amennyiben a napi </w:t>
      </w:r>
      <w:r w:rsidR="00182CC9">
        <w:rPr>
          <w:lang w:bidi="hu-HU"/>
        </w:rPr>
        <w:t>dózist</w:t>
      </w:r>
      <w:r w:rsidRPr="004A00F4">
        <w:rPr>
          <w:lang w:bidi="hu-HU"/>
        </w:rPr>
        <w:t xml:space="preserve"> nem bolus injekcióban, hanem infúzióban adják be, amelynek időtartama 30 perc.</w:t>
      </w:r>
    </w:p>
    <w:p w14:paraId="4FCF4CB7" w14:textId="77777777" w:rsidR="00265A37" w:rsidRPr="004A00F4" w:rsidRDefault="00265A37" w:rsidP="004A00F4">
      <w:pPr>
        <w:pStyle w:val="Szvegtrzs"/>
        <w:contextualSpacing/>
      </w:pPr>
    </w:p>
    <w:p w14:paraId="07C90F8B" w14:textId="59D15C50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Bőrt érintő, súlyos mellékhatások</w:t>
      </w:r>
    </w:p>
    <w:p w14:paraId="295AF3E5" w14:textId="386F799F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Bőrt érintő, súlyos mellékhatásokat (severe cutaneous adverse reaction, SCAR), köztük Stevens–Johnson szindrómát (SJS), toxicus epidermalis necrolysist (TEN) és eo</w:t>
      </w:r>
      <w:r w:rsidR="00F2371C">
        <w:rPr>
          <w:lang w:bidi="hu-HU"/>
        </w:rPr>
        <w:t>s</w:t>
      </w:r>
      <w:r w:rsidRPr="004A00F4">
        <w:rPr>
          <w:lang w:bidi="hu-HU"/>
        </w:rPr>
        <w:t>ino</w:t>
      </w:r>
      <w:r w:rsidR="00F2371C">
        <w:rPr>
          <w:lang w:bidi="hu-HU"/>
        </w:rPr>
        <w:t>phi</w:t>
      </w:r>
      <w:r w:rsidRPr="004A00F4">
        <w:rPr>
          <w:lang w:bidi="hu-HU"/>
        </w:rPr>
        <w:t>liával és szisztémás tünetekkel járó gyógyszerreakciót (DRESS-szindróma) jelentettek a teikoplanin alkalmazásával kapcsolatban, amelyek életveszélyesek vagy halálos kimenetelűek lehetnek (lásd 4.8 pont). Akut generalizált exanthemás pustulosist (AGEP) szintén jelentettek a teikoplanin alkalmazása során (lásd 4.8 pont). A gyógyszer rendelésekor tájékoztatni kell a betegeket a súlyos bőrreakciók jeleiről és tüneteiről (azaz progresszív, gyakran hólyagosodással vagy nyálkahártya-elváltozásokkal kísért bőrkiütések, vagy gennyes bőrkiütések vagy a bőr túlérzékenységének bármely más jele), és a betegeket szorosan monitorozni kell ezek kialakulása tekintetében. Ilyen reakciók kialakulására utaló jelek vagy tünetek jelentkezése esetén a teikoplanin alkalmazását abba kell hagyni és mérlegelni kell más megfelelő kezelés alkalmazását.</w:t>
      </w:r>
    </w:p>
    <w:p w14:paraId="57F9E6BE" w14:textId="77777777" w:rsidR="00265A37" w:rsidRPr="004A00F4" w:rsidRDefault="00265A37" w:rsidP="004A00F4">
      <w:pPr>
        <w:pStyle w:val="Szvegtrzs"/>
        <w:contextualSpacing/>
      </w:pPr>
    </w:p>
    <w:p w14:paraId="214B6239" w14:textId="5FEE6733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Antibakteriális hatásspektrum</w:t>
      </w:r>
    </w:p>
    <w:p w14:paraId="126E9AFA" w14:textId="37E93D05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A teikoplanin antibakteriális </w:t>
      </w:r>
      <w:r w:rsidR="00F2371C">
        <w:rPr>
          <w:lang w:bidi="hu-HU"/>
        </w:rPr>
        <w:t>hatás</w:t>
      </w:r>
      <w:r w:rsidRPr="004A00F4">
        <w:rPr>
          <w:lang w:bidi="hu-HU"/>
        </w:rPr>
        <w:t>spektruma limitált (Gram-pozitív). Néhány típusú fertőzés kezelésére önmagában nem alkalmas, kivéve, ha a kórokozót már azonosították, és ismerten érzékeny a teikoplaninra; vagy erősen gyanítható, hogy a fertőzést legnagyobb valószínűséggel okozó kórokozó(k) kezelésére a teikoplanin alkalmas.</w:t>
      </w:r>
    </w:p>
    <w:p w14:paraId="49D8B381" w14:textId="77777777" w:rsidR="00265A37" w:rsidRPr="004A00F4" w:rsidRDefault="00265A37" w:rsidP="004A00F4">
      <w:pPr>
        <w:pStyle w:val="Szvegtrzs"/>
        <w:contextualSpacing/>
      </w:pPr>
    </w:p>
    <w:p w14:paraId="64E54A6F" w14:textId="2FAC55C9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A teikoplanin észszerű alkalmazása során figyelembe kell venni az antibakteriális hatásspektrumot, a biztonságossági profilt, és azt, hogy a beteg alkalmas-e a standard antibiotikum kezelésre. Ennek alapján várható, hogy a teikoplanint a legtöbb esetben csak azon betegek súlyos fertőzésének kezelésére alkalmazzák, akiknél a standard antibiotikum kezelés nem alkalmas.</w:t>
      </w:r>
    </w:p>
    <w:p w14:paraId="6A14D35B" w14:textId="77777777" w:rsidR="00265A37" w:rsidRPr="004A00F4" w:rsidRDefault="00265A37" w:rsidP="004A00F4">
      <w:pPr>
        <w:pStyle w:val="Szvegtrzs"/>
        <w:contextualSpacing/>
      </w:pPr>
    </w:p>
    <w:p w14:paraId="4B657970" w14:textId="0163BB4B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Thrombocytopenia</w:t>
      </w:r>
    </w:p>
    <w:p w14:paraId="3E650E0D" w14:textId="6F6CDD1E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A teikoplanin alkalmazása során beszámoltak thrombocytopeniáról (lásd 4.8 pont). A kezelés alatt javasolt az időszakos hematológiai vizsgálat, beleértve a teljes vérkép vizsgálatát is.</w:t>
      </w:r>
    </w:p>
    <w:p w14:paraId="7E0895A1" w14:textId="77777777" w:rsidR="00265A37" w:rsidRPr="004A00F4" w:rsidRDefault="00265A37" w:rsidP="004A00F4">
      <w:pPr>
        <w:pStyle w:val="Szvegtrzs"/>
        <w:contextualSpacing/>
      </w:pPr>
    </w:p>
    <w:p w14:paraId="45D8EC3A" w14:textId="3BFD4338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Nefrotoxicitás</w:t>
      </w:r>
    </w:p>
    <w:p w14:paraId="56EF2B3F" w14:textId="27998BE6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A teikoplanin-kezelés során nefrotoxicitásról és veseelégtelenségről számoltak be (lásd 4.8 pont). Vesekárosodásban szenvedő betegek esetén olyan esetben, amikor a teikoplanint magas telítő dózisban, vagy olyan esetben, amikor ismerten vesekárosító hatással rendelkező gyógyszerekkel (pl. aminoglikozidok, kolisztin, amfotericin B, ciklosporin és ciszplatin)</w:t>
      </w:r>
      <w:r w:rsidR="00F2371C" w:rsidRPr="00F2371C">
        <w:rPr>
          <w:lang w:bidi="hu-HU"/>
        </w:rPr>
        <w:t xml:space="preserve"> </w:t>
      </w:r>
      <w:r w:rsidR="00F2371C" w:rsidRPr="004A00F4">
        <w:rPr>
          <w:lang w:bidi="hu-HU"/>
        </w:rPr>
        <w:t>egyidejűleg</w:t>
      </w:r>
      <w:r w:rsidRPr="004A00F4">
        <w:rPr>
          <w:lang w:bidi="hu-HU"/>
        </w:rPr>
        <w:t>, vagy azokat megelőzően, illetve alkalmazásuk után adják, akkor a betegeket gondosan monitorozni kell, és hallásvizsgálatot is kell végezni (lásd alább: „Ototoxicitás”).</w:t>
      </w:r>
    </w:p>
    <w:p w14:paraId="2D8B564D" w14:textId="280F94EB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lastRenderedPageBreak/>
        <w:t>Mivel a teikoplanin főként a vesén keresztül választódik ki, ezért vese</w:t>
      </w:r>
      <w:r w:rsidR="00F2371C">
        <w:rPr>
          <w:lang w:bidi="hu-HU"/>
        </w:rPr>
        <w:t>károsodásban</w:t>
      </w:r>
      <w:r w:rsidRPr="004A00F4">
        <w:rPr>
          <w:lang w:bidi="hu-HU"/>
        </w:rPr>
        <w:t xml:space="preserve"> szenvedő betegek esetén a teikoplanin </w:t>
      </w:r>
      <w:r w:rsidR="00182CC9">
        <w:rPr>
          <w:lang w:bidi="hu-HU"/>
        </w:rPr>
        <w:t>dózisát</w:t>
      </w:r>
      <w:r w:rsidRPr="004A00F4">
        <w:rPr>
          <w:lang w:bidi="hu-HU"/>
        </w:rPr>
        <w:t xml:space="preserve"> módosítani kell (lásd 4.2 pont).</w:t>
      </w:r>
    </w:p>
    <w:p w14:paraId="05711A63" w14:textId="77777777" w:rsidR="00265A37" w:rsidRPr="004A00F4" w:rsidRDefault="00265A37" w:rsidP="004A00F4">
      <w:pPr>
        <w:pStyle w:val="Szvegtrzs"/>
        <w:contextualSpacing/>
      </w:pPr>
    </w:p>
    <w:p w14:paraId="557A8CE8" w14:textId="47A7A4FB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Ototoxicitás</w:t>
      </w:r>
    </w:p>
    <w:p w14:paraId="55B86A77" w14:textId="24D67E77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Más glikopeptidekhez hasonlóan, a teikoplanin alkalmazása során is beszámoltak ototoxicitásról (süketségről és fülzúgásról) (lásd 4.8 pont). Azokat a betegeket, akiknél a teikoplanin-kezelés során halláskárosodás vagy a belső fül betegségeinek jelei vagy tünetei jelentkeznek, gondosan ki kell vizsgálni és monitorozni kell, különösen hosszan tartó kezelés és fennálló vesekárosodás esetén. Azokat a betegeket, akik a teikoplanint egyéb, ismert nefrotoxikus és/vagy neurotoxikus/ototoxikus hatással rendelkező gyógyszerekkel egyidejűleg (pl. aminoglikozidokkal, kolisztinnel, amfotericin B-vel, ciklosporinnal, ciszplatinnal, furoszemiddel és etakrinsavval), vagy azokat megelőzően, illetve alkalmazásuk után kapják, gondosan monitorozni kell, és hallásromlás esetén mérlegelni kell a teikoplanin-kezelés előnyeit.</w:t>
      </w:r>
    </w:p>
    <w:p w14:paraId="33FBA517" w14:textId="77777777" w:rsidR="00265A37" w:rsidRPr="004A00F4" w:rsidRDefault="00265A37" w:rsidP="004A00F4">
      <w:pPr>
        <w:pStyle w:val="Szvegtrzs"/>
        <w:contextualSpacing/>
      </w:pPr>
    </w:p>
    <w:p w14:paraId="2303D262" w14:textId="0F9B6B1E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Különleges óvintézkedéseket kell tenni, amennyiben a teikoplanint olyan betegeknek adják, akik egyidejűleg ototoxikus és/vagy vesekárosító gyógyszerekkel történő kezelésben részesülnek. Ilyen esetekben javasolt a rendszeres hematológiai, máj- és vesefunkciós vizsgálatok végzése.</w:t>
      </w:r>
    </w:p>
    <w:p w14:paraId="52D7B585" w14:textId="77777777" w:rsidR="00265A37" w:rsidRPr="004A00F4" w:rsidRDefault="00265A37" w:rsidP="004A00F4">
      <w:pPr>
        <w:pStyle w:val="Szvegtrzs"/>
        <w:contextualSpacing/>
      </w:pPr>
    </w:p>
    <w:p w14:paraId="64AAB8D7" w14:textId="58691857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Felülfertőződés</w:t>
      </w:r>
    </w:p>
    <w:p w14:paraId="1ED82E7B" w14:textId="7D0F1B9E" w:rsidR="009C170A" w:rsidRPr="004A00F4" w:rsidRDefault="00F2371C" w:rsidP="004A00F4">
      <w:pPr>
        <w:pStyle w:val="Szvegtrzs"/>
        <w:contextualSpacing/>
      </w:pPr>
      <w:r>
        <w:rPr>
          <w:lang w:bidi="hu-HU"/>
        </w:rPr>
        <w:t xml:space="preserve">Mint egyéb </w:t>
      </w:r>
      <w:r w:rsidR="009C170A" w:rsidRPr="004A00F4">
        <w:rPr>
          <w:lang w:bidi="hu-HU"/>
        </w:rPr>
        <w:t>antibiotikumok, így a teikoplanin alkalmazása is – különösen tartós alkalmazás esetén – a nem érzékeny mikroorganizmusok elszaporodását okozhatja. Amennyiben a kezelés során felülfertőződés következik be, megfelelő lépéseket kell tenni.</w:t>
      </w:r>
    </w:p>
    <w:p w14:paraId="55917734" w14:textId="77777777" w:rsidR="002E0BAF" w:rsidRPr="004A00F4" w:rsidRDefault="002E0BAF" w:rsidP="004A00F4">
      <w:pPr>
        <w:pStyle w:val="Szvegtrzs"/>
        <w:contextualSpacing/>
      </w:pPr>
    </w:p>
    <w:p w14:paraId="3797190D" w14:textId="08F56116" w:rsidR="002E0BAF" w:rsidRPr="004A00F4" w:rsidRDefault="002E0BAF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Nátrium</w:t>
      </w:r>
    </w:p>
    <w:p w14:paraId="42503ED0" w14:textId="0D96DAB1" w:rsidR="002E0BAF" w:rsidRPr="004A00F4" w:rsidRDefault="002E0BAF" w:rsidP="004A00F4">
      <w:pPr>
        <w:pStyle w:val="Szvegtrzs"/>
        <w:contextualSpacing/>
      </w:pPr>
      <w:r w:rsidRPr="004A00F4">
        <w:rPr>
          <w:lang w:bidi="hu-HU"/>
        </w:rPr>
        <w:t xml:space="preserve">Ez a gyógyszer kevesebb mint 1 mmol (23 mg) nátriumot tartalmaz </w:t>
      </w:r>
      <w:r w:rsidR="00F2371C">
        <w:rPr>
          <w:lang w:bidi="hu-HU"/>
        </w:rPr>
        <w:t xml:space="preserve">port tartalmazó </w:t>
      </w:r>
      <w:r w:rsidRPr="004A00F4">
        <w:rPr>
          <w:lang w:bidi="hu-HU"/>
        </w:rPr>
        <w:t>injekciós üvegenként, azaz gyakorlatilag „nátriummentes”.</w:t>
      </w:r>
    </w:p>
    <w:p w14:paraId="222BF24D" w14:textId="207BA406" w:rsidR="001F7224" w:rsidRPr="004A00F4" w:rsidRDefault="001F7224" w:rsidP="004A00F4">
      <w:pPr>
        <w:pStyle w:val="Szvegtrzs"/>
        <w:contextualSpacing/>
      </w:pPr>
    </w:p>
    <w:p w14:paraId="0AFB42A7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Gyógyszerkölcsönhatások és egyéb interakciók</w:t>
      </w:r>
    </w:p>
    <w:p w14:paraId="6438A981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5B9D0C21" w14:textId="10C3A0CE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Specifikus interakciós vizsgálatokat nem végeztek.</w:t>
      </w:r>
    </w:p>
    <w:p w14:paraId="40A48358" w14:textId="77777777" w:rsidR="00265A37" w:rsidRPr="004A00F4" w:rsidRDefault="00265A37" w:rsidP="004A00F4">
      <w:pPr>
        <w:pStyle w:val="Szvegtrzs"/>
        <w:contextualSpacing/>
      </w:pPr>
    </w:p>
    <w:p w14:paraId="5628A54D" w14:textId="000ED0B7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A teikoplanin és aminoglikozidok oldatai inkompatibilisek, és tilos az injekciós alkalmazás esetén keverni, ugyanakkor a dializáló oldatban kompatibilisek és szabadon alkalmazhatók CAPD okozta peritonitisben.</w:t>
      </w:r>
    </w:p>
    <w:p w14:paraId="6D9B8D52" w14:textId="6A45897F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A teikoplanint elővigyázatossággal kell alkalmazni más, ismert nefrotoxikus és/vagy neurotoxikus/ototoxikus hatású gyógyszerrel egyidejű, vagy egymást követő alkalmazása esetén. Ilyen gyógyszerek többek között pl. az aminoglikozidok, a kolisztin, az amfotericin B, a ciklosporin, a ciszplatin, a furoszemid és az etakrinsav (lásd 4.4 pont „Nefrotoxicitás” és „Ototoxicitás”). A teikoplaninnal való kombináció során azonban a szinergikus toxicitásra nincs bizonyíték.</w:t>
      </w:r>
    </w:p>
    <w:p w14:paraId="328DEC97" w14:textId="77777777" w:rsidR="00265A37" w:rsidRPr="004A00F4" w:rsidRDefault="00265A37" w:rsidP="004A00F4">
      <w:pPr>
        <w:pStyle w:val="Szvegtrzs"/>
        <w:contextualSpacing/>
      </w:pPr>
    </w:p>
    <w:p w14:paraId="665BF3D1" w14:textId="07D916C8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Klinikai vizsgálatokban számos, más antibiotikumokat, vérnyomáscsökkentőket, anesztetikumokat, szívgyógyszereket és antidiabetikumokat szedő betegnek adtak teikoplanint, és káros kölcsönhatás bizonyítéka nem merült fel.</w:t>
      </w:r>
    </w:p>
    <w:p w14:paraId="2A5FCE48" w14:textId="77777777" w:rsidR="00265A37" w:rsidRPr="004A00F4" w:rsidRDefault="00265A37" w:rsidP="004A00F4">
      <w:pPr>
        <w:pStyle w:val="Szvegtrzs"/>
        <w:contextualSpacing/>
      </w:pPr>
    </w:p>
    <w:p w14:paraId="70A58259" w14:textId="2E4BBB5E" w:rsidR="00265A37" w:rsidRPr="004A00F4" w:rsidRDefault="00265A37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Gyermekek és serdülők</w:t>
      </w:r>
    </w:p>
    <w:p w14:paraId="3BFCC3FF" w14:textId="18867FFA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Interakciós vizsgálatokat csak felnőttek körében végeztek.</w:t>
      </w:r>
    </w:p>
    <w:p w14:paraId="4C330C97" w14:textId="77777777" w:rsidR="001F7224" w:rsidRPr="004A00F4" w:rsidRDefault="001F7224" w:rsidP="004A00F4">
      <w:pPr>
        <w:pStyle w:val="Szvegtrzs"/>
        <w:contextualSpacing/>
      </w:pPr>
    </w:p>
    <w:p w14:paraId="5D76EC33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Termékenység, terhesség és szoptatás</w:t>
      </w:r>
    </w:p>
    <w:p w14:paraId="007E6746" w14:textId="77777777" w:rsidR="001F7224" w:rsidRPr="004A00F4" w:rsidRDefault="001F7224" w:rsidP="004A00F4">
      <w:pPr>
        <w:pStyle w:val="Szvegtrzs"/>
        <w:contextualSpacing/>
      </w:pPr>
    </w:p>
    <w:p w14:paraId="1E97ED0B" w14:textId="77777777" w:rsidR="00BD2B96" w:rsidRPr="004A00F4" w:rsidRDefault="00BD2B96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Terhesség</w:t>
      </w:r>
    </w:p>
    <w:p w14:paraId="09991413" w14:textId="62639A8F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A teikoplanin terhes nőknél történő alkalmazása tekintetében korlátozott mennyiségű információ áll rendelkezésre. Állatkísérletek során, nagy dózisok esetén reproduk</w:t>
      </w:r>
      <w:r w:rsidR="00F2371C">
        <w:rPr>
          <w:lang w:bidi="hu-HU"/>
        </w:rPr>
        <w:t>ciós</w:t>
      </w:r>
      <w:r w:rsidRPr="004A00F4">
        <w:rPr>
          <w:lang w:bidi="hu-HU"/>
        </w:rPr>
        <w:t xml:space="preserve"> toxicitást igazoltak (lásd 5.3</w:t>
      </w:r>
      <w:r w:rsidR="00DA461B">
        <w:rPr>
          <w:lang w:bidi="hu-HU"/>
        </w:rPr>
        <w:t> </w:t>
      </w:r>
      <w:r w:rsidRPr="004A00F4">
        <w:rPr>
          <w:lang w:bidi="hu-HU"/>
        </w:rPr>
        <w:t>pont): patkányoknál nőtt a halva születés és a neonatális mortalitás előfordulási gyakorisága. Embereknél a potenciális kockázat nem ismert.</w:t>
      </w:r>
    </w:p>
    <w:p w14:paraId="23282CE7" w14:textId="222D3E36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A teikoplanin nem alkalmazható a terhesség alatt, kivéve, ha arra egyértelműen szükség van. A magzati belsőfül</w:t>
      </w:r>
      <w:r w:rsidR="00F2371C">
        <w:rPr>
          <w:lang w:bidi="hu-HU"/>
        </w:rPr>
        <w:t>-</w:t>
      </w:r>
      <w:r w:rsidRPr="004A00F4">
        <w:rPr>
          <w:lang w:bidi="hu-HU"/>
        </w:rPr>
        <w:t xml:space="preserve"> és vesekárosodás potenciális kockázata nem zárható ki (lásd 4.4 pont).</w:t>
      </w:r>
    </w:p>
    <w:p w14:paraId="07F26DE4" w14:textId="77777777" w:rsidR="00BD2B96" w:rsidRPr="004A00F4" w:rsidRDefault="00BD2B96" w:rsidP="004A00F4">
      <w:pPr>
        <w:pStyle w:val="Szvegtrzs"/>
        <w:contextualSpacing/>
      </w:pPr>
    </w:p>
    <w:p w14:paraId="3DB91FD7" w14:textId="17E6AFC9" w:rsidR="00BD2B96" w:rsidRPr="004A00F4" w:rsidRDefault="00BD2B96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lastRenderedPageBreak/>
        <w:t>Szoptatás</w:t>
      </w:r>
    </w:p>
    <w:p w14:paraId="772844B8" w14:textId="70C77AF2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Nem ismert, hogy a teikoplanin kiválasztódik-e a humán anyatejbe. A teikoplanin állati anyatejbe történő kiválasztódásával kapcsolatban nem áll rendelkezésre információ. A döntést a szoptatás folytatásáról, ill. megszakításáról és a teikoplanin-kezelés megszakításáról vagy folytatásáról a szoptatás gyermekre gyakorolt előnyös hatása, ill. a teikoplanin-kezelés anyai előnyeinek megfelelő értékelése alapján kell meghozni.</w:t>
      </w:r>
    </w:p>
    <w:p w14:paraId="11B06F76" w14:textId="77777777" w:rsidR="00BD2B96" w:rsidRPr="004A00F4" w:rsidRDefault="00BD2B96" w:rsidP="004A00F4">
      <w:pPr>
        <w:pStyle w:val="Szvegtrzs"/>
        <w:contextualSpacing/>
      </w:pPr>
    </w:p>
    <w:p w14:paraId="195A1772" w14:textId="008F39FE" w:rsidR="00BD2B96" w:rsidRPr="004A00F4" w:rsidRDefault="00BD2B96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Termékenység</w:t>
      </w:r>
    </w:p>
    <w:p w14:paraId="20A3928C" w14:textId="55ECFD3B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Reprodukciós állatkísérletek során a termékenységre gyakorolt káros hatásnak nem volt bizonyítéka.</w:t>
      </w:r>
    </w:p>
    <w:p w14:paraId="0CBEEFD8" w14:textId="77777777" w:rsidR="001F7224" w:rsidRPr="004A00F4" w:rsidRDefault="001F7224" w:rsidP="004A00F4">
      <w:pPr>
        <w:pStyle w:val="Szvegtrzs"/>
        <w:contextualSpacing/>
      </w:pPr>
    </w:p>
    <w:p w14:paraId="1403DD4E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készítmény hatásai a gépjárművezetéshez és a gépek kezeléséhez szükséges képességekre</w:t>
      </w:r>
    </w:p>
    <w:p w14:paraId="54C5B96A" w14:textId="77777777" w:rsidR="00265A37" w:rsidRPr="004A00F4" w:rsidRDefault="00265A37" w:rsidP="004A00F4">
      <w:pPr>
        <w:pStyle w:val="Szvegtrzs"/>
        <w:contextualSpacing/>
      </w:pPr>
    </w:p>
    <w:p w14:paraId="6B27AB28" w14:textId="34C5A4E6" w:rsidR="00265A37" w:rsidRPr="004A00F4" w:rsidRDefault="00A9547A" w:rsidP="004A00F4">
      <w:pPr>
        <w:pStyle w:val="Szvegtrzs"/>
        <w:contextualSpacing/>
      </w:pPr>
      <w:r w:rsidRPr="004A00F4">
        <w:rPr>
          <w:lang w:bidi="hu-HU"/>
        </w:rPr>
        <w:t>A Teicoplanin Anfarm kismértékben befolyásolja a gépjárművezetéshez és a gépek kezeléséhez szükséges képességeket.</w:t>
      </w:r>
    </w:p>
    <w:p w14:paraId="096D8BAD" w14:textId="77777777" w:rsidR="00265A37" w:rsidRPr="004A00F4" w:rsidRDefault="00265A37" w:rsidP="004A00F4">
      <w:pPr>
        <w:pStyle w:val="Szvegtrzs"/>
        <w:contextualSpacing/>
      </w:pPr>
    </w:p>
    <w:p w14:paraId="5C2B54D0" w14:textId="360A40CB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A teikoplanin szédülést és fejfájást okozhat. A gépjárművezetéshez és a gépek kezeléséhez szükséges képességeket befolyásolhatja. Azon betegek, akiknél mellékhatások lépnek fel, nem vezethetnek gépjárműveket és nem kezelhetnek gépeket.</w:t>
      </w:r>
    </w:p>
    <w:p w14:paraId="0CFAD2B7" w14:textId="77777777" w:rsidR="001F7224" w:rsidRPr="004A00F4" w:rsidRDefault="001F7224" w:rsidP="004A00F4">
      <w:pPr>
        <w:pStyle w:val="Szvegtrzs"/>
        <w:contextualSpacing/>
      </w:pPr>
    </w:p>
    <w:p w14:paraId="0D727BA5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Nemkívánatos hatások, mellékhatások</w:t>
      </w:r>
    </w:p>
    <w:p w14:paraId="31489F3B" w14:textId="4A117925" w:rsidR="00265A37" w:rsidRPr="004A00F4" w:rsidRDefault="00265A37" w:rsidP="004A00F4">
      <w:pPr>
        <w:pStyle w:val="Szvegtrzs"/>
        <w:contextualSpacing/>
      </w:pPr>
    </w:p>
    <w:p w14:paraId="53756E1C" w14:textId="77777777" w:rsidR="00265A37" w:rsidRPr="004A00F4" w:rsidRDefault="00265A37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 mellékhatások táblázatos felsorolása</w:t>
      </w:r>
    </w:p>
    <w:p w14:paraId="46331EF3" w14:textId="48CA00B4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Az alábbi táblázatban találhatók azok a mellékhatások, amelyek előfordulási gyakorisága meghaladta a placebo alkalmazása esetén megfigyelhető gyakoriságot, és több mint egy betegnél jelentkeztek. A mellékhatások felsorolása az alábbi gyakorisági kategóriák szerint történik:</w:t>
      </w:r>
    </w:p>
    <w:p w14:paraId="06D3AF8B" w14:textId="3CB8646D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Nagyon gyakori (≥1/10); gyakori (≥1/100 – &lt;1/10); nem gyakori (≥1/1000 – &lt;1/100); ritka (≥1/10 000 – &lt;1/1000); nagyon ritka (≤1/10 000), nem ismert (a gyakoriság a rendelkezésre álló adatokból nem</w:t>
      </w:r>
      <w:r w:rsidR="00DA461B">
        <w:rPr>
          <w:lang w:bidi="hu-HU"/>
        </w:rPr>
        <w:t> </w:t>
      </w:r>
      <w:r w:rsidRPr="004A00F4">
        <w:rPr>
          <w:lang w:bidi="hu-HU"/>
        </w:rPr>
        <w:t>állapítható meg).</w:t>
      </w:r>
    </w:p>
    <w:p w14:paraId="6BA1B151" w14:textId="77777777" w:rsidR="00684DE9" w:rsidRPr="004A00F4" w:rsidRDefault="00684DE9" w:rsidP="004A00F4">
      <w:pPr>
        <w:pStyle w:val="Szvegtrzs"/>
        <w:contextualSpacing/>
      </w:pPr>
    </w:p>
    <w:p w14:paraId="1B614AB3" w14:textId="6911D192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Az egyes gyakorisági kategóriákon belül a mellékhatások csökkenő súlyosság szerint kerülnek megadásra.</w:t>
      </w:r>
    </w:p>
    <w:p w14:paraId="5F6D8E25" w14:textId="08F314E9" w:rsidR="00265A37" w:rsidRPr="004A00F4" w:rsidRDefault="00265A37" w:rsidP="004A00F4">
      <w:pPr>
        <w:pStyle w:val="Szvegtrzs"/>
        <w:contextualSpacing/>
      </w:pPr>
    </w:p>
    <w:tbl>
      <w:tblPr>
        <w:tblStyle w:val="Rcsostblzat"/>
        <w:tblW w:w="0" w:type="auto"/>
        <w:tblInd w:w="250" w:type="dxa"/>
        <w:tblLook w:val="04A0" w:firstRow="1" w:lastRow="0" w:firstColumn="1" w:lastColumn="0" w:noHBand="0" w:noVBand="1"/>
      </w:tblPr>
      <w:tblGrid>
        <w:gridCol w:w="1527"/>
        <w:gridCol w:w="1107"/>
        <w:gridCol w:w="1800"/>
        <w:gridCol w:w="1338"/>
        <w:gridCol w:w="1217"/>
        <w:gridCol w:w="1827"/>
      </w:tblGrid>
      <w:tr w:rsidR="00684DE9" w:rsidRPr="004A00F4" w14:paraId="47A4E6ED" w14:textId="77777777" w:rsidTr="00543AD1">
        <w:trPr>
          <w:tblHeader/>
        </w:trPr>
        <w:tc>
          <w:tcPr>
            <w:tcW w:w="1237" w:type="dxa"/>
          </w:tcPr>
          <w:p w14:paraId="60200DBD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>Szervrendszer</w:t>
            </w:r>
          </w:p>
        </w:tc>
        <w:tc>
          <w:tcPr>
            <w:tcW w:w="1202" w:type="dxa"/>
          </w:tcPr>
          <w:p w14:paraId="48BBF54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>Gyakori</w:t>
            </w:r>
          </w:p>
          <w:p w14:paraId="6DBEB5E2" w14:textId="08F1760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 xml:space="preserve">(≥1/100 </w:t>
            </w:r>
            <w:r w:rsidR="00DA461B" w:rsidRPr="001C32A7">
              <w:rPr>
                <w:b/>
                <w:sz w:val="20"/>
                <w:szCs w:val="20"/>
                <w:lang w:bidi="hu-HU"/>
              </w:rPr>
              <w:t>–</w:t>
            </w:r>
            <w:r w:rsidRPr="001C32A7">
              <w:rPr>
                <w:b/>
                <w:sz w:val="20"/>
                <w:szCs w:val="20"/>
                <w:lang w:bidi="hu-HU"/>
              </w:rPr>
              <w:t xml:space="preserve"> &lt;1/10)</w:t>
            </w:r>
          </w:p>
        </w:tc>
        <w:tc>
          <w:tcPr>
            <w:tcW w:w="1872" w:type="dxa"/>
          </w:tcPr>
          <w:p w14:paraId="4854854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>Nem gyakori</w:t>
            </w:r>
          </w:p>
          <w:p w14:paraId="6D8AD1E2" w14:textId="3249A883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 xml:space="preserve">(≥1/1000 </w:t>
            </w:r>
            <w:r w:rsidR="00DA461B" w:rsidRPr="001C32A7">
              <w:rPr>
                <w:b/>
                <w:sz w:val="20"/>
                <w:szCs w:val="20"/>
                <w:lang w:bidi="hu-HU"/>
              </w:rPr>
              <w:t>–</w:t>
            </w:r>
            <w:r w:rsidRPr="001C32A7">
              <w:rPr>
                <w:b/>
                <w:sz w:val="20"/>
                <w:szCs w:val="20"/>
                <w:lang w:bidi="hu-HU"/>
              </w:rPr>
              <w:t xml:space="preserve"> &lt;1/100)</w:t>
            </w:r>
          </w:p>
        </w:tc>
        <w:tc>
          <w:tcPr>
            <w:tcW w:w="1187" w:type="dxa"/>
          </w:tcPr>
          <w:p w14:paraId="01A2AF0F" w14:textId="4ED26562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 xml:space="preserve">Ritka (≥1/10 000 </w:t>
            </w:r>
            <w:r w:rsidR="00DA461B" w:rsidRPr="001C32A7">
              <w:rPr>
                <w:b/>
                <w:sz w:val="20"/>
                <w:szCs w:val="20"/>
                <w:lang w:bidi="hu-HU"/>
              </w:rPr>
              <w:t>–</w:t>
            </w:r>
            <w:r w:rsidRPr="001C32A7">
              <w:rPr>
                <w:b/>
                <w:sz w:val="20"/>
                <w:szCs w:val="20"/>
                <w:lang w:bidi="hu-HU"/>
              </w:rPr>
              <w:t xml:space="preserve"> &lt;1/1000)</w:t>
            </w:r>
          </w:p>
        </w:tc>
        <w:tc>
          <w:tcPr>
            <w:tcW w:w="1265" w:type="dxa"/>
          </w:tcPr>
          <w:p w14:paraId="592291EA" w14:textId="5EED75DE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>Nagyon ritka (&lt;1/10 000)</w:t>
            </w:r>
          </w:p>
        </w:tc>
        <w:tc>
          <w:tcPr>
            <w:tcW w:w="1793" w:type="dxa"/>
          </w:tcPr>
          <w:p w14:paraId="1E449215" w14:textId="72B84D0A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  <w:lang w:val="en-US"/>
              </w:rPr>
            </w:pPr>
            <w:r w:rsidRPr="00B27B3E">
              <w:rPr>
                <w:b/>
                <w:sz w:val="20"/>
                <w:szCs w:val="20"/>
                <w:lang w:bidi="hu-HU"/>
              </w:rPr>
              <w:t>Nem ismert (a gyakoriság a rendelkezésre álló adatokból nem állapítható meg)</w:t>
            </w:r>
          </w:p>
        </w:tc>
      </w:tr>
      <w:tr w:rsidR="00684DE9" w:rsidRPr="004A00F4" w14:paraId="712B96B2" w14:textId="77777777" w:rsidTr="00543AD1">
        <w:tc>
          <w:tcPr>
            <w:tcW w:w="1237" w:type="dxa"/>
          </w:tcPr>
          <w:p w14:paraId="1C3BEDE3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B27B3E">
              <w:rPr>
                <w:sz w:val="20"/>
                <w:szCs w:val="20"/>
                <w:lang w:bidi="hu-HU"/>
              </w:rPr>
              <w:t>Fertőző betegségek és parazita-fertőzések</w:t>
            </w:r>
          </w:p>
        </w:tc>
        <w:tc>
          <w:tcPr>
            <w:tcW w:w="1202" w:type="dxa"/>
          </w:tcPr>
          <w:p w14:paraId="4221E47F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2947BD78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187" w:type="dxa"/>
          </w:tcPr>
          <w:p w14:paraId="403C7C8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tályog</w:t>
            </w:r>
          </w:p>
        </w:tc>
        <w:tc>
          <w:tcPr>
            <w:tcW w:w="1265" w:type="dxa"/>
          </w:tcPr>
          <w:p w14:paraId="6B835D3A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299C6DC3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felülfertőződés (a nem érzékeny mikroorganizmusok elszaporodása)</w:t>
            </w:r>
          </w:p>
        </w:tc>
      </w:tr>
      <w:tr w:rsidR="00684DE9" w:rsidRPr="004A00F4" w14:paraId="1D17ED1D" w14:textId="77777777" w:rsidTr="00543AD1">
        <w:tc>
          <w:tcPr>
            <w:tcW w:w="1237" w:type="dxa"/>
          </w:tcPr>
          <w:p w14:paraId="30412818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Vérképzőszervi és nyirokrendszeri betegségek és tünetek</w:t>
            </w:r>
          </w:p>
        </w:tc>
        <w:tc>
          <w:tcPr>
            <w:tcW w:w="1202" w:type="dxa"/>
          </w:tcPr>
          <w:p w14:paraId="4EABFD41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872" w:type="dxa"/>
          </w:tcPr>
          <w:p w14:paraId="371F8CF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leukopenia,</w:t>
            </w:r>
          </w:p>
          <w:p w14:paraId="506FBE3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thrombocytopenia, eosinophilia</w:t>
            </w:r>
          </w:p>
        </w:tc>
        <w:tc>
          <w:tcPr>
            <w:tcW w:w="1187" w:type="dxa"/>
          </w:tcPr>
          <w:p w14:paraId="69E11FB1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7C89AFB9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49275806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agranulocytosis,</w:t>
            </w:r>
          </w:p>
          <w:p w14:paraId="0568B5ED" w14:textId="57217831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neutopenia, pancytopenia</w:t>
            </w:r>
          </w:p>
        </w:tc>
      </w:tr>
      <w:tr w:rsidR="00684DE9" w:rsidRPr="004A00F4" w14:paraId="774B6902" w14:textId="77777777" w:rsidTr="00543AD1">
        <w:tc>
          <w:tcPr>
            <w:tcW w:w="1237" w:type="dxa"/>
          </w:tcPr>
          <w:p w14:paraId="39F024DD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Immunrendszeri betegségek és tünetek</w:t>
            </w:r>
          </w:p>
        </w:tc>
        <w:tc>
          <w:tcPr>
            <w:tcW w:w="1202" w:type="dxa"/>
          </w:tcPr>
          <w:p w14:paraId="4CC2F60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6E64FF72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anaphylaxiás reakció (anaphylaxia) (lásd 4.4 pont)</w:t>
            </w:r>
          </w:p>
        </w:tc>
        <w:tc>
          <w:tcPr>
            <w:tcW w:w="1187" w:type="dxa"/>
          </w:tcPr>
          <w:p w14:paraId="33A8AC41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14:paraId="68E50C8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793" w:type="dxa"/>
          </w:tcPr>
          <w:p w14:paraId="2BF8FE26" w14:textId="1CEC1616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eosinophiliával és szisztémás tünetekkel járó gyógyszerreakció (DRESS-szindróma), anaphylaxiás shock (lásd 4.4</w:t>
            </w:r>
            <w:r w:rsidR="00DA461B" w:rsidRPr="00B27B3E">
              <w:rPr>
                <w:sz w:val="20"/>
                <w:szCs w:val="20"/>
                <w:lang w:bidi="hu-HU"/>
              </w:rPr>
              <w:t> </w:t>
            </w:r>
            <w:r w:rsidRPr="00B27B3E">
              <w:rPr>
                <w:sz w:val="20"/>
                <w:szCs w:val="20"/>
                <w:lang w:bidi="hu-HU"/>
              </w:rPr>
              <w:t>pont)</w:t>
            </w:r>
          </w:p>
          <w:p w14:paraId="176F8C74" w14:textId="0A3ABBE1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  <w:p w14:paraId="361FA6B6" w14:textId="4AFDCF30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</w:tr>
      <w:tr w:rsidR="00684DE9" w:rsidRPr="004A00F4" w14:paraId="367E44B9" w14:textId="77777777" w:rsidTr="00543AD1">
        <w:tc>
          <w:tcPr>
            <w:tcW w:w="1237" w:type="dxa"/>
          </w:tcPr>
          <w:p w14:paraId="23086A3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Idegrendszeri betegségek és tünetek</w:t>
            </w:r>
          </w:p>
        </w:tc>
        <w:tc>
          <w:tcPr>
            <w:tcW w:w="1202" w:type="dxa"/>
          </w:tcPr>
          <w:p w14:paraId="14DF767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5BD01C00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szédülés,</w:t>
            </w:r>
          </w:p>
          <w:p w14:paraId="59CF205D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fejfájás</w:t>
            </w:r>
          </w:p>
        </w:tc>
        <w:tc>
          <w:tcPr>
            <w:tcW w:w="1187" w:type="dxa"/>
          </w:tcPr>
          <w:p w14:paraId="7A196CF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3C774AFA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478438A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görcsrohamok</w:t>
            </w:r>
          </w:p>
        </w:tc>
      </w:tr>
      <w:tr w:rsidR="00684DE9" w:rsidRPr="004A00F4" w14:paraId="51564DA5" w14:textId="77777777" w:rsidTr="00543AD1">
        <w:tc>
          <w:tcPr>
            <w:tcW w:w="1237" w:type="dxa"/>
          </w:tcPr>
          <w:p w14:paraId="251F2FD2" w14:textId="56CFB092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B27B3E">
              <w:rPr>
                <w:sz w:val="20"/>
                <w:szCs w:val="20"/>
                <w:lang w:bidi="hu-HU"/>
              </w:rPr>
              <w:lastRenderedPageBreak/>
              <w:t>A fül és az egyensúly-érzékelő szerv betegségei és tünetei</w:t>
            </w:r>
          </w:p>
        </w:tc>
        <w:tc>
          <w:tcPr>
            <w:tcW w:w="1202" w:type="dxa"/>
          </w:tcPr>
          <w:p w14:paraId="387A511F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4786F731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süketség, hallásvesztés (lásd 4.4 pont),</w:t>
            </w:r>
          </w:p>
          <w:p w14:paraId="1FC5DFFB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B27B3E">
              <w:rPr>
                <w:sz w:val="20"/>
                <w:szCs w:val="20"/>
                <w:lang w:bidi="hu-HU"/>
              </w:rPr>
              <w:t>fülzúgás,</w:t>
            </w:r>
          </w:p>
          <w:p w14:paraId="052E571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vestibularis zavar</w:t>
            </w:r>
          </w:p>
        </w:tc>
        <w:tc>
          <w:tcPr>
            <w:tcW w:w="1187" w:type="dxa"/>
          </w:tcPr>
          <w:p w14:paraId="5DD0861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23B6088A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19724F3B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</w:tr>
      <w:tr w:rsidR="00684DE9" w:rsidRPr="004A00F4" w14:paraId="5EA7AD85" w14:textId="77777777" w:rsidTr="00543AD1">
        <w:tc>
          <w:tcPr>
            <w:tcW w:w="1237" w:type="dxa"/>
          </w:tcPr>
          <w:p w14:paraId="76ED8A28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Érbetegségek és tünetek</w:t>
            </w:r>
          </w:p>
        </w:tc>
        <w:tc>
          <w:tcPr>
            <w:tcW w:w="1202" w:type="dxa"/>
          </w:tcPr>
          <w:p w14:paraId="11DA0AD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74DF43C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phlebitis</w:t>
            </w:r>
          </w:p>
        </w:tc>
        <w:tc>
          <w:tcPr>
            <w:tcW w:w="1187" w:type="dxa"/>
          </w:tcPr>
          <w:p w14:paraId="34392448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0F31AE1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7FF11460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thrombophlebitis</w:t>
            </w:r>
          </w:p>
        </w:tc>
      </w:tr>
      <w:tr w:rsidR="00684DE9" w:rsidRPr="004A00F4" w14:paraId="4A98E596" w14:textId="77777777" w:rsidTr="00543AD1">
        <w:tc>
          <w:tcPr>
            <w:tcW w:w="1237" w:type="dxa"/>
          </w:tcPr>
          <w:p w14:paraId="61B8B0E3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Légzőrendszeri, mellkasi és mediastinalis betegségek és tünetek</w:t>
            </w:r>
          </w:p>
        </w:tc>
        <w:tc>
          <w:tcPr>
            <w:tcW w:w="1202" w:type="dxa"/>
          </w:tcPr>
          <w:p w14:paraId="0566F20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872" w:type="dxa"/>
          </w:tcPr>
          <w:p w14:paraId="59607A51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bronchospasmus</w:t>
            </w:r>
          </w:p>
        </w:tc>
        <w:tc>
          <w:tcPr>
            <w:tcW w:w="1187" w:type="dxa"/>
          </w:tcPr>
          <w:p w14:paraId="65416BF6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19D7A3D9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00B5696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</w:tr>
      <w:tr w:rsidR="00684DE9" w:rsidRPr="004A00F4" w14:paraId="0FB0B050" w14:textId="77777777" w:rsidTr="00543AD1">
        <w:tc>
          <w:tcPr>
            <w:tcW w:w="1237" w:type="dxa"/>
          </w:tcPr>
          <w:p w14:paraId="66AC978A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B27B3E">
              <w:rPr>
                <w:sz w:val="20"/>
                <w:szCs w:val="20"/>
                <w:lang w:bidi="hu-HU"/>
              </w:rPr>
              <w:t>Emésztő-rendszeri betegségek és tünetek</w:t>
            </w:r>
          </w:p>
        </w:tc>
        <w:tc>
          <w:tcPr>
            <w:tcW w:w="1202" w:type="dxa"/>
          </w:tcPr>
          <w:p w14:paraId="063E6B98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23B24D42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hasmenés,</w:t>
            </w:r>
          </w:p>
          <w:p w14:paraId="0A4AA8C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hányás,</w:t>
            </w:r>
          </w:p>
          <w:p w14:paraId="6D3AB9C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hányinger</w:t>
            </w:r>
          </w:p>
        </w:tc>
        <w:tc>
          <w:tcPr>
            <w:tcW w:w="1187" w:type="dxa"/>
          </w:tcPr>
          <w:p w14:paraId="00F60A6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79FA7FE9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1A0A1412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</w:tr>
      <w:tr w:rsidR="00684DE9" w:rsidRPr="004A00F4" w14:paraId="11F2B2A6" w14:textId="77777777" w:rsidTr="00543AD1">
        <w:tc>
          <w:tcPr>
            <w:tcW w:w="1237" w:type="dxa"/>
          </w:tcPr>
          <w:p w14:paraId="0868A244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A bőr és a bőr alatti szövet betegségei és tünetei</w:t>
            </w:r>
          </w:p>
        </w:tc>
        <w:tc>
          <w:tcPr>
            <w:tcW w:w="1202" w:type="dxa"/>
          </w:tcPr>
          <w:p w14:paraId="3125BCD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kiütés, erythema,</w:t>
            </w:r>
          </w:p>
          <w:p w14:paraId="0FC9FEB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pruritus</w:t>
            </w:r>
          </w:p>
        </w:tc>
        <w:tc>
          <w:tcPr>
            <w:tcW w:w="1872" w:type="dxa"/>
          </w:tcPr>
          <w:p w14:paraId="533D62F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187" w:type="dxa"/>
          </w:tcPr>
          <w:p w14:paraId="750A3ED9" w14:textId="78B5B298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„red man” szindróma (azaz a test felső felének kivörösödése) (lásd 4.4 pont)</w:t>
            </w:r>
          </w:p>
        </w:tc>
        <w:tc>
          <w:tcPr>
            <w:tcW w:w="1265" w:type="dxa"/>
          </w:tcPr>
          <w:p w14:paraId="2519EF9D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793" w:type="dxa"/>
          </w:tcPr>
          <w:p w14:paraId="09468DC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toxicus epidermalis necrolysis,</w:t>
            </w:r>
          </w:p>
          <w:p w14:paraId="72BAD666" w14:textId="28181B71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Stevens–Johnson</w:t>
            </w:r>
            <w:r w:rsidR="00F2371C" w:rsidRPr="00B27B3E">
              <w:rPr>
                <w:sz w:val="20"/>
                <w:szCs w:val="20"/>
                <w:lang w:bidi="hu-HU"/>
              </w:rPr>
              <w:t>-</w:t>
            </w:r>
            <w:r w:rsidRPr="00B27B3E">
              <w:rPr>
                <w:sz w:val="20"/>
                <w:szCs w:val="20"/>
                <w:lang w:bidi="hu-HU"/>
              </w:rPr>
              <w:t>szindróma,</w:t>
            </w:r>
          </w:p>
          <w:p w14:paraId="04BFFA99" w14:textId="56637ED3" w:rsidR="00684DE9" w:rsidRPr="001C32A7" w:rsidRDefault="00F73E4F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akut generalizált exanthemás pustulosis,</w:t>
            </w:r>
          </w:p>
          <w:p w14:paraId="53FD76A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erythema multiforme,</w:t>
            </w:r>
          </w:p>
          <w:p w14:paraId="3DBDD1EA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angiooedema,</w:t>
            </w:r>
          </w:p>
          <w:p w14:paraId="362AD16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exfoliativ dermatitis,</w:t>
            </w:r>
          </w:p>
          <w:p w14:paraId="1B046065" w14:textId="3FE18289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urticaria (lásd 4.4</w:t>
            </w:r>
            <w:r w:rsidR="00DA461B" w:rsidRPr="00B27B3E">
              <w:rPr>
                <w:sz w:val="20"/>
                <w:szCs w:val="20"/>
                <w:lang w:bidi="hu-HU"/>
              </w:rPr>
              <w:t> </w:t>
            </w:r>
            <w:r w:rsidRPr="00B27B3E">
              <w:rPr>
                <w:sz w:val="20"/>
                <w:szCs w:val="20"/>
                <w:lang w:bidi="hu-HU"/>
              </w:rPr>
              <w:t>pont)</w:t>
            </w:r>
          </w:p>
        </w:tc>
      </w:tr>
      <w:tr w:rsidR="00684DE9" w:rsidRPr="004A00F4" w14:paraId="69AFA48C" w14:textId="77777777" w:rsidTr="00543AD1">
        <w:tc>
          <w:tcPr>
            <w:tcW w:w="1237" w:type="dxa"/>
          </w:tcPr>
          <w:p w14:paraId="26BC4760" w14:textId="4205483B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B27B3E">
              <w:rPr>
                <w:sz w:val="20"/>
                <w:szCs w:val="20"/>
                <w:lang w:bidi="hu-HU"/>
              </w:rPr>
              <w:t>Vese- és húgyúti betegségek és tünetek</w:t>
            </w:r>
          </w:p>
        </w:tc>
        <w:tc>
          <w:tcPr>
            <w:tcW w:w="1202" w:type="dxa"/>
          </w:tcPr>
          <w:p w14:paraId="200AE2C7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5CAAA8E9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a vér emelkedett kreatininszintje</w:t>
            </w:r>
          </w:p>
        </w:tc>
        <w:tc>
          <w:tcPr>
            <w:tcW w:w="1187" w:type="dxa"/>
          </w:tcPr>
          <w:p w14:paraId="1A1ECA7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2A49E636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4A9D76C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veseelégtelenség (beleértve az akut veseelégtelenséget is)</w:t>
            </w:r>
          </w:p>
          <w:p w14:paraId="15E3CBBA" w14:textId="49599C5C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 xml:space="preserve">(lásd alább </w:t>
            </w:r>
            <w:r w:rsidR="00DA461B" w:rsidRPr="00B27B3E">
              <w:rPr>
                <w:sz w:val="20"/>
                <w:szCs w:val="20"/>
                <w:lang w:bidi="hu-HU"/>
              </w:rPr>
              <w:t>egyes</w:t>
            </w:r>
            <w:r w:rsidRPr="00B27B3E">
              <w:rPr>
                <w:sz w:val="20"/>
                <w:szCs w:val="20"/>
                <w:lang w:bidi="hu-HU"/>
              </w:rPr>
              <w:t xml:space="preserve"> kiválasztott mellékhatások leírását)*</w:t>
            </w:r>
          </w:p>
          <w:p w14:paraId="70117B2F" w14:textId="5F0B60F5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</w:tr>
      <w:tr w:rsidR="00684DE9" w:rsidRPr="004A00F4" w14:paraId="3EDE0600" w14:textId="77777777" w:rsidTr="00543AD1">
        <w:tc>
          <w:tcPr>
            <w:tcW w:w="1237" w:type="dxa"/>
          </w:tcPr>
          <w:p w14:paraId="12486D0C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Általános tünetek, az alkalmazás helyén fellépő reakciók</w:t>
            </w:r>
          </w:p>
        </w:tc>
        <w:tc>
          <w:tcPr>
            <w:tcW w:w="1202" w:type="dxa"/>
          </w:tcPr>
          <w:p w14:paraId="7F8C2532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fájdalom,</w:t>
            </w:r>
          </w:p>
          <w:p w14:paraId="3E7BE613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láz</w:t>
            </w:r>
          </w:p>
        </w:tc>
        <w:tc>
          <w:tcPr>
            <w:tcW w:w="1872" w:type="dxa"/>
          </w:tcPr>
          <w:p w14:paraId="32364AE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187" w:type="dxa"/>
          </w:tcPr>
          <w:p w14:paraId="67E5791B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6963E92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38F58AE3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tályog az injekció beadásának helyén, hidegrázás (rigor)</w:t>
            </w:r>
          </w:p>
        </w:tc>
      </w:tr>
      <w:tr w:rsidR="00684DE9" w:rsidRPr="004A00F4" w14:paraId="71CD7EF7" w14:textId="77777777" w:rsidTr="00543AD1">
        <w:tc>
          <w:tcPr>
            <w:tcW w:w="1237" w:type="dxa"/>
          </w:tcPr>
          <w:p w14:paraId="6698F82D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B27B3E">
              <w:rPr>
                <w:sz w:val="20"/>
                <w:szCs w:val="20"/>
                <w:lang w:bidi="hu-HU"/>
              </w:rPr>
              <w:t>Laboratóriumi és egyéb vizsgálatok eredményei</w:t>
            </w:r>
          </w:p>
        </w:tc>
        <w:tc>
          <w:tcPr>
            <w:tcW w:w="1202" w:type="dxa"/>
          </w:tcPr>
          <w:p w14:paraId="1575CFCF" w14:textId="77777777" w:rsidR="00684DE9" w:rsidRPr="00B27B3E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63B1FC88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emelkedett transzaminázszint (a transzaminázok átmeneti kóros szintje),</w:t>
            </w:r>
          </w:p>
          <w:p w14:paraId="3E31E06C" w14:textId="49B58E2F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B27B3E">
              <w:rPr>
                <w:sz w:val="20"/>
                <w:szCs w:val="20"/>
                <w:lang w:bidi="hu-HU"/>
              </w:rPr>
              <w:t>emelkedett alkalikusfoszfatáz-szint a vérben (az alkalikus foszfatáz átmeneti kóros szintje),</w:t>
            </w:r>
          </w:p>
          <w:p w14:paraId="1A7B621C" w14:textId="52936E4B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187" w:type="dxa"/>
          </w:tcPr>
          <w:p w14:paraId="0A6F7B9B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14:paraId="71E59BF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793" w:type="dxa"/>
          </w:tcPr>
          <w:p w14:paraId="109CFE1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</w:tr>
    </w:tbl>
    <w:p w14:paraId="2E1E9871" w14:textId="77777777" w:rsidR="00F24871" w:rsidRPr="004A00F4" w:rsidRDefault="00F24871" w:rsidP="004A00F4">
      <w:pPr>
        <w:pStyle w:val="Szvegtrzs"/>
        <w:contextualSpacing/>
        <w:rPr>
          <w:u w:val="single"/>
        </w:rPr>
      </w:pPr>
    </w:p>
    <w:p w14:paraId="01706EA7" w14:textId="0DD0400E" w:rsidR="00684DE9" w:rsidRPr="004A00F4" w:rsidRDefault="00DA461B" w:rsidP="004A00F4">
      <w:pPr>
        <w:pStyle w:val="Szvegtrzs"/>
        <w:contextualSpacing/>
        <w:rPr>
          <w:u w:val="single"/>
        </w:rPr>
      </w:pPr>
      <w:r>
        <w:rPr>
          <w:u w:val="single"/>
          <w:lang w:bidi="hu-HU"/>
        </w:rPr>
        <w:lastRenderedPageBreak/>
        <w:t>Egyes</w:t>
      </w:r>
      <w:r w:rsidR="00684DE9" w:rsidRPr="004A00F4">
        <w:rPr>
          <w:u w:val="single"/>
          <w:lang w:bidi="hu-HU"/>
        </w:rPr>
        <w:t xml:space="preserve"> kiválasztott mellékhatások leírása</w:t>
      </w:r>
    </w:p>
    <w:p w14:paraId="47A8588D" w14:textId="33E086C0" w:rsidR="00684DE9" w:rsidRPr="004A00F4" w:rsidRDefault="00684DE9" w:rsidP="004A00F4">
      <w:pPr>
        <w:pStyle w:val="Szvegtrzs"/>
        <w:contextualSpacing/>
      </w:pPr>
      <w:r w:rsidRPr="004A00F4">
        <w:rPr>
          <w:lang w:bidi="hu-HU"/>
        </w:rPr>
        <w:t xml:space="preserve">*Irodalmi jelentések alapján a nefrotoxicitás kialakulásának becsült aránya körülbelül 2% azoknál a betegeknél, akik kisebb telítő dózist kaptak naponta kétszer átlagosan 6 mg/ttkg </w:t>
      </w:r>
      <w:r w:rsidR="00182CC9">
        <w:rPr>
          <w:lang w:bidi="hu-HU"/>
        </w:rPr>
        <w:t>dózisban</w:t>
      </w:r>
      <w:r w:rsidRPr="004A00F4">
        <w:rPr>
          <w:lang w:bidi="hu-HU"/>
        </w:rPr>
        <w:t>, amit átlagosan napi egy alkalommal 6 mg/ttkg fenntartó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követett.</w:t>
      </w:r>
    </w:p>
    <w:p w14:paraId="7075DE99" w14:textId="3A20EECA" w:rsidR="00265A37" w:rsidRPr="004A00F4" w:rsidRDefault="00684DE9" w:rsidP="004A00F4">
      <w:pPr>
        <w:pStyle w:val="Szvegtrzs"/>
        <w:contextualSpacing/>
      </w:pPr>
      <w:r w:rsidRPr="004A00F4">
        <w:rPr>
          <w:lang w:bidi="hu-HU"/>
        </w:rPr>
        <w:t>Egy megfigyeléses, engedélyezés utáni biztonságossági vizsgálatban, amelyben 300 (átlagos életkor 63 év), csont- és izületi fertőzés, endocarditis vagy más súlyos fertőzés miatt kezelt beteg vett részt, és ahol a betegek nagyobb (naponta kétszer 12 mg/ttkg-os) telítő dózist kaptak (medián értéken 5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telítő dózist), amit naponta egyszer 12 mg/ttkg-os fenntartó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 xml:space="preserve">követett, az igazolt nefrotoxicitás megfigyelt aránya 11,0% (95%-os CI = 7,4%; 15,5%) volt az első 10 nap során. A nefrotoxicitás kumulatív aránya a kezelés kezdetétől az utolsó </w:t>
      </w:r>
      <w:r w:rsidR="00182CC9">
        <w:rPr>
          <w:lang w:bidi="hu-HU"/>
        </w:rPr>
        <w:t>dózist</w:t>
      </w:r>
      <w:r w:rsidRPr="004A00F4">
        <w:rPr>
          <w:lang w:bidi="hu-HU"/>
        </w:rPr>
        <w:t xml:space="preserve"> követő 60. napig 20,6% volt (95%-os CI = 16,0%; 25,8%). Azoknál a betegeknél, akik több mint 5 alkalommal kaptak nagy, naponta kétszer 12</w:t>
      </w:r>
      <w:r w:rsidR="00DA461B">
        <w:rPr>
          <w:lang w:bidi="hu-HU"/>
        </w:rPr>
        <w:t> </w:t>
      </w:r>
      <w:r w:rsidRPr="004A00F4">
        <w:rPr>
          <w:lang w:bidi="hu-HU"/>
        </w:rPr>
        <w:t>mg/ttkg-os telítő dózist, amelyet naponta egyszer 12 mg/ttkg-os fenntartó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követett, a nefrotoxicitás megfigyelt kumulatív aránya a kezelés kezdetétől az utolsó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beadását követő 60. napig 27% volt (95%-os CI = 20,7%; 35,3%) (lásd 4.4 pont).</w:t>
      </w:r>
    </w:p>
    <w:p w14:paraId="1F1ED0AF" w14:textId="77777777" w:rsidR="00684DE9" w:rsidRPr="004A00F4" w:rsidRDefault="00684DE9" w:rsidP="004A00F4">
      <w:pPr>
        <w:pStyle w:val="Szvegtrzs"/>
        <w:contextualSpacing/>
      </w:pPr>
    </w:p>
    <w:p w14:paraId="102A9BD2" w14:textId="77777777" w:rsidR="00A86DA6" w:rsidRPr="004A00F4" w:rsidRDefault="00001F79" w:rsidP="004A00F4">
      <w:pPr>
        <w:pStyle w:val="Szvegtrzs"/>
        <w:contextualSpacing/>
      </w:pPr>
      <w:r w:rsidRPr="004A00F4">
        <w:rPr>
          <w:u w:val="single"/>
          <w:lang w:bidi="hu-HU"/>
        </w:rPr>
        <w:t>Feltételezett mellékhatások bejelentése</w:t>
      </w:r>
    </w:p>
    <w:p w14:paraId="3A5D8A3A" w14:textId="6577828D" w:rsidR="001F7224" w:rsidRPr="004A00F4" w:rsidRDefault="00001F79" w:rsidP="004A00F4">
      <w:pPr>
        <w:pStyle w:val="Szvegtrzs"/>
        <w:contextualSpacing/>
      </w:pPr>
      <w:r w:rsidRPr="004A00F4">
        <w:rPr>
          <w:lang w:bidi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</w:t>
      </w:r>
      <w:r w:rsidRPr="001C32A7">
        <w:rPr>
          <w:highlight w:val="lightGray"/>
          <w:lang w:bidi="hu-HU"/>
        </w:rPr>
        <w:t xml:space="preserve">részére az </w:t>
      </w:r>
      <w:hyperlink r:id="rId8">
        <w:r w:rsidRPr="001C32A7">
          <w:rPr>
            <w:highlight w:val="lightGray"/>
            <w:lang w:bidi="hu-HU"/>
          </w:rPr>
          <w:t>V. függelékben</w:t>
        </w:r>
      </w:hyperlink>
      <w:r w:rsidRPr="001C32A7">
        <w:rPr>
          <w:highlight w:val="lightGray"/>
          <w:lang w:bidi="hu-HU"/>
        </w:rPr>
        <w:t xml:space="preserve"> található elérhetőségek valamelyikén keresztül</w:t>
      </w:r>
      <w:r w:rsidRPr="004A00F4">
        <w:rPr>
          <w:lang w:bidi="hu-HU"/>
        </w:rPr>
        <w:t>.</w:t>
      </w:r>
    </w:p>
    <w:p w14:paraId="318CB959" w14:textId="77777777" w:rsidR="001F7224" w:rsidRPr="004A00F4" w:rsidRDefault="001F7224" w:rsidP="004A00F4">
      <w:pPr>
        <w:pStyle w:val="Szvegtrzs"/>
        <w:contextualSpacing/>
      </w:pPr>
    </w:p>
    <w:p w14:paraId="7EAF62D8" w14:textId="77777777" w:rsidR="001F7224" w:rsidRPr="004A00F4" w:rsidRDefault="00001F79" w:rsidP="004A00F4">
      <w:pPr>
        <w:pStyle w:val="Cmsor1"/>
        <w:numPr>
          <w:ilvl w:val="1"/>
          <w:numId w:val="2"/>
        </w:numPr>
        <w:spacing w:before="0"/>
        <w:ind w:left="567"/>
        <w:contextualSpacing/>
      </w:pPr>
      <w:r w:rsidRPr="004A00F4">
        <w:rPr>
          <w:lang w:bidi="hu-HU"/>
        </w:rPr>
        <w:t>Túladagolás</w:t>
      </w:r>
    </w:p>
    <w:p w14:paraId="296FFEAB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5D6D9577" w14:textId="77777777" w:rsidR="00684DE9" w:rsidRPr="004A00F4" w:rsidRDefault="00684DE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Tünetek</w:t>
      </w:r>
    </w:p>
    <w:p w14:paraId="6F991B73" w14:textId="671C259A" w:rsidR="00684DE9" w:rsidRPr="004A00F4" w:rsidRDefault="00684DE9" w:rsidP="004A00F4">
      <w:pPr>
        <w:pStyle w:val="Szvegtrzs"/>
        <w:contextualSpacing/>
      </w:pPr>
      <w:r w:rsidRPr="004A00F4">
        <w:rPr>
          <w:lang w:bidi="hu-HU"/>
        </w:rPr>
        <w:t>Véletlen túladagolásról szóló eseteket jelentettek gyermek</w:t>
      </w:r>
      <w:r w:rsidR="00F17565">
        <w:rPr>
          <w:lang w:bidi="hu-HU"/>
        </w:rPr>
        <w:t>eknél és serdülőknél</w:t>
      </w:r>
      <w:r w:rsidRPr="004A00F4">
        <w:rPr>
          <w:lang w:bidi="hu-HU"/>
        </w:rPr>
        <w:t>. Egy 29 napos újszülött esetén izgatottságról számoltak be, aki tévedésből i</w:t>
      </w:r>
      <w:r w:rsidR="00CC1F0B">
        <w:rPr>
          <w:lang w:bidi="hu-HU"/>
        </w:rPr>
        <w:t>ntra</w:t>
      </w:r>
      <w:r w:rsidRPr="004A00F4">
        <w:rPr>
          <w:lang w:bidi="hu-HU"/>
        </w:rPr>
        <w:t>v</w:t>
      </w:r>
      <w:r w:rsidR="00CC1F0B">
        <w:rPr>
          <w:lang w:bidi="hu-HU"/>
        </w:rPr>
        <w:t>énásan</w:t>
      </w:r>
      <w:r w:rsidRPr="004A00F4">
        <w:rPr>
          <w:lang w:bidi="hu-HU"/>
        </w:rPr>
        <w:t xml:space="preserve"> 400 mg (95 mg/ttkg) teikoplanint kapott.</w:t>
      </w:r>
    </w:p>
    <w:p w14:paraId="1E254190" w14:textId="77777777" w:rsidR="00684DE9" w:rsidRPr="004A00F4" w:rsidRDefault="00684DE9" w:rsidP="004A00F4">
      <w:pPr>
        <w:pStyle w:val="Szvegtrzs"/>
        <w:contextualSpacing/>
      </w:pPr>
    </w:p>
    <w:p w14:paraId="5FBF0B21" w14:textId="3B3C94CD" w:rsidR="00684DE9" w:rsidRPr="004A00F4" w:rsidRDefault="00684DE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Kezelés</w:t>
      </w:r>
    </w:p>
    <w:p w14:paraId="3F1AD0AC" w14:textId="77777777" w:rsidR="00684DE9" w:rsidRPr="004A00F4" w:rsidRDefault="00684DE9" w:rsidP="004A00F4">
      <w:pPr>
        <w:pStyle w:val="Szvegtrzs"/>
        <w:contextualSpacing/>
      </w:pPr>
      <w:r w:rsidRPr="004A00F4">
        <w:rPr>
          <w:lang w:bidi="hu-HU"/>
        </w:rPr>
        <w:t>A teikoplanin túladagolásának kezelése tüneti.</w:t>
      </w:r>
    </w:p>
    <w:p w14:paraId="46FB3697" w14:textId="02C42E9B" w:rsidR="00684DE9" w:rsidRPr="004A00F4" w:rsidRDefault="00684DE9" w:rsidP="004A00F4">
      <w:pPr>
        <w:pStyle w:val="Szvegtrzs"/>
        <w:contextualSpacing/>
      </w:pPr>
      <w:r w:rsidRPr="004A00F4">
        <w:rPr>
          <w:lang w:bidi="hu-HU"/>
        </w:rPr>
        <w:t>A teikoplanin nem távolítható el hemodialízissel, és csak lassan ürül ki peritoneális dialízissel.</w:t>
      </w:r>
    </w:p>
    <w:p w14:paraId="22A32A5A" w14:textId="77777777" w:rsidR="001F7224" w:rsidRPr="004A00F4" w:rsidRDefault="001F7224" w:rsidP="004A00F4">
      <w:pPr>
        <w:pStyle w:val="Szvegtrzs"/>
        <w:contextualSpacing/>
      </w:pPr>
    </w:p>
    <w:p w14:paraId="689C8A98" w14:textId="77777777" w:rsidR="001F7224" w:rsidRPr="004A00F4" w:rsidRDefault="001F7224" w:rsidP="004A00F4">
      <w:pPr>
        <w:pStyle w:val="Szvegtrzs"/>
        <w:contextualSpacing/>
      </w:pPr>
    </w:p>
    <w:p w14:paraId="587DE97F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FARMAKOLÓGIAI TULAJDONSÁGOK</w:t>
      </w:r>
    </w:p>
    <w:p w14:paraId="717385C6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77DFF88F" w14:textId="77777777" w:rsidR="001F7224" w:rsidRPr="004A00F4" w:rsidRDefault="00001F79" w:rsidP="004A00F4">
      <w:pPr>
        <w:pStyle w:val="Listaszerbekezds"/>
        <w:numPr>
          <w:ilvl w:val="1"/>
          <w:numId w:val="3"/>
        </w:numPr>
        <w:ind w:left="567"/>
        <w:contextualSpacing/>
        <w:rPr>
          <w:b/>
        </w:rPr>
      </w:pPr>
      <w:r w:rsidRPr="004A00F4">
        <w:rPr>
          <w:b/>
          <w:lang w:bidi="hu-HU"/>
        </w:rPr>
        <w:t>Farmakodinámiás tulajdonságok</w:t>
      </w:r>
    </w:p>
    <w:p w14:paraId="035CB438" w14:textId="3A739A23" w:rsidR="003D2CD9" w:rsidRPr="004A00F4" w:rsidRDefault="003D2CD9" w:rsidP="004A00F4">
      <w:pPr>
        <w:pStyle w:val="Szvegtrzs"/>
        <w:contextualSpacing/>
      </w:pPr>
    </w:p>
    <w:p w14:paraId="253983F5" w14:textId="7BAEFD27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Farmakoterápiás csoport: szisztémás </w:t>
      </w:r>
      <w:r w:rsidR="00621523">
        <w:rPr>
          <w:lang w:bidi="hu-HU"/>
        </w:rPr>
        <w:t>antibakteriális szerek</w:t>
      </w:r>
      <w:r w:rsidRPr="004A00F4">
        <w:rPr>
          <w:lang w:bidi="hu-HU"/>
        </w:rPr>
        <w:t xml:space="preserve">, egyéb </w:t>
      </w:r>
      <w:r w:rsidR="00621523">
        <w:rPr>
          <w:lang w:bidi="hu-HU"/>
        </w:rPr>
        <w:t>antibakteriális szerek</w:t>
      </w:r>
      <w:r w:rsidRPr="004A00F4">
        <w:rPr>
          <w:lang w:bidi="hu-HU"/>
        </w:rPr>
        <w:t>, glikopeptid antib</w:t>
      </w:r>
      <w:r w:rsidR="00621523">
        <w:rPr>
          <w:lang w:bidi="hu-HU"/>
        </w:rPr>
        <w:t>iotikumok</w:t>
      </w:r>
      <w:r w:rsidRPr="004A00F4">
        <w:rPr>
          <w:lang w:bidi="hu-HU"/>
        </w:rPr>
        <w:t>, ATC-kód: J01XA02</w:t>
      </w:r>
    </w:p>
    <w:p w14:paraId="1FB4547B" w14:textId="77777777" w:rsidR="003D2CD9" w:rsidRPr="004A00F4" w:rsidRDefault="003D2CD9" w:rsidP="004A00F4">
      <w:pPr>
        <w:pStyle w:val="Szvegtrzs"/>
        <w:contextualSpacing/>
      </w:pPr>
    </w:p>
    <w:p w14:paraId="2A881EA1" w14:textId="6C0BE746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Hatásmechanizmus</w:t>
      </w:r>
    </w:p>
    <w:p w14:paraId="36796CEB" w14:textId="0332CD5D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 az érzékeny organizmusok növekedését úgy akadályozza, hogy a sejtfal bioszintézisét a béta-laktámok támadáspontjától eltérő ponton gátolja. A peptidoglikán-szintézist a D</w:t>
      </w:r>
      <w:r w:rsidR="007464B2">
        <w:rPr>
          <w:lang w:bidi="hu-HU"/>
        </w:rPr>
        <w:t>-</w:t>
      </w:r>
      <w:r w:rsidRPr="004A00F4">
        <w:rPr>
          <w:lang w:bidi="hu-HU"/>
        </w:rPr>
        <w:t>alanil-D-alanin rész specifikus kötésével blokkolja.</w:t>
      </w:r>
    </w:p>
    <w:p w14:paraId="099D7C55" w14:textId="77777777" w:rsidR="003D2CD9" w:rsidRPr="004A00F4" w:rsidRDefault="003D2CD9" w:rsidP="004A00F4">
      <w:pPr>
        <w:pStyle w:val="Szvegtrzs"/>
        <w:contextualSpacing/>
      </w:pPr>
    </w:p>
    <w:p w14:paraId="6B5439E0" w14:textId="6E212BE2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 rezisztencia mechanizmusa</w:t>
      </w:r>
    </w:p>
    <w:p w14:paraId="193D43A8" w14:textId="77777777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 elleni rezisztencia az alábbi mechanizmusok szerint alakulhat ki:</w:t>
      </w:r>
    </w:p>
    <w:p w14:paraId="5CBFAA22" w14:textId="6082DBCA" w:rsidR="003D2CD9" w:rsidRPr="004A00F4" w:rsidRDefault="003D2CD9" w:rsidP="004A00F4">
      <w:pPr>
        <w:pStyle w:val="Szvegtrzs"/>
        <w:numPr>
          <w:ilvl w:val="0"/>
          <w:numId w:val="12"/>
        </w:numPr>
        <w:ind w:left="567" w:hanging="567"/>
        <w:contextualSpacing/>
      </w:pPr>
      <w:r w:rsidRPr="004A00F4">
        <w:rPr>
          <w:lang w:bidi="hu-HU"/>
        </w:rPr>
        <w:t>Módosított célstruktúra: a rezisztencia ezen formája különösen az Enterococcus faeciumra jellemző. Ez a módosulat egy murein prekurzorban lévő aminosav lánc D-alanin-D-alanin terminálisának D</w:t>
      </w:r>
      <w:r w:rsidR="007464B2">
        <w:rPr>
          <w:lang w:bidi="hu-HU"/>
        </w:rPr>
        <w:t>-</w:t>
      </w:r>
      <w:r w:rsidRPr="004A00F4">
        <w:rPr>
          <w:lang w:bidi="hu-HU"/>
        </w:rPr>
        <w:t>ala</w:t>
      </w:r>
      <w:r w:rsidR="007464B2">
        <w:rPr>
          <w:lang w:bidi="hu-HU"/>
        </w:rPr>
        <w:t>nin-</w:t>
      </w:r>
      <w:r w:rsidRPr="004A00F4">
        <w:rPr>
          <w:lang w:bidi="hu-HU"/>
        </w:rPr>
        <w:t>D-laktátra történő cseréjén alapul, ami által a vankomicin iránti affinitás csökken. A felelős enzimek az újonnan szintetizálódott D-laktát</w:t>
      </w:r>
      <w:r w:rsidR="00394763">
        <w:rPr>
          <w:lang w:bidi="hu-HU"/>
        </w:rPr>
        <w:t>-</w:t>
      </w:r>
      <w:r w:rsidRPr="004A00F4">
        <w:rPr>
          <w:lang w:bidi="hu-HU"/>
        </w:rPr>
        <w:t xml:space="preserve">dehidrogenáz vagy </w:t>
      </w:r>
      <w:r w:rsidR="00394763">
        <w:rPr>
          <w:lang w:bidi="hu-HU"/>
        </w:rPr>
        <w:t>-</w:t>
      </w:r>
      <w:r w:rsidRPr="004A00F4">
        <w:rPr>
          <w:lang w:bidi="hu-HU"/>
        </w:rPr>
        <w:t>ligáz.</w:t>
      </w:r>
    </w:p>
    <w:p w14:paraId="46E1E6AD" w14:textId="24CA8EBD" w:rsidR="003D2CD9" w:rsidRPr="004A00F4" w:rsidRDefault="003D2CD9" w:rsidP="004A00F4">
      <w:pPr>
        <w:pStyle w:val="Szvegtrzs"/>
        <w:numPr>
          <w:ilvl w:val="0"/>
          <w:numId w:val="12"/>
        </w:numPr>
        <w:ind w:left="567" w:hanging="567"/>
        <w:contextualSpacing/>
      </w:pPr>
      <w:r w:rsidRPr="004A00F4">
        <w:rPr>
          <w:lang w:bidi="hu-HU"/>
        </w:rPr>
        <w:t xml:space="preserve">A </w:t>
      </w:r>
      <w:r w:rsidRPr="001C32A7">
        <w:rPr>
          <w:i/>
          <w:lang w:bidi="hu-HU"/>
        </w:rPr>
        <w:t>Staphylococcus</w:t>
      </w:r>
      <w:r w:rsidRPr="004A00F4">
        <w:rPr>
          <w:lang w:bidi="hu-HU"/>
        </w:rPr>
        <w:t>ok teikoplanin iránti érzékenységének csökkenése, illetve rezisztenciája a murein prekurzorok túltermelésén alapul, amikhez a teikoplanin kötődik.</w:t>
      </w:r>
    </w:p>
    <w:p w14:paraId="7001B948" w14:textId="77777777" w:rsidR="003D2CD9" w:rsidRPr="004A00F4" w:rsidRDefault="003D2CD9" w:rsidP="004A00F4">
      <w:pPr>
        <w:pStyle w:val="Szvegtrzs"/>
        <w:contextualSpacing/>
      </w:pPr>
    </w:p>
    <w:p w14:paraId="406E0563" w14:textId="1736C9CC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 és a glikoprotein vankomicin között előfordulhat keresztrezisztencia. Számos vankomicin</w:t>
      </w:r>
      <w:r w:rsidR="007464B2">
        <w:rPr>
          <w:lang w:bidi="hu-HU"/>
        </w:rPr>
        <w:t>-</w:t>
      </w:r>
      <w:r w:rsidRPr="004A00F4">
        <w:rPr>
          <w:lang w:bidi="hu-HU"/>
        </w:rPr>
        <w:t xml:space="preserve">rezisztens </w:t>
      </w:r>
      <w:r w:rsidRPr="001C32A7">
        <w:rPr>
          <w:i/>
          <w:lang w:bidi="hu-HU"/>
        </w:rPr>
        <w:t>Enterococcus</w:t>
      </w:r>
      <w:r w:rsidRPr="004A00F4">
        <w:rPr>
          <w:lang w:bidi="hu-HU"/>
        </w:rPr>
        <w:t xml:space="preserve"> érzékeny a teikoplaninra (Van-B fenotípus).</w:t>
      </w:r>
    </w:p>
    <w:p w14:paraId="65834C7D" w14:textId="77777777" w:rsidR="003D2CD9" w:rsidRPr="004A00F4" w:rsidRDefault="003D2CD9" w:rsidP="004A00F4">
      <w:pPr>
        <w:pStyle w:val="Szvegtrzs"/>
        <w:contextualSpacing/>
      </w:pPr>
    </w:p>
    <w:p w14:paraId="57D18466" w14:textId="2BE862CA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 rezisztenciavizsgálat határértékei</w:t>
      </w:r>
    </w:p>
    <w:p w14:paraId="7FED041B" w14:textId="0D22A465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Az EUCAST (European Committee on Antimicrobial Susceptibility Testing) 2023. </w:t>
      </w:r>
      <w:r w:rsidR="007464B2">
        <w:rPr>
          <w:lang w:bidi="hu-HU"/>
        </w:rPr>
        <w:t>j</w:t>
      </w:r>
      <w:r w:rsidRPr="004A00F4">
        <w:rPr>
          <w:lang w:bidi="hu-HU"/>
        </w:rPr>
        <w:t>únius 29-én kelt, 13.1 verziójában meghatározott minimális gátló koncentráció (MIC) határértékei az alábbi táblázatban szerepelnek:</w:t>
      </w:r>
    </w:p>
    <w:p w14:paraId="733AC0FA" w14:textId="198DC4F5" w:rsidR="003D2CD9" w:rsidRPr="004A00F4" w:rsidRDefault="003D2CD9" w:rsidP="004A00F4">
      <w:pPr>
        <w:pStyle w:val="Szvegtrzs"/>
        <w:contextualSpacing/>
      </w:pPr>
    </w:p>
    <w:tbl>
      <w:tblPr>
        <w:tblStyle w:val="Rcsostblzat"/>
        <w:tblW w:w="0" w:type="auto"/>
        <w:tblInd w:w="118" w:type="dxa"/>
        <w:tblLook w:val="04A0" w:firstRow="1" w:lastRow="0" w:firstColumn="1" w:lastColumn="0" w:noHBand="0" w:noVBand="1"/>
      </w:tblPr>
      <w:tblGrid>
        <w:gridCol w:w="3012"/>
        <w:gridCol w:w="2968"/>
        <w:gridCol w:w="2968"/>
      </w:tblGrid>
      <w:tr w:rsidR="003D2CD9" w:rsidRPr="004A00F4" w14:paraId="59E6B5AC" w14:textId="77777777" w:rsidTr="00675C64">
        <w:tc>
          <w:tcPr>
            <w:tcW w:w="3064" w:type="dxa"/>
          </w:tcPr>
          <w:p w14:paraId="038F171C" w14:textId="38569DC2" w:rsidR="003D2CD9" w:rsidRPr="004A00F4" w:rsidRDefault="003D2CD9" w:rsidP="004A00F4">
            <w:pPr>
              <w:pStyle w:val="Szvegtrzs"/>
              <w:contextualSpacing/>
              <w:rPr>
                <w:b/>
                <w:bCs/>
              </w:rPr>
            </w:pPr>
            <w:r w:rsidRPr="004A00F4">
              <w:rPr>
                <w:b/>
                <w:lang w:val="hu-HU" w:bidi="hu-HU"/>
              </w:rPr>
              <w:t>Mikroorganizmus</w:t>
            </w:r>
          </w:p>
        </w:tc>
        <w:tc>
          <w:tcPr>
            <w:tcW w:w="3056" w:type="dxa"/>
          </w:tcPr>
          <w:p w14:paraId="2376381C" w14:textId="7F80D0C6" w:rsidR="003D2CD9" w:rsidRPr="004A00F4" w:rsidRDefault="003D2CD9" w:rsidP="004A00F4">
            <w:pPr>
              <w:pStyle w:val="Szvegtrzs"/>
              <w:contextualSpacing/>
              <w:rPr>
                <w:b/>
                <w:bCs/>
              </w:rPr>
            </w:pPr>
            <w:r w:rsidRPr="004A00F4">
              <w:rPr>
                <w:b/>
                <w:lang w:val="hu-HU" w:bidi="hu-HU"/>
              </w:rPr>
              <w:t>Érzékeny</w:t>
            </w:r>
          </w:p>
        </w:tc>
        <w:tc>
          <w:tcPr>
            <w:tcW w:w="3052" w:type="dxa"/>
          </w:tcPr>
          <w:p w14:paraId="095340B9" w14:textId="067D71F2" w:rsidR="003D2CD9" w:rsidRPr="004A00F4" w:rsidRDefault="003D2CD9" w:rsidP="004A00F4">
            <w:pPr>
              <w:pStyle w:val="Szvegtrzs"/>
              <w:contextualSpacing/>
              <w:rPr>
                <w:b/>
                <w:bCs/>
              </w:rPr>
            </w:pPr>
            <w:r w:rsidRPr="004A00F4">
              <w:rPr>
                <w:b/>
                <w:lang w:val="hu-HU" w:bidi="hu-HU"/>
              </w:rPr>
              <w:t>Rezisztens</w:t>
            </w:r>
          </w:p>
        </w:tc>
      </w:tr>
      <w:tr w:rsidR="003D2CD9" w:rsidRPr="004A00F4" w14:paraId="45E6BDDA" w14:textId="77777777" w:rsidTr="00675C64">
        <w:tc>
          <w:tcPr>
            <w:tcW w:w="3064" w:type="dxa"/>
          </w:tcPr>
          <w:p w14:paraId="02D477BB" w14:textId="19A71F40" w:rsidR="003D2CD9" w:rsidRPr="004A00F4" w:rsidRDefault="003D2CD9" w:rsidP="004A00F4">
            <w:pPr>
              <w:pStyle w:val="Szvegtrzs"/>
              <w:contextualSpacing/>
            </w:pPr>
            <w:r w:rsidRPr="004A00F4">
              <w:rPr>
                <w:i/>
                <w:lang w:val="hu-HU" w:bidi="hu-HU"/>
              </w:rPr>
              <w:t xml:space="preserve">Staphylococcus aureus 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  <w:tc>
          <w:tcPr>
            <w:tcW w:w="3056" w:type="dxa"/>
          </w:tcPr>
          <w:p w14:paraId="2C01F828" w14:textId="47ECFFD5" w:rsidR="003D2CD9" w:rsidRPr="004A00F4" w:rsidRDefault="003D2CD9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≤2 mg/l</w:t>
            </w:r>
          </w:p>
        </w:tc>
        <w:tc>
          <w:tcPr>
            <w:tcW w:w="3052" w:type="dxa"/>
          </w:tcPr>
          <w:p w14:paraId="6299EB5A" w14:textId="7B1EBFD1" w:rsidR="003D2CD9" w:rsidRPr="004A00F4" w:rsidRDefault="003D2CD9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&gt;2 mg/l</w:t>
            </w:r>
          </w:p>
        </w:tc>
      </w:tr>
      <w:tr w:rsidR="003D2CD9" w:rsidRPr="004A00F4" w14:paraId="32160495" w14:textId="77777777" w:rsidTr="00675C64">
        <w:tc>
          <w:tcPr>
            <w:tcW w:w="3064" w:type="dxa"/>
          </w:tcPr>
          <w:p w14:paraId="400E2C16" w14:textId="68972765" w:rsidR="003D2CD9" w:rsidRPr="004A00F4" w:rsidRDefault="003D2CD9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 xml:space="preserve">Koaguláz-negatív </w:t>
            </w:r>
            <w:r w:rsidRPr="004A00F4">
              <w:rPr>
                <w:i/>
                <w:lang w:val="hu-HU" w:bidi="hu-HU"/>
              </w:rPr>
              <w:t>Staphylococcusok</w:t>
            </w:r>
          </w:p>
        </w:tc>
        <w:tc>
          <w:tcPr>
            <w:tcW w:w="3056" w:type="dxa"/>
          </w:tcPr>
          <w:p w14:paraId="7ABE244D" w14:textId="6A1F5C3A" w:rsidR="003D2CD9" w:rsidRPr="004A00F4" w:rsidRDefault="003D2CD9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≤4 mg/l</w:t>
            </w:r>
          </w:p>
        </w:tc>
        <w:tc>
          <w:tcPr>
            <w:tcW w:w="3052" w:type="dxa"/>
          </w:tcPr>
          <w:p w14:paraId="6B8395C8" w14:textId="5220EE5C" w:rsidR="003D2CD9" w:rsidRPr="004A00F4" w:rsidRDefault="003D2CD9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&gt;4 mg/l</w:t>
            </w:r>
          </w:p>
        </w:tc>
      </w:tr>
      <w:tr w:rsidR="003D2CD9" w:rsidRPr="004A00F4" w14:paraId="5B2452B7" w14:textId="77777777" w:rsidTr="00675C64">
        <w:tc>
          <w:tcPr>
            <w:tcW w:w="3064" w:type="dxa"/>
          </w:tcPr>
          <w:p w14:paraId="11BA8366" w14:textId="21A6FB16" w:rsidR="003D2CD9" w:rsidRPr="004A00F4" w:rsidRDefault="003D2CD9" w:rsidP="004A00F4">
            <w:pPr>
              <w:pStyle w:val="Szvegtrzs"/>
              <w:contextualSpacing/>
            </w:pPr>
            <w:r w:rsidRPr="004A00F4">
              <w:rPr>
                <w:i/>
                <w:lang w:val="hu-HU" w:bidi="hu-HU"/>
              </w:rPr>
              <w:t xml:space="preserve">Enterococcus </w:t>
            </w:r>
            <w:r w:rsidRPr="004A00F4">
              <w:rPr>
                <w:lang w:val="hu-HU" w:bidi="hu-HU"/>
              </w:rPr>
              <w:t>spp.</w:t>
            </w:r>
          </w:p>
        </w:tc>
        <w:tc>
          <w:tcPr>
            <w:tcW w:w="3056" w:type="dxa"/>
          </w:tcPr>
          <w:p w14:paraId="3B4FAD88" w14:textId="502212B5" w:rsidR="003D2CD9" w:rsidRPr="004A00F4" w:rsidRDefault="003D2CD9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≤2 mg/l</w:t>
            </w:r>
          </w:p>
        </w:tc>
        <w:tc>
          <w:tcPr>
            <w:tcW w:w="3052" w:type="dxa"/>
          </w:tcPr>
          <w:p w14:paraId="7AC10D33" w14:textId="066D2938" w:rsidR="003D2CD9" w:rsidRPr="004A00F4" w:rsidRDefault="003D2CD9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&gt;2 mg/l</w:t>
            </w:r>
          </w:p>
        </w:tc>
      </w:tr>
      <w:tr w:rsidR="003D2CD9" w:rsidRPr="004A00F4" w14:paraId="793F661F" w14:textId="77777777" w:rsidTr="00675C64">
        <w:tc>
          <w:tcPr>
            <w:tcW w:w="3064" w:type="dxa"/>
          </w:tcPr>
          <w:p w14:paraId="1B86139E" w14:textId="09CF3F83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i/>
                <w:lang w:val="hu-HU" w:bidi="hu-HU"/>
              </w:rPr>
              <w:t>Streptococcus</w:t>
            </w:r>
            <w:r w:rsidRPr="004A00F4">
              <w:rPr>
                <w:lang w:val="hu-HU" w:bidi="hu-HU"/>
              </w:rPr>
              <w:t xml:space="preserve"> A, B, C, G csoport 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  <w:tc>
          <w:tcPr>
            <w:tcW w:w="3056" w:type="dxa"/>
          </w:tcPr>
          <w:p w14:paraId="01AB65C6" w14:textId="46348A56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≤2 mg/l</w:t>
            </w:r>
          </w:p>
        </w:tc>
        <w:tc>
          <w:tcPr>
            <w:tcW w:w="3052" w:type="dxa"/>
          </w:tcPr>
          <w:p w14:paraId="276C1A73" w14:textId="7FFA7003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&gt;2 mg/l</w:t>
            </w:r>
          </w:p>
        </w:tc>
      </w:tr>
      <w:tr w:rsidR="003D2CD9" w:rsidRPr="004A00F4" w14:paraId="7DBB8CC7" w14:textId="77777777" w:rsidTr="00675C64">
        <w:tc>
          <w:tcPr>
            <w:tcW w:w="3064" w:type="dxa"/>
          </w:tcPr>
          <w:p w14:paraId="103DBAE3" w14:textId="6EC434B1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i/>
                <w:lang w:val="hu-HU" w:bidi="hu-HU"/>
              </w:rPr>
              <w:t xml:space="preserve">Streptococcus pneumoniae 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  <w:tc>
          <w:tcPr>
            <w:tcW w:w="3056" w:type="dxa"/>
          </w:tcPr>
          <w:p w14:paraId="2B374140" w14:textId="68ABE440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≤2 mg/l</w:t>
            </w:r>
          </w:p>
        </w:tc>
        <w:tc>
          <w:tcPr>
            <w:tcW w:w="3052" w:type="dxa"/>
          </w:tcPr>
          <w:p w14:paraId="01CF033B" w14:textId="6968167A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&gt;2 mg/l</w:t>
            </w:r>
          </w:p>
        </w:tc>
      </w:tr>
      <w:tr w:rsidR="003D2CD9" w:rsidRPr="004A00F4" w14:paraId="2DD26557" w14:textId="77777777" w:rsidTr="00675C64">
        <w:tc>
          <w:tcPr>
            <w:tcW w:w="3064" w:type="dxa"/>
          </w:tcPr>
          <w:p w14:paraId="1F149DCA" w14:textId="78265BAA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 xml:space="preserve">Streptococcus viridans csoport 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  <w:tc>
          <w:tcPr>
            <w:tcW w:w="3056" w:type="dxa"/>
          </w:tcPr>
          <w:p w14:paraId="74F623B9" w14:textId="25605161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≤2 mg/l</w:t>
            </w:r>
          </w:p>
        </w:tc>
        <w:tc>
          <w:tcPr>
            <w:tcW w:w="3052" w:type="dxa"/>
          </w:tcPr>
          <w:p w14:paraId="21C56C24" w14:textId="09E305F0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&gt;2 mg/l</w:t>
            </w:r>
          </w:p>
        </w:tc>
      </w:tr>
      <w:tr w:rsidR="003D2CD9" w:rsidRPr="004A00F4" w14:paraId="1E8FCB3B" w14:textId="77777777" w:rsidTr="00675C64">
        <w:tc>
          <w:tcPr>
            <w:tcW w:w="3064" w:type="dxa"/>
          </w:tcPr>
          <w:p w14:paraId="7B868049" w14:textId="77777777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</w:p>
        </w:tc>
        <w:tc>
          <w:tcPr>
            <w:tcW w:w="3056" w:type="dxa"/>
          </w:tcPr>
          <w:p w14:paraId="71F46DDF" w14:textId="77777777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</w:p>
        </w:tc>
        <w:tc>
          <w:tcPr>
            <w:tcW w:w="3052" w:type="dxa"/>
          </w:tcPr>
          <w:p w14:paraId="4927FFDE" w14:textId="77777777" w:rsidR="003D2CD9" w:rsidRPr="004A00F4" w:rsidRDefault="003D2CD9" w:rsidP="004A00F4">
            <w:pPr>
              <w:pStyle w:val="Szvegtrzs"/>
              <w:contextualSpacing/>
              <w:rPr>
                <w:lang w:val="en-US"/>
              </w:rPr>
            </w:pPr>
          </w:p>
        </w:tc>
      </w:tr>
      <w:tr w:rsidR="00675C64" w:rsidRPr="004A00F4" w14:paraId="79DEE757" w14:textId="77777777" w:rsidTr="000A4CB9">
        <w:tc>
          <w:tcPr>
            <w:tcW w:w="9172" w:type="dxa"/>
            <w:gridSpan w:val="3"/>
          </w:tcPr>
          <w:p w14:paraId="435A4A3D" w14:textId="28CCA3BF" w:rsidR="00675C64" w:rsidRPr="00B27B3E" w:rsidRDefault="007516B1" w:rsidP="007464B2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vertAlign w:val="superscript"/>
                <w:lang w:val="hu-HU" w:bidi="hu-HU"/>
              </w:rPr>
              <w:t>1</w:t>
            </w:r>
            <w:r w:rsidRPr="004A00F4">
              <w:rPr>
                <w:lang w:val="hu-HU" w:bidi="hu-HU"/>
              </w:rPr>
              <w:t xml:space="preserve"> </w:t>
            </w:r>
            <w:r w:rsidR="007464B2">
              <w:rPr>
                <w:lang w:val="hu-HU" w:bidi="hu-HU"/>
              </w:rPr>
              <w:t>Rezisztens</w:t>
            </w:r>
            <w:r w:rsidRPr="004A00F4">
              <w:rPr>
                <w:lang w:val="hu-HU" w:bidi="hu-HU"/>
              </w:rPr>
              <w:t xml:space="preserve"> izolátumok nagyon ritkán fordulnak elő vagy még nem számoltak be ilyenekről. Az ilyen izolátumokon végzett azonosítási és antibiotikumrezisztencia</w:t>
            </w:r>
            <w:r w:rsidR="007464B2"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vizsgálat</w:t>
            </w:r>
            <w:r w:rsidR="007464B2">
              <w:rPr>
                <w:lang w:val="hu-HU" w:bidi="hu-HU"/>
              </w:rPr>
              <w:t>i</w:t>
            </w:r>
            <w:r w:rsidRPr="004A00F4">
              <w:rPr>
                <w:lang w:val="hu-HU" w:bidi="hu-HU"/>
              </w:rPr>
              <w:t xml:space="preserve"> eredmény</w:t>
            </w:r>
            <w:r w:rsidR="007464B2">
              <w:rPr>
                <w:lang w:val="hu-HU" w:bidi="hu-HU"/>
              </w:rPr>
              <w:t>eket</w:t>
            </w:r>
            <w:r w:rsidRPr="004A00F4">
              <w:rPr>
                <w:lang w:val="hu-HU" w:bidi="hu-HU"/>
              </w:rPr>
              <w:t xml:space="preserve"> meg kell erősíteni, és az izolátumot el kell küldeni egy referencialaboratóriumba. </w:t>
            </w:r>
          </w:p>
        </w:tc>
      </w:tr>
    </w:tbl>
    <w:p w14:paraId="6EC9BB40" w14:textId="4C2174B2" w:rsidR="003D2CD9" w:rsidRPr="004A00F4" w:rsidRDefault="003D2CD9" w:rsidP="004A00F4">
      <w:pPr>
        <w:pStyle w:val="Szvegtrzs"/>
        <w:contextualSpacing/>
      </w:pPr>
    </w:p>
    <w:p w14:paraId="0DE214DC" w14:textId="77777777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Farmakokinetikai/farmakodinámiás összefüggések</w:t>
      </w:r>
    </w:p>
    <w:p w14:paraId="7C441A45" w14:textId="4DB29759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 antimikrobiális hatása lényegében attól függ, hogy a gyógyszer szintje mennyi ideig haladja meg a kórokozó minimális gátló koncentráció</w:t>
      </w:r>
      <w:r w:rsidR="009D1FDC">
        <w:rPr>
          <w:lang w:bidi="hu-HU"/>
        </w:rPr>
        <w:t>já</w:t>
      </w:r>
      <w:r w:rsidRPr="004A00F4">
        <w:rPr>
          <w:lang w:bidi="hu-HU"/>
        </w:rPr>
        <w:t>t (MIC</w:t>
      </w:r>
      <w:r w:rsidR="00394763">
        <w:rPr>
          <w:lang w:bidi="hu-HU"/>
        </w:rPr>
        <w:t>-</w:t>
      </w:r>
      <w:r w:rsidRPr="004A00F4">
        <w:rPr>
          <w:lang w:bidi="hu-HU"/>
        </w:rPr>
        <w:t>értéket).</w:t>
      </w:r>
    </w:p>
    <w:p w14:paraId="412AB60C" w14:textId="77777777" w:rsidR="00675C64" w:rsidRPr="004A00F4" w:rsidRDefault="00675C64" w:rsidP="004A00F4">
      <w:pPr>
        <w:pStyle w:val="Szvegtrzs"/>
        <w:contextualSpacing/>
      </w:pPr>
    </w:p>
    <w:p w14:paraId="5BB0B290" w14:textId="6E8360EF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Érzékenység</w:t>
      </w:r>
    </w:p>
    <w:p w14:paraId="457F4F5E" w14:textId="15626A2D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rezisztencia előfordulása a földrajzi helyzettől és adott faj esetén az időfaktortól függően eltérő lehet. A rezisztencia előfordulásának helyi adatai szükségesek, különösen súlyos fertőzés kezelése esetén. Amennyiben szükséges, szakértő segítségét kell kérni, amennyiben a helyi rezisztencia előfordulási adatai alapján bizonyos fertőzések esetén a szer alkalmazása megkérdőjelezhető.</w:t>
      </w:r>
    </w:p>
    <w:p w14:paraId="0E8F9C2E" w14:textId="4F807B71" w:rsidR="008024C1" w:rsidRPr="004A00F4" w:rsidRDefault="008024C1" w:rsidP="004A00F4">
      <w:pPr>
        <w:pStyle w:val="Szvegtrzs"/>
        <w:contextualSpacing/>
        <w:rPr>
          <w:u w:val="single"/>
        </w:rPr>
      </w:pPr>
    </w:p>
    <w:tbl>
      <w:tblPr>
        <w:tblStyle w:val="Rcsostblzat"/>
        <w:tblW w:w="0" w:type="auto"/>
        <w:tblInd w:w="118" w:type="dxa"/>
        <w:tblLook w:val="04A0" w:firstRow="1" w:lastRow="0" w:firstColumn="1" w:lastColumn="0" w:noHBand="0" w:noVBand="1"/>
      </w:tblPr>
      <w:tblGrid>
        <w:gridCol w:w="8948"/>
      </w:tblGrid>
      <w:tr w:rsidR="008024C1" w:rsidRPr="004A00F4" w14:paraId="7557284F" w14:textId="77777777" w:rsidTr="00675C64">
        <w:trPr>
          <w:trHeight w:val="357"/>
        </w:trPr>
        <w:tc>
          <w:tcPr>
            <w:tcW w:w="9172" w:type="dxa"/>
          </w:tcPr>
          <w:p w14:paraId="20ABAEA1" w14:textId="24B656A4" w:rsidR="008024C1" w:rsidRPr="004A00F4" w:rsidRDefault="00E43E70" w:rsidP="004A00F4">
            <w:pPr>
              <w:pStyle w:val="Szvegtrzs"/>
              <w:contextualSpacing/>
              <w:rPr>
                <w:b/>
                <w:bCs/>
                <w:i/>
                <w:iCs/>
                <w:lang w:val="en-US"/>
              </w:rPr>
            </w:pPr>
            <w:r w:rsidRPr="004A00F4">
              <w:rPr>
                <w:b/>
                <w:i/>
                <w:lang w:val="hu-HU" w:bidi="hu-HU"/>
              </w:rPr>
              <w:t>Általában érzékeny fajok:</w:t>
            </w:r>
          </w:p>
        </w:tc>
      </w:tr>
      <w:tr w:rsidR="008024C1" w:rsidRPr="004A00F4" w14:paraId="71354099" w14:textId="77777777" w:rsidTr="00675C64">
        <w:tc>
          <w:tcPr>
            <w:tcW w:w="9172" w:type="dxa"/>
          </w:tcPr>
          <w:p w14:paraId="4891B389" w14:textId="57651DAD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b/>
                <w:bCs/>
                <w:i/>
                <w:iCs/>
                <w:lang w:val="pt-PT"/>
              </w:rPr>
            </w:pPr>
            <w:r w:rsidRPr="004A00F4">
              <w:rPr>
                <w:b/>
                <w:i/>
                <w:lang w:val="hu-HU" w:bidi="hu-HU"/>
              </w:rPr>
              <w:t>Gram</w:t>
            </w:r>
            <w:r w:rsidR="00D712FB">
              <w:rPr>
                <w:b/>
                <w:i/>
                <w:lang w:val="hu-HU" w:bidi="hu-HU"/>
              </w:rPr>
              <w:t>-</w:t>
            </w:r>
            <w:r w:rsidRPr="004A00F4">
              <w:rPr>
                <w:b/>
                <w:i/>
                <w:lang w:val="hu-HU" w:bidi="hu-HU"/>
              </w:rPr>
              <w:t>pozitív aerob baktériumok</w:t>
            </w:r>
          </w:p>
          <w:p w14:paraId="18A17859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pt-PT"/>
              </w:rPr>
            </w:pPr>
            <w:r w:rsidRPr="004A00F4">
              <w:rPr>
                <w:i/>
                <w:lang w:val="hu-HU" w:bidi="hu-HU"/>
              </w:rPr>
              <w:t xml:space="preserve">Corynebacterium jeikeium </w:t>
            </w:r>
            <w:r w:rsidRPr="004A00F4">
              <w:rPr>
                <w:i/>
                <w:vertAlign w:val="superscript"/>
                <w:lang w:val="hu-HU" w:bidi="hu-HU"/>
              </w:rPr>
              <w:t>a</w:t>
            </w:r>
          </w:p>
          <w:p w14:paraId="05929F30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>Enterococcus faecalis</w:t>
            </w:r>
          </w:p>
          <w:p w14:paraId="64F1B865" w14:textId="5D3068B6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>Staphylococcus aureus</w:t>
            </w:r>
            <w:r w:rsidRPr="004A00F4">
              <w:rPr>
                <w:lang w:val="hu-HU" w:bidi="hu-HU"/>
              </w:rPr>
              <w:t xml:space="preserve"> (a meticillin</w:t>
            </w:r>
            <w:r w:rsidR="007464B2"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rezisztens törzseket is beleértve)</w:t>
            </w:r>
          </w:p>
          <w:p w14:paraId="283BF13B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>Streptococcus agalactiae</w:t>
            </w:r>
          </w:p>
          <w:p w14:paraId="1EA2258C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 xml:space="preserve">Streptococcus dysgalactiae </w:t>
            </w:r>
            <w:r w:rsidRPr="004A00F4">
              <w:rPr>
                <w:lang w:val="hu-HU" w:bidi="hu-HU"/>
              </w:rPr>
              <w:t xml:space="preserve">subsp. </w:t>
            </w:r>
            <w:r w:rsidRPr="004A00F4">
              <w:rPr>
                <w:i/>
                <w:lang w:val="hu-HU" w:bidi="hu-HU"/>
              </w:rPr>
              <w:t xml:space="preserve">equisimilis </w:t>
            </w:r>
            <w:r w:rsidRPr="004A00F4">
              <w:rPr>
                <w:i/>
                <w:vertAlign w:val="superscript"/>
                <w:lang w:val="hu-HU" w:bidi="hu-HU"/>
              </w:rPr>
              <w:t>a</w:t>
            </w:r>
          </w:p>
          <w:p w14:paraId="4D873FC7" w14:textId="6FC6358A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(C és G</w:t>
            </w:r>
            <w:r w:rsidR="007464B2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 xml:space="preserve">csoportú </w:t>
            </w:r>
            <w:r w:rsidRPr="00B27B3E">
              <w:rPr>
                <w:i/>
                <w:lang w:bidi="hu-HU"/>
              </w:rPr>
              <w:t>Streptococcus</w:t>
            </w:r>
            <w:r w:rsidRPr="004A00F4">
              <w:rPr>
                <w:lang w:val="hu-HU" w:bidi="hu-HU"/>
              </w:rPr>
              <w:t>ok)</w:t>
            </w:r>
          </w:p>
          <w:p w14:paraId="58A69FEA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>Streptococcus pneumoniae</w:t>
            </w:r>
          </w:p>
          <w:p w14:paraId="0B51C00F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>Streptococcus pyogenes</w:t>
            </w:r>
          </w:p>
          <w:p w14:paraId="5A41B014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 xml:space="preserve">Streptococcus viridans csoport </w:t>
            </w:r>
            <w:r w:rsidRPr="004A00F4">
              <w:rPr>
                <w:vertAlign w:val="superscript"/>
                <w:lang w:val="hu-HU" w:bidi="hu-HU"/>
              </w:rPr>
              <w:t>a b</w:t>
            </w:r>
          </w:p>
          <w:p w14:paraId="250CC4B0" w14:textId="2200EDC4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b/>
                <w:bCs/>
                <w:i/>
                <w:iCs/>
                <w:lang w:val="pt-PT"/>
              </w:rPr>
            </w:pPr>
            <w:r w:rsidRPr="004A00F4">
              <w:rPr>
                <w:b/>
                <w:i/>
                <w:lang w:val="hu-HU" w:bidi="hu-HU"/>
              </w:rPr>
              <w:t>Gram</w:t>
            </w:r>
            <w:r w:rsidR="00D712FB">
              <w:rPr>
                <w:b/>
                <w:i/>
                <w:lang w:val="hu-HU" w:bidi="hu-HU"/>
              </w:rPr>
              <w:t>-</w:t>
            </w:r>
            <w:r w:rsidRPr="004A00F4">
              <w:rPr>
                <w:b/>
                <w:i/>
                <w:lang w:val="hu-HU" w:bidi="hu-HU"/>
              </w:rPr>
              <w:t>pozitív anaerobok</w:t>
            </w:r>
          </w:p>
          <w:p w14:paraId="75E24A1C" w14:textId="18AE2AC8" w:rsidR="00675C64" w:rsidRPr="004A00F4" w:rsidRDefault="00182CC9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pt-PT"/>
              </w:rPr>
            </w:pPr>
            <w:r>
              <w:rPr>
                <w:i/>
                <w:lang w:val="hu-HU" w:bidi="hu-HU"/>
              </w:rPr>
              <w:t>Clostridioides </w:t>
            </w:r>
            <w:r w:rsidR="00DD2646" w:rsidRPr="004A00F4">
              <w:rPr>
                <w:i/>
                <w:lang w:val="hu-HU" w:bidi="hu-HU"/>
              </w:rPr>
              <w:t xml:space="preserve">difficile </w:t>
            </w:r>
            <w:r w:rsidR="00DD2646" w:rsidRPr="004A00F4">
              <w:rPr>
                <w:i/>
                <w:vertAlign w:val="superscript"/>
                <w:lang w:val="hu-HU" w:bidi="hu-HU"/>
              </w:rPr>
              <w:t>a</w:t>
            </w:r>
          </w:p>
          <w:p w14:paraId="2BB24607" w14:textId="4F34C550" w:rsidR="008024C1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pt-PT"/>
              </w:rPr>
            </w:pPr>
            <w:r w:rsidRPr="004A00F4">
              <w:rPr>
                <w:i/>
                <w:lang w:val="hu-HU" w:bidi="hu-HU"/>
              </w:rPr>
              <w:t>Peptostreptococcus spp.</w:t>
            </w:r>
            <w:r w:rsidRPr="004A00F4">
              <w:rPr>
                <w:i/>
                <w:vertAlign w:val="superscript"/>
                <w:lang w:val="hu-HU" w:bidi="hu-HU"/>
              </w:rPr>
              <w:t>a</w:t>
            </w:r>
          </w:p>
        </w:tc>
      </w:tr>
      <w:tr w:rsidR="008024C1" w:rsidRPr="004A00F4" w14:paraId="3E80F4D6" w14:textId="77777777" w:rsidTr="00675C64">
        <w:trPr>
          <w:trHeight w:val="699"/>
        </w:trPr>
        <w:tc>
          <w:tcPr>
            <w:tcW w:w="9172" w:type="dxa"/>
          </w:tcPr>
          <w:p w14:paraId="3DAB56E9" w14:textId="77777777" w:rsidR="00675C64" w:rsidRPr="004A00F4" w:rsidRDefault="00675C64" w:rsidP="004A00F4">
            <w:pPr>
              <w:pBdr>
                <w:top w:val="single" w:sz="4" w:space="1" w:color="auto"/>
              </w:pBdr>
              <w:tabs>
                <w:tab w:val="left" w:pos="0"/>
              </w:tabs>
              <w:ind w:right="1361"/>
              <w:contextualSpacing/>
              <w:rPr>
                <w:b/>
                <w:bCs/>
                <w:lang w:val="en-US"/>
              </w:rPr>
            </w:pPr>
            <w:r w:rsidRPr="004A00F4">
              <w:rPr>
                <w:b/>
                <w:lang w:val="hu-HU" w:bidi="hu-HU"/>
              </w:rPr>
              <w:t>Olyan fajok, amelyeknél a szerzett rezisztencia problémát okozhat</w:t>
            </w:r>
          </w:p>
          <w:p w14:paraId="71320C85" w14:textId="6CAC056F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b/>
                <w:bCs/>
                <w:i/>
                <w:iCs/>
                <w:lang w:val="pt-PT"/>
              </w:rPr>
            </w:pPr>
            <w:r w:rsidRPr="004A00F4">
              <w:rPr>
                <w:b/>
                <w:i/>
                <w:lang w:val="hu-HU" w:bidi="hu-HU"/>
              </w:rPr>
              <w:t>Gram</w:t>
            </w:r>
            <w:r w:rsidR="00D712FB">
              <w:rPr>
                <w:b/>
                <w:i/>
                <w:lang w:val="hu-HU" w:bidi="hu-HU"/>
              </w:rPr>
              <w:t>-</w:t>
            </w:r>
            <w:r w:rsidRPr="004A00F4">
              <w:rPr>
                <w:b/>
                <w:i/>
                <w:lang w:val="hu-HU" w:bidi="hu-HU"/>
              </w:rPr>
              <w:t>pozitív aerob baktériumok</w:t>
            </w:r>
          </w:p>
          <w:p w14:paraId="28174F64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pt-PT"/>
              </w:rPr>
            </w:pPr>
            <w:r w:rsidRPr="004A00F4">
              <w:rPr>
                <w:i/>
                <w:lang w:val="hu-HU" w:bidi="hu-HU"/>
              </w:rPr>
              <w:t>Enterococcus faecium</w:t>
            </w:r>
          </w:p>
          <w:p w14:paraId="214D7996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>Staphylococcus epidermidis</w:t>
            </w:r>
          </w:p>
          <w:p w14:paraId="343E2332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>Staphylococcus haemolyticus</w:t>
            </w:r>
          </w:p>
          <w:p w14:paraId="22FC276B" w14:textId="744A5743" w:rsidR="008024C1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>Staphylococcus hominis</w:t>
            </w:r>
          </w:p>
        </w:tc>
      </w:tr>
      <w:tr w:rsidR="00675C64" w:rsidRPr="004A00F4" w14:paraId="1BCBA5B5" w14:textId="77777777" w:rsidTr="00675C64">
        <w:trPr>
          <w:trHeight w:val="706"/>
        </w:trPr>
        <w:tc>
          <w:tcPr>
            <w:tcW w:w="9172" w:type="dxa"/>
          </w:tcPr>
          <w:p w14:paraId="3BA2B173" w14:textId="6B7E6383" w:rsidR="00675C64" w:rsidRPr="004A00F4" w:rsidRDefault="00675C64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b/>
                <w:lang w:val="hu-HU" w:bidi="hu-HU"/>
              </w:rPr>
              <w:t>Eredendően rezisztens baktériumok</w:t>
            </w:r>
          </w:p>
          <w:p w14:paraId="1C553605" w14:textId="1E5957CE" w:rsidR="00675C64" w:rsidRPr="004A00F4" w:rsidRDefault="00675C64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Minden Gram</w:t>
            </w:r>
            <w:r w:rsidR="007464B2"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negatív baktérium</w:t>
            </w:r>
          </w:p>
          <w:p w14:paraId="65A5C35D" w14:textId="77777777" w:rsidR="00675C64" w:rsidRPr="004A00F4" w:rsidRDefault="00675C64" w:rsidP="004A00F4">
            <w:pPr>
              <w:pStyle w:val="Szvegtrzs"/>
              <w:contextualSpacing/>
              <w:rPr>
                <w:b/>
                <w:bCs/>
                <w:i/>
                <w:iCs/>
                <w:lang w:val="en-US"/>
              </w:rPr>
            </w:pPr>
            <w:r w:rsidRPr="004A00F4">
              <w:rPr>
                <w:b/>
                <w:i/>
                <w:lang w:val="hu-HU" w:bidi="hu-HU"/>
              </w:rPr>
              <w:t>Egyéb baktériumok</w:t>
            </w:r>
          </w:p>
          <w:p w14:paraId="2344C617" w14:textId="77777777" w:rsidR="00675C64" w:rsidRPr="004A00F4" w:rsidRDefault="00675C64" w:rsidP="004A00F4">
            <w:pPr>
              <w:pStyle w:val="Szvegtrzs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>Chlamydia spp.</w:t>
            </w:r>
          </w:p>
          <w:p w14:paraId="20702B23" w14:textId="77777777" w:rsidR="00675C64" w:rsidRPr="004A00F4" w:rsidRDefault="00675C64" w:rsidP="004A00F4">
            <w:pPr>
              <w:pStyle w:val="Szvegtrzs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>Chlamydophila spp.</w:t>
            </w:r>
          </w:p>
          <w:p w14:paraId="0A339BD6" w14:textId="77777777" w:rsidR="00675C64" w:rsidRPr="004A00F4" w:rsidRDefault="00675C64" w:rsidP="004A00F4">
            <w:pPr>
              <w:pStyle w:val="Szvegtrzs"/>
              <w:contextualSpacing/>
              <w:rPr>
                <w:i/>
                <w:iCs/>
              </w:rPr>
            </w:pPr>
            <w:r w:rsidRPr="004A00F4">
              <w:rPr>
                <w:i/>
                <w:lang w:val="hu-HU" w:bidi="hu-HU"/>
              </w:rPr>
              <w:lastRenderedPageBreak/>
              <w:t>Legionella pneumophila</w:t>
            </w:r>
          </w:p>
          <w:p w14:paraId="1245D366" w14:textId="78EE041B" w:rsidR="00675C64" w:rsidRPr="004A00F4" w:rsidRDefault="00675C64" w:rsidP="004A00F4">
            <w:pPr>
              <w:pStyle w:val="Szvegtrzs"/>
              <w:contextualSpacing/>
              <w:rPr>
                <w:u w:val="single"/>
                <w:lang w:val="en-US"/>
              </w:rPr>
            </w:pPr>
            <w:r w:rsidRPr="004A00F4">
              <w:rPr>
                <w:i/>
                <w:lang w:val="hu-HU" w:bidi="hu-HU"/>
              </w:rPr>
              <w:t>Mycoplasma spp.</w:t>
            </w:r>
          </w:p>
        </w:tc>
      </w:tr>
      <w:tr w:rsidR="00675C64" w:rsidRPr="004A00F4" w14:paraId="37B2E4F8" w14:textId="77777777" w:rsidTr="00675C64">
        <w:trPr>
          <w:trHeight w:val="706"/>
        </w:trPr>
        <w:tc>
          <w:tcPr>
            <w:tcW w:w="9172" w:type="dxa"/>
          </w:tcPr>
          <w:p w14:paraId="5100E22E" w14:textId="648A43A3" w:rsidR="00675C64" w:rsidRPr="00B27B3E" w:rsidRDefault="00683FA4" w:rsidP="00FF2BDD">
            <w:pPr>
              <w:pStyle w:val="Szvegtrzs"/>
              <w:ind w:left="484" w:hanging="484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lastRenderedPageBreak/>
              <w:t>a</w:t>
            </w:r>
            <w:r w:rsidRPr="004A00F4">
              <w:rPr>
                <w:lang w:val="hu-HU" w:bidi="hu-HU"/>
              </w:rPr>
              <w:tab/>
              <w:t>A táblázat készítésének időpontjában nem állt rendelkezésre aktuális adat. A vonatkozó legfontosabb irodalmi adatok, az előírt mennyiségek és kezelési ajánlások alapján érzékenységet tételeznek fel.</w:t>
            </w:r>
          </w:p>
          <w:p w14:paraId="1E54D66D" w14:textId="2751C132" w:rsidR="00675C64" w:rsidRPr="00B27B3E" w:rsidRDefault="00683FA4" w:rsidP="00FF2BDD">
            <w:pPr>
              <w:pStyle w:val="Szvegtrzs"/>
              <w:ind w:left="484" w:hanging="484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b</w:t>
            </w:r>
            <w:r w:rsidR="00FF2BDD">
              <w:rPr>
                <w:lang w:val="hu-HU" w:bidi="hu-HU"/>
              </w:rPr>
              <w:tab/>
            </w:r>
            <w:r w:rsidRPr="004A00F4">
              <w:rPr>
                <w:lang w:val="hu-HU" w:bidi="hu-HU"/>
              </w:rPr>
              <w:t xml:space="preserve">Heterogén </w:t>
            </w:r>
            <w:r w:rsidRPr="004A00F4">
              <w:rPr>
                <w:i/>
                <w:lang w:val="hu-HU" w:bidi="hu-HU"/>
              </w:rPr>
              <w:t>Streptococcus</w:t>
            </w:r>
            <w:r w:rsidRPr="004A00F4">
              <w:rPr>
                <w:lang w:val="hu-HU" w:bidi="hu-HU"/>
              </w:rPr>
              <w:t xml:space="preserve"> fajok gyűjtőneve. A rezisztencia </w:t>
            </w:r>
            <w:r w:rsidR="00FF2BDD">
              <w:rPr>
                <w:lang w:val="hu-HU" w:bidi="hu-HU"/>
              </w:rPr>
              <w:t xml:space="preserve">mértéke </w:t>
            </w:r>
            <w:r w:rsidRPr="004A00F4">
              <w:rPr>
                <w:lang w:val="hu-HU" w:bidi="hu-HU"/>
              </w:rPr>
              <w:t xml:space="preserve">változhat az aktuális </w:t>
            </w:r>
            <w:r w:rsidRPr="004A00F4">
              <w:rPr>
                <w:i/>
                <w:lang w:val="hu-HU" w:bidi="hu-HU"/>
              </w:rPr>
              <w:t xml:space="preserve">Streptococcus </w:t>
            </w:r>
            <w:r w:rsidRPr="00B27B3E">
              <w:rPr>
                <w:lang w:bidi="hu-HU"/>
              </w:rPr>
              <w:t>fajtól</w:t>
            </w:r>
            <w:r w:rsidRPr="004A00F4">
              <w:rPr>
                <w:lang w:val="hu-HU" w:bidi="hu-HU"/>
              </w:rPr>
              <w:t xml:space="preserve"> függően.</w:t>
            </w:r>
          </w:p>
        </w:tc>
      </w:tr>
    </w:tbl>
    <w:p w14:paraId="26E6DDBF" w14:textId="77777777" w:rsidR="003D2CD9" w:rsidRPr="004A00F4" w:rsidRDefault="003D2CD9" w:rsidP="004A00F4">
      <w:pPr>
        <w:pStyle w:val="Szvegtrzs"/>
        <w:contextualSpacing/>
      </w:pPr>
    </w:p>
    <w:p w14:paraId="65E6BEDD" w14:textId="77777777" w:rsidR="001F7224" w:rsidRPr="004A00F4" w:rsidRDefault="00001F79" w:rsidP="004A00F4">
      <w:pPr>
        <w:pStyle w:val="Cmsor1"/>
        <w:numPr>
          <w:ilvl w:val="1"/>
          <w:numId w:val="1"/>
        </w:numPr>
        <w:spacing w:before="0"/>
        <w:ind w:left="567"/>
        <w:contextualSpacing/>
      </w:pPr>
      <w:r w:rsidRPr="004A00F4">
        <w:rPr>
          <w:lang w:bidi="hu-HU"/>
        </w:rPr>
        <w:t>Farmakokinetikai tulajdonságok</w:t>
      </w:r>
    </w:p>
    <w:p w14:paraId="7B6CBAB0" w14:textId="1542D931" w:rsidR="003D2CD9" w:rsidRPr="004A00F4" w:rsidRDefault="003D2CD9" w:rsidP="004A00F4">
      <w:pPr>
        <w:pStyle w:val="Szvegtrzs"/>
        <w:contextualSpacing/>
      </w:pPr>
    </w:p>
    <w:p w14:paraId="0A6F7695" w14:textId="62D4909A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Felszívódás</w:t>
      </w:r>
    </w:p>
    <w:p w14:paraId="4092EBF7" w14:textId="066D741C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teikoplanint parenterálisan (intravénásan vagy intramuscularisan) adják be. Intramuscularis alkalmazás után a teikoplanin biohasznosulása (az intravénás alkalmazáshoz képest) majdnem teljes (90%). Hat napon keresztül napi 200 mg teikoplanin intramuscularis alkalmazása során az átlagos (SD) maximális koncentráció (C</w:t>
      </w:r>
      <w:r w:rsidRPr="004A00F4">
        <w:rPr>
          <w:vertAlign w:val="subscript"/>
          <w:lang w:bidi="hu-HU"/>
        </w:rPr>
        <w:t>max</w:t>
      </w:r>
      <w:r w:rsidRPr="004A00F4">
        <w:rPr>
          <w:lang w:bidi="hu-HU"/>
        </w:rPr>
        <w:t>) 12,1 (0,9) mg/l volt, ami az alkalmazást követően 2 órával alakult ki.</w:t>
      </w:r>
    </w:p>
    <w:p w14:paraId="639C9690" w14:textId="0948F49F" w:rsidR="003D2CD9" w:rsidRPr="004A00F4" w:rsidRDefault="003D2CD9" w:rsidP="004A00F4">
      <w:pPr>
        <w:pStyle w:val="Szvegtrzs"/>
        <w:contextualSpacing/>
      </w:pPr>
    </w:p>
    <w:p w14:paraId="7755E457" w14:textId="300BFA97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Intravénásan, 3-5 alkalommal, 12 óránként 6 mg/ttkg telítő dózis adagolása során a C</w:t>
      </w:r>
      <w:r w:rsidRPr="004A00F4">
        <w:rPr>
          <w:vertAlign w:val="subscript"/>
          <w:lang w:bidi="hu-HU"/>
        </w:rPr>
        <w:t>max</w:t>
      </w:r>
      <w:r w:rsidRPr="004A00F4">
        <w:rPr>
          <w:lang w:bidi="hu-HU"/>
        </w:rPr>
        <w:t xml:space="preserve"> értékek 60</w:t>
      </w:r>
      <w:r w:rsidR="00B00633">
        <w:rPr>
          <w:lang w:bidi="hu-HU"/>
        </w:rPr>
        <w:t>–</w:t>
      </w:r>
      <w:r w:rsidRPr="004A00F4">
        <w:rPr>
          <w:lang w:bidi="hu-HU"/>
        </w:rPr>
        <w:t>70 mg/l között voltak, és a C</w:t>
      </w:r>
      <w:r w:rsidRPr="004A00F4">
        <w:rPr>
          <w:vertAlign w:val="subscript"/>
          <w:lang w:bidi="hu-HU"/>
        </w:rPr>
        <w:t>mélyponti</w:t>
      </w:r>
      <w:r w:rsidRPr="004A00F4">
        <w:rPr>
          <w:lang w:bidi="hu-HU"/>
        </w:rPr>
        <w:t xml:space="preserve"> általában meghaladta a 10 mg/l-t. 12 mg/ttkg intravénás telítő dózis, 3 alkalommal, 12 óránként történő alkalmazása esetén az átlagos C</w:t>
      </w:r>
      <w:r w:rsidRPr="004A00F4">
        <w:rPr>
          <w:vertAlign w:val="subscript"/>
          <w:lang w:bidi="hu-HU"/>
        </w:rPr>
        <w:t>max</w:t>
      </w:r>
      <w:r w:rsidRPr="004A00F4">
        <w:rPr>
          <w:lang w:bidi="hu-HU"/>
        </w:rPr>
        <w:t xml:space="preserve"> és a C</w:t>
      </w:r>
      <w:r w:rsidRPr="004A00F4">
        <w:rPr>
          <w:vertAlign w:val="subscript"/>
          <w:lang w:bidi="hu-HU"/>
        </w:rPr>
        <w:t>mélyponti</w:t>
      </w:r>
      <w:r w:rsidRPr="004A00F4">
        <w:rPr>
          <w:lang w:bidi="hu-HU"/>
        </w:rPr>
        <w:t xml:space="preserve"> értékeket 100 mg/l</w:t>
      </w:r>
      <w:r w:rsidR="00B00633">
        <w:rPr>
          <w:lang w:bidi="hu-HU"/>
        </w:rPr>
        <w:t>-re</w:t>
      </w:r>
      <w:r w:rsidRPr="004A00F4">
        <w:rPr>
          <w:lang w:bidi="hu-HU"/>
        </w:rPr>
        <w:t xml:space="preserve"> és 20 mg/l-re becsülték.</w:t>
      </w:r>
    </w:p>
    <w:p w14:paraId="63C35597" w14:textId="77777777" w:rsidR="00675C64" w:rsidRPr="004A00F4" w:rsidRDefault="00675C64" w:rsidP="004A00F4">
      <w:pPr>
        <w:pStyle w:val="Szvegtrzs"/>
        <w:contextualSpacing/>
        <w:rPr>
          <w:u w:val="single"/>
        </w:rPr>
      </w:pPr>
    </w:p>
    <w:p w14:paraId="06373CEB" w14:textId="569930F8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Naponta egyszer, fenntartó dózisként alkalmazott 6 mg/ttkg esetén a C</w:t>
      </w:r>
      <w:r w:rsidRPr="004A00F4">
        <w:rPr>
          <w:vertAlign w:val="subscript"/>
          <w:lang w:bidi="hu-HU"/>
        </w:rPr>
        <w:t>max</w:t>
      </w:r>
      <w:r w:rsidRPr="004A00F4">
        <w:rPr>
          <w:lang w:bidi="hu-HU"/>
        </w:rPr>
        <w:t xml:space="preserve"> és a C</w:t>
      </w:r>
      <w:r w:rsidRPr="004A00F4">
        <w:rPr>
          <w:vertAlign w:val="subscript"/>
          <w:lang w:bidi="hu-HU"/>
        </w:rPr>
        <w:t>mélyponti</w:t>
      </w:r>
      <w:r w:rsidRPr="004A00F4">
        <w:rPr>
          <w:lang w:bidi="hu-HU"/>
        </w:rPr>
        <w:t xml:space="preserve"> értékek körülbelül 70 mg/l, illetve 15 mg/l voltak. Napi egyszeri, 12 mg/ttkg fenntartó dózisként történő alkalmazása esetén a C</w:t>
      </w:r>
      <w:r w:rsidRPr="004A00F4">
        <w:rPr>
          <w:vertAlign w:val="subscript"/>
          <w:lang w:bidi="hu-HU"/>
        </w:rPr>
        <w:t>mélyponti</w:t>
      </w:r>
      <w:r w:rsidRPr="004A00F4">
        <w:rPr>
          <w:lang w:bidi="hu-HU"/>
        </w:rPr>
        <w:t xml:space="preserve"> értékek 18</w:t>
      </w:r>
      <w:r w:rsidR="00B00633">
        <w:rPr>
          <w:lang w:bidi="hu-HU"/>
        </w:rPr>
        <w:t>–</w:t>
      </w:r>
      <w:r w:rsidRPr="004A00F4">
        <w:rPr>
          <w:lang w:bidi="hu-HU"/>
        </w:rPr>
        <w:t>30 mg/l között voltak.</w:t>
      </w:r>
    </w:p>
    <w:p w14:paraId="006C8B3F" w14:textId="52DA2316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Szájon át történő alkalmazás esetén a teikoplanin nem szívódik fel az emésztőrendszerből. Egészséges alanyoknak egyszeri 250 vagy 500 mg-os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adása után a teikoplanin nem volt kimutatható a szérumban vagy a vizeletben, csak kizárólag a székletben (a beadott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körülbelül 45%-a) változatlan formában.</w:t>
      </w:r>
    </w:p>
    <w:p w14:paraId="476EBBFC" w14:textId="77777777" w:rsidR="00675C64" w:rsidRPr="004A00F4" w:rsidRDefault="00675C64" w:rsidP="004A00F4">
      <w:pPr>
        <w:pStyle w:val="Szvegtrzs"/>
        <w:contextualSpacing/>
        <w:rPr>
          <w:u w:val="single"/>
        </w:rPr>
      </w:pPr>
    </w:p>
    <w:p w14:paraId="5F269DF7" w14:textId="0B6BF3A5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Eloszlás</w:t>
      </w:r>
    </w:p>
    <w:p w14:paraId="415BBD3B" w14:textId="1580E00E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humán szérumfehérjékhez történő kötődés 87,6</w:t>
      </w:r>
      <w:r w:rsidR="00B00633">
        <w:rPr>
          <w:lang w:bidi="hu-HU"/>
        </w:rPr>
        <w:t>–</w:t>
      </w:r>
      <w:r w:rsidRPr="004A00F4">
        <w:rPr>
          <w:lang w:bidi="hu-HU"/>
        </w:rPr>
        <w:t>90,8% között változik, ami azonban nem befolyásolja a teikoplanin koncentrációját. A teikoplanin főként a humán szérum albuminhoz kötődik. A teikoplanin nem jut be a vörösvértestekbe.</w:t>
      </w:r>
    </w:p>
    <w:p w14:paraId="3792CF54" w14:textId="0C20437E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Az eloszlási térfogat dinamikus egyensúlyi állapotban (V</w:t>
      </w:r>
      <w:r w:rsidRPr="004A00F4">
        <w:rPr>
          <w:vertAlign w:val="subscript"/>
          <w:lang w:bidi="hu-HU"/>
        </w:rPr>
        <w:t>ss</w:t>
      </w:r>
      <w:r w:rsidRPr="004A00F4">
        <w:rPr>
          <w:lang w:bidi="hu-HU"/>
        </w:rPr>
        <w:t>) 0,7</w:t>
      </w:r>
      <w:r w:rsidR="00B00633">
        <w:rPr>
          <w:lang w:bidi="hu-HU"/>
        </w:rPr>
        <w:t>–</w:t>
      </w:r>
      <w:r w:rsidRPr="004A00F4">
        <w:rPr>
          <w:lang w:bidi="hu-HU"/>
        </w:rPr>
        <w:t>1,4 l/ttkg. A V</w:t>
      </w:r>
      <w:r w:rsidRPr="004A00F4">
        <w:rPr>
          <w:vertAlign w:val="subscript"/>
          <w:lang w:bidi="hu-HU"/>
        </w:rPr>
        <w:t>ss</w:t>
      </w:r>
      <w:r w:rsidRPr="004A00F4">
        <w:rPr>
          <w:lang w:bidi="hu-HU"/>
        </w:rPr>
        <w:t xml:space="preserve"> legmagasabb értékeit a közelmúltban végzett vizsgálatokban figyelték meg, ahol a mintavételi periódus meghaladta a 8 napot.</w:t>
      </w:r>
    </w:p>
    <w:p w14:paraId="22C9301A" w14:textId="7B986C7A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 főleg a tüdőben, a myocardiumban és a csontszövetben oszlik el, a szövet/szérum arányok meghaladják az 1-et. A hólyagokban lévő folyadékban, a synovialis folyadékban és a peritoneális folyadékban a szövet/szérum arányok 0,5</w:t>
      </w:r>
      <w:r w:rsidR="00B00633">
        <w:rPr>
          <w:lang w:bidi="hu-HU"/>
        </w:rPr>
        <w:t>–</w:t>
      </w:r>
      <w:r w:rsidRPr="004A00F4">
        <w:rPr>
          <w:lang w:bidi="hu-HU"/>
        </w:rPr>
        <w:t>1 között voltak. A teikoplanin ugyanolyan sebességgel ürül ki a peritonális folyadékból, mint szérumból. A pleurális folyadékban és a bőr alatti zsírszövetben a szövet/szérum arány 0,2</w:t>
      </w:r>
      <w:r w:rsidR="00B00633">
        <w:rPr>
          <w:lang w:bidi="hu-HU"/>
        </w:rPr>
        <w:t>–</w:t>
      </w:r>
      <w:r w:rsidRPr="004A00F4">
        <w:rPr>
          <w:lang w:bidi="hu-HU"/>
        </w:rPr>
        <w:t>0,5 között van. A teikoplanin nem jut be gyorsan a liquorba.</w:t>
      </w:r>
    </w:p>
    <w:p w14:paraId="68365330" w14:textId="77777777" w:rsidR="00675C64" w:rsidRPr="004A00F4" w:rsidRDefault="00675C64" w:rsidP="004A00F4">
      <w:pPr>
        <w:pStyle w:val="Szvegtrzs"/>
        <w:contextualSpacing/>
        <w:rPr>
          <w:u w:val="single"/>
        </w:rPr>
      </w:pPr>
    </w:p>
    <w:p w14:paraId="1B472818" w14:textId="4A06213F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Biotranszformáció</w:t>
      </w:r>
    </w:p>
    <w:p w14:paraId="28B0DCB0" w14:textId="3EC80F53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plazmában és a vizeletben előforduló fő speciesz a változatlan formájú teikoplanin, ami minimális metabolizmusra utal. Feltételezhetően hidroxilációval két metabolit keletkezik, amelyek a beadott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2</w:t>
      </w:r>
      <w:r w:rsidR="00B00633">
        <w:rPr>
          <w:lang w:bidi="hu-HU"/>
        </w:rPr>
        <w:t>–</w:t>
      </w:r>
      <w:r w:rsidRPr="004A00F4">
        <w:rPr>
          <w:lang w:bidi="hu-HU"/>
        </w:rPr>
        <w:t>3%-át teszik ki.</w:t>
      </w:r>
    </w:p>
    <w:p w14:paraId="1C11277E" w14:textId="77777777" w:rsidR="00675C64" w:rsidRPr="004A00F4" w:rsidRDefault="00675C64" w:rsidP="004A00F4">
      <w:pPr>
        <w:pStyle w:val="Szvegtrzs"/>
        <w:contextualSpacing/>
        <w:rPr>
          <w:u w:val="single"/>
        </w:rPr>
      </w:pPr>
    </w:p>
    <w:p w14:paraId="240F1C90" w14:textId="59FEB922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Elimináció</w:t>
      </w:r>
    </w:p>
    <w:p w14:paraId="6B414091" w14:textId="1C00AF6F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 változatlan formában főként a vizelettel választódik ki (80% 16 napon belül), míg a beadott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2,7%-a a széklettel (az epével) választódik ki a beadást követő 8 napon belül.</w:t>
      </w:r>
    </w:p>
    <w:p w14:paraId="3E037C98" w14:textId="5DA99818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 eliminációs felezési ideje 100</w:t>
      </w:r>
      <w:r w:rsidR="00394763">
        <w:rPr>
          <w:lang w:bidi="hu-HU"/>
        </w:rPr>
        <w:t>–</w:t>
      </w:r>
      <w:r w:rsidRPr="004A00F4">
        <w:rPr>
          <w:lang w:bidi="hu-HU"/>
        </w:rPr>
        <w:t>170 óra között változik a legújabb vizsgálatok alapján, amelyek során 8</w:t>
      </w:r>
      <w:r w:rsidR="00B00633">
        <w:rPr>
          <w:lang w:bidi="hu-HU"/>
        </w:rPr>
        <w:t>–</w:t>
      </w:r>
      <w:r w:rsidRPr="004A00F4">
        <w:rPr>
          <w:lang w:bidi="hu-HU"/>
        </w:rPr>
        <w:t>35 napon keresztül vettek vérmintákat.</w:t>
      </w:r>
    </w:p>
    <w:p w14:paraId="06491FFB" w14:textId="08008648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 teljes clearance-e alacsony, 10</w:t>
      </w:r>
      <w:r w:rsidR="00B00633">
        <w:rPr>
          <w:lang w:bidi="hu-HU"/>
        </w:rPr>
        <w:t>–</w:t>
      </w:r>
      <w:r w:rsidRPr="004A00F4">
        <w:rPr>
          <w:lang w:bidi="hu-HU"/>
        </w:rPr>
        <w:t>14 ml/óra/ttkg és a renális clearance 8</w:t>
      </w:r>
      <w:r w:rsidR="00B00633">
        <w:rPr>
          <w:lang w:bidi="hu-HU"/>
        </w:rPr>
        <w:t>–</w:t>
      </w:r>
      <w:r w:rsidRPr="004A00F4">
        <w:rPr>
          <w:lang w:bidi="hu-HU"/>
        </w:rPr>
        <w:t>12 ml/óra/ttkg között van, ami arra utal, hogy a teikoplanin főként a vesén keresztül választódik ki.</w:t>
      </w:r>
    </w:p>
    <w:p w14:paraId="592B87DE" w14:textId="77777777" w:rsidR="007401AE" w:rsidRPr="004A00F4" w:rsidRDefault="007401AE" w:rsidP="004A00F4">
      <w:pPr>
        <w:pStyle w:val="Szvegtrzs"/>
        <w:contextualSpacing/>
        <w:rPr>
          <w:u w:val="single"/>
        </w:rPr>
      </w:pPr>
    </w:p>
    <w:p w14:paraId="3E5C9921" w14:textId="24AE98E0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lastRenderedPageBreak/>
        <w:t>Linearitás</w:t>
      </w:r>
    </w:p>
    <w:p w14:paraId="016B62A1" w14:textId="043FA9F4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 a 2–25 mg/ttkg dózistartományban lineáris farmakokinetikát mutat.</w:t>
      </w:r>
    </w:p>
    <w:p w14:paraId="4B10D01B" w14:textId="77777777" w:rsidR="007401AE" w:rsidRPr="004A00F4" w:rsidRDefault="007401AE" w:rsidP="004A00F4">
      <w:pPr>
        <w:pStyle w:val="Szvegtrzs"/>
        <w:contextualSpacing/>
        <w:rPr>
          <w:u w:val="single"/>
        </w:rPr>
      </w:pPr>
    </w:p>
    <w:p w14:paraId="0FB37396" w14:textId="278C43C6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Különleges betegcsoportok</w:t>
      </w:r>
    </w:p>
    <w:p w14:paraId="7C8E6D06" w14:textId="77777777" w:rsidR="007401AE" w:rsidRPr="004A00F4" w:rsidRDefault="007401AE" w:rsidP="004A00F4">
      <w:pPr>
        <w:pStyle w:val="Szvegtrzs"/>
        <w:contextualSpacing/>
        <w:rPr>
          <w:u w:val="single"/>
        </w:rPr>
      </w:pPr>
    </w:p>
    <w:p w14:paraId="4ECF501C" w14:textId="043BB6B9" w:rsidR="003D2CD9" w:rsidRPr="004A00F4" w:rsidRDefault="003D2CD9" w:rsidP="004A00F4">
      <w:pPr>
        <w:pStyle w:val="Szvegtrzs"/>
        <w:numPr>
          <w:ilvl w:val="0"/>
          <w:numId w:val="13"/>
        </w:numPr>
        <w:ind w:left="567" w:hanging="567"/>
        <w:contextualSpacing/>
      </w:pPr>
      <w:r w:rsidRPr="004A00F4">
        <w:rPr>
          <w:lang w:bidi="hu-HU"/>
        </w:rPr>
        <w:t>Vesekárosodás: Mivel a teikoplanin a vesén keresztül választódik ki, ezért kiválasztása a vesekárosodás fokának megfelelően csökken. A teikoplanin teljes és renális clearance-e a kreatinin-clearance-től függ.</w:t>
      </w:r>
    </w:p>
    <w:p w14:paraId="15C87D2E" w14:textId="15A7C33D" w:rsidR="003D2CD9" w:rsidRPr="004A00F4" w:rsidRDefault="003D2CD9" w:rsidP="004A00F4">
      <w:pPr>
        <w:pStyle w:val="Szvegtrzs"/>
        <w:numPr>
          <w:ilvl w:val="0"/>
          <w:numId w:val="13"/>
        </w:numPr>
        <w:ind w:left="567" w:hanging="567"/>
        <w:contextualSpacing/>
      </w:pPr>
      <w:r w:rsidRPr="004A00F4">
        <w:rPr>
          <w:lang w:bidi="hu-HU"/>
        </w:rPr>
        <w:t>Idősek: Időséknél a teikoplanin farmakokinetikája nem módosul, kivéve vesekárosodás esetén.</w:t>
      </w:r>
    </w:p>
    <w:p w14:paraId="4EDD373A" w14:textId="3A46CBC4" w:rsidR="003D2CD9" w:rsidRPr="004A00F4" w:rsidRDefault="003D2CD9" w:rsidP="004A00F4">
      <w:pPr>
        <w:pStyle w:val="Szvegtrzs"/>
        <w:numPr>
          <w:ilvl w:val="0"/>
          <w:numId w:val="13"/>
        </w:numPr>
        <w:ind w:left="567" w:hanging="567"/>
        <w:contextualSpacing/>
      </w:pPr>
      <w:r w:rsidRPr="004A00F4">
        <w:rPr>
          <w:lang w:bidi="hu-HU"/>
        </w:rPr>
        <w:t>Gyermekek és serdülők: A felnőttekhez képest nagyobb teljes clearance (15,8 ml/óra/ttkg újszülöttek és 14,8 ml/óra/ttkg 8 évesek esetén) és rövidebb eliminációs felezési idő (40 óra újszülöttek; 58 óra 8 évesek esetén) figyelhető meg.</w:t>
      </w:r>
    </w:p>
    <w:p w14:paraId="2C4D0C03" w14:textId="77777777" w:rsidR="001F7224" w:rsidRPr="004A00F4" w:rsidRDefault="001F7224" w:rsidP="004A00F4">
      <w:pPr>
        <w:pStyle w:val="Szvegtrzs"/>
        <w:contextualSpacing/>
      </w:pPr>
    </w:p>
    <w:p w14:paraId="22D29F1E" w14:textId="77777777" w:rsidR="001F7224" w:rsidRPr="004A00F4" w:rsidRDefault="00001F79" w:rsidP="004A00F4">
      <w:pPr>
        <w:pStyle w:val="Cmsor1"/>
        <w:numPr>
          <w:ilvl w:val="1"/>
          <w:numId w:val="1"/>
        </w:numPr>
        <w:spacing w:before="0"/>
        <w:ind w:left="567"/>
        <w:contextualSpacing/>
      </w:pPr>
      <w:r w:rsidRPr="004A00F4">
        <w:rPr>
          <w:lang w:bidi="hu-HU"/>
        </w:rPr>
        <w:t>A preklinikai biztonságossági vizsgálatok eredményei</w:t>
      </w:r>
    </w:p>
    <w:p w14:paraId="052EF514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26F3181E" w14:textId="0A9CCDD6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Patkányoknál és kutyáknál ismételt parenterális alkalmazást követően a vesére gyakorolt, dózisfüggő és reverzibilisnek bizonyult hatásokat figyeltek meg. Az ototoxicitás potenciális okának feltárására tengerimalacokon végzett vizsgálatok alapján lehetséges a cochlearis és vestibularis funkció enyhe károsodása morfológiai elváltozás nélkül.</w:t>
      </w:r>
    </w:p>
    <w:p w14:paraId="3725F613" w14:textId="77777777" w:rsidR="000A6143" w:rsidRPr="004A00F4" w:rsidRDefault="000A6143" w:rsidP="004A00F4">
      <w:pPr>
        <w:pStyle w:val="Szvegtrzs"/>
        <w:contextualSpacing/>
      </w:pPr>
    </w:p>
    <w:p w14:paraId="6AA1B007" w14:textId="669776C2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Patkányoknál akár napi 40 mg/ttkg teikoplanin subcutan adagolása nem befolyásolta a hímek és a nőstények termékenységét. </w:t>
      </w:r>
      <w:r w:rsidR="00394763">
        <w:rPr>
          <w:lang w:bidi="hu-HU"/>
        </w:rPr>
        <w:t>Embryofoetalis</w:t>
      </w:r>
      <w:r w:rsidR="00394763" w:rsidRPr="004A00F4">
        <w:rPr>
          <w:lang w:bidi="hu-HU"/>
        </w:rPr>
        <w:t xml:space="preserve"> </w:t>
      </w:r>
      <w:r w:rsidRPr="004A00F4">
        <w:rPr>
          <w:lang w:bidi="hu-HU"/>
        </w:rPr>
        <w:t xml:space="preserve">fejlődési vizsgálatokban nem figyeltek meg fejlődési rendellenességeket, patkányoknál akár napi 200 mg/ttkg teikoplanin subcutan adagolását követően, illetve nyulaknál akár napi 15 mg/ttkg teikoplanin intramuscularis adagolását követően sem. Patkányoknál azonban 100 mg/ttkg/nap és afölötti </w:t>
      </w:r>
      <w:r w:rsidR="00182CC9">
        <w:rPr>
          <w:lang w:bidi="hu-HU"/>
        </w:rPr>
        <w:t>dózis</w:t>
      </w:r>
      <w:r w:rsidRPr="004A00F4">
        <w:rPr>
          <w:lang w:bidi="hu-HU"/>
        </w:rPr>
        <w:t>ok estén megnövekedett a halva születések száma és 200 mg/ttkg/nap esetén a neonatális mortalitás. Erről a hatásról nem számoltak be napi 50 mg/ttkg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esetén. Egy patkányokon végzett peri- és posztnatális vizsgálat során kimutatták, hogy napi legfeljebb 40 mg/ttkg subcutan beadott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nem befolyásolja az F1 generáció tagjainak termékenységét, illetve az F2 generáció túlélését és fejlődését.</w:t>
      </w:r>
    </w:p>
    <w:p w14:paraId="093557FC" w14:textId="77777777" w:rsidR="000A6143" w:rsidRPr="004A00F4" w:rsidRDefault="000A6143" w:rsidP="004A00F4">
      <w:pPr>
        <w:pStyle w:val="Szvegtrzs"/>
        <w:contextualSpacing/>
      </w:pPr>
    </w:p>
    <w:p w14:paraId="093C540A" w14:textId="1DD12CF7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teikoplanin nem mutatott antigenitást (egereknél, tengerimalacoknál vagy nyulaknál), genotoxicitást, illetve nem okozott helyi irritációt.</w:t>
      </w:r>
    </w:p>
    <w:p w14:paraId="42061797" w14:textId="77777777" w:rsidR="00087241" w:rsidRPr="004A00F4" w:rsidRDefault="00087241" w:rsidP="004A00F4">
      <w:pPr>
        <w:pStyle w:val="Szvegtrzs"/>
        <w:contextualSpacing/>
      </w:pPr>
    </w:p>
    <w:p w14:paraId="2EE528F6" w14:textId="77777777" w:rsidR="001F7224" w:rsidRPr="004A00F4" w:rsidRDefault="001F7224" w:rsidP="004A00F4">
      <w:pPr>
        <w:pStyle w:val="Szvegtrzs"/>
        <w:contextualSpacing/>
      </w:pPr>
    </w:p>
    <w:p w14:paraId="286139D0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GYÓGYSZERÉSZETI JELLEMZŐK</w:t>
      </w:r>
    </w:p>
    <w:p w14:paraId="34F3AF3D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0396865D" w14:textId="77777777" w:rsidR="001F7224" w:rsidRPr="004A00F4" w:rsidRDefault="00001F79" w:rsidP="004A00F4">
      <w:pPr>
        <w:pStyle w:val="Listaszerbekezds"/>
        <w:numPr>
          <w:ilvl w:val="1"/>
          <w:numId w:val="3"/>
        </w:numPr>
        <w:ind w:left="567"/>
        <w:contextualSpacing/>
        <w:rPr>
          <w:b/>
        </w:rPr>
      </w:pPr>
      <w:r w:rsidRPr="004A00F4">
        <w:rPr>
          <w:b/>
          <w:lang w:bidi="hu-HU"/>
        </w:rPr>
        <w:t>Segédanyagok felsorolása</w:t>
      </w:r>
    </w:p>
    <w:p w14:paraId="40AD5109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7CB98FD8" w14:textId="77777777" w:rsidR="000A6143" w:rsidRPr="004A00F4" w:rsidRDefault="000A6143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Por oldatos injekcióhoz/infúzióhoz vagy belsőleges oldathoz</w:t>
      </w:r>
    </w:p>
    <w:p w14:paraId="75D05CD5" w14:textId="1DA5A712" w:rsidR="000A6143" w:rsidRPr="004A00F4" w:rsidRDefault="000632D2" w:rsidP="004A00F4">
      <w:pPr>
        <w:pStyle w:val="Szvegtrzs"/>
        <w:contextualSpacing/>
      </w:pPr>
      <w:r w:rsidRPr="004A00F4">
        <w:rPr>
          <w:lang w:bidi="hu-HU"/>
        </w:rPr>
        <w:t>nátrium-klorid</w:t>
      </w:r>
    </w:p>
    <w:p w14:paraId="558651E3" w14:textId="5E4E336A" w:rsidR="000A6143" w:rsidRPr="004A00F4" w:rsidRDefault="000632D2" w:rsidP="004A00F4">
      <w:pPr>
        <w:pStyle w:val="Szvegtrzs"/>
        <w:contextualSpacing/>
      </w:pPr>
      <w:r w:rsidRPr="004A00F4">
        <w:rPr>
          <w:lang w:bidi="hu-HU"/>
        </w:rPr>
        <w:t>nátrium-hidroxid (pH</w:t>
      </w:r>
      <w:r w:rsidR="008930F5">
        <w:rPr>
          <w:lang w:bidi="hu-HU"/>
        </w:rPr>
        <w:t>-</w:t>
      </w:r>
      <w:r w:rsidRPr="004A00F4">
        <w:rPr>
          <w:lang w:bidi="hu-HU"/>
        </w:rPr>
        <w:t>beállításhoz)</w:t>
      </w:r>
    </w:p>
    <w:p w14:paraId="40EB2280" w14:textId="77777777" w:rsidR="000A6143" w:rsidRPr="004A00F4" w:rsidRDefault="000A6143" w:rsidP="004A00F4">
      <w:pPr>
        <w:pStyle w:val="Szvegtrzs"/>
        <w:contextualSpacing/>
      </w:pPr>
    </w:p>
    <w:p w14:paraId="1D004AB5" w14:textId="15A6F3FE" w:rsidR="000A6143" w:rsidRPr="004A00F4" w:rsidRDefault="000A6143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Oldószer</w:t>
      </w:r>
    </w:p>
    <w:p w14:paraId="31E686A4" w14:textId="69D06253" w:rsidR="000A6143" w:rsidRPr="004A00F4" w:rsidRDefault="000632D2" w:rsidP="004A00F4">
      <w:pPr>
        <w:pStyle w:val="Szvegtrzs"/>
        <w:contextualSpacing/>
      </w:pPr>
      <w:r w:rsidRPr="004A00F4">
        <w:rPr>
          <w:lang w:bidi="hu-HU"/>
        </w:rPr>
        <w:t>injekcióhoz való víz</w:t>
      </w:r>
    </w:p>
    <w:p w14:paraId="0BE937C0" w14:textId="77777777" w:rsidR="001F7224" w:rsidRPr="004A00F4" w:rsidRDefault="001F7224" w:rsidP="004A00F4">
      <w:pPr>
        <w:pStyle w:val="Szvegtrzs"/>
        <w:contextualSpacing/>
      </w:pPr>
    </w:p>
    <w:p w14:paraId="0D0C65D8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Inkompatibilitások</w:t>
      </w:r>
    </w:p>
    <w:p w14:paraId="2FABBF93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72589DF0" w14:textId="00116A69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A teikoplanin és az aminoglikozidok közvetlen elegyítéskor inkompatibilisek, és az injekció beadása előtt tilos összekeverni őket.</w:t>
      </w:r>
    </w:p>
    <w:p w14:paraId="4CAFF5F9" w14:textId="77777777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Amennyiben a teikoplanint más antibiotikumokkal kombinációban alkalmazzák, akkor a készítményeket külön-külön kell beadni.</w:t>
      </w:r>
    </w:p>
    <w:p w14:paraId="0DE7D15F" w14:textId="77777777" w:rsidR="000A6143" w:rsidRPr="004A00F4" w:rsidRDefault="000A6143" w:rsidP="004A00F4">
      <w:pPr>
        <w:pStyle w:val="Szvegtrzs"/>
        <w:contextualSpacing/>
      </w:pPr>
    </w:p>
    <w:p w14:paraId="27C0DCF7" w14:textId="5AAF3096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Ez a gyógyszer kizárólag a 6.6 pontban felsorolt gyógyszerekkel keverhető.</w:t>
      </w:r>
    </w:p>
    <w:p w14:paraId="2F8F123E" w14:textId="77777777" w:rsidR="00087241" w:rsidRPr="004A00F4" w:rsidRDefault="00087241" w:rsidP="004A00F4">
      <w:pPr>
        <w:pStyle w:val="Szvegtrzs"/>
        <w:contextualSpacing/>
      </w:pPr>
    </w:p>
    <w:p w14:paraId="65E10133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Felhasználhatósági időtartam</w:t>
      </w:r>
    </w:p>
    <w:p w14:paraId="75076D96" w14:textId="3903FC8B" w:rsidR="000A6143" w:rsidRPr="004A00F4" w:rsidRDefault="000A6143" w:rsidP="004A00F4">
      <w:pPr>
        <w:pStyle w:val="Szvegtrzs"/>
        <w:contextualSpacing/>
      </w:pPr>
    </w:p>
    <w:p w14:paraId="3733D105" w14:textId="31644714" w:rsidR="000A6143" w:rsidRPr="004A00F4" w:rsidRDefault="00AE3CBB" w:rsidP="004A00F4">
      <w:pPr>
        <w:pStyle w:val="Szvegtrzs"/>
        <w:contextualSpacing/>
      </w:pPr>
      <w:r>
        <w:rPr>
          <w:lang w:bidi="hu-HU"/>
        </w:rPr>
        <w:t>3 év</w:t>
      </w:r>
    </w:p>
    <w:p w14:paraId="4AF43985" w14:textId="77777777" w:rsidR="00010827" w:rsidRPr="004A00F4" w:rsidRDefault="00010827" w:rsidP="004A00F4">
      <w:pPr>
        <w:pStyle w:val="Szvegtrzs"/>
        <w:contextualSpacing/>
        <w:rPr>
          <w:highlight w:val="yellow"/>
        </w:rPr>
      </w:pPr>
    </w:p>
    <w:p w14:paraId="625CCC00" w14:textId="6C5DCA05" w:rsidR="000A6143" w:rsidRPr="004A00F4" w:rsidRDefault="000A6143" w:rsidP="008930F5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 xml:space="preserve">Az elkészített oldat </w:t>
      </w:r>
      <w:r w:rsidR="00C54E80">
        <w:rPr>
          <w:u w:val="single"/>
          <w:lang w:bidi="hu-HU"/>
        </w:rPr>
        <w:t>felhasználhatósági időtartama</w:t>
      </w:r>
    </w:p>
    <w:p w14:paraId="008A1DFB" w14:textId="100A58CD" w:rsidR="008930F5" w:rsidRPr="0096340E" w:rsidRDefault="008930F5" w:rsidP="001C32A7">
      <w:pPr>
        <w:rPr>
          <w:rFonts w:eastAsia="TimesNewRoman"/>
          <w:szCs w:val="24"/>
        </w:rPr>
      </w:pPr>
      <w:r w:rsidRPr="0096340E">
        <w:rPr>
          <w:rFonts w:eastAsia="TimesNewRoman"/>
          <w:szCs w:val="24"/>
        </w:rPr>
        <w:t>Az útmutatások szerint elkészített oldat kémiai és fizikai stabilitás</w:t>
      </w:r>
      <w:r>
        <w:rPr>
          <w:rFonts w:eastAsia="TimesNewRoman"/>
          <w:szCs w:val="24"/>
        </w:rPr>
        <w:t>a</w:t>
      </w:r>
      <w:r w:rsidRPr="0096340E">
        <w:rPr>
          <w:rFonts w:eastAsia="TimesNewRoman"/>
          <w:szCs w:val="24"/>
        </w:rPr>
        <w:t xml:space="preserve"> 2–8</w:t>
      </w:r>
      <w:r>
        <w:rPr>
          <w:rFonts w:eastAsia="TimesNewRoman"/>
          <w:szCs w:val="24"/>
        </w:rPr>
        <w:t> </w:t>
      </w:r>
      <w:r w:rsidRPr="0096340E">
        <w:rPr>
          <w:rFonts w:eastAsia="TimesNewRoman"/>
          <w:szCs w:val="24"/>
        </w:rPr>
        <w:t>°C-on 24 órá</w:t>
      </w:r>
      <w:r>
        <w:rPr>
          <w:rFonts w:eastAsia="TimesNewRoman"/>
          <w:szCs w:val="24"/>
        </w:rPr>
        <w:t>n át igazolt</w:t>
      </w:r>
      <w:r w:rsidRPr="0096340E">
        <w:rPr>
          <w:rFonts w:eastAsia="TimesNewRoman"/>
          <w:szCs w:val="24"/>
        </w:rPr>
        <w:t>.</w:t>
      </w:r>
    </w:p>
    <w:p w14:paraId="4DACDC95" w14:textId="09549E98" w:rsidR="008930F5" w:rsidRPr="0096340E" w:rsidRDefault="008930F5" w:rsidP="001C32A7">
      <w:pPr>
        <w:rPr>
          <w:rFonts w:eastAsia="TimesNewRoman"/>
          <w:szCs w:val="24"/>
        </w:rPr>
      </w:pPr>
      <w:r w:rsidRPr="0096340E">
        <w:rPr>
          <w:rFonts w:eastAsia="TimesNewRoman"/>
          <w:szCs w:val="24"/>
        </w:rPr>
        <w:t xml:space="preserve">Mikrobiológiai </w:t>
      </w:r>
      <w:r>
        <w:rPr>
          <w:rFonts w:eastAsia="TimesNewRoman"/>
          <w:szCs w:val="24"/>
        </w:rPr>
        <w:t xml:space="preserve">szempontból az elkészített </w:t>
      </w:r>
      <w:r w:rsidRPr="0096340E">
        <w:t xml:space="preserve">oldatot </w:t>
      </w:r>
      <w:r w:rsidRPr="0096340E">
        <w:rPr>
          <w:rFonts w:eastAsia="TimesNewRoman"/>
          <w:szCs w:val="24"/>
        </w:rPr>
        <w:t xml:space="preserve">azonnal fel kell használni. Amennyiben nem használják fel azonnal, </w:t>
      </w:r>
      <w:r w:rsidRPr="0096340E">
        <w:t>a felhasználásig az eltartási idő és a tárolási körülmények a felhasználó felelőssége</w:t>
      </w:r>
      <w:r w:rsidRPr="0096340E">
        <w:rPr>
          <w:rFonts w:eastAsia="TimesNewRoman"/>
          <w:szCs w:val="24"/>
        </w:rPr>
        <w:t xml:space="preserve">, de </w:t>
      </w:r>
      <w:r>
        <w:rPr>
          <w:rFonts w:eastAsia="TimesNewRoman"/>
          <w:szCs w:val="24"/>
        </w:rPr>
        <w:t>n</w:t>
      </w:r>
      <w:r w:rsidRPr="0096340E">
        <w:rPr>
          <w:rFonts w:eastAsia="TimesNewRoman"/>
          <w:szCs w:val="24"/>
        </w:rPr>
        <w:t>em haladhatja meg a 24 órás 2–8</w:t>
      </w:r>
      <w:r>
        <w:rPr>
          <w:rFonts w:eastAsia="TimesNewRoman"/>
          <w:szCs w:val="24"/>
        </w:rPr>
        <w:t> </w:t>
      </w:r>
      <w:r w:rsidRPr="0096340E">
        <w:rPr>
          <w:rFonts w:eastAsia="TimesNewRoman"/>
          <w:szCs w:val="24"/>
        </w:rPr>
        <w:t>°C-on történő tárolást.</w:t>
      </w:r>
    </w:p>
    <w:p w14:paraId="7B971505" w14:textId="77777777" w:rsidR="008930F5" w:rsidRPr="00945EFC" w:rsidRDefault="008930F5" w:rsidP="001C32A7">
      <w:pPr>
        <w:rPr>
          <w:rFonts w:eastAsia="TimesNewRoman"/>
          <w:strike/>
          <w:szCs w:val="24"/>
        </w:rPr>
      </w:pPr>
    </w:p>
    <w:p w14:paraId="6E0E64C3" w14:textId="52508288" w:rsidR="008930F5" w:rsidRPr="0096340E" w:rsidRDefault="008930F5" w:rsidP="001C32A7">
      <w:pPr>
        <w:rPr>
          <w:rFonts w:eastAsia="TimesNewRoman"/>
          <w:szCs w:val="24"/>
          <w:u w:val="single"/>
        </w:rPr>
      </w:pPr>
      <w:r w:rsidRPr="0096340E">
        <w:rPr>
          <w:rFonts w:eastAsia="TimesNewRoman"/>
          <w:szCs w:val="24"/>
          <w:u w:val="single"/>
        </w:rPr>
        <w:t xml:space="preserve">A hígított </w:t>
      </w:r>
      <w:r>
        <w:rPr>
          <w:rFonts w:eastAsia="TimesNewRoman"/>
          <w:szCs w:val="24"/>
          <w:u w:val="single"/>
        </w:rPr>
        <w:t>oldat</w:t>
      </w:r>
      <w:r w:rsidRPr="0096340E">
        <w:rPr>
          <w:rFonts w:eastAsia="TimesNewRoman"/>
          <w:szCs w:val="24"/>
          <w:u w:val="single"/>
        </w:rPr>
        <w:t xml:space="preserve"> </w:t>
      </w:r>
      <w:r w:rsidR="00C54E80">
        <w:rPr>
          <w:u w:val="single"/>
          <w:lang w:bidi="hu-HU"/>
        </w:rPr>
        <w:t>felhasználhatósági időtartama</w:t>
      </w:r>
    </w:p>
    <w:p w14:paraId="393C8819" w14:textId="6AF31E01" w:rsidR="008930F5" w:rsidRPr="0096340E" w:rsidRDefault="008930F5" w:rsidP="001C32A7">
      <w:pPr>
        <w:rPr>
          <w:rFonts w:eastAsia="TimesNewRoman"/>
          <w:szCs w:val="24"/>
        </w:rPr>
      </w:pPr>
      <w:r w:rsidRPr="0096340E">
        <w:rPr>
          <w:rFonts w:eastAsia="TimesNewRoman"/>
          <w:szCs w:val="24"/>
        </w:rPr>
        <w:t xml:space="preserve">Az útmutatások szerint </w:t>
      </w:r>
      <w:r>
        <w:rPr>
          <w:rFonts w:eastAsia="TimesNewRoman"/>
          <w:szCs w:val="24"/>
        </w:rPr>
        <w:t>hígított</w:t>
      </w:r>
      <w:r w:rsidRPr="0096340E">
        <w:rPr>
          <w:rFonts w:eastAsia="TimesNewRoman"/>
          <w:szCs w:val="24"/>
        </w:rPr>
        <w:t xml:space="preserve"> oldat kémiai és fizikai stabilitás</w:t>
      </w:r>
      <w:r>
        <w:rPr>
          <w:rFonts w:eastAsia="TimesNewRoman"/>
          <w:szCs w:val="24"/>
        </w:rPr>
        <w:t>a</w:t>
      </w:r>
      <w:r w:rsidRPr="0096340E">
        <w:rPr>
          <w:rFonts w:eastAsia="TimesNewRoman"/>
          <w:szCs w:val="24"/>
        </w:rPr>
        <w:t xml:space="preserve"> 2–8</w:t>
      </w:r>
      <w:r>
        <w:rPr>
          <w:rFonts w:eastAsia="TimesNewRoman"/>
          <w:szCs w:val="24"/>
        </w:rPr>
        <w:t> </w:t>
      </w:r>
      <w:r w:rsidRPr="0096340E">
        <w:rPr>
          <w:rFonts w:eastAsia="TimesNewRoman"/>
          <w:szCs w:val="24"/>
        </w:rPr>
        <w:t>°C-on 24 órá</w:t>
      </w:r>
      <w:r>
        <w:rPr>
          <w:rFonts w:eastAsia="TimesNewRoman"/>
          <w:szCs w:val="24"/>
        </w:rPr>
        <w:t>n át igazolt</w:t>
      </w:r>
      <w:r w:rsidRPr="0096340E">
        <w:rPr>
          <w:rFonts w:eastAsia="TimesNewRoman"/>
          <w:szCs w:val="24"/>
        </w:rPr>
        <w:t>.</w:t>
      </w:r>
    </w:p>
    <w:p w14:paraId="623DF947" w14:textId="5AAE4842" w:rsidR="008930F5" w:rsidRPr="0096340E" w:rsidRDefault="008930F5" w:rsidP="001C32A7">
      <w:pPr>
        <w:rPr>
          <w:rFonts w:eastAsia="TimesNewRoman"/>
          <w:szCs w:val="24"/>
        </w:rPr>
      </w:pPr>
      <w:r>
        <w:rPr>
          <w:rFonts w:eastAsia="TimesNewRoman"/>
          <w:szCs w:val="24"/>
        </w:rPr>
        <w:t>Mikrobiológiai szempontból</w:t>
      </w:r>
      <w:r w:rsidRPr="0096340E">
        <w:rPr>
          <w:rFonts w:eastAsia="TimesNewRoman"/>
          <w:szCs w:val="24"/>
        </w:rPr>
        <w:t xml:space="preserve"> a </w:t>
      </w:r>
      <w:r>
        <w:rPr>
          <w:rFonts w:eastAsia="TimesNewRoman"/>
          <w:szCs w:val="24"/>
        </w:rPr>
        <w:t>hígított oldatot</w:t>
      </w:r>
      <w:r w:rsidRPr="0096340E">
        <w:rPr>
          <w:rFonts w:eastAsia="TimesNewRoman"/>
          <w:szCs w:val="24"/>
        </w:rPr>
        <w:t xml:space="preserve"> azonnal fel kell használni. Amennyiben </w:t>
      </w:r>
      <w:r>
        <w:rPr>
          <w:rFonts w:eastAsia="TimesNewRoman"/>
          <w:szCs w:val="24"/>
        </w:rPr>
        <w:t>nem</w:t>
      </w:r>
      <w:r w:rsidRPr="0096340E">
        <w:rPr>
          <w:rFonts w:eastAsia="TimesNewRoman"/>
          <w:szCs w:val="24"/>
        </w:rPr>
        <w:t xml:space="preserve"> használják fel azonnal, </w:t>
      </w:r>
      <w:r w:rsidRPr="0096340E">
        <w:t>a felhasználásig az eltartási idő és a tárolási körülmények a felhasználó felelőssége</w:t>
      </w:r>
      <w:r w:rsidRPr="0096340E">
        <w:rPr>
          <w:rFonts w:eastAsia="TimesNewRoman"/>
          <w:szCs w:val="24"/>
        </w:rPr>
        <w:t xml:space="preserve">, de </w:t>
      </w:r>
      <w:r>
        <w:rPr>
          <w:rFonts w:eastAsia="TimesNewRoman"/>
          <w:szCs w:val="24"/>
        </w:rPr>
        <w:t>n</w:t>
      </w:r>
      <w:r w:rsidRPr="0096340E">
        <w:rPr>
          <w:rFonts w:eastAsia="TimesNewRoman"/>
          <w:szCs w:val="24"/>
        </w:rPr>
        <w:t>em haladhatja meg a 24 órás 2–8</w:t>
      </w:r>
      <w:r>
        <w:rPr>
          <w:rFonts w:eastAsia="TimesNewRoman"/>
          <w:szCs w:val="24"/>
        </w:rPr>
        <w:t> </w:t>
      </w:r>
      <w:r w:rsidRPr="0096340E">
        <w:rPr>
          <w:rFonts w:eastAsia="TimesNewRoman"/>
          <w:szCs w:val="24"/>
        </w:rPr>
        <w:t>°C-on történő tárolást.</w:t>
      </w:r>
    </w:p>
    <w:p w14:paraId="4D6E73B8" w14:textId="77777777" w:rsidR="001F7224" w:rsidRPr="004A00F4" w:rsidRDefault="001F7224" w:rsidP="004A00F4">
      <w:pPr>
        <w:pStyle w:val="Szvegtrzs"/>
        <w:contextualSpacing/>
      </w:pPr>
    </w:p>
    <w:p w14:paraId="215A29B8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Különleges tárolási előírások</w:t>
      </w:r>
    </w:p>
    <w:p w14:paraId="1AFF4373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351BAB96" w14:textId="77777777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Ez a gyógyszer nem igényel különleges tárolást.</w:t>
      </w:r>
    </w:p>
    <w:p w14:paraId="1DF1F66F" w14:textId="77777777" w:rsidR="000A6143" w:rsidRPr="004A00F4" w:rsidRDefault="000A6143" w:rsidP="004A00F4">
      <w:pPr>
        <w:pStyle w:val="Szvegtrzs"/>
        <w:contextualSpacing/>
      </w:pPr>
    </w:p>
    <w:p w14:paraId="31CD8441" w14:textId="77777777" w:rsidR="00B00633" w:rsidRPr="00630338" w:rsidRDefault="00B00633" w:rsidP="00B00633">
      <w:pPr>
        <w:tabs>
          <w:tab w:val="left" w:pos="7088"/>
        </w:tabs>
      </w:pPr>
      <w:r w:rsidRPr="00630338">
        <w:t>A gyógyszer feloldás és hígítás utáni tárolására vonatkozó előírásokat lásd a 6.3 pontban.</w:t>
      </w:r>
    </w:p>
    <w:p w14:paraId="0BE84B0E" w14:textId="77777777" w:rsidR="001F7224" w:rsidRPr="004A00F4" w:rsidRDefault="001F7224" w:rsidP="004A00F4">
      <w:pPr>
        <w:pStyle w:val="Szvegtrzs"/>
        <w:contextualSpacing/>
      </w:pPr>
    </w:p>
    <w:p w14:paraId="6994057E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Csomagolás típusa és kiszerelése</w:t>
      </w:r>
    </w:p>
    <w:p w14:paraId="03847D8C" w14:textId="5B45404A" w:rsidR="000A6143" w:rsidRPr="004A00F4" w:rsidRDefault="000A6143" w:rsidP="004A00F4">
      <w:pPr>
        <w:pStyle w:val="Szvegtrzs"/>
        <w:contextualSpacing/>
      </w:pPr>
    </w:p>
    <w:p w14:paraId="32BAACE7" w14:textId="75E81314" w:rsidR="000A6143" w:rsidRPr="004A00F4" w:rsidRDefault="000A6143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Közvetlen csomagolás</w:t>
      </w:r>
    </w:p>
    <w:p w14:paraId="03CDC33C" w14:textId="77777777" w:rsidR="008930F5" w:rsidRDefault="008930F5" w:rsidP="004A00F4">
      <w:pPr>
        <w:pStyle w:val="Szvegtrzs"/>
        <w:contextualSpacing/>
        <w:rPr>
          <w:i/>
          <w:lang w:bidi="hu-HU"/>
        </w:rPr>
      </w:pPr>
    </w:p>
    <w:p w14:paraId="79FBF360" w14:textId="77777777" w:rsidR="008930F5" w:rsidRDefault="008930F5" w:rsidP="004A00F4">
      <w:pPr>
        <w:pStyle w:val="Szvegtrzs"/>
        <w:contextualSpacing/>
        <w:rPr>
          <w:i/>
          <w:lang w:bidi="hu-HU"/>
        </w:rPr>
      </w:pPr>
      <w:r w:rsidRPr="008930F5">
        <w:rPr>
          <w:i/>
          <w:lang w:bidi="hu-HU"/>
        </w:rPr>
        <w:t>Por oldatos injekcióhoz/infúzióhoz vagy belsőleges oldathoz</w:t>
      </w:r>
    </w:p>
    <w:p w14:paraId="5CC9F40D" w14:textId="36F8C0D6" w:rsidR="00F10155" w:rsidRPr="001C32A7" w:rsidRDefault="00A9547A" w:rsidP="004A00F4">
      <w:pPr>
        <w:pStyle w:val="Szvegtrzs"/>
        <w:contextualSpacing/>
        <w:rPr>
          <w:i/>
          <w:u w:val="single"/>
        </w:rPr>
      </w:pPr>
      <w:r w:rsidRPr="001C32A7">
        <w:rPr>
          <w:i/>
          <w:u w:val="single"/>
          <w:lang w:bidi="hu-HU"/>
        </w:rPr>
        <w:t>Teicoplanin Anfarm 200 mg por és oldószer oldatos injekcióhoz/infúzióhoz vagy belsőleges oldathoz</w:t>
      </w:r>
    </w:p>
    <w:p w14:paraId="79340F6D" w14:textId="62F6F97E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 xml:space="preserve">12 ml térfogatú, </w:t>
      </w:r>
      <w:r w:rsidR="008930F5" w:rsidRPr="00F97C43">
        <w:rPr>
          <w:rFonts w:eastAsia="TimesNewRoman"/>
          <w:szCs w:val="24"/>
        </w:rPr>
        <w:t>I-es típusú, színtelen injekciós üveg szürke</w:t>
      </w:r>
      <w:r w:rsidR="008930F5" w:rsidRPr="001C32A7">
        <w:rPr>
          <w:rFonts w:eastAsia="TimesNewRoman"/>
          <w:strike/>
        </w:rPr>
        <w:t xml:space="preserve"> </w:t>
      </w:r>
      <w:r w:rsidR="008930F5" w:rsidRPr="00F97C43">
        <w:rPr>
          <w:spacing w:val="-3"/>
          <w:szCs w:val="24"/>
        </w:rPr>
        <w:t>brómbutil gumidugóval és műanyag védőlappal ellátott alumínium kupakkal lezárva</w:t>
      </w:r>
      <w:r w:rsidRPr="004A00F4">
        <w:rPr>
          <w:lang w:bidi="hu-HU"/>
        </w:rPr>
        <w:t>.</w:t>
      </w:r>
    </w:p>
    <w:p w14:paraId="082B0B53" w14:textId="77777777" w:rsidR="00F10155" w:rsidRPr="004A00F4" w:rsidRDefault="00F10155" w:rsidP="004A00F4">
      <w:pPr>
        <w:pStyle w:val="Szvegtrzs"/>
        <w:contextualSpacing/>
      </w:pPr>
    </w:p>
    <w:p w14:paraId="147CF861" w14:textId="35B595AC" w:rsidR="00F10155" w:rsidRPr="001C32A7" w:rsidRDefault="00A9547A" w:rsidP="004A00F4">
      <w:pPr>
        <w:pStyle w:val="Szvegtrzs"/>
        <w:contextualSpacing/>
        <w:rPr>
          <w:i/>
          <w:u w:val="single"/>
        </w:rPr>
      </w:pPr>
      <w:r w:rsidRPr="001C32A7">
        <w:rPr>
          <w:i/>
          <w:u w:val="single"/>
          <w:lang w:bidi="hu-HU"/>
        </w:rPr>
        <w:t>Teicoplanin Anfarm 400 mg por és oldószer oldatos injekcióhoz/infúzióhoz vagy belsőleges oldathoz</w:t>
      </w:r>
    </w:p>
    <w:p w14:paraId="023C2B20" w14:textId="7C17A99C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 xml:space="preserve">20 ml térfogatú, </w:t>
      </w:r>
      <w:r w:rsidR="008930F5" w:rsidRPr="00F97C43">
        <w:rPr>
          <w:rFonts w:eastAsia="TimesNewRoman"/>
          <w:szCs w:val="24"/>
        </w:rPr>
        <w:t>I-es típusú, színtelen injekciós üveg szürke</w:t>
      </w:r>
      <w:r w:rsidR="008930F5" w:rsidRPr="00E426AB">
        <w:rPr>
          <w:rFonts w:eastAsia="TimesNewRoman"/>
          <w:strike/>
        </w:rPr>
        <w:t xml:space="preserve"> </w:t>
      </w:r>
      <w:r w:rsidR="008930F5" w:rsidRPr="00F97C43">
        <w:rPr>
          <w:spacing w:val="-3"/>
          <w:szCs w:val="24"/>
        </w:rPr>
        <w:t>brómbutil gumidugóval és műanyag védőlappal ellátott alumínium kupakkal lezárva</w:t>
      </w:r>
      <w:r w:rsidRPr="004A00F4">
        <w:rPr>
          <w:lang w:bidi="hu-HU"/>
        </w:rPr>
        <w:t>.</w:t>
      </w:r>
    </w:p>
    <w:p w14:paraId="3C2C2A3D" w14:textId="77777777" w:rsidR="000A6143" w:rsidRPr="004A00F4" w:rsidRDefault="000A6143" w:rsidP="004A00F4">
      <w:pPr>
        <w:pStyle w:val="Szvegtrzs"/>
        <w:contextualSpacing/>
      </w:pPr>
    </w:p>
    <w:p w14:paraId="4358444A" w14:textId="5BA6FD1A" w:rsidR="008930F5" w:rsidRPr="001C32A7" w:rsidRDefault="008930F5" w:rsidP="004A00F4">
      <w:pPr>
        <w:pStyle w:val="Szvegtrzs"/>
        <w:contextualSpacing/>
        <w:rPr>
          <w:i/>
          <w:lang w:bidi="hu-HU"/>
        </w:rPr>
      </w:pPr>
      <w:r w:rsidRPr="001C32A7">
        <w:rPr>
          <w:i/>
          <w:lang w:bidi="hu-HU"/>
        </w:rPr>
        <w:t>Oldószer</w:t>
      </w:r>
    </w:p>
    <w:p w14:paraId="5D40BFCF" w14:textId="4C55ABB5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Injekcióhoz való víz I-es típusú</w:t>
      </w:r>
      <w:r w:rsidR="008930F5">
        <w:rPr>
          <w:lang w:bidi="hu-HU"/>
        </w:rPr>
        <w:t>,</w:t>
      </w:r>
      <w:r w:rsidRPr="004A00F4">
        <w:rPr>
          <w:lang w:bidi="hu-HU"/>
        </w:rPr>
        <w:t xml:space="preserve"> színtelen üvegampullában.</w:t>
      </w:r>
    </w:p>
    <w:p w14:paraId="66BD798B" w14:textId="77777777" w:rsidR="000A6143" w:rsidRPr="004A00F4" w:rsidRDefault="000A6143" w:rsidP="004A00F4">
      <w:pPr>
        <w:pStyle w:val="Szvegtrzs"/>
        <w:contextualSpacing/>
      </w:pPr>
    </w:p>
    <w:p w14:paraId="180B4D48" w14:textId="32D2BBE9" w:rsidR="000A6143" w:rsidRPr="001C32A7" w:rsidRDefault="000A6143" w:rsidP="004A00F4">
      <w:pPr>
        <w:pStyle w:val="Szvegtrzs"/>
        <w:contextualSpacing/>
        <w:rPr>
          <w:u w:val="single"/>
        </w:rPr>
      </w:pPr>
      <w:r w:rsidRPr="001C32A7">
        <w:rPr>
          <w:u w:val="single"/>
          <w:lang w:bidi="hu-HU"/>
        </w:rPr>
        <w:t>Kiszerelés</w:t>
      </w:r>
      <w:r w:rsidR="00EE299A">
        <w:rPr>
          <w:u w:val="single"/>
          <w:lang w:bidi="hu-HU"/>
        </w:rPr>
        <w:t>ek</w:t>
      </w:r>
    </w:p>
    <w:p w14:paraId="04A077E9" w14:textId="77777777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1 db, port tartalmazó injekciós üveg és 1 db, oldószert tartalmazó ampulla</w:t>
      </w:r>
    </w:p>
    <w:p w14:paraId="1B24D454" w14:textId="10F90609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5 db, port tartalmazó injekciós üveg és 5 db, oldószert tartalmazó ampulla</w:t>
      </w:r>
    </w:p>
    <w:p w14:paraId="6EF25435" w14:textId="2D0DB6E7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10 db, port tartalmazó injekciós üveg és 10 db, oldószert tartalmazó ampulla</w:t>
      </w:r>
    </w:p>
    <w:p w14:paraId="56F86CCF" w14:textId="77777777" w:rsidR="000A6143" w:rsidRPr="004A00F4" w:rsidRDefault="000A6143" w:rsidP="004A00F4">
      <w:pPr>
        <w:pStyle w:val="Szvegtrzs"/>
        <w:contextualSpacing/>
      </w:pPr>
    </w:p>
    <w:p w14:paraId="4D33E782" w14:textId="137337BD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Nem feltétlenül mindegyik kiszerelés kerül kereskedelmi forgalomba.</w:t>
      </w:r>
    </w:p>
    <w:p w14:paraId="576D3DE5" w14:textId="77777777" w:rsidR="001F7224" w:rsidRPr="004A00F4" w:rsidRDefault="001F7224" w:rsidP="004A00F4">
      <w:pPr>
        <w:pStyle w:val="Szvegtrzs"/>
        <w:contextualSpacing/>
      </w:pPr>
    </w:p>
    <w:p w14:paraId="14EC5CCD" w14:textId="0A1DDA30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megsemmisítésre vonatkozó különleges óvintézkedések és egyéb, a készítmény kezelésével kapcsolatos információk</w:t>
      </w:r>
    </w:p>
    <w:p w14:paraId="4AB0D972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7CD9FB02" w14:textId="77777777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Ez a gyógyszer kizárólag egyszeri alkalmazásra szolgál.</w:t>
      </w:r>
    </w:p>
    <w:p w14:paraId="517F75E5" w14:textId="77777777" w:rsidR="000A6143" w:rsidRPr="004A00F4" w:rsidRDefault="000A6143" w:rsidP="004A00F4">
      <w:pPr>
        <w:pStyle w:val="Szvegtrzs"/>
        <w:contextualSpacing/>
      </w:pPr>
    </w:p>
    <w:p w14:paraId="21DAC5A8" w14:textId="022E9191" w:rsidR="000A6143" w:rsidRPr="004A00F4" w:rsidRDefault="000A6143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Az oldat elkészítése</w:t>
      </w:r>
    </w:p>
    <w:p w14:paraId="29D47AB3" w14:textId="626DD548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 xml:space="preserve">Az oldat </w:t>
      </w:r>
      <w:r w:rsidR="00EE299A">
        <w:rPr>
          <w:lang w:bidi="hu-HU"/>
        </w:rPr>
        <w:t>elkészítéséhez</w:t>
      </w:r>
      <w:r w:rsidR="00EE299A" w:rsidRPr="004A00F4">
        <w:rPr>
          <w:lang w:bidi="hu-HU"/>
        </w:rPr>
        <w:t xml:space="preserve"> </w:t>
      </w:r>
      <w:r w:rsidRPr="004A00F4">
        <w:rPr>
          <w:lang w:bidi="hu-HU"/>
        </w:rPr>
        <w:t>az oldószer</w:t>
      </w:r>
      <w:r w:rsidR="00EE299A">
        <w:rPr>
          <w:lang w:bidi="hu-HU"/>
        </w:rPr>
        <w:t>t tartalmazó</w:t>
      </w:r>
      <w:r w:rsidRPr="004A00F4">
        <w:rPr>
          <w:lang w:bidi="hu-HU"/>
        </w:rPr>
        <w:t xml:space="preserve"> ampullából az injekcióhoz való víz teljes tartalmát </w:t>
      </w:r>
      <w:r w:rsidR="00EE299A">
        <w:rPr>
          <w:lang w:bidi="hu-HU"/>
        </w:rPr>
        <w:t xml:space="preserve">be kell fecskendezni </w:t>
      </w:r>
      <w:r w:rsidRPr="004A00F4">
        <w:rPr>
          <w:lang w:bidi="hu-HU"/>
        </w:rPr>
        <w:t>a port tartalmazó injekciós üveg</w:t>
      </w:r>
      <w:r w:rsidR="00EE299A">
        <w:rPr>
          <w:lang w:bidi="hu-HU"/>
        </w:rPr>
        <w:t>be</w:t>
      </w:r>
      <w:r w:rsidRPr="004A00F4">
        <w:rPr>
          <w:lang w:bidi="hu-HU"/>
        </w:rPr>
        <w:t xml:space="preserve">. A vizet lassan </w:t>
      </w:r>
      <w:r w:rsidR="00EE299A">
        <w:rPr>
          <w:lang w:bidi="hu-HU"/>
        </w:rPr>
        <w:t>kell adagolni</w:t>
      </w:r>
      <w:r w:rsidR="00EE299A" w:rsidRPr="004A00F4">
        <w:rPr>
          <w:lang w:bidi="hu-HU"/>
        </w:rPr>
        <w:t xml:space="preserve"> </w:t>
      </w:r>
      <w:r w:rsidRPr="004A00F4">
        <w:rPr>
          <w:lang w:bidi="hu-HU"/>
        </w:rPr>
        <w:t>az injekciós üvegbe, amelyet a habzás elkerülése érdekében addig kell forgatni, amíg az összes por fel nem oldódik. Ha az oldat habos lesz, akkor</w:t>
      </w:r>
      <w:r w:rsidR="00EE299A">
        <w:rPr>
          <w:lang w:bidi="hu-HU"/>
        </w:rPr>
        <w:t xml:space="preserve"> a habzás megszüntetése érdekében</w:t>
      </w:r>
      <w:r w:rsidRPr="004A00F4">
        <w:rPr>
          <w:lang w:bidi="hu-HU"/>
        </w:rPr>
        <w:t xml:space="preserve"> körülbelül 15 percig állni kell hagyni. Csak tiszta oldat használható fel. Az oldat színe sárgástól sötétsárgáig terjedhet.</w:t>
      </w:r>
    </w:p>
    <w:p w14:paraId="5EF1B16D" w14:textId="77777777" w:rsidR="000A6143" w:rsidRPr="004A00F4" w:rsidRDefault="000A6143" w:rsidP="004A00F4">
      <w:pPr>
        <w:pStyle w:val="Szvegtrzs"/>
        <w:contextualSpacing/>
      </w:pPr>
    </w:p>
    <w:tbl>
      <w:tblPr>
        <w:tblStyle w:val="Rcsostblzat"/>
        <w:tblW w:w="0" w:type="auto"/>
        <w:tblInd w:w="250" w:type="dxa"/>
        <w:tblLook w:val="04A0" w:firstRow="1" w:lastRow="0" w:firstColumn="1" w:lastColumn="0" w:noHBand="0" w:noVBand="1"/>
      </w:tblPr>
      <w:tblGrid>
        <w:gridCol w:w="2120"/>
        <w:gridCol w:w="2308"/>
        <w:gridCol w:w="2308"/>
      </w:tblGrid>
      <w:tr w:rsidR="000A6143" w:rsidRPr="004A00F4" w14:paraId="144AA911" w14:textId="77777777" w:rsidTr="004D0AEC">
        <w:tc>
          <w:tcPr>
            <w:tcW w:w="2120" w:type="dxa"/>
          </w:tcPr>
          <w:p w14:paraId="79307A69" w14:textId="77777777" w:rsidR="000A6143" w:rsidRPr="004A00F4" w:rsidRDefault="000A6143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Az injekciós üveg névleges teikoplanin-tartalma</w:t>
            </w:r>
          </w:p>
        </w:tc>
        <w:tc>
          <w:tcPr>
            <w:tcW w:w="2308" w:type="dxa"/>
          </w:tcPr>
          <w:p w14:paraId="2EE7C5D7" w14:textId="77777777" w:rsidR="000A6143" w:rsidRPr="004A00F4" w:rsidRDefault="000A6143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200 mg</w:t>
            </w:r>
          </w:p>
        </w:tc>
        <w:tc>
          <w:tcPr>
            <w:tcW w:w="2308" w:type="dxa"/>
          </w:tcPr>
          <w:p w14:paraId="0C9D9430" w14:textId="77777777" w:rsidR="000A6143" w:rsidRPr="004A00F4" w:rsidRDefault="000A6143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400 mg</w:t>
            </w:r>
          </w:p>
        </w:tc>
      </w:tr>
      <w:tr w:rsidR="000A6143" w:rsidRPr="004A00F4" w14:paraId="445EB373" w14:textId="77777777" w:rsidTr="004D0AEC">
        <w:tc>
          <w:tcPr>
            <w:tcW w:w="2120" w:type="dxa"/>
          </w:tcPr>
          <w:p w14:paraId="0F44AA6D" w14:textId="77777777" w:rsidR="000A6143" w:rsidRPr="00EB45C0" w:rsidRDefault="000A6143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lastRenderedPageBreak/>
              <w:t>A port tartalmazó injekciós üveg térfogata</w:t>
            </w:r>
          </w:p>
        </w:tc>
        <w:tc>
          <w:tcPr>
            <w:tcW w:w="2308" w:type="dxa"/>
          </w:tcPr>
          <w:p w14:paraId="470FF893" w14:textId="004C0559" w:rsidR="000A6143" w:rsidRPr="004A00F4" w:rsidRDefault="002B12F6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12 ml</w:t>
            </w:r>
          </w:p>
        </w:tc>
        <w:tc>
          <w:tcPr>
            <w:tcW w:w="2308" w:type="dxa"/>
          </w:tcPr>
          <w:p w14:paraId="4AC00A79" w14:textId="36FA457C" w:rsidR="000A6143" w:rsidRPr="004A00F4" w:rsidRDefault="002B12F6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20 ml</w:t>
            </w:r>
          </w:p>
        </w:tc>
      </w:tr>
      <w:tr w:rsidR="000A6143" w:rsidRPr="004A00F4" w14:paraId="1324A09E" w14:textId="77777777" w:rsidTr="004D0AEC">
        <w:tc>
          <w:tcPr>
            <w:tcW w:w="2120" w:type="dxa"/>
          </w:tcPr>
          <w:p w14:paraId="38522848" w14:textId="437352FD" w:rsidR="000A6143" w:rsidRPr="00EB45C0" w:rsidRDefault="000A6143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A névleges teikoplanin-</w:t>
            </w:r>
            <w:r w:rsidR="00182CC9">
              <w:rPr>
                <w:lang w:val="hu-HU" w:bidi="hu-HU"/>
              </w:rPr>
              <w:t>dózist</w:t>
            </w:r>
            <w:r w:rsidRPr="004A00F4">
              <w:rPr>
                <w:lang w:val="hu-HU" w:bidi="hu-HU"/>
              </w:rPr>
              <w:t xml:space="preserve"> tartalmazó térfogat (5 ml</w:t>
            </w:r>
            <w:r w:rsidR="00EE299A"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es fecskendővel és 23 G méretű tűvel felszívva)</w:t>
            </w:r>
          </w:p>
        </w:tc>
        <w:tc>
          <w:tcPr>
            <w:tcW w:w="2308" w:type="dxa"/>
          </w:tcPr>
          <w:p w14:paraId="2DF61C72" w14:textId="77777777" w:rsidR="000A6143" w:rsidRPr="004A00F4" w:rsidRDefault="000A6143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3,0 ml</w:t>
            </w:r>
          </w:p>
        </w:tc>
        <w:tc>
          <w:tcPr>
            <w:tcW w:w="2308" w:type="dxa"/>
          </w:tcPr>
          <w:p w14:paraId="55AE19E7" w14:textId="77777777" w:rsidR="000A6143" w:rsidRPr="004A00F4" w:rsidRDefault="000A6143" w:rsidP="004A00F4">
            <w:pPr>
              <w:pStyle w:val="Szvegtrzs"/>
              <w:contextualSpacing/>
            </w:pPr>
            <w:r w:rsidRPr="004A00F4">
              <w:rPr>
                <w:lang w:val="hu-HU" w:bidi="hu-HU"/>
              </w:rPr>
              <w:t>3,0 ml</w:t>
            </w:r>
          </w:p>
        </w:tc>
      </w:tr>
    </w:tbl>
    <w:p w14:paraId="7F327DE0" w14:textId="77777777" w:rsidR="000A6143" w:rsidRPr="004A00F4" w:rsidRDefault="000A6143" w:rsidP="004A00F4">
      <w:pPr>
        <w:pStyle w:val="Szvegtrzs"/>
        <w:contextualSpacing/>
      </w:pPr>
    </w:p>
    <w:p w14:paraId="4F13E838" w14:textId="0C9BC3A6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Az elkészített oldatot közvetlenül is be lehet adni, vagy tovább lehet hígítani, illetve szájon át is be lehet adni.</w:t>
      </w:r>
    </w:p>
    <w:p w14:paraId="49C09146" w14:textId="77777777" w:rsidR="000A6143" w:rsidRPr="004A00F4" w:rsidRDefault="000A6143" w:rsidP="004A00F4">
      <w:pPr>
        <w:pStyle w:val="Szvegtrzs"/>
        <w:contextualSpacing/>
      </w:pPr>
    </w:p>
    <w:p w14:paraId="7B91F79A" w14:textId="77777777" w:rsidR="000A6143" w:rsidRPr="004A00F4" w:rsidRDefault="000A6143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 hígított oldat elkészítése infúzióban való beadáshoz:</w:t>
      </w:r>
    </w:p>
    <w:p w14:paraId="29D4D299" w14:textId="161EB2E0" w:rsidR="000A6143" w:rsidRPr="004A00F4" w:rsidRDefault="00A9547A" w:rsidP="004A00F4">
      <w:pPr>
        <w:pStyle w:val="Szvegtrzs"/>
        <w:contextualSpacing/>
      </w:pPr>
      <w:r w:rsidRPr="004A00F4">
        <w:rPr>
          <w:lang w:bidi="hu-HU"/>
        </w:rPr>
        <w:t>A Teicoplanin Anfarm az alábbi infúziós oldatokban adható be:</w:t>
      </w:r>
    </w:p>
    <w:p w14:paraId="6DF8FB7C" w14:textId="77777777" w:rsidR="00B90234" w:rsidRPr="004A00F4" w:rsidRDefault="00B90234" w:rsidP="004A00F4">
      <w:pPr>
        <w:pStyle w:val="Szvegtrzs"/>
        <w:contextualSpacing/>
      </w:pPr>
    </w:p>
    <w:p w14:paraId="649FF09A" w14:textId="4D9774DA" w:rsidR="000A6143" w:rsidRPr="004A00F4" w:rsidRDefault="000A6143" w:rsidP="004A00F4">
      <w:pPr>
        <w:pStyle w:val="Szvegtrzs"/>
        <w:numPr>
          <w:ilvl w:val="0"/>
          <w:numId w:val="15"/>
        </w:numPr>
        <w:ind w:left="567" w:hanging="567"/>
        <w:contextualSpacing/>
      </w:pPr>
      <w:r w:rsidRPr="004A00F4">
        <w:rPr>
          <w:lang w:bidi="hu-HU"/>
        </w:rPr>
        <w:t>9 mg/ml-es (0,9%-os) nátrium-klorid oldat</w:t>
      </w:r>
      <w:r w:rsidR="00EE299A">
        <w:rPr>
          <w:lang w:bidi="hu-HU"/>
        </w:rPr>
        <w:t>;</w:t>
      </w:r>
    </w:p>
    <w:p w14:paraId="66DE268D" w14:textId="3A439E89" w:rsidR="000A6143" w:rsidRPr="004A00F4" w:rsidRDefault="000A6143" w:rsidP="004A00F4">
      <w:pPr>
        <w:pStyle w:val="Szvegtrzs"/>
        <w:numPr>
          <w:ilvl w:val="0"/>
          <w:numId w:val="15"/>
        </w:numPr>
        <w:ind w:left="567" w:hanging="567"/>
        <w:contextualSpacing/>
      </w:pPr>
      <w:r w:rsidRPr="004A00F4">
        <w:rPr>
          <w:lang w:bidi="hu-HU"/>
        </w:rPr>
        <w:t>Ringer</w:t>
      </w:r>
      <w:r w:rsidR="00B00633">
        <w:rPr>
          <w:lang w:bidi="hu-HU"/>
        </w:rPr>
        <w:t>-</w:t>
      </w:r>
      <w:r w:rsidRPr="004A00F4">
        <w:rPr>
          <w:lang w:bidi="hu-HU"/>
        </w:rPr>
        <w:t>oldat</w:t>
      </w:r>
      <w:r w:rsidR="00EE299A">
        <w:rPr>
          <w:lang w:bidi="hu-HU"/>
        </w:rPr>
        <w:t>;</w:t>
      </w:r>
    </w:p>
    <w:p w14:paraId="7379CA8F" w14:textId="49FB7616" w:rsidR="000A6143" w:rsidRPr="004A00F4" w:rsidRDefault="000A6143" w:rsidP="004A00F4">
      <w:pPr>
        <w:pStyle w:val="Szvegtrzs"/>
        <w:numPr>
          <w:ilvl w:val="0"/>
          <w:numId w:val="15"/>
        </w:numPr>
        <w:ind w:left="567" w:hanging="567"/>
        <w:contextualSpacing/>
      </w:pPr>
      <w:r w:rsidRPr="004A00F4">
        <w:rPr>
          <w:lang w:bidi="hu-HU"/>
        </w:rPr>
        <w:t>Ringer-laktát oldat</w:t>
      </w:r>
      <w:r w:rsidR="00EE299A">
        <w:rPr>
          <w:lang w:bidi="hu-HU"/>
        </w:rPr>
        <w:t>;</w:t>
      </w:r>
    </w:p>
    <w:p w14:paraId="27B90626" w14:textId="4F25B374" w:rsidR="000A05ED" w:rsidRPr="004A00F4" w:rsidRDefault="000A05ED" w:rsidP="004A00F4">
      <w:pPr>
        <w:pStyle w:val="Szvegtrzs"/>
        <w:numPr>
          <w:ilvl w:val="0"/>
          <w:numId w:val="15"/>
        </w:numPr>
        <w:ind w:left="567" w:hanging="567"/>
        <w:contextualSpacing/>
      </w:pPr>
      <w:r w:rsidRPr="004A00F4">
        <w:rPr>
          <w:lang w:bidi="hu-HU"/>
        </w:rPr>
        <w:t>50 mg/ml</w:t>
      </w:r>
      <w:r w:rsidR="00B00633">
        <w:rPr>
          <w:lang w:bidi="hu-HU"/>
        </w:rPr>
        <w:t>-es</w:t>
      </w:r>
      <w:r w:rsidRPr="004A00F4">
        <w:rPr>
          <w:lang w:bidi="hu-HU"/>
        </w:rPr>
        <w:t xml:space="preserve"> (5%-os) glükóz</w:t>
      </w:r>
      <w:r w:rsidR="00B00633">
        <w:rPr>
          <w:lang w:bidi="hu-HU"/>
        </w:rPr>
        <w:t>-</w:t>
      </w:r>
      <w:r w:rsidRPr="004A00F4">
        <w:rPr>
          <w:lang w:bidi="hu-HU"/>
        </w:rPr>
        <w:t>oldat</w:t>
      </w:r>
      <w:r w:rsidR="00EE299A">
        <w:rPr>
          <w:lang w:bidi="hu-HU"/>
        </w:rPr>
        <w:t>;</w:t>
      </w:r>
    </w:p>
    <w:p w14:paraId="002D966E" w14:textId="74624021" w:rsidR="000A05ED" w:rsidRPr="004A00F4" w:rsidRDefault="000A05ED" w:rsidP="004A00F4">
      <w:pPr>
        <w:pStyle w:val="Szvegtrzs"/>
        <w:numPr>
          <w:ilvl w:val="0"/>
          <w:numId w:val="15"/>
        </w:numPr>
        <w:ind w:left="567" w:hanging="567"/>
        <w:contextualSpacing/>
      </w:pPr>
      <w:r w:rsidRPr="004A00F4">
        <w:rPr>
          <w:lang w:bidi="hu-HU"/>
        </w:rPr>
        <w:t>100 mg/ml</w:t>
      </w:r>
      <w:r w:rsidR="00B00633">
        <w:rPr>
          <w:lang w:bidi="hu-HU"/>
        </w:rPr>
        <w:t>-es</w:t>
      </w:r>
      <w:r w:rsidRPr="004A00F4">
        <w:rPr>
          <w:lang w:bidi="hu-HU"/>
        </w:rPr>
        <w:t xml:space="preserve"> (10%-os) glükóz</w:t>
      </w:r>
      <w:r w:rsidR="00B00633">
        <w:rPr>
          <w:lang w:bidi="hu-HU"/>
        </w:rPr>
        <w:t>-</w:t>
      </w:r>
      <w:r w:rsidRPr="004A00F4">
        <w:rPr>
          <w:lang w:bidi="hu-HU"/>
        </w:rPr>
        <w:t>oldat</w:t>
      </w:r>
      <w:r w:rsidR="00EE299A">
        <w:rPr>
          <w:lang w:bidi="hu-HU"/>
        </w:rPr>
        <w:t>;</w:t>
      </w:r>
    </w:p>
    <w:p w14:paraId="6FF0BD65" w14:textId="78432DC4" w:rsidR="000A05ED" w:rsidRPr="004A00F4" w:rsidRDefault="002A03C0" w:rsidP="004A00F4">
      <w:pPr>
        <w:pStyle w:val="Szvegtrzs"/>
        <w:numPr>
          <w:ilvl w:val="0"/>
          <w:numId w:val="15"/>
        </w:numPr>
        <w:ind w:left="567" w:hanging="567"/>
        <w:contextualSpacing/>
      </w:pPr>
      <w:r w:rsidRPr="004A00F4">
        <w:rPr>
          <w:lang w:bidi="hu-HU"/>
        </w:rPr>
        <w:t>1,8 mg/ml (0,18%) nátrium-klorid</w:t>
      </w:r>
      <w:r w:rsidR="00B00633">
        <w:rPr>
          <w:lang w:bidi="hu-HU"/>
        </w:rPr>
        <w:t>ot</w:t>
      </w:r>
      <w:r w:rsidRPr="004A00F4">
        <w:rPr>
          <w:lang w:bidi="hu-HU"/>
        </w:rPr>
        <w:t xml:space="preserve"> és 40 mg/ml (4%) </w:t>
      </w:r>
      <w:r w:rsidR="00B00633" w:rsidRPr="004A00F4">
        <w:rPr>
          <w:lang w:bidi="hu-HU"/>
        </w:rPr>
        <w:t>glükóz</w:t>
      </w:r>
      <w:r w:rsidR="00B00633">
        <w:rPr>
          <w:lang w:bidi="hu-HU"/>
        </w:rPr>
        <w:t>t tartalmazó</w:t>
      </w:r>
      <w:r w:rsidR="00B00633" w:rsidRPr="004A00F4" w:rsidDel="00B00633">
        <w:rPr>
          <w:lang w:bidi="hu-HU"/>
        </w:rPr>
        <w:t xml:space="preserve"> </w:t>
      </w:r>
      <w:r w:rsidRPr="004A00F4">
        <w:rPr>
          <w:lang w:bidi="hu-HU"/>
        </w:rPr>
        <w:t>oldat</w:t>
      </w:r>
      <w:r w:rsidR="00EE299A">
        <w:rPr>
          <w:lang w:bidi="hu-HU"/>
        </w:rPr>
        <w:t>;</w:t>
      </w:r>
    </w:p>
    <w:p w14:paraId="019EB7D2" w14:textId="5F891F74" w:rsidR="000A05ED" w:rsidRPr="004A00F4" w:rsidRDefault="002A03C0" w:rsidP="004A00F4">
      <w:pPr>
        <w:pStyle w:val="Szvegtrzs"/>
        <w:numPr>
          <w:ilvl w:val="0"/>
          <w:numId w:val="15"/>
        </w:numPr>
        <w:ind w:left="567" w:hanging="567"/>
        <w:contextualSpacing/>
      </w:pPr>
      <w:r w:rsidRPr="004A00F4">
        <w:rPr>
          <w:lang w:bidi="hu-HU"/>
        </w:rPr>
        <w:t>4,5 mg/ml (0,45%) nátrium-klorid</w:t>
      </w:r>
      <w:r w:rsidR="00B00633">
        <w:rPr>
          <w:lang w:bidi="hu-HU"/>
        </w:rPr>
        <w:t>ot</w:t>
      </w:r>
      <w:r w:rsidRPr="004A00F4">
        <w:rPr>
          <w:lang w:bidi="hu-HU"/>
        </w:rPr>
        <w:t xml:space="preserve"> és 50 mg/ml (5%) glükóz</w:t>
      </w:r>
      <w:r w:rsidR="00B00633">
        <w:rPr>
          <w:lang w:bidi="hu-HU"/>
        </w:rPr>
        <w:t>t tartalmazó</w:t>
      </w:r>
      <w:r w:rsidRPr="004A00F4">
        <w:rPr>
          <w:lang w:bidi="hu-HU"/>
        </w:rPr>
        <w:t xml:space="preserve"> oldat</w:t>
      </w:r>
      <w:r w:rsidR="00EE299A">
        <w:rPr>
          <w:lang w:bidi="hu-HU"/>
        </w:rPr>
        <w:t>.</w:t>
      </w:r>
    </w:p>
    <w:p w14:paraId="46483C95" w14:textId="77777777" w:rsidR="000A6143" w:rsidRPr="004A00F4" w:rsidRDefault="000A6143" w:rsidP="004A00F4">
      <w:pPr>
        <w:pStyle w:val="Szvegtrzs"/>
        <w:contextualSpacing/>
      </w:pPr>
    </w:p>
    <w:p w14:paraId="1E402B7B" w14:textId="77777777" w:rsidR="0071383F" w:rsidRDefault="0071383F" w:rsidP="004A00F4">
      <w:pPr>
        <w:pStyle w:val="Szvegtrzs"/>
        <w:contextualSpacing/>
        <w:rPr>
          <w:lang w:bidi="hu-HU"/>
        </w:rPr>
      </w:pPr>
      <w:r w:rsidRPr="0071383F">
        <w:rPr>
          <w:lang w:bidi="hu-HU"/>
        </w:rPr>
        <w:t>Bármilyen fel nem használt gyógyszer, illetve hulladékanyag megsemmisítését a gyógyszerekre vonatkozó előírások szerint kell végrehajtani</w:t>
      </w:r>
      <w:r>
        <w:rPr>
          <w:lang w:bidi="hu-HU"/>
        </w:rPr>
        <w:t>.</w:t>
      </w:r>
    </w:p>
    <w:p w14:paraId="4CC13427" w14:textId="77777777" w:rsidR="00E30F33" w:rsidRDefault="00E30F33" w:rsidP="004A00F4">
      <w:pPr>
        <w:pStyle w:val="Szvegtrzs"/>
        <w:contextualSpacing/>
        <w:rPr>
          <w:lang w:bidi="hu-HU"/>
        </w:rPr>
      </w:pPr>
    </w:p>
    <w:p w14:paraId="2782CCF6" w14:textId="77777777" w:rsidR="00E30F33" w:rsidRPr="0086524B" w:rsidRDefault="00E30F33" w:rsidP="00E30F33">
      <w:pPr>
        <w:tabs>
          <w:tab w:val="left" w:pos="7088"/>
        </w:tabs>
      </w:pPr>
      <w:r w:rsidRPr="00C06657">
        <w:rPr>
          <w:b/>
        </w:rPr>
        <w:t>Megjegyzés</w:t>
      </w:r>
      <w:r w:rsidRPr="0086524B">
        <w:rPr>
          <w:b/>
        </w:rPr>
        <w:t xml:space="preserve">: </w:t>
      </w:r>
      <w:r w:rsidRPr="00C06657">
        <w:sym w:font="Wingdings" w:char="F058"/>
      </w:r>
      <w:r w:rsidRPr="00C06657">
        <w:sym w:font="Wingdings" w:char="F058"/>
      </w:r>
      <w:r w:rsidRPr="00C06657" w:rsidDel="00C06657">
        <w:rPr>
          <w:rFonts w:eastAsia="Wingdings"/>
        </w:rPr>
        <w:t xml:space="preserve"> </w:t>
      </w:r>
      <w:r w:rsidRPr="0086524B">
        <w:t>(két keresztes)</w:t>
      </w:r>
    </w:p>
    <w:p w14:paraId="5FFDC26C" w14:textId="77777777" w:rsidR="00E30F33" w:rsidRPr="00630338" w:rsidRDefault="00E30F33" w:rsidP="00E30F33">
      <w:pPr>
        <w:tabs>
          <w:tab w:val="left" w:pos="7098"/>
        </w:tabs>
        <w:rPr>
          <w:b/>
        </w:rPr>
      </w:pPr>
      <w:r w:rsidRPr="00630338">
        <w:rPr>
          <w:bCs/>
        </w:rPr>
        <w:t xml:space="preserve">Osztályozás: </w:t>
      </w:r>
      <w:r w:rsidRPr="00630338">
        <w:rPr>
          <w:b/>
        </w:rPr>
        <w:t>II./3 csoport</w:t>
      </w:r>
    </w:p>
    <w:p w14:paraId="251886E6" w14:textId="77777777" w:rsidR="00E30F33" w:rsidRPr="00630338" w:rsidRDefault="00E30F33" w:rsidP="00E30F33">
      <w:r w:rsidRPr="00630338">
        <w:t>Korlátozott érvényű orvosi rendelvényhez kötött, az egészségügyről szóló 1997. évi CLIV. törvény 3. §-ának ga) pontja szerinti rendelőintézeti járóbeteg-szakellátást vagy fekvőbeteg-szakellátást nyújtó szolgáltatók által biztosított körülmények között alkalmazható gyógyszer</w:t>
      </w:r>
      <w:r w:rsidRPr="00630338">
        <w:rPr>
          <w:bCs/>
        </w:rPr>
        <w:t xml:space="preserve"> (I).</w:t>
      </w:r>
    </w:p>
    <w:p w14:paraId="04E9C77C" w14:textId="77777777" w:rsidR="001F7224" w:rsidRPr="004A00F4" w:rsidRDefault="001F7224" w:rsidP="004A00F4">
      <w:pPr>
        <w:pStyle w:val="Szvegtrzs"/>
        <w:contextualSpacing/>
      </w:pPr>
    </w:p>
    <w:p w14:paraId="17968F7B" w14:textId="77777777" w:rsidR="001F7224" w:rsidRPr="004A00F4" w:rsidRDefault="001F7224" w:rsidP="004A00F4">
      <w:pPr>
        <w:pStyle w:val="Szvegtrzs"/>
        <w:contextualSpacing/>
      </w:pPr>
    </w:p>
    <w:p w14:paraId="060B1457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FORGALOMBA HOZATALI ENGEDÉLY JOGOSULTJA</w:t>
      </w:r>
    </w:p>
    <w:p w14:paraId="7217F8FC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0FF12837" w14:textId="77777777" w:rsidR="00A9547A" w:rsidRPr="004A00F4" w:rsidRDefault="00A9547A" w:rsidP="004A00F4">
      <w:pPr>
        <w:pStyle w:val="Szvegtrzs"/>
        <w:rPr>
          <w:lang w:val="en-GB"/>
        </w:rPr>
      </w:pPr>
      <w:r w:rsidRPr="004A00F4">
        <w:rPr>
          <w:lang w:bidi="hu-HU"/>
        </w:rPr>
        <w:t>ANFARM HELLAS S.A.</w:t>
      </w:r>
    </w:p>
    <w:p w14:paraId="31A07A95" w14:textId="77777777" w:rsidR="00A9547A" w:rsidRPr="004A00F4" w:rsidRDefault="00A9547A" w:rsidP="004A00F4">
      <w:pPr>
        <w:pStyle w:val="Szvegtrzs"/>
        <w:rPr>
          <w:lang w:val="en-GB"/>
        </w:rPr>
      </w:pPr>
      <w:r w:rsidRPr="004A00F4">
        <w:rPr>
          <w:lang w:bidi="hu-HU"/>
        </w:rPr>
        <w:t>4 Achaias Street And Trizinias,</w:t>
      </w:r>
    </w:p>
    <w:p w14:paraId="748B6D3C" w14:textId="77777777" w:rsidR="00A9547A" w:rsidRPr="004A00F4" w:rsidRDefault="00A9547A" w:rsidP="004A00F4">
      <w:pPr>
        <w:pStyle w:val="Szvegtrzs"/>
        <w:rPr>
          <w:lang w:val="en-GB"/>
        </w:rPr>
      </w:pPr>
      <w:r w:rsidRPr="004A00F4">
        <w:rPr>
          <w:lang w:bidi="hu-HU"/>
        </w:rPr>
        <w:t>145 64 Kifissia, Attiki,</w:t>
      </w:r>
    </w:p>
    <w:p w14:paraId="23EA7F19" w14:textId="77777777" w:rsidR="00A9547A" w:rsidRPr="004A00F4" w:rsidRDefault="00A9547A" w:rsidP="004A00F4">
      <w:pPr>
        <w:pStyle w:val="Szvegtrzs"/>
        <w:rPr>
          <w:lang w:val="el-GR"/>
        </w:rPr>
      </w:pPr>
      <w:r w:rsidRPr="004A00F4">
        <w:rPr>
          <w:lang w:bidi="hu-HU"/>
        </w:rPr>
        <w:t>Görögország</w:t>
      </w:r>
    </w:p>
    <w:p w14:paraId="2CF6B7AD" w14:textId="77777777" w:rsidR="00A9547A" w:rsidRPr="004A00F4" w:rsidRDefault="00A9547A" w:rsidP="004A00F4">
      <w:pPr>
        <w:pStyle w:val="Szvegtrzs"/>
        <w:contextualSpacing/>
        <w:rPr>
          <w:lang w:val="el-GR"/>
        </w:rPr>
      </w:pPr>
    </w:p>
    <w:p w14:paraId="1AB002C0" w14:textId="77777777" w:rsidR="00B90234" w:rsidRPr="004A00F4" w:rsidRDefault="00B90234" w:rsidP="004A00F4">
      <w:pPr>
        <w:pStyle w:val="Szvegtrzs"/>
        <w:contextualSpacing/>
      </w:pPr>
    </w:p>
    <w:p w14:paraId="2B1AC7F5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FORGALOMBA HOZATALI ENGEDÉLY SZÁMAI</w:t>
      </w:r>
    </w:p>
    <w:p w14:paraId="3D75D15A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0483DD42" w14:textId="77777777" w:rsidR="00A40844" w:rsidRPr="00A40844" w:rsidRDefault="00A40844" w:rsidP="00A40844">
      <w:pPr>
        <w:pStyle w:val="Szvegtrzs"/>
        <w:contextualSpacing/>
        <w:rPr>
          <w:u w:val="single"/>
          <w:lang w:bidi="hu-HU"/>
        </w:rPr>
      </w:pPr>
      <w:r w:rsidRPr="00A40844">
        <w:rPr>
          <w:u w:val="single"/>
          <w:lang w:bidi="hu-HU"/>
        </w:rPr>
        <w:t>Teicoplanin Anfarm 200 mg por és oldószer oldatos injekcióhoz/infúzióhoz vagy belsőleges oldathoz</w:t>
      </w:r>
    </w:p>
    <w:p w14:paraId="2FFB1DBA" w14:textId="6142F2C4" w:rsidR="00A40844" w:rsidRDefault="00A40844" w:rsidP="00A40844">
      <w:pPr>
        <w:pStyle w:val="Szvegtrzs"/>
        <w:tabs>
          <w:tab w:val="left" w:pos="2268"/>
          <w:tab w:val="left" w:pos="3119"/>
        </w:tabs>
        <w:contextualSpacing/>
        <w:rPr>
          <w:lang w:bidi="hu-HU"/>
        </w:rPr>
      </w:pPr>
      <w:r>
        <w:rPr>
          <w:lang w:bidi="hu-HU"/>
        </w:rPr>
        <w:t>OGYI-T-24397/01</w:t>
      </w:r>
      <w:r>
        <w:rPr>
          <w:lang w:bidi="hu-HU"/>
        </w:rPr>
        <w:tab/>
        <w:t>1×</w:t>
      </w:r>
      <w:r>
        <w:rPr>
          <w:lang w:bidi="hu-HU"/>
        </w:rPr>
        <w:tab/>
        <w:t>I-es típusú, színtelen injekciós üvegben</w:t>
      </w:r>
    </w:p>
    <w:p w14:paraId="33925A20" w14:textId="1A176080" w:rsidR="00A40844" w:rsidRDefault="00A40844" w:rsidP="00A40844">
      <w:pPr>
        <w:pStyle w:val="Szvegtrzs"/>
        <w:tabs>
          <w:tab w:val="left" w:pos="2268"/>
          <w:tab w:val="left" w:pos="3119"/>
        </w:tabs>
        <w:contextualSpacing/>
        <w:rPr>
          <w:lang w:bidi="hu-HU"/>
        </w:rPr>
      </w:pPr>
      <w:r>
        <w:rPr>
          <w:lang w:bidi="hu-HU"/>
        </w:rPr>
        <w:t>OGYI-T-24397/02</w:t>
      </w:r>
      <w:r>
        <w:rPr>
          <w:lang w:bidi="hu-HU"/>
        </w:rPr>
        <w:tab/>
        <w:t>5×</w:t>
      </w:r>
      <w:r>
        <w:rPr>
          <w:lang w:bidi="hu-HU"/>
        </w:rPr>
        <w:tab/>
        <w:t>I-es típusú, színtelen injekciós üvegben</w:t>
      </w:r>
    </w:p>
    <w:p w14:paraId="3E15B0C6" w14:textId="620FAB1F" w:rsidR="00A40844" w:rsidRDefault="00A40844" w:rsidP="00A40844">
      <w:pPr>
        <w:pStyle w:val="Szvegtrzs"/>
        <w:tabs>
          <w:tab w:val="left" w:pos="2268"/>
          <w:tab w:val="left" w:pos="3119"/>
        </w:tabs>
        <w:contextualSpacing/>
        <w:rPr>
          <w:lang w:bidi="hu-HU"/>
        </w:rPr>
      </w:pPr>
      <w:r>
        <w:rPr>
          <w:lang w:bidi="hu-HU"/>
        </w:rPr>
        <w:t>OGYI-T-24397/03</w:t>
      </w:r>
      <w:r>
        <w:rPr>
          <w:lang w:bidi="hu-HU"/>
        </w:rPr>
        <w:tab/>
        <w:t>10×</w:t>
      </w:r>
      <w:r>
        <w:rPr>
          <w:lang w:bidi="hu-HU"/>
        </w:rPr>
        <w:tab/>
        <w:t>I-es típusú, színtelen injekciós üvegben</w:t>
      </w:r>
    </w:p>
    <w:p w14:paraId="05E7077E" w14:textId="10984EDA" w:rsidR="00A40844" w:rsidRDefault="00A40844" w:rsidP="00A40844">
      <w:pPr>
        <w:pStyle w:val="Szvegtrzs"/>
        <w:contextualSpacing/>
        <w:rPr>
          <w:lang w:bidi="hu-HU"/>
        </w:rPr>
      </w:pPr>
    </w:p>
    <w:p w14:paraId="141B6313" w14:textId="77777777" w:rsidR="00A40844" w:rsidRPr="00A40844" w:rsidRDefault="00A40844" w:rsidP="00A40844">
      <w:pPr>
        <w:pStyle w:val="Szvegtrzs"/>
        <w:contextualSpacing/>
        <w:rPr>
          <w:u w:val="single"/>
          <w:lang w:bidi="hu-HU"/>
        </w:rPr>
      </w:pPr>
      <w:r w:rsidRPr="00A40844">
        <w:rPr>
          <w:u w:val="single"/>
          <w:lang w:bidi="hu-HU"/>
        </w:rPr>
        <w:t>Teicoplanin Anfarm 400 mg por és oldószer oldatos injekcióhoz/infúzióhoz vagy belsőleges oldathoz</w:t>
      </w:r>
    </w:p>
    <w:p w14:paraId="3E9243EF" w14:textId="2A95C7CA" w:rsidR="00A40844" w:rsidRDefault="00A40844" w:rsidP="00A40844">
      <w:pPr>
        <w:pStyle w:val="Szvegtrzs"/>
        <w:tabs>
          <w:tab w:val="left" w:pos="2268"/>
          <w:tab w:val="left" w:pos="3119"/>
        </w:tabs>
        <w:contextualSpacing/>
        <w:rPr>
          <w:lang w:bidi="hu-HU"/>
        </w:rPr>
      </w:pPr>
      <w:r>
        <w:rPr>
          <w:lang w:bidi="hu-HU"/>
        </w:rPr>
        <w:t>OGYI-T-24397/04</w:t>
      </w:r>
      <w:r>
        <w:rPr>
          <w:lang w:bidi="hu-HU"/>
        </w:rPr>
        <w:tab/>
        <w:t>1×</w:t>
      </w:r>
      <w:r>
        <w:rPr>
          <w:lang w:bidi="hu-HU"/>
        </w:rPr>
        <w:tab/>
        <w:t>I-es típusú, színtelen injekciós üvegben</w:t>
      </w:r>
    </w:p>
    <w:p w14:paraId="4BE26503" w14:textId="5AA797DB" w:rsidR="00A40844" w:rsidRDefault="00A40844" w:rsidP="00A40844">
      <w:pPr>
        <w:pStyle w:val="Szvegtrzs"/>
        <w:tabs>
          <w:tab w:val="left" w:pos="2268"/>
          <w:tab w:val="left" w:pos="3119"/>
        </w:tabs>
        <w:contextualSpacing/>
        <w:rPr>
          <w:lang w:bidi="hu-HU"/>
        </w:rPr>
      </w:pPr>
      <w:r>
        <w:rPr>
          <w:lang w:bidi="hu-HU"/>
        </w:rPr>
        <w:t>OGYI-T-24397/05</w:t>
      </w:r>
      <w:r>
        <w:rPr>
          <w:lang w:bidi="hu-HU"/>
        </w:rPr>
        <w:tab/>
        <w:t>5×</w:t>
      </w:r>
      <w:r>
        <w:rPr>
          <w:lang w:bidi="hu-HU"/>
        </w:rPr>
        <w:tab/>
        <w:t>I-es típusú, színtelen injekciós üvegben</w:t>
      </w:r>
    </w:p>
    <w:p w14:paraId="22876A82" w14:textId="4FE45DC7" w:rsidR="001F7224" w:rsidRPr="004A00F4" w:rsidRDefault="00A40844" w:rsidP="00A40844">
      <w:pPr>
        <w:pStyle w:val="Szvegtrzs"/>
        <w:tabs>
          <w:tab w:val="left" w:pos="2268"/>
          <w:tab w:val="left" w:pos="3119"/>
        </w:tabs>
        <w:contextualSpacing/>
      </w:pPr>
      <w:r>
        <w:rPr>
          <w:lang w:bidi="hu-HU"/>
        </w:rPr>
        <w:t>OGYI-T-24397/06</w:t>
      </w:r>
      <w:r>
        <w:rPr>
          <w:lang w:bidi="hu-HU"/>
        </w:rPr>
        <w:tab/>
        <w:t>10×</w:t>
      </w:r>
      <w:r>
        <w:rPr>
          <w:lang w:bidi="hu-HU"/>
        </w:rPr>
        <w:tab/>
        <w:t>I-es típusú, színtelen injekciós üvegben</w:t>
      </w:r>
    </w:p>
    <w:p w14:paraId="046CE636" w14:textId="63CA1461" w:rsidR="000C7A6B" w:rsidRDefault="000C7A6B" w:rsidP="004A00F4">
      <w:pPr>
        <w:pStyle w:val="Szvegtrzs"/>
        <w:contextualSpacing/>
      </w:pPr>
    </w:p>
    <w:p w14:paraId="5A7CACD8" w14:textId="77777777" w:rsidR="00A40844" w:rsidRPr="004A00F4" w:rsidRDefault="00A40844" w:rsidP="004A00F4">
      <w:pPr>
        <w:pStyle w:val="Szvegtrzs"/>
        <w:contextualSpacing/>
      </w:pPr>
    </w:p>
    <w:p w14:paraId="400DCA41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lastRenderedPageBreak/>
        <w:t>A FORGALOMBA HOZATALI ENGEDÉLY ELSŐ KIADÁSÁNAK/ MEGÚJÍTÁSÁNAK DÁTUMA</w:t>
      </w:r>
    </w:p>
    <w:p w14:paraId="6C14EEF6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4061F449" w14:textId="455FBD94" w:rsidR="00CC2467" w:rsidRPr="004A00F4" w:rsidRDefault="00001F79" w:rsidP="004A00F4">
      <w:pPr>
        <w:pStyle w:val="Szvegtrzs"/>
        <w:contextualSpacing/>
      </w:pPr>
      <w:r w:rsidRPr="004A00F4">
        <w:rPr>
          <w:lang w:bidi="hu-HU"/>
        </w:rPr>
        <w:t xml:space="preserve">A forgalomba hozatali engedély első kiadásának dátuma: </w:t>
      </w:r>
      <w:r w:rsidR="00074A84">
        <w:rPr>
          <w:lang w:bidi="hu-HU"/>
        </w:rPr>
        <w:t xml:space="preserve">2024. június </w:t>
      </w:r>
      <w:r w:rsidR="00A40844">
        <w:rPr>
          <w:lang w:bidi="hu-HU"/>
        </w:rPr>
        <w:t>4</w:t>
      </w:r>
      <w:r w:rsidR="00074A84">
        <w:rPr>
          <w:lang w:bidi="hu-HU"/>
        </w:rPr>
        <w:t>.</w:t>
      </w:r>
    </w:p>
    <w:p w14:paraId="31AF77D8" w14:textId="60C85379" w:rsidR="00905B02" w:rsidRPr="004A00F4" w:rsidRDefault="00905B02" w:rsidP="004A00F4">
      <w:pPr>
        <w:pStyle w:val="Szvegtrzs"/>
        <w:contextualSpacing/>
      </w:pPr>
    </w:p>
    <w:p w14:paraId="00372918" w14:textId="77777777" w:rsidR="000C7A6B" w:rsidRPr="004A00F4" w:rsidRDefault="000C7A6B" w:rsidP="004A00F4">
      <w:pPr>
        <w:pStyle w:val="Szvegtrzs"/>
        <w:contextualSpacing/>
      </w:pPr>
    </w:p>
    <w:p w14:paraId="125E9E4C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SZÖVEG ELLENŐRZÉSÉNEK DÁTUMA</w:t>
      </w:r>
    </w:p>
    <w:p w14:paraId="52EB8E65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3C6EC711" w14:textId="4E49D948" w:rsidR="00074A84" w:rsidRDefault="00AE3CBB" w:rsidP="00074A84">
      <w:pPr>
        <w:pStyle w:val="Szvegtrzs"/>
        <w:contextualSpacing/>
        <w:rPr>
          <w:lang w:bidi="hu-HU"/>
        </w:rPr>
      </w:pPr>
      <w:r>
        <w:rPr>
          <w:lang w:bidi="hu-HU"/>
        </w:rPr>
        <w:t xml:space="preserve">2026. augusztus </w:t>
      </w:r>
      <w:r w:rsidR="00C90393">
        <w:rPr>
          <w:lang w:bidi="hu-HU"/>
        </w:rPr>
        <w:t>8</w:t>
      </w:r>
      <w:r>
        <w:rPr>
          <w:lang w:bidi="hu-HU"/>
        </w:rPr>
        <w:t>.</w:t>
      </w:r>
    </w:p>
    <w:p w14:paraId="158181E6" w14:textId="1682E278" w:rsidR="001F7224" w:rsidRPr="004A00F4" w:rsidRDefault="001F7224" w:rsidP="00074A84">
      <w:pPr>
        <w:pStyle w:val="Szvegtrzs"/>
        <w:contextualSpacing/>
      </w:pPr>
    </w:p>
    <w:sectPr w:rsidR="001F7224" w:rsidRPr="004A00F4" w:rsidSect="004A00F4">
      <w:headerReference w:type="default" r:id="rId9"/>
      <w:footerReference w:type="default" r:id="rId10"/>
      <w:footerReference w:type="first" r:id="rId11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34C0B" w14:textId="77777777" w:rsidR="00724577" w:rsidRDefault="00724577">
      <w:r>
        <w:separator/>
      </w:r>
    </w:p>
  </w:endnote>
  <w:endnote w:type="continuationSeparator" w:id="0">
    <w:p w14:paraId="32E72FD4" w14:textId="77777777" w:rsidR="00724577" w:rsidRDefault="00724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02793" w14:textId="7843E55D" w:rsidR="00182CC9" w:rsidRDefault="00182CC9">
    <w:pPr>
      <w:pStyle w:val="Szvegtrzs"/>
      <w:spacing w:line="14" w:lineRule="auto"/>
      <w:rPr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0DD4" w14:textId="1E4AB522" w:rsidR="00052F7B" w:rsidRDefault="00052F7B" w:rsidP="004A00F4">
    <w:pPr>
      <w:pStyle w:val="llb"/>
      <w:rPr>
        <w:sz w:val="18"/>
        <w:szCs w:val="18"/>
      </w:rPr>
    </w:pPr>
    <w:r w:rsidRPr="00052F7B">
      <w:rPr>
        <w:sz w:val="18"/>
        <w:szCs w:val="18"/>
      </w:rPr>
      <w:t>NNGYK/ETGY/951</w:t>
    </w:r>
    <w:r>
      <w:rPr>
        <w:sz w:val="18"/>
        <w:szCs w:val="18"/>
      </w:rPr>
      <w:t>6</w:t>
    </w:r>
    <w:r w:rsidRPr="00052F7B">
      <w:rPr>
        <w:sz w:val="18"/>
        <w:szCs w:val="18"/>
      </w:rPr>
      <w:t>/2026</w:t>
    </w:r>
  </w:p>
  <w:p w14:paraId="534F9B4F" w14:textId="2575DE57" w:rsidR="00052F7B" w:rsidRPr="001C32A7" w:rsidRDefault="00052F7B" w:rsidP="004A00F4">
    <w:pPr>
      <w:pStyle w:val="llb"/>
      <w:rPr>
        <w:sz w:val="18"/>
        <w:szCs w:val="18"/>
      </w:rPr>
    </w:pPr>
    <w:r w:rsidRPr="00052F7B">
      <w:rPr>
        <w:sz w:val="18"/>
        <w:szCs w:val="18"/>
      </w:rPr>
      <w:t>NNGYK/ETGY/9517/2026</w:t>
    </w:r>
  </w:p>
  <w:p w14:paraId="2A00B8D3" w14:textId="3313A9AD" w:rsidR="00182CC9" w:rsidRPr="001C32A7" w:rsidRDefault="00182CC9" w:rsidP="004A00F4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6A832" w14:textId="77777777" w:rsidR="00724577" w:rsidRDefault="00724577">
      <w:r>
        <w:separator/>
      </w:r>
    </w:p>
  </w:footnote>
  <w:footnote w:type="continuationSeparator" w:id="0">
    <w:p w14:paraId="5B0C25B0" w14:textId="77777777" w:rsidR="00724577" w:rsidRDefault="00724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445379488"/>
      <w:docPartObj>
        <w:docPartGallery w:val="Page Numbers (Top of Page)"/>
        <w:docPartUnique/>
      </w:docPartObj>
    </w:sdtPr>
    <w:sdtEndPr/>
    <w:sdtContent>
      <w:p w14:paraId="5E8CAF9F" w14:textId="16698FAE" w:rsidR="00182CC9" w:rsidRPr="001C32A7" w:rsidRDefault="00182CC9" w:rsidP="001C32A7">
        <w:pPr>
          <w:pStyle w:val="lfej"/>
          <w:jc w:val="center"/>
          <w:rPr>
            <w:sz w:val="18"/>
            <w:szCs w:val="18"/>
          </w:rPr>
        </w:pPr>
        <w:r w:rsidRPr="001C32A7">
          <w:rPr>
            <w:sz w:val="18"/>
            <w:szCs w:val="18"/>
          </w:rPr>
          <w:fldChar w:fldCharType="begin"/>
        </w:r>
        <w:r w:rsidRPr="001C32A7">
          <w:rPr>
            <w:sz w:val="18"/>
            <w:szCs w:val="18"/>
          </w:rPr>
          <w:instrText>PAGE   \* MERGEFORMAT</w:instrText>
        </w:r>
        <w:r w:rsidRPr="001C32A7">
          <w:rPr>
            <w:sz w:val="18"/>
            <w:szCs w:val="18"/>
          </w:rPr>
          <w:fldChar w:fldCharType="separate"/>
        </w:r>
        <w:r w:rsidR="00A40844">
          <w:rPr>
            <w:noProof/>
            <w:sz w:val="18"/>
            <w:szCs w:val="18"/>
          </w:rPr>
          <w:t>14</w:t>
        </w:r>
        <w:r w:rsidRPr="001C32A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968C8"/>
    <w:multiLevelType w:val="hybridMultilevel"/>
    <w:tmpl w:val="032C026C"/>
    <w:lvl w:ilvl="0" w:tplc="BFF480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F3D7F"/>
    <w:multiLevelType w:val="multilevel"/>
    <w:tmpl w:val="E500C7F0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2703" w:hanging="360"/>
      </w:pPr>
      <w:rPr>
        <w:rFonts w:hint="default"/>
      </w:rPr>
    </w:lvl>
    <w:lvl w:ilvl="4">
      <w:numFmt w:val="bullet"/>
      <w:lvlText w:val="•"/>
      <w:lvlJc w:val="left"/>
      <w:pPr>
        <w:ind w:left="3635" w:hanging="360"/>
      </w:pPr>
      <w:rPr>
        <w:rFonts w:hint="default"/>
      </w:rPr>
    </w:lvl>
    <w:lvl w:ilvl="5">
      <w:numFmt w:val="bullet"/>
      <w:lvlText w:val="•"/>
      <w:lvlJc w:val="left"/>
      <w:pPr>
        <w:ind w:left="4567" w:hanging="360"/>
      </w:pPr>
      <w:rPr>
        <w:rFonts w:hint="default"/>
      </w:rPr>
    </w:lvl>
    <w:lvl w:ilvl="6">
      <w:numFmt w:val="bullet"/>
      <w:lvlText w:val="•"/>
      <w:lvlJc w:val="left"/>
      <w:pPr>
        <w:ind w:left="5499" w:hanging="360"/>
      </w:pPr>
      <w:rPr>
        <w:rFonts w:hint="default"/>
      </w:rPr>
    </w:lvl>
    <w:lvl w:ilvl="7">
      <w:numFmt w:val="bullet"/>
      <w:lvlText w:val="•"/>
      <w:lvlJc w:val="left"/>
      <w:pPr>
        <w:ind w:left="6430" w:hanging="360"/>
      </w:pPr>
      <w:rPr>
        <w:rFonts w:hint="default"/>
      </w:rPr>
    </w:lvl>
    <w:lvl w:ilvl="8">
      <w:numFmt w:val="bullet"/>
      <w:lvlText w:val="•"/>
      <w:lvlJc w:val="left"/>
      <w:pPr>
        <w:ind w:left="7362" w:hanging="360"/>
      </w:pPr>
      <w:rPr>
        <w:rFonts w:hint="default"/>
      </w:rPr>
    </w:lvl>
  </w:abstractNum>
  <w:abstractNum w:abstractNumId="2" w15:restartNumberingAfterBreak="0">
    <w:nsid w:val="1D17281E"/>
    <w:multiLevelType w:val="hybridMultilevel"/>
    <w:tmpl w:val="6C3E196A"/>
    <w:lvl w:ilvl="0" w:tplc="AB349BD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F3816"/>
    <w:multiLevelType w:val="multilevel"/>
    <w:tmpl w:val="CE262ED8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"/>
      <w:lvlJc w:val="left"/>
      <w:pPr>
        <w:ind w:left="898" w:hanging="300"/>
      </w:pPr>
      <w:rPr>
        <w:rFonts w:ascii="Symbol" w:eastAsia="Symbol" w:hAnsi="Symbol" w:cs="Symbo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2750" w:hanging="300"/>
      </w:pPr>
      <w:rPr>
        <w:rFonts w:hint="default"/>
      </w:rPr>
    </w:lvl>
    <w:lvl w:ilvl="4">
      <w:numFmt w:val="bullet"/>
      <w:lvlText w:val="•"/>
      <w:lvlJc w:val="left"/>
      <w:pPr>
        <w:ind w:left="3675" w:hanging="300"/>
      </w:pPr>
      <w:rPr>
        <w:rFonts w:hint="default"/>
      </w:rPr>
    </w:lvl>
    <w:lvl w:ilvl="5">
      <w:numFmt w:val="bullet"/>
      <w:lvlText w:val="•"/>
      <w:lvlJc w:val="left"/>
      <w:pPr>
        <w:ind w:left="4600" w:hanging="300"/>
      </w:pPr>
      <w:rPr>
        <w:rFonts w:hint="default"/>
      </w:rPr>
    </w:lvl>
    <w:lvl w:ilvl="6">
      <w:numFmt w:val="bullet"/>
      <w:lvlText w:val="•"/>
      <w:lvlJc w:val="left"/>
      <w:pPr>
        <w:ind w:left="5525" w:hanging="300"/>
      </w:pPr>
      <w:rPr>
        <w:rFonts w:hint="default"/>
      </w:rPr>
    </w:lvl>
    <w:lvl w:ilvl="7">
      <w:numFmt w:val="bullet"/>
      <w:lvlText w:val="•"/>
      <w:lvlJc w:val="left"/>
      <w:pPr>
        <w:ind w:left="6450" w:hanging="300"/>
      </w:pPr>
      <w:rPr>
        <w:rFonts w:hint="default"/>
      </w:rPr>
    </w:lvl>
    <w:lvl w:ilvl="8">
      <w:numFmt w:val="bullet"/>
      <w:lvlText w:val="•"/>
      <w:lvlJc w:val="left"/>
      <w:pPr>
        <w:ind w:left="7376" w:hanging="300"/>
      </w:pPr>
      <w:rPr>
        <w:rFonts w:hint="default"/>
      </w:rPr>
    </w:lvl>
  </w:abstractNum>
  <w:abstractNum w:abstractNumId="4" w15:restartNumberingAfterBreak="0">
    <w:nsid w:val="39D9686A"/>
    <w:multiLevelType w:val="hybridMultilevel"/>
    <w:tmpl w:val="14F42A3E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5" w15:restartNumberingAfterBreak="0">
    <w:nsid w:val="3ED125A5"/>
    <w:multiLevelType w:val="hybridMultilevel"/>
    <w:tmpl w:val="AC72FC30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6" w15:restartNumberingAfterBreak="0">
    <w:nsid w:val="43ED2332"/>
    <w:multiLevelType w:val="hybridMultilevel"/>
    <w:tmpl w:val="3960697A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7" w15:restartNumberingAfterBreak="0">
    <w:nsid w:val="470C6575"/>
    <w:multiLevelType w:val="hybridMultilevel"/>
    <w:tmpl w:val="3D4277D4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8" w15:restartNumberingAfterBreak="0">
    <w:nsid w:val="5BC96948"/>
    <w:multiLevelType w:val="hybridMultilevel"/>
    <w:tmpl w:val="2592D058"/>
    <w:lvl w:ilvl="0" w:tplc="387694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4B57D1"/>
    <w:multiLevelType w:val="hybridMultilevel"/>
    <w:tmpl w:val="906037CC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0" w15:restartNumberingAfterBreak="0">
    <w:nsid w:val="68D05199"/>
    <w:multiLevelType w:val="hybridMultilevel"/>
    <w:tmpl w:val="51A6C0F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30AF3"/>
    <w:multiLevelType w:val="hybridMultilevel"/>
    <w:tmpl w:val="9C0E50F8"/>
    <w:lvl w:ilvl="0" w:tplc="0408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2" w15:restartNumberingAfterBreak="0">
    <w:nsid w:val="6BF260D6"/>
    <w:multiLevelType w:val="hybridMultilevel"/>
    <w:tmpl w:val="90686710"/>
    <w:lvl w:ilvl="0" w:tplc="0408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3" w15:restartNumberingAfterBreak="0">
    <w:nsid w:val="72D81043"/>
    <w:multiLevelType w:val="hybridMultilevel"/>
    <w:tmpl w:val="2D428B6C"/>
    <w:lvl w:ilvl="0" w:tplc="0408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4" w15:restartNumberingAfterBreak="0">
    <w:nsid w:val="772C22C7"/>
    <w:multiLevelType w:val="multilevel"/>
    <w:tmpl w:val="E9B0BBB4"/>
    <w:lvl w:ilvl="0">
      <w:start w:val="5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567"/>
      </w:pPr>
      <w:rPr>
        <w:rFonts w:hint="default"/>
      </w:rPr>
    </w:lvl>
    <w:lvl w:ilvl="3">
      <w:numFmt w:val="bullet"/>
      <w:lvlText w:val="•"/>
      <w:lvlJc w:val="left"/>
      <w:pPr>
        <w:ind w:left="3309" w:hanging="567"/>
      </w:pPr>
      <w:rPr>
        <w:rFonts w:hint="default"/>
      </w:rPr>
    </w:lvl>
    <w:lvl w:ilvl="4">
      <w:numFmt w:val="bullet"/>
      <w:lvlText w:val="•"/>
      <w:lvlJc w:val="left"/>
      <w:pPr>
        <w:ind w:left="4186" w:hanging="567"/>
      </w:pPr>
      <w:rPr>
        <w:rFonts w:hint="default"/>
      </w:rPr>
    </w:lvl>
    <w:lvl w:ilvl="5">
      <w:numFmt w:val="bullet"/>
      <w:lvlText w:val="•"/>
      <w:lvlJc w:val="left"/>
      <w:pPr>
        <w:ind w:left="5063" w:hanging="567"/>
      </w:pPr>
      <w:rPr>
        <w:rFonts w:hint="default"/>
      </w:rPr>
    </w:lvl>
    <w:lvl w:ilvl="6">
      <w:numFmt w:val="bullet"/>
      <w:lvlText w:val="•"/>
      <w:lvlJc w:val="left"/>
      <w:pPr>
        <w:ind w:left="5939" w:hanging="567"/>
      </w:pPr>
      <w:rPr>
        <w:rFonts w:hint="default"/>
      </w:rPr>
    </w:lvl>
    <w:lvl w:ilvl="7">
      <w:numFmt w:val="bullet"/>
      <w:lvlText w:val="•"/>
      <w:lvlJc w:val="left"/>
      <w:pPr>
        <w:ind w:left="6816" w:hanging="567"/>
      </w:pPr>
      <w:rPr>
        <w:rFonts w:hint="default"/>
      </w:rPr>
    </w:lvl>
    <w:lvl w:ilvl="8">
      <w:numFmt w:val="bullet"/>
      <w:lvlText w:val="•"/>
      <w:lvlJc w:val="left"/>
      <w:pPr>
        <w:ind w:left="7693" w:hanging="567"/>
      </w:pPr>
      <w:rPr>
        <w:rFonts w:hint="default"/>
      </w:rPr>
    </w:lvl>
  </w:abstractNum>
  <w:num w:numId="1" w16cid:durableId="370573169">
    <w:abstractNumId w:val="14"/>
  </w:num>
  <w:num w:numId="2" w16cid:durableId="1641769571">
    <w:abstractNumId w:val="1"/>
  </w:num>
  <w:num w:numId="3" w16cid:durableId="71239632">
    <w:abstractNumId w:val="3"/>
  </w:num>
  <w:num w:numId="4" w16cid:durableId="1822693467">
    <w:abstractNumId w:val="13"/>
  </w:num>
  <w:num w:numId="5" w16cid:durableId="1330984184">
    <w:abstractNumId w:val="12"/>
  </w:num>
  <w:num w:numId="6" w16cid:durableId="2031949135">
    <w:abstractNumId w:val="11"/>
  </w:num>
  <w:num w:numId="7" w16cid:durableId="2036881487">
    <w:abstractNumId w:val="9"/>
  </w:num>
  <w:num w:numId="8" w16cid:durableId="1569461160">
    <w:abstractNumId w:val="7"/>
  </w:num>
  <w:num w:numId="9" w16cid:durableId="624894230">
    <w:abstractNumId w:val="0"/>
  </w:num>
  <w:num w:numId="10" w16cid:durableId="1823812999">
    <w:abstractNumId w:val="8"/>
  </w:num>
  <w:num w:numId="11" w16cid:durableId="1587618664">
    <w:abstractNumId w:val="10"/>
  </w:num>
  <w:num w:numId="12" w16cid:durableId="1252202832">
    <w:abstractNumId w:val="5"/>
  </w:num>
  <w:num w:numId="13" w16cid:durableId="1395156570">
    <w:abstractNumId w:val="6"/>
  </w:num>
  <w:num w:numId="14" w16cid:durableId="338773243">
    <w:abstractNumId w:val="2"/>
  </w:num>
  <w:num w:numId="15" w16cid:durableId="184231493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224"/>
    <w:rsid w:val="00001F79"/>
    <w:rsid w:val="00010827"/>
    <w:rsid w:val="000179CC"/>
    <w:rsid w:val="00021F7B"/>
    <w:rsid w:val="00033BE2"/>
    <w:rsid w:val="00052F7B"/>
    <w:rsid w:val="000632D2"/>
    <w:rsid w:val="00074A84"/>
    <w:rsid w:val="0008397D"/>
    <w:rsid w:val="00087241"/>
    <w:rsid w:val="000A05ED"/>
    <w:rsid w:val="000A4CB9"/>
    <w:rsid w:val="000A6143"/>
    <w:rsid w:val="000B4BB9"/>
    <w:rsid w:val="000C23AB"/>
    <w:rsid w:val="000C7A6B"/>
    <w:rsid w:val="000F6FF5"/>
    <w:rsid w:val="00125401"/>
    <w:rsid w:val="001321E3"/>
    <w:rsid w:val="001541E8"/>
    <w:rsid w:val="00182CC9"/>
    <w:rsid w:val="001935CF"/>
    <w:rsid w:val="001C32A7"/>
    <w:rsid w:val="001D015D"/>
    <w:rsid w:val="001D0CBD"/>
    <w:rsid w:val="001D42BD"/>
    <w:rsid w:val="001E0ECE"/>
    <w:rsid w:val="001F7224"/>
    <w:rsid w:val="00200AE2"/>
    <w:rsid w:val="00204FB9"/>
    <w:rsid w:val="00216716"/>
    <w:rsid w:val="00217D85"/>
    <w:rsid w:val="00223EBA"/>
    <w:rsid w:val="00231F8F"/>
    <w:rsid w:val="00255081"/>
    <w:rsid w:val="00261665"/>
    <w:rsid w:val="00265A37"/>
    <w:rsid w:val="002A03C0"/>
    <w:rsid w:val="002B12F6"/>
    <w:rsid w:val="002D57F1"/>
    <w:rsid w:val="002E0BAF"/>
    <w:rsid w:val="002F3DAF"/>
    <w:rsid w:val="0031278C"/>
    <w:rsid w:val="003176AB"/>
    <w:rsid w:val="003324C9"/>
    <w:rsid w:val="00347979"/>
    <w:rsid w:val="0036240C"/>
    <w:rsid w:val="00362A38"/>
    <w:rsid w:val="0037059E"/>
    <w:rsid w:val="00370723"/>
    <w:rsid w:val="00376173"/>
    <w:rsid w:val="00391D44"/>
    <w:rsid w:val="00394763"/>
    <w:rsid w:val="003A17BC"/>
    <w:rsid w:val="003A2CC2"/>
    <w:rsid w:val="003B1731"/>
    <w:rsid w:val="003D2CD9"/>
    <w:rsid w:val="004044AF"/>
    <w:rsid w:val="00406A83"/>
    <w:rsid w:val="00443354"/>
    <w:rsid w:val="00460FA1"/>
    <w:rsid w:val="00471996"/>
    <w:rsid w:val="004975E3"/>
    <w:rsid w:val="004A00F4"/>
    <w:rsid w:val="004A01DF"/>
    <w:rsid w:val="004A54C3"/>
    <w:rsid w:val="004B7987"/>
    <w:rsid w:val="004C4963"/>
    <w:rsid w:val="004D0AEC"/>
    <w:rsid w:val="004D74BC"/>
    <w:rsid w:val="00516C93"/>
    <w:rsid w:val="00543AD1"/>
    <w:rsid w:val="005675EE"/>
    <w:rsid w:val="005815E5"/>
    <w:rsid w:val="0058511F"/>
    <w:rsid w:val="005E22BE"/>
    <w:rsid w:val="005E45E0"/>
    <w:rsid w:val="00621523"/>
    <w:rsid w:val="00630C9D"/>
    <w:rsid w:val="00675C64"/>
    <w:rsid w:val="00682BA1"/>
    <w:rsid w:val="00683FA4"/>
    <w:rsid w:val="00684DE9"/>
    <w:rsid w:val="006911AA"/>
    <w:rsid w:val="006944E2"/>
    <w:rsid w:val="006964B2"/>
    <w:rsid w:val="006A13FD"/>
    <w:rsid w:val="006A658A"/>
    <w:rsid w:val="0070259C"/>
    <w:rsid w:val="0071383F"/>
    <w:rsid w:val="00713D67"/>
    <w:rsid w:val="00724577"/>
    <w:rsid w:val="00731FB8"/>
    <w:rsid w:val="007401AE"/>
    <w:rsid w:val="00740F13"/>
    <w:rsid w:val="007464B2"/>
    <w:rsid w:val="007516B1"/>
    <w:rsid w:val="0078181B"/>
    <w:rsid w:val="00794210"/>
    <w:rsid w:val="007C28AA"/>
    <w:rsid w:val="008024C1"/>
    <w:rsid w:val="00812D88"/>
    <w:rsid w:val="00837639"/>
    <w:rsid w:val="00843012"/>
    <w:rsid w:val="00866E40"/>
    <w:rsid w:val="008762F3"/>
    <w:rsid w:val="00885660"/>
    <w:rsid w:val="00886BB3"/>
    <w:rsid w:val="008930F5"/>
    <w:rsid w:val="008B01BC"/>
    <w:rsid w:val="008C5AD4"/>
    <w:rsid w:val="00905B02"/>
    <w:rsid w:val="00961895"/>
    <w:rsid w:val="009A3C92"/>
    <w:rsid w:val="009B1773"/>
    <w:rsid w:val="009B5C44"/>
    <w:rsid w:val="009C170A"/>
    <w:rsid w:val="009D1FDC"/>
    <w:rsid w:val="009F25C9"/>
    <w:rsid w:val="009F6FB0"/>
    <w:rsid w:val="00A07A5D"/>
    <w:rsid w:val="00A20739"/>
    <w:rsid w:val="00A21020"/>
    <w:rsid w:val="00A349A1"/>
    <w:rsid w:val="00A40590"/>
    <w:rsid w:val="00A40844"/>
    <w:rsid w:val="00A642C3"/>
    <w:rsid w:val="00A65E87"/>
    <w:rsid w:val="00A67F4E"/>
    <w:rsid w:val="00A86DA6"/>
    <w:rsid w:val="00A9547A"/>
    <w:rsid w:val="00A9788D"/>
    <w:rsid w:val="00AC2703"/>
    <w:rsid w:val="00AD0F12"/>
    <w:rsid w:val="00AD5667"/>
    <w:rsid w:val="00AE3CBB"/>
    <w:rsid w:val="00AE68E3"/>
    <w:rsid w:val="00AF229B"/>
    <w:rsid w:val="00B00633"/>
    <w:rsid w:val="00B0269B"/>
    <w:rsid w:val="00B2567B"/>
    <w:rsid w:val="00B27B3E"/>
    <w:rsid w:val="00B70479"/>
    <w:rsid w:val="00B8199C"/>
    <w:rsid w:val="00B90234"/>
    <w:rsid w:val="00B9574D"/>
    <w:rsid w:val="00BA061A"/>
    <w:rsid w:val="00BD0645"/>
    <w:rsid w:val="00BD2B96"/>
    <w:rsid w:val="00BF74C1"/>
    <w:rsid w:val="00C4754C"/>
    <w:rsid w:val="00C50808"/>
    <w:rsid w:val="00C54E80"/>
    <w:rsid w:val="00C863F9"/>
    <w:rsid w:val="00C90393"/>
    <w:rsid w:val="00C963EA"/>
    <w:rsid w:val="00CB1B59"/>
    <w:rsid w:val="00CC1F0B"/>
    <w:rsid w:val="00CC2467"/>
    <w:rsid w:val="00D16A4E"/>
    <w:rsid w:val="00D22773"/>
    <w:rsid w:val="00D274A9"/>
    <w:rsid w:val="00D449CB"/>
    <w:rsid w:val="00D46FC3"/>
    <w:rsid w:val="00D53289"/>
    <w:rsid w:val="00D712FB"/>
    <w:rsid w:val="00DA461B"/>
    <w:rsid w:val="00DC1096"/>
    <w:rsid w:val="00DD2646"/>
    <w:rsid w:val="00DD4EF8"/>
    <w:rsid w:val="00E12E3C"/>
    <w:rsid w:val="00E1306E"/>
    <w:rsid w:val="00E279A7"/>
    <w:rsid w:val="00E30F33"/>
    <w:rsid w:val="00E43E70"/>
    <w:rsid w:val="00E7506D"/>
    <w:rsid w:val="00EB37B6"/>
    <w:rsid w:val="00EB45C0"/>
    <w:rsid w:val="00EE2319"/>
    <w:rsid w:val="00EE2788"/>
    <w:rsid w:val="00EE299A"/>
    <w:rsid w:val="00EE5AF3"/>
    <w:rsid w:val="00EF2A8E"/>
    <w:rsid w:val="00EF2AE6"/>
    <w:rsid w:val="00EF3273"/>
    <w:rsid w:val="00F10155"/>
    <w:rsid w:val="00F1020A"/>
    <w:rsid w:val="00F15B70"/>
    <w:rsid w:val="00F17565"/>
    <w:rsid w:val="00F2371C"/>
    <w:rsid w:val="00F24871"/>
    <w:rsid w:val="00F51673"/>
    <w:rsid w:val="00F5368B"/>
    <w:rsid w:val="00F71CC1"/>
    <w:rsid w:val="00F73E4F"/>
    <w:rsid w:val="00F83D65"/>
    <w:rsid w:val="00F92B6D"/>
    <w:rsid w:val="00FA085C"/>
    <w:rsid w:val="00FA1453"/>
    <w:rsid w:val="00FA4E75"/>
    <w:rsid w:val="00FC046C"/>
    <w:rsid w:val="00FE45D1"/>
    <w:rsid w:val="00FF2BDD"/>
    <w:rsid w:val="00FF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D2445"/>
  <w15:docId w15:val="{73A417AA-B3ED-4FA3-869B-98E456801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38" w:hanging="720"/>
    </w:pPr>
  </w:style>
  <w:style w:type="paragraph" w:customStyle="1" w:styleId="TableParagraph">
    <w:name w:val="Table Paragraph"/>
    <w:basedOn w:val="Norml"/>
    <w:uiPriority w:val="1"/>
    <w:qFormat/>
    <w:pPr>
      <w:spacing w:line="247" w:lineRule="exact"/>
      <w:ind w:left="103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13D6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13D67"/>
    <w:rPr>
      <w:rFonts w:ascii="Segoe UI" w:eastAsia="Times New Roman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9B5C44"/>
    <w:rPr>
      <w:lang w:val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31278C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70259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0259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0259C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0259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0259C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0A05E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4A00F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A00F4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A00F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A00F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0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F3EC2-70BB-4360-9FE3-A6127D65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14</Pages>
  <Words>4356</Words>
  <Characters>30059</Characters>
  <Application>Microsoft Office Word</Application>
  <DocSecurity>0</DocSecurity>
  <Lines>250</Lines>
  <Paragraphs>68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EPAR</dc:subject>
  <dc:creator>CHMP</dc:creator>
  <cp:keywords/>
  <cp:lastModifiedBy>HU OGYI 8.1</cp:lastModifiedBy>
  <cp:revision>34</cp:revision>
  <cp:lastPrinted>2022-04-15T06:55:00Z</cp:lastPrinted>
  <dcterms:created xsi:type="dcterms:W3CDTF">2024-04-04T13:52:00Z</dcterms:created>
  <dcterms:modified xsi:type="dcterms:W3CDTF">2026-08-07T12:09:00Z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2022-03-29T00:00:00Z</vt:filetime>
  </property>
</Properties>
</file>