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D6648" w14:textId="77777777" w:rsidR="005268C6" w:rsidRPr="00DC2C00" w:rsidRDefault="002D01CE">
      <w:pPr>
        <w:widowControl w:val="0"/>
        <w:spacing w:line="240" w:lineRule="auto"/>
        <w:rPr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</w:t>
      </w:r>
      <w:r w:rsidRPr="006D69FB">
        <w:rPr>
          <w:rFonts w:eastAsia="Times New Roman"/>
          <w:b/>
          <w:noProof/>
          <w:snapToGrid/>
          <w:szCs w:val="22"/>
          <w:lang w:val="hu-HU" w:eastAsia="en-US"/>
        </w:rPr>
        <w:t xml:space="preserve"> NEVE</w:t>
      </w:r>
    </w:p>
    <w:p w14:paraId="22D9A94E" w14:textId="77777777" w:rsidR="005268C6" w:rsidRPr="006D69FB" w:rsidRDefault="005268C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340E450" w14:textId="77777777" w:rsidR="005268C6" w:rsidRPr="006D69FB" w:rsidRDefault="002D01CE">
      <w:pPr>
        <w:widowControl w:val="0"/>
        <w:rPr>
          <w:rFonts w:eastAsia="Times New Roman"/>
          <w:iCs/>
          <w:snapToGrid/>
          <w:szCs w:val="22"/>
          <w:lang w:eastAsia="en-US"/>
        </w:rPr>
      </w:pPr>
      <w:bookmarkStart w:id="0" w:name="_Hlk167880103"/>
      <w:r w:rsidRPr="006D69FB">
        <w:rPr>
          <w:noProof/>
          <w:szCs w:val="22"/>
          <w:lang w:eastAsia="en-US"/>
        </w:rPr>
        <w:t>Pitilox 1 mg filmtabletta</w:t>
      </w:r>
    </w:p>
    <w:p w14:paraId="3B8395C6" w14:textId="77777777" w:rsidR="005268C6" w:rsidRDefault="002D01CE">
      <w:pPr>
        <w:widowControl w:val="0"/>
        <w:rPr>
          <w:iCs/>
          <w:szCs w:val="22"/>
          <w:lang w:eastAsia="en-US"/>
        </w:rPr>
      </w:pPr>
      <w:r>
        <w:rPr>
          <w:noProof/>
          <w:szCs w:val="22"/>
          <w:lang w:eastAsia="en-US"/>
        </w:rPr>
        <w:t>Pitilox 2 mg filmtabletta</w:t>
      </w:r>
    </w:p>
    <w:p w14:paraId="4215960F" w14:textId="77777777" w:rsidR="005268C6" w:rsidRDefault="002D01CE">
      <w:pPr>
        <w:widowControl w:val="0"/>
        <w:rPr>
          <w:iCs/>
          <w:szCs w:val="22"/>
          <w:lang w:eastAsia="en-US"/>
        </w:rPr>
      </w:pPr>
      <w:r>
        <w:rPr>
          <w:noProof/>
          <w:szCs w:val="22"/>
          <w:lang w:eastAsia="en-US"/>
        </w:rPr>
        <w:t>Pitilox 4 mg filmtabletta</w:t>
      </w:r>
    </w:p>
    <w:bookmarkEnd w:id="0"/>
    <w:p w14:paraId="512AA214" w14:textId="77777777" w:rsidR="005268C6" w:rsidRDefault="005268C6">
      <w:pPr>
        <w:spacing w:line="240" w:lineRule="auto"/>
        <w:rPr>
          <w:szCs w:val="22"/>
          <w:lang w:val="hu-HU"/>
        </w:rPr>
      </w:pPr>
    </w:p>
    <w:p w14:paraId="6B98B0EE" w14:textId="77777777" w:rsidR="005268C6" w:rsidRDefault="005268C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C8883B" w14:textId="77777777" w:rsidR="005268C6" w:rsidRDefault="002D01CE">
      <w:pPr>
        <w:widowControl w:val="0"/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2.</w:t>
      </w:r>
      <w:r>
        <w:rPr>
          <w:b/>
          <w:szCs w:val="22"/>
          <w:lang w:val="hu-HU"/>
        </w:rPr>
        <w:tab/>
        <w:t>MINŐSÉGI ÉS MENNYISÉGI ÖSSZETÉTEL</w:t>
      </w:r>
    </w:p>
    <w:p w14:paraId="371F1D52" w14:textId="77777777" w:rsidR="005268C6" w:rsidRDefault="005268C6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u w:val="single"/>
          <w:lang w:val="hu-HU" w:eastAsia="en-US"/>
        </w:rPr>
      </w:pPr>
    </w:p>
    <w:p w14:paraId="3FB49D1E" w14:textId="77777777" w:rsidR="005268C6" w:rsidRPr="00DC2C00" w:rsidRDefault="002D01CE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val="hu-HU" w:eastAsia="en-US"/>
        </w:rPr>
      </w:pPr>
      <w:r w:rsidRPr="00DC2C00">
        <w:rPr>
          <w:noProof/>
          <w:szCs w:val="22"/>
          <w:u w:val="single"/>
          <w:lang w:val="hu-HU" w:eastAsia="en-US"/>
        </w:rPr>
        <w:t>Pitilox 1 mg filmtabletta</w:t>
      </w:r>
    </w:p>
    <w:p w14:paraId="0EFC68EF" w14:textId="77777777" w:rsidR="005268C6" w:rsidRDefault="002D01CE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>1 mg pitavasztatint (pitavasztatin-kalcium formájában) tartalmaz filmtablettánként.</w:t>
      </w:r>
    </w:p>
    <w:p w14:paraId="045254EC" w14:textId="77777777" w:rsidR="005268C6" w:rsidRPr="00DC2C00" w:rsidRDefault="005268C6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val="hu-HU" w:eastAsia="en-US"/>
        </w:rPr>
      </w:pPr>
    </w:p>
    <w:p w14:paraId="659088C5" w14:textId="77777777" w:rsidR="005268C6" w:rsidRDefault="002D01CE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DC2C00">
        <w:rPr>
          <w:noProof/>
          <w:szCs w:val="22"/>
          <w:u w:val="single"/>
          <w:lang w:val="hu-HU" w:eastAsia="en-US"/>
        </w:rPr>
        <w:t>Pitilox 2 mg filmtabletta</w:t>
      </w:r>
    </w:p>
    <w:p w14:paraId="74DBDFC1" w14:textId="77777777" w:rsidR="005268C6" w:rsidRDefault="002D01CE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>2 mg pitavasztatint (pitavasztatin-kalcium formájában) tartalmaz filmtablettánként.</w:t>
      </w:r>
    </w:p>
    <w:p w14:paraId="3223E86C" w14:textId="77777777" w:rsidR="005268C6" w:rsidRDefault="005268C6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26985413" w14:textId="77777777" w:rsidR="005268C6" w:rsidRDefault="002D01CE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DC2C00">
        <w:rPr>
          <w:noProof/>
          <w:szCs w:val="22"/>
          <w:u w:val="single"/>
          <w:lang w:val="hu-HU" w:eastAsia="en-US"/>
        </w:rPr>
        <w:t>Pitilox 4 mg filmtabletta</w:t>
      </w:r>
    </w:p>
    <w:p w14:paraId="3CDE1267" w14:textId="77777777" w:rsidR="005268C6" w:rsidRDefault="002D01CE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>4 mg pitavasztatint (pitavasztatin-kalcium formájában) tartalmaz filmtablettánként.</w:t>
      </w:r>
    </w:p>
    <w:p w14:paraId="2E74C76B" w14:textId="77777777" w:rsidR="005268C6" w:rsidRDefault="005268C6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51133115" w14:textId="77777777" w:rsidR="005268C6" w:rsidRDefault="002D01CE">
      <w:pPr>
        <w:widowControl w:val="0"/>
        <w:spacing w:line="240" w:lineRule="auto"/>
        <w:rPr>
          <w:bCs/>
          <w:szCs w:val="22"/>
          <w:u w:val="single"/>
          <w:lang w:val="hu-HU"/>
        </w:rPr>
      </w:pPr>
      <w:r>
        <w:rPr>
          <w:bCs/>
          <w:szCs w:val="22"/>
          <w:u w:val="single"/>
          <w:lang w:val="hu-HU"/>
        </w:rPr>
        <w:t>Ismert hatású segédanyagok</w:t>
      </w:r>
    </w:p>
    <w:p w14:paraId="684ECAF8" w14:textId="77777777" w:rsidR="005268C6" w:rsidRDefault="005268C6">
      <w:pPr>
        <w:widowControl w:val="0"/>
        <w:spacing w:line="240" w:lineRule="auto"/>
        <w:rPr>
          <w:bCs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7"/>
        <w:gridCol w:w="2175"/>
        <w:gridCol w:w="2175"/>
        <w:gridCol w:w="2175"/>
      </w:tblGrid>
      <w:tr w:rsidR="005268C6" w14:paraId="160A25F9" w14:textId="77777777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6BDA" w14:textId="77777777" w:rsidR="005268C6" w:rsidRDefault="005268C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6948" w14:textId="77777777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noProof/>
                <w:szCs w:val="22"/>
                <w:lang w:eastAsia="en-US"/>
              </w:rPr>
              <w:t>1 mg-os filmtabletta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B5E3" w14:textId="77777777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noProof/>
                <w:szCs w:val="22"/>
                <w:lang w:eastAsia="en-US"/>
              </w:rPr>
              <w:t>2 mg-os filmtabletta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B14A" w14:textId="77777777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noProof/>
                <w:szCs w:val="22"/>
                <w:lang w:eastAsia="en-US"/>
              </w:rPr>
              <w:t>4 mg-os filmtabletta</w:t>
            </w:r>
          </w:p>
        </w:tc>
      </w:tr>
      <w:tr w:rsidR="005268C6" w14:paraId="10481BF0" w14:textId="77777777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7CE1" w14:textId="47AED479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bCs/>
                <w:noProof/>
                <w:szCs w:val="22"/>
                <w:lang w:eastAsia="en-US"/>
              </w:rPr>
              <w:t>Laktóz</w:t>
            </w:r>
            <w:r w:rsidR="00AE406B">
              <w:rPr>
                <w:bCs/>
                <w:noProof/>
                <w:szCs w:val="22"/>
                <w:lang w:eastAsia="en-US"/>
              </w:rPr>
              <w:t xml:space="preserve"> (vízmentes)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78C9" w14:textId="77777777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bCs/>
                <w:noProof/>
                <w:szCs w:val="22"/>
                <w:lang w:eastAsia="en-US"/>
              </w:rPr>
              <w:t>61,7 mg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4A7F0" w14:textId="77777777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bCs/>
                <w:noProof/>
                <w:szCs w:val="22"/>
                <w:lang w:eastAsia="en-US"/>
              </w:rPr>
              <w:t>122,5 mg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B71C2" w14:textId="77777777" w:rsidR="005268C6" w:rsidRDefault="002D01CE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>
              <w:rPr>
                <w:bCs/>
                <w:noProof/>
                <w:szCs w:val="22"/>
                <w:lang w:eastAsia="en-US"/>
              </w:rPr>
              <w:t>246,0 mg</w:t>
            </w:r>
          </w:p>
        </w:tc>
      </w:tr>
    </w:tbl>
    <w:p w14:paraId="39646E6D" w14:textId="77777777" w:rsidR="005268C6" w:rsidRDefault="005268C6">
      <w:pPr>
        <w:widowControl w:val="0"/>
        <w:spacing w:line="240" w:lineRule="auto"/>
        <w:rPr>
          <w:bCs/>
          <w:szCs w:val="22"/>
          <w:lang w:val="hu-HU"/>
        </w:rPr>
      </w:pPr>
    </w:p>
    <w:p w14:paraId="5CED13D4" w14:textId="77777777" w:rsidR="005268C6" w:rsidRDefault="002D01CE">
      <w:pPr>
        <w:widowControl w:val="0"/>
        <w:spacing w:line="240" w:lineRule="auto"/>
        <w:rPr>
          <w:bCs/>
          <w:szCs w:val="22"/>
          <w:lang w:val="hu-HU"/>
        </w:rPr>
      </w:pPr>
      <w:r>
        <w:rPr>
          <w:bCs/>
          <w:szCs w:val="22"/>
          <w:lang w:val="hu-HU"/>
        </w:rPr>
        <w:t>A segédanyagok teljes listáját lásd a 6.1 pontban.</w:t>
      </w:r>
    </w:p>
    <w:p w14:paraId="0E1E89C1" w14:textId="77777777" w:rsidR="005268C6" w:rsidRDefault="005268C6">
      <w:pPr>
        <w:widowControl w:val="0"/>
        <w:spacing w:line="240" w:lineRule="auto"/>
        <w:rPr>
          <w:bCs/>
          <w:szCs w:val="22"/>
          <w:lang w:val="hu-HU"/>
        </w:rPr>
      </w:pPr>
    </w:p>
    <w:p w14:paraId="44976D81" w14:textId="77777777" w:rsidR="005268C6" w:rsidRDefault="005268C6">
      <w:pPr>
        <w:widowControl w:val="0"/>
        <w:spacing w:line="240" w:lineRule="auto"/>
        <w:rPr>
          <w:bCs/>
          <w:szCs w:val="22"/>
          <w:lang w:val="hu-HU"/>
        </w:rPr>
      </w:pPr>
    </w:p>
    <w:p w14:paraId="0050D724" w14:textId="77777777" w:rsidR="005268C6" w:rsidRDefault="002D01C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385A3B6C" w14:textId="77777777" w:rsidR="005268C6" w:rsidRDefault="005268C6">
      <w:pPr>
        <w:spacing w:line="240" w:lineRule="auto"/>
        <w:ind w:left="567" w:hanging="567"/>
        <w:rPr>
          <w:b/>
          <w:szCs w:val="22"/>
          <w:lang w:val="hu-HU"/>
        </w:rPr>
      </w:pPr>
    </w:p>
    <w:p w14:paraId="78A672AD" w14:textId="77777777" w:rsidR="005268C6" w:rsidRDefault="002D01CE">
      <w:pPr>
        <w:spacing w:line="240" w:lineRule="auto"/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Filmtabletta (tabletta).</w:t>
      </w:r>
    </w:p>
    <w:p w14:paraId="248A5A46" w14:textId="77777777" w:rsidR="005268C6" w:rsidRDefault="005268C6">
      <w:pPr>
        <w:spacing w:line="240" w:lineRule="auto"/>
        <w:ind w:left="567" w:hanging="567"/>
        <w:rPr>
          <w:szCs w:val="22"/>
          <w:lang w:val="hu-HU" w:eastAsia="en-US"/>
        </w:rPr>
      </w:pPr>
    </w:p>
    <w:p w14:paraId="6AB5F9FB" w14:textId="77777777" w:rsidR="005268C6" w:rsidRPr="00DC2C00" w:rsidRDefault="002D01CE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val="hu-HU" w:eastAsia="en-US"/>
        </w:rPr>
      </w:pPr>
      <w:r w:rsidRPr="00DC2C00">
        <w:rPr>
          <w:noProof/>
          <w:szCs w:val="22"/>
          <w:u w:val="single"/>
          <w:lang w:val="hu-HU" w:eastAsia="en-US"/>
        </w:rPr>
        <w:t>Pitilox 1 mg filmtabletta</w:t>
      </w:r>
    </w:p>
    <w:p w14:paraId="6244081E" w14:textId="77777777" w:rsidR="005268C6" w:rsidRDefault="002D01CE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DC2C00">
        <w:rPr>
          <w:noProof/>
          <w:szCs w:val="22"/>
          <w:lang w:val="hu-HU" w:eastAsia="en-US"/>
        </w:rPr>
        <w:t xml:space="preserve">Barnássárga, kerek, mindkét oldalán domború filmtabletta, </w:t>
      </w:r>
      <w:r>
        <w:rPr>
          <w:szCs w:val="22"/>
          <w:lang w:val="hu-HU"/>
        </w:rPr>
        <w:t>az egyik oldalán mélynyomású „1” jelöléssel ellátva</w:t>
      </w:r>
      <w:r w:rsidRPr="00DC2C00">
        <w:rPr>
          <w:noProof/>
          <w:szCs w:val="22"/>
          <w:lang w:val="hu-HU" w:eastAsia="en-US"/>
        </w:rPr>
        <w:t xml:space="preserve">. </w:t>
      </w:r>
      <w:r>
        <w:rPr>
          <w:szCs w:val="22"/>
          <w:lang w:val="hu-HU"/>
        </w:rPr>
        <w:t>A tabletta átmérője kb. 6 mm.</w:t>
      </w:r>
    </w:p>
    <w:p w14:paraId="66F8635A" w14:textId="77777777" w:rsidR="005268C6" w:rsidRPr="00DC2C00" w:rsidRDefault="005268C6">
      <w:pPr>
        <w:spacing w:line="240" w:lineRule="auto"/>
        <w:ind w:left="567" w:hanging="567"/>
        <w:rPr>
          <w:noProof/>
          <w:szCs w:val="22"/>
          <w:u w:val="single"/>
          <w:lang w:val="hu-HU" w:eastAsia="en-US"/>
        </w:rPr>
      </w:pPr>
    </w:p>
    <w:p w14:paraId="62086895" w14:textId="77777777" w:rsidR="005268C6" w:rsidRPr="00DC2C00" w:rsidRDefault="002D01CE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val="hu-HU" w:eastAsia="en-US"/>
        </w:rPr>
      </w:pPr>
      <w:r w:rsidRPr="00DC2C00">
        <w:rPr>
          <w:noProof/>
          <w:szCs w:val="22"/>
          <w:u w:val="single"/>
          <w:lang w:val="hu-HU" w:eastAsia="en-US"/>
        </w:rPr>
        <w:t>Pitilox 2 mg filmtabletta</w:t>
      </w:r>
    </w:p>
    <w:p w14:paraId="77A103C0" w14:textId="77777777" w:rsidR="005268C6" w:rsidRDefault="002D01CE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DC2C00">
        <w:rPr>
          <w:noProof/>
          <w:szCs w:val="22"/>
          <w:lang w:val="hu-HU" w:eastAsia="en-US"/>
        </w:rPr>
        <w:t xml:space="preserve">Barnás-narancssárga, kerek, mindkét oldalán domború filmtabletta, </w:t>
      </w:r>
      <w:r>
        <w:rPr>
          <w:szCs w:val="22"/>
          <w:lang w:val="hu-HU"/>
        </w:rPr>
        <w:t>az egyik oldalán mélynyomású „2” jelöléssel ellátva</w:t>
      </w:r>
      <w:r w:rsidRPr="00DC2C00">
        <w:rPr>
          <w:noProof/>
          <w:szCs w:val="22"/>
          <w:lang w:val="hu-HU" w:eastAsia="en-US"/>
        </w:rPr>
        <w:t>.</w:t>
      </w:r>
      <w:r>
        <w:rPr>
          <w:szCs w:val="22"/>
          <w:lang w:val="hu-HU"/>
        </w:rPr>
        <w:t xml:space="preserve"> A tabletta átmérője kb. 7 mm.</w:t>
      </w:r>
    </w:p>
    <w:p w14:paraId="7719E4F7" w14:textId="77777777" w:rsidR="005268C6" w:rsidRPr="00DC2C00" w:rsidRDefault="005268C6">
      <w:pPr>
        <w:spacing w:line="240" w:lineRule="auto"/>
        <w:ind w:left="567" w:hanging="567"/>
        <w:rPr>
          <w:noProof/>
          <w:szCs w:val="22"/>
          <w:u w:val="single"/>
          <w:lang w:val="hu-HU" w:eastAsia="en-US"/>
        </w:rPr>
      </w:pPr>
    </w:p>
    <w:p w14:paraId="3771E0A0" w14:textId="77777777" w:rsidR="005268C6" w:rsidRPr="00DC2C00" w:rsidRDefault="002D01CE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val="hu-HU" w:eastAsia="en-US"/>
        </w:rPr>
      </w:pPr>
      <w:r w:rsidRPr="00DC2C00">
        <w:rPr>
          <w:noProof/>
          <w:szCs w:val="22"/>
          <w:u w:val="single"/>
          <w:lang w:val="hu-HU" w:eastAsia="en-US"/>
        </w:rPr>
        <w:t>Pitilox 4 mg filmtabletta</w:t>
      </w:r>
    </w:p>
    <w:p w14:paraId="26C32E92" w14:textId="77777777" w:rsidR="005268C6" w:rsidRDefault="002D01CE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DC2C00">
        <w:rPr>
          <w:noProof/>
          <w:szCs w:val="22"/>
          <w:lang w:val="hu-HU" w:eastAsia="en-US"/>
        </w:rPr>
        <w:t xml:space="preserve">Barnásvörös, kerek, mindkét oldalán domború filmtabletta, </w:t>
      </w:r>
      <w:r>
        <w:rPr>
          <w:szCs w:val="22"/>
          <w:lang w:val="hu-HU"/>
        </w:rPr>
        <w:t>az egyik oldalán mélynyomású „4” jelöléssel ellátva</w:t>
      </w:r>
      <w:r w:rsidRPr="00DC2C00">
        <w:rPr>
          <w:noProof/>
          <w:szCs w:val="22"/>
          <w:lang w:val="hu-HU" w:eastAsia="en-US"/>
        </w:rPr>
        <w:t>.</w:t>
      </w:r>
      <w:r>
        <w:rPr>
          <w:szCs w:val="22"/>
          <w:lang w:val="hu-HU"/>
        </w:rPr>
        <w:t xml:space="preserve"> A tabletta átmérője kb. 9 mm.</w:t>
      </w:r>
    </w:p>
    <w:p w14:paraId="28DE65B7" w14:textId="77777777" w:rsidR="005268C6" w:rsidRDefault="005268C6">
      <w:pPr>
        <w:spacing w:line="240" w:lineRule="auto"/>
        <w:rPr>
          <w:b/>
          <w:szCs w:val="22"/>
          <w:lang w:val="hu-HU"/>
        </w:rPr>
      </w:pPr>
    </w:p>
    <w:p w14:paraId="76F0ECAD" w14:textId="77777777" w:rsidR="005268C6" w:rsidRDefault="005268C6">
      <w:pPr>
        <w:spacing w:line="240" w:lineRule="auto"/>
        <w:rPr>
          <w:szCs w:val="22"/>
          <w:lang w:val="hu-HU"/>
        </w:rPr>
      </w:pPr>
    </w:p>
    <w:p w14:paraId="13B4A8D4" w14:textId="77777777" w:rsidR="005268C6" w:rsidRDefault="002D01C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  <w:t>KLINIKAI JELLEMZŐK</w:t>
      </w:r>
    </w:p>
    <w:p w14:paraId="14BD89C9" w14:textId="77777777" w:rsidR="005268C6" w:rsidRDefault="005268C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65BA369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498C03F" w14:textId="77777777" w:rsidR="005268C6" w:rsidRPr="00DC2C00" w:rsidRDefault="005268C6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33140735" w14:textId="191A0B43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 xml:space="preserve">A </w:t>
      </w:r>
      <w:r w:rsidRPr="00DC2C00">
        <w:rPr>
          <w:noProof/>
          <w:szCs w:val="22"/>
          <w:lang w:val="hu-HU" w:eastAsia="en-US"/>
        </w:rPr>
        <w:t>Pitilox</w:t>
      </w:r>
      <w:r w:rsidRPr="00DC2C00">
        <w:rPr>
          <w:szCs w:val="22"/>
          <w:lang w:val="hu-HU"/>
        </w:rPr>
        <w:t xml:space="preserve"> felnőttek, 6 éves vagy idősebb gyermekek és serdülők számára az emelkedett</w:t>
      </w:r>
      <w:r w:rsidRPr="00DC2C00">
        <w:rPr>
          <w:color w:val="010101"/>
          <w:szCs w:val="22"/>
          <w:shd w:val="clear" w:color="auto" w:fill="FFFFFF"/>
          <w:lang w:val="hu-HU"/>
        </w:rPr>
        <w:t xml:space="preserve"> összkoleszterin</w:t>
      </w:r>
      <w:r w:rsidR="00AE406B">
        <w:rPr>
          <w:color w:val="010101"/>
          <w:szCs w:val="22"/>
          <w:shd w:val="clear" w:color="auto" w:fill="FFFFFF"/>
          <w:lang w:val="hu-HU"/>
        </w:rPr>
        <w:t>szint</w:t>
      </w:r>
      <w:r w:rsidRPr="00DC2C00">
        <w:rPr>
          <w:color w:val="010101"/>
          <w:szCs w:val="22"/>
          <w:shd w:val="clear" w:color="auto" w:fill="FFFFFF"/>
          <w:lang w:val="hu-HU"/>
        </w:rPr>
        <w:t xml:space="preserve"> (TC) és LDL-koleszterinszint (LDL-C) csökkentésére </w:t>
      </w:r>
      <w:r w:rsidRPr="00DC2C00">
        <w:rPr>
          <w:szCs w:val="22"/>
          <w:lang w:val="hu-HU"/>
        </w:rPr>
        <w:t>javallt primer hypercholesterinaemiában – beleértve a heterozigóta familiáris hypercholesterinaemiát és a kombinált (kevert) dyslipidaemiát – amikor a diéta és az egyéb, nem gyógyszeres kezelés nem megfelelő.</w:t>
      </w:r>
    </w:p>
    <w:p w14:paraId="22653953" w14:textId="77777777" w:rsidR="005268C6" w:rsidRPr="00DC2C00" w:rsidRDefault="005268C6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2054DA0E" w14:textId="77777777" w:rsidR="005268C6" w:rsidRDefault="002D01CE" w:rsidP="00DC2C00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723E07B3" w14:textId="77777777" w:rsidR="005268C6" w:rsidRDefault="005268C6" w:rsidP="00DC2C00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0BA5C35" w14:textId="77777777" w:rsidR="005268C6" w:rsidRDefault="002D01CE" w:rsidP="00DC2C00">
      <w:pPr>
        <w:keepNext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1870329A" w14:textId="77777777" w:rsidR="005268C6" w:rsidRDefault="005268C6" w:rsidP="00DC2C00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351ED27" w14:textId="77777777" w:rsidR="005268C6" w:rsidRPr="00DC2C00" w:rsidRDefault="002D01CE" w:rsidP="00DC2C00">
      <w:pPr>
        <w:keepNext/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>A terápia megkezdése előtt a beteget koleszterinszint-csökkentő diétára kell állítani, melyet fontos a gyógyszeres kezelés ideje alatt is folytatni.</w:t>
      </w:r>
    </w:p>
    <w:p w14:paraId="1903B548" w14:textId="77777777" w:rsidR="005268C6" w:rsidRDefault="005268C6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E4E42E7" w14:textId="77777777" w:rsidR="005268C6" w:rsidRPr="00DC2C00" w:rsidRDefault="002D01CE">
      <w:pPr>
        <w:spacing w:line="240" w:lineRule="auto"/>
        <w:rPr>
          <w:szCs w:val="22"/>
          <w:lang w:val="hu-HU"/>
        </w:rPr>
      </w:pPr>
      <w:r w:rsidRPr="00DC2C00">
        <w:rPr>
          <w:szCs w:val="22"/>
          <w:lang w:val="hu-HU"/>
        </w:rPr>
        <w:t>A szokásos kezdő dózis naponta egyszer 1 mg. A dózismódosítást 4 hetes vagy hosszabb időközönként kell végezni. A dózist egyénre szabottan kell megállapítani az LDL</w:t>
      </w:r>
      <w:r w:rsidRPr="00DC2C00">
        <w:rPr>
          <w:szCs w:val="22"/>
          <w:lang w:val="hu-HU"/>
        </w:rPr>
        <w:noBreakHyphen/>
        <w:t>C-szint, a terápia célja és a beteg terápiára adott válasza alapján. A maximális napi dózis 4 mg.</w:t>
      </w:r>
    </w:p>
    <w:p w14:paraId="5B697727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780CE7D5" w14:textId="77777777" w:rsidR="005268C6" w:rsidRPr="00DC2C00" w:rsidRDefault="002D01CE">
      <w:pPr>
        <w:spacing w:line="240" w:lineRule="auto"/>
        <w:rPr>
          <w:szCs w:val="22"/>
          <w:u w:val="single"/>
          <w:lang w:val="hu-HU" w:eastAsia="en-US"/>
        </w:rPr>
      </w:pPr>
      <w:r w:rsidRPr="00DC2C00">
        <w:rPr>
          <w:szCs w:val="22"/>
          <w:u w:val="single"/>
          <w:lang w:val="hu-HU" w:eastAsia="en-US"/>
        </w:rPr>
        <w:t>Idősek</w:t>
      </w:r>
    </w:p>
    <w:p w14:paraId="2226E053" w14:textId="77777777" w:rsidR="005268C6" w:rsidRPr="00DC2C00" w:rsidRDefault="005268C6">
      <w:pPr>
        <w:spacing w:line="240" w:lineRule="auto"/>
        <w:rPr>
          <w:szCs w:val="22"/>
          <w:u w:val="single"/>
          <w:lang w:val="hu-HU" w:eastAsia="en-US"/>
        </w:rPr>
      </w:pPr>
    </w:p>
    <w:p w14:paraId="48789310" w14:textId="172ED2FF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Nincs szükség dózismódosításra 70 évesnél idősebb betegeknél (lásd 5.1 és 5.2 pont).</w:t>
      </w:r>
    </w:p>
    <w:p w14:paraId="54AEAE85" w14:textId="77777777" w:rsidR="005268C6" w:rsidRPr="00DC2C00" w:rsidRDefault="005268C6">
      <w:pPr>
        <w:spacing w:line="240" w:lineRule="auto"/>
        <w:rPr>
          <w:szCs w:val="22"/>
          <w:u w:val="single"/>
          <w:lang w:val="hu-HU" w:eastAsia="en-US"/>
        </w:rPr>
      </w:pPr>
    </w:p>
    <w:p w14:paraId="4C69F8C3" w14:textId="77777777" w:rsidR="005268C6" w:rsidRPr="00DC2C00" w:rsidRDefault="002D01CE">
      <w:pPr>
        <w:keepNext/>
        <w:rPr>
          <w:i/>
          <w:szCs w:val="22"/>
          <w:u w:val="single"/>
          <w:lang w:val="hu-HU"/>
        </w:rPr>
      </w:pPr>
      <w:r w:rsidRPr="00DC2C00">
        <w:rPr>
          <w:i/>
          <w:szCs w:val="22"/>
          <w:u w:val="single"/>
          <w:lang w:val="hu-HU"/>
        </w:rPr>
        <w:t>Gyermekek és serdülők</w:t>
      </w:r>
    </w:p>
    <w:p w14:paraId="18791F84" w14:textId="77777777" w:rsidR="005268C6" w:rsidRPr="00DC2C00" w:rsidRDefault="005268C6">
      <w:pPr>
        <w:keepNext/>
        <w:rPr>
          <w:i/>
          <w:szCs w:val="22"/>
          <w:u w:val="single"/>
          <w:lang w:val="hu-HU"/>
        </w:rPr>
      </w:pPr>
    </w:p>
    <w:p w14:paraId="79BADA26" w14:textId="7A614950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i/>
          <w:szCs w:val="22"/>
          <w:lang w:val="hu-HU"/>
        </w:rPr>
        <w:t>6 éves</w:t>
      </w:r>
      <w:r w:rsidR="00AE406B">
        <w:rPr>
          <w:i/>
          <w:szCs w:val="22"/>
          <w:lang w:val="hu-HU"/>
        </w:rPr>
        <w:t xml:space="preserve"> és</w:t>
      </w:r>
      <w:r w:rsidRPr="00DC2C00">
        <w:rPr>
          <w:i/>
          <w:szCs w:val="22"/>
          <w:lang w:val="hu-HU"/>
        </w:rPr>
        <w:t xml:space="preserve"> idősebb gyermekek és serdülők:</w:t>
      </w:r>
    </w:p>
    <w:p w14:paraId="104FE3C9" w14:textId="77777777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Gyermekek Pitilox-szal való kezelését csak a hyperlipidaemia kezelésében jártas kezelőorvos végezheti. A laborértékek változását rendszeresen ellenőrizni kell.</w:t>
      </w:r>
    </w:p>
    <w:p w14:paraId="63E252C9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7C8ECEC5" w14:textId="0146899D" w:rsidR="005268C6" w:rsidRDefault="002D01CE">
      <w:pPr>
        <w:pStyle w:val="Default"/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Heterozigóta familiáris hypercholesterinaemiában szenvedő gyermekeknél és serdülőknél a szokásos kezdő dózis naponta egyszer 1 mg. A dózismódosítást 4 hetes vagy hosszabb időközönként kell végezni. A dózisokat egyénre szabottan kell megállapítani az LDL</w:t>
      </w:r>
      <w:r>
        <w:rPr>
          <w:sz w:val="22"/>
          <w:szCs w:val="22"/>
        </w:rPr>
        <w:noBreakHyphen/>
        <w:t>C-szint, a terápia célja és a beteg terápiára adott válasza alapján. A 6 és 9 év közötti gyermekeknél a maximális napi dózis 2 mg. 10 éves kortól a maximális napi dózis 4 mg (lásd 4.8, 5.1 és 5.2 pont).</w:t>
      </w:r>
    </w:p>
    <w:p w14:paraId="0D9F4F09" w14:textId="77777777" w:rsidR="005268C6" w:rsidRDefault="005268C6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33A7BC4D" w14:textId="77777777" w:rsidR="005268C6" w:rsidRPr="00DC2C00" w:rsidRDefault="002D01CE">
      <w:pPr>
        <w:spacing w:line="240" w:lineRule="auto"/>
        <w:rPr>
          <w:i/>
          <w:iCs/>
          <w:szCs w:val="22"/>
          <w:lang w:val="hu-HU" w:eastAsia="en-US"/>
        </w:rPr>
      </w:pPr>
      <w:r w:rsidRPr="00DC2C00">
        <w:rPr>
          <w:i/>
          <w:iCs/>
          <w:szCs w:val="22"/>
          <w:lang w:val="hu-HU" w:eastAsia="en-US"/>
        </w:rPr>
        <w:t>6 évesnél fiatalabb gyermekek:</w:t>
      </w:r>
    </w:p>
    <w:p w14:paraId="44EF9A02" w14:textId="77777777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A Pitilox biztonságosságát és hatásosságát 6 évesnél fiatalabb gyermekek esetében nem igazolták. Nincsenek rendelkezésre álló adatok.</w:t>
      </w:r>
    </w:p>
    <w:p w14:paraId="36F415DE" w14:textId="77777777" w:rsidR="005268C6" w:rsidRPr="00DC2C00" w:rsidRDefault="005268C6">
      <w:pPr>
        <w:spacing w:line="240" w:lineRule="auto"/>
        <w:rPr>
          <w:szCs w:val="22"/>
          <w:u w:val="single"/>
          <w:lang w:val="hu-HU" w:eastAsia="en-US"/>
        </w:rPr>
      </w:pPr>
    </w:p>
    <w:p w14:paraId="4CF7C901" w14:textId="77777777" w:rsidR="005268C6" w:rsidRDefault="002D01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u w:val="single"/>
          <w:lang w:val="hu-HU" w:eastAsia="en-US"/>
        </w:rPr>
      </w:pPr>
      <w:r>
        <w:rPr>
          <w:rFonts w:eastAsiaTheme="minorHAnsi"/>
          <w:snapToGrid/>
          <w:color w:val="000000"/>
          <w:szCs w:val="22"/>
          <w:u w:val="single"/>
          <w:lang w:val="hu-HU" w:eastAsia="en-US"/>
        </w:rPr>
        <w:t>Vesekárosodásban szenvedő betegek</w:t>
      </w:r>
    </w:p>
    <w:p w14:paraId="58E6FFA8" w14:textId="0A19EFC8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Enyhe fokú vesekárosodásban szenvedő betegeknél nincs szükség dózismódosításra, azonban a pitavasztatin körültekintéssel alkalmazandó. A 4 mg-os dózis alkalmazásával kapcsolatban korlátozottak az adatok bármilyen fokú vesekárosodás esetén, ezért a 4 mg-os dózist CSAK szoros monitorozás mellett szabad alkalmazni, fokozatos dózistitrálást követően. Súlyos vesekárosodásban szenvedő betegeknek a 4 mg-os dózis nem javasolt (lásd 4.4 és 5.2 pont).</w:t>
      </w:r>
    </w:p>
    <w:p w14:paraId="30EAB722" w14:textId="77777777" w:rsidR="005268C6" w:rsidRPr="00DC2C00" w:rsidRDefault="005268C6">
      <w:pPr>
        <w:spacing w:line="240" w:lineRule="auto"/>
        <w:rPr>
          <w:szCs w:val="22"/>
          <w:u w:val="single"/>
          <w:lang w:val="hu-HU" w:eastAsia="en-US"/>
        </w:rPr>
      </w:pPr>
    </w:p>
    <w:p w14:paraId="37806ACB" w14:textId="77777777" w:rsidR="005268C6" w:rsidRPr="00DC2C00" w:rsidRDefault="002D01CE">
      <w:pPr>
        <w:spacing w:line="240" w:lineRule="auto"/>
        <w:rPr>
          <w:szCs w:val="22"/>
          <w:u w:val="single"/>
          <w:lang w:val="hu-HU" w:eastAsia="en-US"/>
        </w:rPr>
      </w:pPr>
      <w:r w:rsidRPr="00DC2C00">
        <w:rPr>
          <w:szCs w:val="22"/>
          <w:u w:val="single"/>
          <w:lang w:val="hu-HU" w:eastAsia="en-US"/>
        </w:rPr>
        <w:t>Enyhe vagy közepesen súlyos májkárosodásban szenvedő betegek</w:t>
      </w:r>
    </w:p>
    <w:p w14:paraId="548DC69C" w14:textId="2010716C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A 4 mg-os dózis nem javasolt enyhe vagy közepesen súlyos májkárosodásban szenvedő betegeknek. Az adható maximális napi dózis 2 mg, szoros monitorozás mellett (lásd 4.4 és 5.2 pont).</w:t>
      </w:r>
    </w:p>
    <w:p w14:paraId="5E0938D8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22D69F12" w14:textId="77777777" w:rsidR="005268C6" w:rsidRDefault="002D01C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1EA13EE5" w14:textId="31DC1031" w:rsidR="005268C6" w:rsidRPr="00DC2C00" w:rsidRDefault="002D01CE">
      <w:pPr>
        <w:spacing w:line="240" w:lineRule="auto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Csak szájon át alkalmazható, egészben kell lenyelni. A </w:t>
      </w:r>
      <w:r w:rsidRPr="00DC2C00">
        <w:rPr>
          <w:szCs w:val="22"/>
          <w:lang w:val="hu-HU" w:eastAsia="en-US"/>
        </w:rPr>
        <w:t>Pitilox bevehető étkezés közben vagy étkezéstől függetlenül, a nap bármely szakában. A betegnek érdemes a tablettát mindennap ugyanabban az időpontban bevenni. A sztatin-terápia általában este hatékonyabb a lipidmetabolizmus cirkadián ritmusa miatt.</w:t>
      </w:r>
    </w:p>
    <w:p w14:paraId="2AF6AA5D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53F27D16" w14:textId="7E83705F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bookmarkStart w:id="1" w:name="_Hlk168553885"/>
      <w:r w:rsidRPr="00DC2C00">
        <w:rPr>
          <w:szCs w:val="22"/>
          <w:lang w:val="hu-HU" w:eastAsia="en-US"/>
        </w:rPr>
        <w:t>Ha a gyerek vagy a serdülő nem képes lenyelni a tablettát</w:t>
      </w:r>
      <w:bookmarkStart w:id="2" w:name="_Hlk167966562"/>
      <w:r w:rsidRPr="00DC2C00">
        <w:rPr>
          <w:szCs w:val="22"/>
          <w:lang w:val="hu-HU" w:eastAsia="en-US"/>
        </w:rPr>
        <w:t>, szükség esetén a tabletta diszpergálható egy pohár vízben, amit azonnal meg kell inni. A pontos adagolás biztosítása érdekében öblítse át a poharat egy második pohárnyi vízzel, és azt is igya meg. A tablettát nem szabad savas gyümölcsl</w:t>
      </w:r>
      <w:r w:rsidR="00AE406B">
        <w:rPr>
          <w:szCs w:val="22"/>
          <w:lang w:val="hu-HU" w:eastAsia="en-US"/>
        </w:rPr>
        <w:t>é</w:t>
      </w:r>
      <w:r w:rsidRPr="00DC2C00">
        <w:rPr>
          <w:szCs w:val="22"/>
          <w:lang w:val="hu-HU" w:eastAsia="en-US"/>
        </w:rPr>
        <w:t>ben vagy tejben diszpergálni.</w:t>
      </w:r>
      <w:bookmarkEnd w:id="2"/>
    </w:p>
    <w:bookmarkEnd w:id="1"/>
    <w:p w14:paraId="18B5A3E4" w14:textId="77777777" w:rsidR="005268C6" w:rsidRDefault="005268C6">
      <w:pPr>
        <w:spacing w:line="240" w:lineRule="auto"/>
        <w:rPr>
          <w:szCs w:val="22"/>
          <w:lang w:val="hu-HU"/>
        </w:rPr>
      </w:pPr>
    </w:p>
    <w:p w14:paraId="0B5D0EB7" w14:textId="77777777" w:rsidR="005268C6" w:rsidRDefault="002D01CE" w:rsidP="00DC2C00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0C0A2E64" w14:textId="77777777" w:rsidR="005268C6" w:rsidRDefault="005268C6" w:rsidP="00DC2C00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A276BC" w14:textId="77777777" w:rsidR="005268C6" w:rsidRPr="00DC2C00" w:rsidRDefault="002D01CE" w:rsidP="00DC2C00">
      <w:pPr>
        <w:keepNext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 xml:space="preserve">A </w:t>
      </w:r>
      <w:r w:rsidRPr="00DC2C00">
        <w:rPr>
          <w:szCs w:val="22"/>
          <w:lang w:val="hu-HU" w:eastAsia="en-US"/>
        </w:rPr>
        <w:t xml:space="preserve">Pitilox </w:t>
      </w:r>
      <w:r w:rsidRPr="00DC2C00">
        <w:rPr>
          <w:szCs w:val="22"/>
          <w:lang w:val="hu-HU"/>
        </w:rPr>
        <w:t>ellenjavallt:</w:t>
      </w:r>
    </w:p>
    <w:p w14:paraId="5CB20447" w14:textId="77777777" w:rsidR="005268C6" w:rsidRPr="00DC2C00" w:rsidRDefault="002D01CE" w:rsidP="00DC2C00">
      <w:pPr>
        <w:keepNext/>
        <w:autoSpaceDE w:val="0"/>
        <w:autoSpaceDN w:val="0"/>
        <w:adjustRightInd w:val="0"/>
        <w:ind w:left="567" w:hanging="567"/>
        <w:rPr>
          <w:szCs w:val="22"/>
          <w:lang w:val="hu-HU"/>
        </w:rPr>
      </w:pPr>
      <w:r w:rsidRPr="00DC2C00">
        <w:rPr>
          <w:szCs w:val="22"/>
          <w:lang w:val="hu-HU"/>
        </w:rPr>
        <w:t>-</w:t>
      </w:r>
      <w:r w:rsidRPr="00DC2C00">
        <w:rPr>
          <w:szCs w:val="22"/>
          <w:lang w:val="hu-HU"/>
        </w:rPr>
        <w:tab/>
        <w:t xml:space="preserve">a pitavasztatinnal vagy a </w:t>
      </w:r>
      <w:r w:rsidRPr="00DC2C00">
        <w:rPr>
          <w:rFonts w:eastAsia="Times New Roman"/>
          <w:szCs w:val="22"/>
          <w:lang w:val="hu-HU"/>
        </w:rPr>
        <w:t xml:space="preserve">6.1 pontban felsorolt </w:t>
      </w:r>
      <w:r w:rsidRPr="00DC2C00">
        <w:rPr>
          <w:szCs w:val="22"/>
          <w:lang w:val="hu-HU"/>
        </w:rPr>
        <w:t>bármely segédanyaggal vagy más sztatinokkal szembeni ismert túlérzékenység esetén;</w:t>
      </w:r>
    </w:p>
    <w:p w14:paraId="345B0CE8" w14:textId="6D735EAD" w:rsidR="005268C6" w:rsidRPr="00DC2C00" w:rsidRDefault="002D01CE">
      <w:pPr>
        <w:widowControl w:val="0"/>
        <w:autoSpaceDE w:val="0"/>
        <w:autoSpaceDN w:val="0"/>
        <w:adjustRightInd w:val="0"/>
        <w:ind w:left="567" w:hanging="567"/>
        <w:rPr>
          <w:szCs w:val="22"/>
          <w:lang w:val="hu-HU"/>
        </w:rPr>
      </w:pPr>
      <w:r w:rsidRPr="00DC2C00">
        <w:rPr>
          <w:szCs w:val="22"/>
          <w:lang w:val="hu-HU"/>
        </w:rPr>
        <w:t>-</w:t>
      </w:r>
      <w:r w:rsidRPr="00DC2C00">
        <w:rPr>
          <w:szCs w:val="22"/>
          <w:lang w:val="hu-HU"/>
        </w:rPr>
        <w:tab/>
        <w:t>súlyos májkárosodásban, aktív májbetegségben szenvedő betegeknél vagy akiknél ismeretlen eredetű, tartós szérumtranszaminázszint-emelkedés tapasztalható (a normálérték felső határának [</w:t>
      </w:r>
      <w:r w:rsidRPr="00DC2C00">
        <w:rPr>
          <w:i/>
          <w:iCs/>
          <w:szCs w:val="22"/>
          <w:lang w:val="hu-HU"/>
        </w:rPr>
        <w:t>Upper Limit of Normal</w:t>
      </w:r>
      <w:r w:rsidR="00AE406B" w:rsidRPr="00DC2C00">
        <w:rPr>
          <w:i/>
          <w:iCs/>
          <w:szCs w:val="22"/>
          <w:lang w:val="hu-HU"/>
        </w:rPr>
        <w:t>,</w:t>
      </w:r>
      <w:r w:rsidR="00AE406B" w:rsidRPr="00AE406B">
        <w:rPr>
          <w:szCs w:val="22"/>
          <w:lang w:val="hu-HU"/>
        </w:rPr>
        <w:t xml:space="preserve"> </w:t>
      </w:r>
      <w:r w:rsidR="00AE406B" w:rsidRPr="00275177">
        <w:rPr>
          <w:szCs w:val="22"/>
          <w:lang w:val="hu-HU"/>
        </w:rPr>
        <w:t>ULN</w:t>
      </w:r>
      <w:r w:rsidRPr="00DC2C00">
        <w:rPr>
          <w:szCs w:val="22"/>
          <w:lang w:val="hu-HU"/>
        </w:rPr>
        <w:t>] háromszorosát meghaladó érték);</w:t>
      </w:r>
    </w:p>
    <w:p w14:paraId="240AF673" w14:textId="77777777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>-</w:t>
      </w:r>
      <w:r w:rsidRPr="00DC2C00">
        <w:rPr>
          <w:szCs w:val="22"/>
          <w:lang w:val="hu-HU"/>
        </w:rPr>
        <w:tab/>
        <w:t>myopathiában szenvedő betegeknél;</w:t>
      </w:r>
    </w:p>
    <w:p w14:paraId="539D6F45" w14:textId="77777777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>-</w:t>
      </w:r>
      <w:r w:rsidRPr="00DC2C00">
        <w:rPr>
          <w:szCs w:val="22"/>
          <w:lang w:val="hu-HU"/>
        </w:rPr>
        <w:tab/>
        <w:t>ciklosporin egyidejű adásakor;</w:t>
      </w:r>
    </w:p>
    <w:p w14:paraId="59C28D92" w14:textId="77777777" w:rsidR="005268C6" w:rsidRPr="00DC2C00" w:rsidRDefault="002D01CE">
      <w:pPr>
        <w:widowControl w:val="0"/>
        <w:autoSpaceDE w:val="0"/>
        <w:autoSpaceDN w:val="0"/>
        <w:adjustRightInd w:val="0"/>
        <w:ind w:left="567" w:hanging="567"/>
        <w:rPr>
          <w:szCs w:val="22"/>
          <w:lang w:val="hu-HU"/>
        </w:rPr>
      </w:pPr>
      <w:r w:rsidRPr="00DC2C00">
        <w:rPr>
          <w:szCs w:val="22"/>
          <w:lang w:val="hu-HU"/>
        </w:rPr>
        <w:t>-</w:t>
      </w:r>
      <w:r w:rsidRPr="00DC2C00">
        <w:rPr>
          <w:szCs w:val="22"/>
          <w:lang w:val="hu-HU"/>
        </w:rPr>
        <w:tab/>
      </w:r>
      <w:bookmarkStart w:id="3" w:name="_Hlk167883488"/>
      <w:r w:rsidRPr="00DC2C00">
        <w:rPr>
          <w:szCs w:val="22"/>
          <w:lang w:val="hu-HU"/>
        </w:rPr>
        <w:t>terhesség és szoptatás ideje alatt, illetve ha a fogamzóképes nő nem alkalmaz megfelelő fogamzásgátló módszert.</w:t>
      </w:r>
      <w:bookmarkEnd w:id="3"/>
    </w:p>
    <w:p w14:paraId="17BDFC46" w14:textId="77777777" w:rsidR="005268C6" w:rsidRDefault="005268C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E83C1EC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4FB3794A" w14:textId="77777777" w:rsidR="005268C6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340DDC8" w14:textId="77777777" w:rsidR="005268C6" w:rsidRPr="00DC2C00" w:rsidRDefault="002D01CE">
      <w:pPr>
        <w:spacing w:line="240" w:lineRule="auto"/>
        <w:rPr>
          <w:i/>
          <w:iCs/>
          <w:szCs w:val="22"/>
          <w:lang w:val="hu-HU"/>
        </w:rPr>
      </w:pPr>
      <w:r w:rsidRPr="00DC2C00">
        <w:rPr>
          <w:i/>
          <w:iCs/>
          <w:szCs w:val="22"/>
          <w:lang w:val="hu-HU"/>
        </w:rPr>
        <w:t>A vázizomzatra kifejtett hatások</w:t>
      </w:r>
    </w:p>
    <w:p w14:paraId="5A890996" w14:textId="2F557F01" w:rsidR="005268C6" w:rsidRPr="00DC2C00" w:rsidRDefault="002D01CE" w:rsidP="00EB7AAB">
      <w:pPr>
        <w:spacing w:line="240" w:lineRule="auto"/>
        <w:rPr>
          <w:szCs w:val="22"/>
          <w:lang w:val="hu-HU"/>
        </w:rPr>
      </w:pPr>
      <w:r w:rsidRPr="00DC2C00">
        <w:rPr>
          <w:szCs w:val="22"/>
          <w:lang w:val="hu-HU"/>
        </w:rPr>
        <w:t>A többi HMG-CoA</w:t>
      </w:r>
      <w:r w:rsidR="00AE406B">
        <w:rPr>
          <w:szCs w:val="22"/>
          <w:lang w:val="hu-HU"/>
        </w:rPr>
        <w:t>-</w:t>
      </w:r>
      <w:r w:rsidRPr="00DC2C00">
        <w:rPr>
          <w:szCs w:val="22"/>
          <w:lang w:val="hu-HU"/>
        </w:rPr>
        <w:t>reduktáz</w:t>
      </w:r>
      <w:r w:rsidR="00AE406B">
        <w:rPr>
          <w:szCs w:val="22"/>
          <w:lang w:val="hu-HU"/>
        </w:rPr>
        <w:t>-</w:t>
      </w:r>
      <w:r w:rsidRPr="00DC2C00">
        <w:rPr>
          <w:szCs w:val="22"/>
          <w:lang w:val="hu-HU"/>
        </w:rPr>
        <w:t xml:space="preserve">gátlókhoz (sztatinok) hasonlóan fennáll a myalgia, myopathia és ritkán a rhabdomyolysis kialakulásának kockázata. A betegeket meg kell kérni arra, hogy jelentsenek bármilyen izommal kapcsolatos tünetet. A kreatin-kináz-szintet </w:t>
      </w:r>
      <w:r w:rsidR="00EB7AAB">
        <w:rPr>
          <w:szCs w:val="22"/>
          <w:lang w:val="hu-HU"/>
        </w:rPr>
        <w:t>(</w:t>
      </w:r>
      <w:r w:rsidR="00EB7AAB" w:rsidRPr="00EB7AAB">
        <w:rPr>
          <w:szCs w:val="22"/>
          <w:lang w:val="hu-HU"/>
        </w:rPr>
        <w:t>CK-</w:t>
      </w:r>
      <w:r w:rsidR="00EB7AAB">
        <w:rPr>
          <w:szCs w:val="22"/>
          <w:lang w:val="hu-HU"/>
        </w:rPr>
        <w:t>szint</w:t>
      </w:r>
      <w:r w:rsidR="00EB7AAB" w:rsidRPr="00EB7AAB">
        <w:rPr>
          <w:szCs w:val="22"/>
          <w:lang w:val="hu-HU"/>
        </w:rPr>
        <w:t>)</w:t>
      </w:r>
      <w:r w:rsidR="00EB7AAB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minden olyan betegnél meg kell mérni, aki izomfájdalmat, izomérzékenységet vagy gyengeséget jelent, különösen</w:t>
      </w:r>
      <w:r w:rsidR="00EB7AAB">
        <w:rPr>
          <w:szCs w:val="22"/>
          <w:lang w:val="hu-HU"/>
        </w:rPr>
        <w:t>,</w:t>
      </w:r>
      <w:r w:rsidRPr="00DC2C00">
        <w:rPr>
          <w:szCs w:val="22"/>
          <w:lang w:val="hu-HU"/>
        </w:rPr>
        <w:t xml:space="preserve"> ha azt rossz közérzet vagy láz kíséri.</w:t>
      </w:r>
    </w:p>
    <w:p w14:paraId="5641A7B7" w14:textId="77777777" w:rsidR="005268C6" w:rsidRPr="00DC2C00" w:rsidRDefault="005268C6">
      <w:pPr>
        <w:spacing w:line="240" w:lineRule="auto"/>
        <w:rPr>
          <w:szCs w:val="22"/>
          <w:lang w:val="hu-HU"/>
        </w:rPr>
      </w:pPr>
    </w:p>
    <w:p w14:paraId="2FCC0AB9" w14:textId="7DF60C6C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>A kreatin-kináz-szint mérése kimerítő edzést követően vagy a CK-szint emelkedésének egyéb kézenfekvő oka esetén nem javasolt, mert a mérési eredmény értékelését zavarhatja. Emelkedett CK-koncentráció esetén (&gt;5× ULN), 5-7 napon belül megerősítő mérést kell végezni.</w:t>
      </w:r>
    </w:p>
    <w:p w14:paraId="41C41C9F" w14:textId="77777777" w:rsidR="005268C6" w:rsidRPr="00DC2C00" w:rsidRDefault="005268C6">
      <w:pPr>
        <w:spacing w:line="240" w:lineRule="auto"/>
        <w:rPr>
          <w:szCs w:val="22"/>
          <w:lang w:val="hu-HU"/>
        </w:rPr>
      </w:pPr>
    </w:p>
    <w:p w14:paraId="1B8AC932" w14:textId="63477AE0" w:rsidR="005268C6" w:rsidRDefault="002D01CE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Nagyon ritkán beszámoltak immunmediált necrotizáló myopathiáról (IMNM) bizonyos sztatinokkal való kezelés alatt vagy után. Az IMNM-t tartós proximalis izomgyengeség és emelkedett kreatin-kináz-</w:t>
      </w:r>
      <w:r w:rsidR="00EB7AAB">
        <w:rPr>
          <w:color w:val="auto"/>
          <w:sz w:val="22"/>
          <w:szCs w:val="22"/>
        </w:rPr>
        <w:t>szérum</w:t>
      </w:r>
      <w:r>
        <w:rPr>
          <w:color w:val="auto"/>
          <w:sz w:val="22"/>
          <w:szCs w:val="22"/>
        </w:rPr>
        <w:t>szint jellemzi, ami a sztatin-kezelés megszakítása ellenére is fennmarad.</w:t>
      </w:r>
    </w:p>
    <w:p w14:paraId="365536F1" w14:textId="77777777" w:rsidR="005268C6" w:rsidRPr="00DC2C00" w:rsidRDefault="005268C6">
      <w:pPr>
        <w:rPr>
          <w:szCs w:val="22"/>
          <w:lang w:val="hu-HU" w:eastAsia="en-US"/>
        </w:rPr>
      </w:pPr>
    </w:p>
    <w:p w14:paraId="7E2982BB" w14:textId="77777777" w:rsidR="005268C6" w:rsidRPr="00DC2C00" w:rsidRDefault="002D01CE">
      <w:pPr>
        <w:rPr>
          <w:szCs w:val="22"/>
          <w:lang w:val="hu-HU"/>
        </w:rPr>
      </w:pPr>
      <w:r w:rsidRPr="00DC2C00">
        <w:rPr>
          <w:szCs w:val="22"/>
          <w:lang w:val="hu-HU" w:eastAsia="en-US"/>
        </w:rPr>
        <w:t xml:space="preserve">A Pitilox-ot </w:t>
      </w:r>
      <w:r w:rsidRPr="00DC2C00">
        <w:rPr>
          <w:szCs w:val="22"/>
          <w:lang w:val="hu-HU"/>
        </w:rPr>
        <w:t>tilos együtt adni szisztémásan alkalmazott fuzidinsav-készítményekkel, vagy a fuzidinsav</w:t>
      </w:r>
      <w:r w:rsidRPr="00DC2C00">
        <w:rPr>
          <w:szCs w:val="22"/>
          <w:lang w:val="hu-HU"/>
        </w:rPr>
        <w:noBreakHyphen/>
        <w:t>kezelés leállítását követő 7 napon belül alkalmazni. Azon betegek esetében, akiknél a fuzidinsav szisztémás alkalmazása nélkülözhetetlen, a fuzidinsav-kezelés teljes időtartamára le kell állítani a sztatin-kezelést. Fuzidinsav és sztatinok kombinációjával kezelt betegeknél (néhány esetben végzetes) rhabdomyolysisről számoltak be (lásd 4.5 pont). A betegeket figyelmeztetni kell, hogy amennyiben bármilyen izomgyengeséget, izomfájdalmat vagy nyomásérzékenységet tapasztalnak, azonnal forduljanak orvoshoz.</w:t>
      </w:r>
    </w:p>
    <w:p w14:paraId="19892F34" w14:textId="77777777" w:rsidR="005268C6" w:rsidRPr="00DC2C00" w:rsidRDefault="005268C6">
      <w:pPr>
        <w:rPr>
          <w:szCs w:val="22"/>
          <w:lang w:val="hu-HU"/>
        </w:rPr>
      </w:pPr>
    </w:p>
    <w:p w14:paraId="3EE4ADB1" w14:textId="77777777" w:rsidR="005268C6" w:rsidRDefault="002D01CE">
      <w:pPr>
        <w:pStyle w:val="Default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A sztatin-kezelés a fuzidinsav utolsó dózisa után 7 nappal kezdhető újra.</w:t>
      </w:r>
      <w:r>
        <w:rPr>
          <w:rFonts w:eastAsia="Calibri"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 xml:space="preserve">Kivételes körülmények között, amikor </w:t>
      </w:r>
      <w:r>
        <w:rPr>
          <w:color w:val="auto"/>
          <w:sz w:val="22"/>
          <w:szCs w:val="22"/>
        </w:rPr>
        <w:t>fuzidinsav hosszan tartó, szisztémás alkalmazása szükséges</w:t>
      </w:r>
      <w:r>
        <w:rPr>
          <w:sz w:val="22"/>
          <w:szCs w:val="22"/>
        </w:rPr>
        <w:t xml:space="preserve"> (pl. súlyos fertőzések kezelése céljából), eseti alapon megfontolandó a Pitilox és a fuzidinsav egyidejű adása, ami azonban szoros orvosi felügyelet igényel.</w:t>
      </w:r>
    </w:p>
    <w:p w14:paraId="65E823EF" w14:textId="77777777" w:rsidR="005268C6" w:rsidRPr="00DC2C00" w:rsidRDefault="005268C6">
      <w:pPr>
        <w:autoSpaceDE w:val="0"/>
        <w:autoSpaceDN w:val="0"/>
        <w:adjustRightInd w:val="0"/>
        <w:rPr>
          <w:szCs w:val="22"/>
          <w:u w:val="single"/>
          <w:lang w:val="hu-HU" w:eastAsia="en-US"/>
        </w:rPr>
      </w:pPr>
    </w:p>
    <w:p w14:paraId="15B7705A" w14:textId="77777777" w:rsidR="005268C6" w:rsidRPr="00DC2C00" w:rsidRDefault="002D01CE">
      <w:pPr>
        <w:keepNext/>
        <w:rPr>
          <w:szCs w:val="22"/>
          <w:u w:val="single"/>
          <w:lang w:val="hu-HU"/>
        </w:rPr>
      </w:pPr>
      <w:r w:rsidRPr="00DC2C00">
        <w:rPr>
          <w:szCs w:val="22"/>
          <w:u w:val="single"/>
          <w:lang w:val="hu-HU"/>
        </w:rPr>
        <w:t>A kezelés megkezdése előtt</w:t>
      </w:r>
    </w:p>
    <w:p w14:paraId="395DEF15" w14:textId="77777777" w:rsidR="005268C6" w:rsidRPr="00DC2C00" w:rsidRDefault="005268C6">
      <w:pPr>
        <w:keepNext/>
        <w:rPr>
          <w:szCs w:val="22"/>
          <w:lang w:val="hu-HU"/>
        </w:rPr>
      </w:pPr>
    </w:p>
    <w:p w14:paraId="63A9CFEB" w14:textId="77777777" w:rsidR="005268C6" w:rsidRDefault="002D01CE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Ahogy a többi sztatint, a </w:t>
      </w:r>
      <w:r w:rsidRPr="00DC2C00">
        <w:rPr>
          <w:sz w:val="22"/>
          <w:szCs w:val="22"/>
          <w:lang w:eastAsia="en-US"/>
        </w:rPr>
        <w:t>Pitilox-ot is</w:t>
      </w:r>
      <w:r>
        <w:rPr>
          <w:sz w:val="22"/>
          <w:szCs w:val="22"/>
        </w:rPr>
        <w:t xml:space="preserve"> fokozott körültekintéssel szabad rendelni olyan betegeknek, akiknél a rhabdomyolysis kialakulására hajlamosító tényezők állnak fenn. A kiindulási referenciaszint meghatározása céljából a kreatin-kináz-szintet meg kell mérni a kezelés megkezdése előtt az alábbi esetekben:</w:t>
      </w:r>
    </w:p>
    <w:p w14:paraId="049A5BAB" w14:textId="77777777" w:rsidR="005268C6" w:rsidRDefault="002D01CE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vesekárosodás;</w:t>
      </w:r>
    </w:p>
    <w:p w14:paraId="30BB54D0" w14:textId="77777777" w:rsidR="005268C6" w:rsidRDefault="002D01CE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hypothyreosis;</w:t>
      </w:r>
    </w:p>
    <w:p w14:paraId="1DB1710D" w14:textId="77777777" w:rsidR="005268C6" w:rsidRDefault="002D01CE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öröklődő izombetegségek az egyéni vagy családi anamnézisben;</w:t>
      </w:r>
    </w:p>
    <w:p w14:paraId="3B4AD01F" w14:textId="77777777" w:rsidR="005268C6" w:rsidRDefault="002D01CE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más sztatin vagy fibrát okozta izomtoxicitás előfordulása az anamnézisben;</w:t>
      </w:r>
    </w:p>
    <w:p w14:paraId="401F0B48" w14:textId="77777777" w:rsidR="005268C6" w:rsidRDefault="002D01CE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májbetegség vagy alkoholabúzus előfordulása az anamnézisben;</w:t>
      </w:r>
    </w:p>
    <w:p w14:paraId="020090B8" w14:textId="77777777" w:rsidR="005268C6" w:rsidRDefault="002D01CE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idős betegeknél (70 éves kor felett) más rhabdomyolysisre hajlamosító tényezők fennállása esetén.</w:t>
      </w:r>
    </w:p>
    <w:p w14:paraId="6ABC81DD" w14:textId="77777777" w:rsidR="005268C6" w:rsidRDefault="005268C6">
      <w:pPr>
        <w:spacing w:line="240" w:lineRule="auto"/>
        <w:rPr>
          <w:szCs w:val="22"/>
          <w:lang w:eastAsia="en-US"/>
        </w:rPr>
      </w:pPr>
    </w:p>
    <w:p w14:paraId="5CCEDCC5" w14:textId="20BF0DB8" w:rsidR="005268C6" w:rsidRDefault="002D01CE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Ezekben az esetekben a lehetséges terápiás előny mellett mérlegelni kell a kezelés kockázatát, valamint klinikai monitorozás javasolt. A Pitilox-kezelést nem szabad megkezdeni, amennyiben a CK</w:t>
      </w:r>
      <w:r w:rsidR="00EB7AAB">
        <w:rPr>
          <w:sz w:val="22"/>
          <w:szCs w:val="22"/>
        </w:rPr>
        <w:noBreakHyphen/>
      </w:r>
      <w:r>
        <w:rPr>
          <w:sz w:val="22"/>
          <w:szCs w:val="22"/>
        </w:rPr>
        <w:t xml:space="preserve">szint </w:t>
      </w:r>
      <w:r>
        <w:rPr>
          <w:sz w:val="22"/>
          <w:szCs w:val="22"/>
          <w:lang w:val="en-GB" w:eastAsia="en-US"/>
        </w:rPr>
        <w:t>&gt;5× ULN.</w:t>
      </w:r>
    </w:p>
    <w:p w14:paraId="06F8481D" w14:textId="77777777" w:rsidR="005268C6" w:rsidRDefault="005268C6">
      <w:pPr>
        <w:pStyle w:val="Default"/>
        <w:tabs>
          <w:tab w:val="left" w:pos="567"/>
        </w:tabs>
        <w:rPr>
          <w:sz w:val="22"/>
          <w:szCs w:val="22"/>
        </w:rPr>
      </w:pPr>
    </w:p>
    <w:p w14:paraId="7DF32C24" w14:textId="77777777" w:rsidR="005268C6" w:rsidRDefault="002D01CE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 kezelés ideje alatt</w:t>
      </w:r>
    </w:p>
    <w:p w14:paraId="74F15657" w14:textId="77777777" w:rsidR="005268C6" w:rsidRDefault="005268C6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698A2BC8" w14:textId="1418381C" w:rsidR="005268C6" w:rsidRDefault="002D01CE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Arra kell ösztönözni a betegeket, hogy azonnal jelentsék, ha izomfájdalmat, izomgyengeséget vagy izomgörcsöket észlelnek. Mérni kell a kreatin-kináz szintjét és emelkedett CK-szint esetén (</w:t>
      </w:r>
      <w:r w:rsidRPr="00DC2C00">
        <w:rPr>
          <w:sz w:val="22"/>
          <w:szCs w:val="22"/>
          <w:lang w:eastAsia="en-US"/>
        </w:rPr>
        <w:t>&gt;5× ULN</w:t>
      </w:r>
      <w:r>
        <w:rPr>
          <w:sz w:val="22"/>
          <w:szCs w:val="22"/>
        </w:rPr>
        <w:t>) a kezelést abba kell hagyni. Ha az izomtünetek súlyosak, a kezelés megszakítását fontolóra kell venni, még akkor is, ha a CK-szint nem haladja meg a normálérték felső határának 5-szörösét.</w:t>
      </w:r>
      <w:r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Amennyiben a tünetek megszűnnek, és a CK</w:t>
      </w:r>
      <w:r>
        <w:rPr>
          <w:sz w:val="22"/>
          <w:szCs w:val="22"/>
        </w:rPr>
        <w:noBreakHyphen/>
        <w:t xml:space="preserve">szint normalizálódik, a </w:t>
      </w:r>
      <w:r>
        <w:rPr>
          <w:sz w:val="22"/>
          <w:szCs w:val="22"/>
          <w:lang w:eastAsia="en-US"/>
        </w:rPr>
        <w:t xml:space="preserve">Pitilox-kezelés </w:t>
      </w:r>
      <w:r>
        <w:rPr>
          <w:sz w:val="22"/>
          <w:szCs w:val="22"/>
        </w:rPr>
        <w:t>újrakezdése megfontolható 1 mg</w:t>
      </w:r>
      <w:r w:rsidR="00EB7AAB">
        <w:rPr>
          <w:sz w:val="22"/>
          <w:szCs w:val="22"/>
        </w:rPr>
        <w:noBreakHyphen/>
      </w:r>
      <w:r>
        <w:rPr>
          <w:sz w:val="22"/>
          <w:szCs w:val="22"/>
        </w:rPr>
        <w:t>os dózissal, szoros monitorozás mellett.</w:t>
      </w:r>
    </w:p>
    <w:p w14:paraId="74BE9250" w14:textId="77777777" w:rsidR="005268C6" w:rsidRPr="00DC2C00" w:rsidRDefault="005268C6">
      <w:pPr>
        <w:spacing w:line="240" w:lineRule="auto"/>
        <w:rPr>
          <w:i/>
          <w:iCs/>
          <w:szCs w:val="22"/>
          <w:lang w:val="hu-HU"/>
        </w:rPr>
      </w:pPr>
    </w:p>
    <w:p w14:paraId="4DFFEE2A" w14:textId="77777777" w:rsidR="005268C6" w:rsidRPr="00DC2C00" w:rsidRDefault="002D01CE">
      <w:pPr>
        <w:widowControl w:val="0"/>
        <w:autoSpaceDE w:val="0"/>
        <w:autoSpaceDN w:val="0"/>
        <w:adjustRightInd w:val="0"/>
        <w:rPr>
          <w:i/>
          <w:iCs/>
          <w:szCs w:val="22"/>
          <w:lang w:val="hu-HU"/>
        </w:rPr>
      </w:pPr>
      <w:r w:rsidRPr="00DC2C00">
        <w:rPr>
          <w:i/>
          <w:iCs/>
          <w:szCs w:val="22"/>
          <w:lang w:val="hu-HU"/>
        </w:rPr>
        <w:t>Májra gyakorolt hatások</w:t>
      </w:r>
    </w:p>
    <w:p w14:paraId="6E6098B2" w14:textId="002D49DD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 xml:space="preserve">Más sztatinokhoz hasonlóan, a </w:t>
      </w:r>
      <w:r w:rsidRPr="00DC2C00">
        <w:rPr>
          <w:szCs w:val="22"/>
          <w:lang w:val="hu-HU" w:eastAsia="en-US"/>
        </w:rPr>
        <w:t xml:space="preserve">Pitilox </w:t>
      </w:r>
      <w:r w:rsidRPr="00DC2C00">
        <w:rPr>
          <w:szCs w:val="22"/>
          <w:lang w:val="hu-HU"/>
        </w:rPr>
        <w:t>is fokozott körültekintéssel alkalmazandó olyan betegeknél, akiknek az anamnézisében májbetegség szerepel</w:t>
      </w:r>
      <w:r w:rsidR="00EB7AAB">
        <w:rPr>
          <w:szCs w:val="22"/>
          <w:lang w:val="hu-HU"/>
        </w:rPr>
        <w:t>,</w:t>
      </w:r>
      <w:r w:rsidRPr="00DC2C00">
        <w:rPr>
          <w:szCs w:val="22"/>
          <w:lang w:val="hu-HU"/>
        </w:rPr>
        <w:t xml:space="preserve"> vagy akik rendszeresen nagy</w:t>
      </w:r>
      <w:r w:rsidR="00EB7AAB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 xml:space="preserve">mennyiségű alkoholt fogyasztanak. Májfunkciós vizsgálatok elvégzése javasolt a pitavasztatin alkalmazását megelőzően, illetve a kezelés alatt rendszeresen. A </w:t>
      </w:r>
      <w:r w:rsidRPr="00DC2C00">
        <w:rPr>
          <w:szCs w:val="22"/>
          <w:lang w:val="hu-HU" w:eastAsia="en-US"/>
        </w:rPr>
        <w:t>Pitilox-kezelést</w:t>
      </w:r>
      <w:r w:rsidRPr="00DC2C00">
        <w:rPr>
          <w:szCs w:val="22"/>
          <w:lang w:val="hu-HU"/>
        </w:rPr>
        <w:t xml:space="preserve"> abba kell hagyni azoknál a betegeknél, akiknél tartósan emelkedett, a normálérték felső határának háromszorosát meghaladó szérumtranszamináz</w:t>
      </w:r>
      <w:r w:rsidR="00EB7AAB">
        <w:rPr>
          <w:szCs w:val="22"/>
          <w:lang w:val="hu-HU"/>
        </w:rPr>
        <w:t>-</w:t>
      </w:r>
      <w:r w:rsidRPr="00DC2C00">
        <w:rPr>
          <w:szCs w:val="22"/>
          <w:lang w:val="hu-HU"/>
        </w:rPr>
        <w:t>szint (GPT és GOT) áll fenn.</w:t>
      </w:r>
    </w:p>
    <w:p w14:paraId="0ACEE3E5" w14:textId="77777777" w:rsidR="005268C6" w:rsidRPr="00DC2C00" w:rsidRDefault="005268C6">
      <w:pPr>
        <w:autoSpaceDE w:val="0"/>
        <w:autoSpaceDN w:val="0"/>
        <w:adjustRightInd w:val="0"/>
        <w:rPr>
          <w:bCs/>
          <w:i/>
          <w:szCs w:val="22"/>
          <w:lang w:val="hu-HU" w:eastAsia="en-US"/>
        </w:rPr>
      </w:pPr>
    </w:p>
    <w:p w14:paraId="3E098C27" w14:textId="77777777" w:rsidR="005268C6" w:rsidRPr="00DC2C00" w:rsidRDefault="002D01CE">
      <w:pPr>
        <w:autoSpaceDE w:val="0"/>
        <w:autoSpaceDN w:val="0"/>
        <w:adjustRightInd w:val="0"/>
        <w:rPr>
          <w:bCs/>
          <w:i/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Vesére gyakorolt hatások</w:t>
      </w:r>
    </w:p>
    <w:p w14:paraId="0F528458" w14:textId="647765E5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A Pitilox fokozott körültekintéssel alkalmazandó közepesen súlyos és súlyos fokú vesekárosodásban szenvedő betegeknél. A dózisnövelést csak szoros monitorozás mellett szabad végezni. Súlyos fokú vesekárosodásban szenvedő betegknél a 4 mg dózis nem javasolt (lásd 4.2 pont).</w:t>
      </w:r>
    </w:p>
    <w:p w14:paraId="6BABE514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3C802A8D" w14:textId="77777777" w:rsidR="005268C6" w:rsidRPr="00DC2C00" w:rsidRDefault="002D01CE">
      <w:pPr>
        <w:widowControl w:val="0"/>
        <w:autoSpaceDE w:val="0"/>
        <w:autoSpaceDN w:val="0"/>
        <w:adjustRightInd w:val="0"/>
        <w:rPr>
          <w:i/>
          <w:szCs w:val="22"/>
          <w:lang w:val="hu-HU" w:eastAsia="hu-HU"/>
        </w:rPr>
      </w:pPr>
      <w:r w:rsidRPr="00DC2C00">
        <w:rPr>
          <w:i/>
          <w:szCs w:val="22"/>
          <w:lang w:val="hu-HU" w:eastAsia="hu-HU"/>
        </w:rPr>
        <w:t>Diabetes mellitus</w:t>
      </w:r>
    </w:p>
    <w:p w14:paraId="1BED277C" w14:textId="19056D91" w:rsidR="005268C6" w:rsidRDefault="002D01CE" w:rsidP="001606D7">
      <w:pPr>
        <w:widowControl w:val="0"/>
        <w:autoSpaceDE w:val="0"/>
        <w:autoSpaceDN w:val="0"/>
        <w:adjustRightInd w:val="0"/>
        <w:rPr>
          <w:rFonts w:eastAsia="TimesNewRomanPSMT"/>
          <w:szCs w:val="22"/>
          <w:lang w:val="hu-HU"/>
        </w:rPr>
      </w:pPr>
      <w:r w:rsidRPr="00DC2C00">
        <w:rPr>
          <w:szCs w:val="22"/>
          <w:lang w:val="hu-HU"/>
        </w:rPr>
        <w:t>Néhány bizonyíték arra utal, hogy a sztatinok</w:t>
      </w:r>
      <w:r w:rsidR="00EB7AAB">
        <w:rPr>
          <w:szCs w:val="22"/>
          <w:lang w:val="hu-HU"/>
        </w:rPr>
        <w:t xml:space="preserve"> –</w:t>
      </w:r>
      <w:r w:rsidRPr="00DC2C00">
        <w:rPr>
          <w:szCs w:val="22"/>
          <w:lang w:val="hu-HU"/>
        </w:rPr>
        <w:t xml:space="preserve"> mint gyógyszercsoport</w:t>
      </w:r>
      <w:r w:rsidR="00EB7AAB">
        <w:rPr>
          <w:szCs w:val="22"/>
          <w:lang w:val="hu-HU"/>
        </w:rPr>
        <w:t xml:space="preserve"> –</w:t>
      </w:r>
      <w:r w:rsidRPr="00DC2C00">
        <w:rPr>
          <w:szCs w:val="22"/>
          <w:lang w:val="hu-HU"/>
        </w:rPr>
        <w:t xml:space="preserve"> megemelik a vércukorszintet, valamint a diabetes későbbi kialakulása szempontjából nagy kockázatnak kitett betegeknél, hyperglykaemiát okozhatnak, antidiabetikus kezelést téve szükségessé. A sztatin-kezelés leállítása azonban nem indokolt, mivel a sztatinok </w:t>
      </w:r>
      <w:r w:rsidR="00EB7AAB">
        <w:rPr>
          <w:szCs w:val="22"/>
          <w:lang w:val="hu-HU"/>
        </w:rPr>
        <w:t xml:space="preserve">– a </w:t>
      </w:r>
      <w:r w:rsidRPr="00DC2C00">
        <w:rPr>
          <w:szCs w:val="22"/>
          <w:lang w:val="hu-HU"/>
        </w:rPr>
        <w:t>vas</w:t>
      </w:r>
      <w:r w:rsidR="00EB7AAB">
        <w:rPr>
          <w:szCs w:val="22"/>
          <w:lang w:val="hu-HU"/>
        </w:rPr>
        <w:t>cula</w:t>
      </w:r>
      <w:r w:rsidRPr="00DC2C00">
        <w:rPr>
          <w:szCs w:val="22"/>
          <w:lang w:val="hu-HU"/>
        </w:rPr>
        <w:t xml:space="preserve">ris betegségek kockázatainak csökkentéséből származó </w:t>
      </w:r>
      <w:r w:rsidR="00EB7AAB">
        <w:rPr>
          <w:szCs w:val="22"/>
          <w:lang w:val="hu-HU"/>
        </w:rPr>
        <w:t xml:space="preserve">– </w:t>
      </w:r>
      <w:r w:rsidRPr="00DC2C00">
        <w:rPr>
          <w:szCs w:val="22"/>
          <w:lang w:val="hu-HU"/>
        </w:rPr>
        <w:t>előnye meghaladja ezt a kockázatot. A hyperglykaemia kockázatának kitett betegek (éhomi glükózszint 5,6–6,9 mmol/l, BMI &gt;30 kg/m</w:t>
      </w:r>
      <w:r w:rsidRPr="00DC2C00">
        <w:rPr>
          <w:szCs w:val="22"/>
          <w:vertAlign w:val="superscript"/>
          <w:lang w:val="hu-HU"/>
        </w:rPr>
        <w:t>2</w:t>
      </w:r>
      <w:r w:rsidRPr="00DC2C00">
        <w:rPr>
          <w:szCs w:val="22"/>
          <w:lang w:val="hu-HU"/>
        </w:rPr>
        <w:t>, emelkedett trigliceridszint, hypertonia) állapotát a nemzeti irányelveknek megfelelően, klinikailag és laboratóriumi vizsgálatokkal monitorozni kell.</w:t>
      </w:r>
      <w:r w:rsidRPr="00DC2C00">
        <w:rPr>
          <w:rFonts w:eastAsia="Times New Roman"/>
          <w:szCs w:val="22"/>
          <w:lang w:val="hu-HU" w:eastAsia="hu-HU"/>
        </w:rPr>
        <w:t xml:space="preserve"> Azonban sem a </w:t>
      </w:r>
      <w:r w:rsidR="00EB7AAB">
        <w:rPr>
          <w:rFonts w:eastAsia="Times New Roman"/>
          <w:szCs w:val="22"/>
          <w:lang w:val="hu-HU" w:eastAsia="hu-HU"/>
        </w:rPr>
        <w:t>forgalomba hozatal utáni</w:t>
      </w:r>
      <w:r w:rsidRPr="00DC2C00">
        <w:rPr>
          <w:rFonts w:eastAsia="Times New Roman"/>
          <w:szCs w:val="22"/>
          <w:lang w:val="hu-HU" w:eastAsia="hu-HU"/>
        </w:rPr>
        <w:t xml:space="preserve"> biztonságossági </w:t>
      </w:r>
      <w:r w:rsidR="001606D7" w:rsidRPr="00DC2C00">
        <w:rPr>
          <w:rFonts w:eastAsia="Times New Roman"/>
          <w:i/>
          <w:iCs/>
          <w:szCs w:val="22"/>
          <w:lang w:val="hu-HU" w:eastAsia="hu-HU"/>
        </w:rPr>
        <w:t xml:space="preserve">surveillance </w:t>
      </w:r>
      <w:r w:rsidRPr="00DC2C00">
        <w:rPr>
          <w:rFonts w:eastAsia="Times New Roman"/>
          <w:szCs w:val="22"/>
          <w:lang w:val="hu-HU" w:eastAsia="hu-HU"/>
        </w:rPr>
        <w:t>vizsgálatokból, sem a prospektív vizsgálatokból nem állapítható meg szignál a pitavasztatin-kezelés és a diabetes kialakulásának kockázata kapcsán (lásd 5.1 pont).</w:t>
      </w:r>
    </w:p>
    <w:p w14:paraId="741085BA" w14:textId="77777777" w:rsidR="005268C6" w:rsidRPr="00DC2C00" w:rsidRDefault="005268C6">
      <w:pPr>
        <w:spacing w:line="240" w:lineRule="auto"/>
        <w:rPr>
          <w:szCs w:val="22"/>
          <w:lang w:val="hu-HU"/>
        </w:rPr>
      </w:pPr>
    </w:p>
    <w:p w14:paraId="38E72DED" w14:textId="77777777" w:rsidR="005268C6" w:rsidRPr="00DC2C00" w:rsidRDefault="002D01CE">
      <w:pPr>
        <w:widowControl w:val="0"/>
        <w:autoSpaceDE w:val="0"/>
        <w:autoSpaceDN w:val="0"/>
        <w:adjustRightInd w:val="0"/>
        <w:rPr>
          <w:i/>
          <w:iCs/>
          <w:szCs w:val="22"/>
          <w:lang w:val="hu-HU"/>
        </w:rPr>
      </w:pPr>
      <w:r w:rsidRPr="00DC2C00">
        <w:rPr>
          <w:i/>
          <w:iCs/>
          <w:szCs w:val="22"/>
          <w:lang w:val="hu-HU"/>
        </w:rPr>
        <w:t>Interstitialis tüdőbetegség</w:t>
      </w:r>
    </w:p>
    <w:p w14:paraId="17D9B298" w14:textId="1DF54DE2" w:rsidR="005268C6" w:rsidRDefault="002D01CE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Interstitialis tüdőbetegség kivételes eseteit jelentették néhány sztatinnal kapcsolatban, különösen hosszú távú alkalmazáskor (lásd 4.8 pont). A betegség kialakulását jelezheti dyspnoe, száraz köhögés és általános állapotromlás (</w:t>
      </w:r>
      <w:r w:rsidR="001606D7">
        <w:rPr>
          <w:color w:val="auto"/>
          <w:sz w:val="22"/>
          <w:szCs w:val="22"/>
          <w:lang w:val="hu-HU"/>
        </w:rPr>
        <w:t>fáradtság</w:t>
      </w:r>
      <w:r>
        <w:rPr>
          <w:color w:val="auto"/>
          <w:sz w:val="22"/>
          <w:szCs w:val="22"/>
          <w:lang w:val="hu-HU"/>
        </w:rPr>
        <w:t>, fogyás és láz). Ha gyanítható, hogy a betegnél interstitialis tüdőbetegség alakult ki, a sztatin-kezelést abba kell hagyni.</w:t>
      </w:r>
    </w:p>
    <w:p w14:paraId="15A52E5D" w14:textId="77777777" w:rsidR="005268C6" w:rsidRPr="00DC2C00" w:rsidRDefault="005268C6">
      <w:pPr>
        <w:spacing w:line="240" w:lineRule="auto"/>
        <w:rPr>
          <w:szCs w:val="22"/>
          <w:lang w:val="hu-HU"/>
        </w:rPr>
      </w:pPr>
    </w:p>
    <w:p w14:paraId="7CF061A6" w14:textId="77777777" w:rsidR="005268C6" w:rsidRPr="00DC2C00" w:rsidRDefault="002D01CE">
      <w:pPr>
        <w:autoSpaceDE w:val="0"/>
        <w:autoSpaceDN w:val="0"/>
        <w:adjustRightInd w:val="0"/>
        <w:rPr>
          <w:bCs/>
          <w:i/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Gyermekek és serdülők</w:t>
      </w:r>
    </w:p>
    <w:p w14:paraId="2CDF2287" w14:textId="35413468" w:rsidR="005268C6" w:rsidRPr="00DC2C00" w:rsidRDefault="002D01CE">
      <w:pPr>
        <w:autoSpaceDE w:val="0"/>
        <w:autoSpaceDN w:val="0"/>
        <w:adjustRightInd w:val="0"/>
        <w:rPr>
          <w:rFonts w:eastAsia="Times New Roman"/>
          <w:bCs/>
          <w:i/>
          <w:snapToGrid/>
          <w:szCs w:val="22"/>
          <w:lang w:val="hu-HU" w:eastAsia="en-US"/>
        </w:rPr>
      </w:pPr>
      <w:r w:rsidRPr="00DC2C00">
        <w:rPr>
          <w:szCs w:val="22"/>
          <w:lang w:val="hu-HU"/>
        </w:rPr>
        <w:t xml:space="preserve">Korlátozott mennyiségű adat áll rendelkezésre a </w:t>
      </w:r>
      <w:r w:rsidRPr="00DC2C00">
        <w:rPr>
          <w:szCs w:val="22"/>
          <w:lang w:val="hu-HU" w:eastAsia="en-US"/>
        </w:rPr>
        <w:t>Pitilox</w:t>
      </w:r>
      <w:r w:rsidRPr="00DC2C00">
        <w:rPr>
          <w:szCs w:val="22"/>
          <w:lang w:val="hu-HU"/>
        </w:rPr>
        <w:t xml:space="preserve"> 6 éves vagy annál idősebb gyermekek növekedés</w:t>
      </w:r>
      <w:r w:rsidR="001606D7">
        <w:rPr>
          <w:szCs w:val="22"/>
          <w:lang w:val="hu-HU"/>
        </w:rPr>
        <w:t>é</w:t>
      </w:r>
      <w:r w:rsidRPr="00DC2C00">
        <w:rPr>
          <w:szCs w:val="22"/>
          <w:lang w:val="hu-HU"/>
        </w:rPr>
        <w:t>re és nemi érés</w:t>
      </w:r>
      <w:r w:rsidR="001606D7">
        <w:rPr>
          <w:szCs w:val="22"/>
          <w:lang w:val="hu-HU"/>
        </w:rPr>
        <w:t>é</w:t>
      </w:r>
      <w:r w:rsidRPr="00DC2C00">
        <w:rPr>
          <w:szCs w:val="22"/>
          <w:lang w:val="hu-HU"/>
        </w:rPr>
        <w:t>re gyakorolt, hosszú távú hatásáról.</w:t>
      </w:r>
      <w:r w:rsidRPr="00DC2C00">
        <w:rPr>
          <w:rFonts w:eastAsia="Times New Roman"/>
          <w:bCs/>
          <w:i/>
          <w:snapToGrid/>
          <w:szCs w:val="22"/>
          <w:lang w:val="hu-HU" w:eastAsia="en-US"/>
        </w:rPr>
        <w:t xml:space="preserve"> </w:t>
      </w:r>
      <w:r w:rsidRPr="00DC2C00">
        <w:rPr>
          <w:szCs w:val="22"/>
          <w:lang w:val="hu-HU" w:eastAsia="en-US"/>
        </w:rPr>
        <w:t>A serdülő lányokat a megfelelő fogamzásgátló módszerekkel kapcsolatosan tanácsadásban kell részesíteni a Pitilox-kezelés ideje alatt (lásd 4.3 és 4.6 pont).</w:t>
      </w:r>
    </w:p>
    <w:p w14:paraId="073C6D63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343D285C" w14:textId="77777777" w:rsidR="005268C6" w:rsidRPr="00DC2C00" w:rsidRDefault="002D01CE">
      <w:pPr>
        <w:autoSpaceDE w:val="0"/>
        <w:autoSpaceDN w:val="0"/>
        <w:adjustRightInd w:val="0"/>
        <w:rPr>
          <w:bCs/>
          <w:i/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Egyéb hatások</w:t>
      </w:r>
    </w:p>
    <w:p w14:paraId="29423082" w14:textId="218439D9" w:rsidR="005268C6" w:rsidRDefault="002D01CE">
      <w:pPr>
        <w:widowControl w:val="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Eritromicin, egyéb makrolid antibiotikumok vagy fuzidinsav alkalmazásokor a Pitilox-kezelés átmeneti felfüggesztése javasolt (lásd 4.5 pont). A Pitilox körültekintéssel alkalmazandó olyan betegeknél, akik ismerten myopathiát okozó gyógyszert szednek (például fibrátok vagy niacin, lásd 4.5 pont).</w:t>
      </w:r>
    </w:p>
    <w:p w14:paraId="6B4BB1F5" w14:textId="77777777" w:rsidR="005268C6" w:rsidRPr="00DC2C00" w:rsidRDefault="005268C6">
      <w:pPr>
        <w:widowControl w:val="0"/>
        <w:rPr>
          <w:szCs w:val="22"/>
          <w:u w:val="single"/>
          <w:lang w:val="hu-HU" w:eastAsia="en-US"/>
        </w:rPr>
      </w:pPr>
    </w:p>
    <w:p w14:paraId="51F6EFD3" w14:textId="77777777" w:rsidR="005268C6" w:rsidRDefault="002D01CE">
      <w:pPr>
        <w:widowControl w:val="0"/>
        <w:rPr>
          <w:rFonts w:eastAsia="Times New Roman"/>
          <w:snapToGrid/>
          <w:szCs w:val="22"/>
          <w:u w:val="single"/>
          <w:lang w:eastAsia="en-US"/>
        </w:rPr>
      </w:pPr>
      <w:r>
        <w:rPr>
          <w:szCs w:val="22"/>
          <w:u w:val="single"/>
          <w:lang w:eastAsia="en-US"/>
        </w:rPr>
        <w:t>Segédanyagok</w:t>
      </w:r>
    </w:p>
    <w:p w14:paraId="095B5A2E" w14:textId="68ABF8EB" w:rsidR="005268C6" w:rsidRDefault="002D01CE">
      <w:pPr>
        <w:widowControl w:val="0"/>
        <w:rPr>
          <w:rFonts w:eastAsia="Times New Roman"/>
          <w:noProof/>
          <w:snapToGrid/>
          <w:szCs w:val="22"/>
          <w:lang w:val="hu-HU" w:eastAsia="en-US"/>
        </w:rPr>
      </w:pPr>
      <w:r>
        <w:rPr>
          <w:noProof/>
          <w:szCs w:val="22"/>
          <w:lang w:eastAsia="en-US"/>
        </w:rPr>
        <w:t xml:space="preserve">A Pitilox </w:t>
      </w:r>
      <w:r>
        <w:rPr>
          <w:rFonts w:eastAsia="Times New Roman"/>
          <w:noProof/>
          <w:snapToGrid/>
          <w:szCs w:val="22"/>
          <w:lang w:val="hu-HU" w:eastAsia="en-US"/>
        </w:rPr>
        <w:t>laktózt tartalmaz. Ritkán előforduló, örökletes galaktózintoleranciában, teljes laktázhiányban vagy glükóz-galaktóz malabszorpcióban a készítmény nem szedhető.</w:t>
      </w:r>
    </w:p>
    <w:p w14:paraId="109F591A" w14:textId="77777777" w:rsidR="005268C6" w:rsidRPr="00DC2C00" w:rsidRDefault="005268C6">
      <w:pPr>
        <w:widowControl w:val="0"/>
        <w:rPr>
          <w:noProof/>
          <w:szCs w:val="22"/>
          <w:lang w:val="hu-HU" w:eastAsia="en-US"/>
        </w:rPr>
      </w:pPr>
    </w:p>
    <w:p w14:paraId="4C29EB60" w14:textId="77777777" w:rsidR="005268C6" w:rsidRPr="00DC2C00" w:rsidRDefault="002D01CE">
      <w:pPr>
        <w:widowControl w:val="0"/>
        <w:autoSpaceDE w:val="0"/>
        <w:autoSpaceDN w:val="0"/>
        <w:adjustRightInd w:val="0"/>
        <w:rPr>
          <w:bCs/>
          <w:iCs/>
          <w:szCs w:val="22"/>
          <w:lang w:val="hu-HU"/>
        </w:rPr>
      </w:pPr>
      <w:r>
        <w:rPr>
          <w:szCs w:val="22"/>
          <w:lang w:val="hu-HU"/>
        </w:rPr>
        <w:t xml:space="preserve">Néhány esetben beszámoltak arról, hogy a sztatinok </w:t>
      </w:r>
      <w:r>
        <w:rPr>
          <w:i/>
          <w:iCs/>
          <w:szCs w:val="22"/>
          <w:lang w:val="hu-HU"/>
        </w:rPr>
        <w:t>de novo</w:t>
      </w:r>
      <w:r>
        <w:rPr>
          <w:szCs w:val="22"/>
          <w:lang w:val="hu-HU"/>
        </w:rPr>
        <w:t xml:space="preserve"> myasthenia gravist vagy ocularis myastheniát okoztak, illetve súlyosbították ezeket, ha már korábban is fennálltak </w:t>
      </w:r>
      <w:r w:rsidRPr="00DC2C00">
        <w:rPr>
          <w:bCs/>
          <w:iCs/>
          <w:szCs w:val="22"/>
          <w:lang w:val="hu-HU"/>
        </w:rPr>
        <w:t xml:space="preserve">(lásd 4.8 pont). A </w:t>
      </w:r>
      <w:r w:rsidRPr="00DC2C00">
        <w:rPr>
          <w:szCs w:val="22"/>
          <w:lang w:val="hu-HU" w:eastAsia="en-US"/>
        </w:rPr>
        <w:t xml:space="preserve">Pitilox </w:t>
      </w:r>
      <w:r w:rsidRPr="00DC2C00">
        <w:rPr>
          <w:bCs/>
          <w:iCs/>
          <w:szCs w:val="22"/>
          <w:lang w:val="hu-HU"/>
        </w:rPr>
        <w:t>alkalmazását le kell állítani, ha a tünetek súlyosbodnak. Beszámoltak a tünetek kiújulásáról, miután a beteg (ismét) alkalmazni kezdte ugyanazt vagy egy másik sztatint.</w:t>
      </w:r>
    </w:p>
    <w:p w14:paraId="7F378CCD" w14:textId="77777777" w:rsidR="005268C6" w:rsidRPr="00DC2C00" w:rsidRDefault="005268C6">
      <w:pPr>
        <w:spacing w:line="240" w:lineRule="auto"/>
        <w:rPr>
          <w:szCs w:val="22"/>
          <w:lang w:val="hu-HU"/>
        </w:rPr>
      </w:pPr>
    </w:p>
    <w:p w14:paraId="112186E4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4E409A64" w14:textId="77777777" w:rsidR="005268C6" w:rsidRDefault="005268C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6FC5B2" w14:textId="7E402592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A pitavasztatin többféle májtranszporter (beleértve a</w:t>
      </w:r>
      <w:r w:rsidR="00BF7D53">
        <w:rPr>
          <w:szCs w:val="22"/>
          <w:lang w:val="hu-HU" w:eastAsia="en-US"/>
        </w:rPr>
        <w:t xml:space="preserve"> szerves</w:t>
      </w:r>
      <w:r w:rsidRPr="00DC2C00">
        <w:rPr>
          <w:szCs w:val="22"/>
          <w:lang w:val="hu-HU" w:eastAsia="en-US"/>
        </w:rPr>
        <w:t>anion</w:t>
      </w:r>
      <w:r w:rsidR="00BF7D53">
        <w:rPr>
          <w:szCs w:val="22"/>
          <w:lang w:val="hu-HU" w:eastAsia="en-US"/>
        </w:rPr>
        <w:t>-</w:t>
      </w:r>
      <w:r w:rsidRPr="00DC2C00">
        <w:rPr>
          <w:szCs w:val="22"/>
          <w:lang w:val="hu-HU" w:eastAsia="en-US"/>
        </w:rPr>
        <w:t>transzporter polipeptidet, OATP), segítségével aktív transzporttal jut az emberi májsejtekbe. A májtranszporterek a következő kölcsönhatásokban vehetnek részt.</w:t>
      </w:r>
    </w:p>
    <w:p w14:paraId="1E000F90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0361CF3F" w14:textId="5A651F14" w:rsidR="005268C6" w:rsidRPr="00DC2C00" w:rsidRDefault="002D01CE">
      <w:pPr>
        <w:spacing w:line="240" w:lineRule="auto"/>
        <w:rPr>
          <w:szCs w:val="22"/>
          <w:lang w:val="hu-HU" w:eastAsia="en-US"/>
        </w:rPr>
      </w:pPr>
      <w:r w:rsidRPr="00DC2C00">
        <w:rPr>
          <w:i/>
          <w:iCs/>
          <w:szCs w:val="22"/>
          <w:lang w:val="hu-HU" w:eastAsia="en-US"/>
        </w:rPr>
        <w:t>Ciklosporin</w:t>
      </w:r>
      <w:r w:rsidRPr="00DC2C00">
        <w:rPr>
          <w:szCs w:val="22"/>
          <w:lang w:val="hu-HU" w:eastAsia="en-US"/>
        </w:rPr>
        <w:t xml:space="preserve">: </w:t>
      </w:r>
      <w:r w:rsidR="00BF7D53">
        <w:rPr>
          <w:szCs w:val="22"/>
          <w:lang w:val="hu-HU" w:eastAsia="en-US"/>
        </w:rPr>
        <w:t xml:space="preserve">A </w:t>
      </w:r>
      <w:r w:rsidR="00BF7D53" w:rsidRPr="00111542">
        <w:rPr>
          <w:szCs w:val="22"/>
          <w:lang w:val="hu-HU" w:eastAsia="en-US"/>
        </w:rPr>
        <w:t>pitavasztatin</w:t>
      </w:r>
      <w:r w:rsidR="00BF7D53">
        <w:rPr>
          <w:szCs w:val="22"/>
          <w:lang w:val="hu-HU" w:eastAsia="en-US"/>
        </w:rPr>
        <w:t xml:space="preserve"> dinamikus egyensúlyi </w:t>
      </w:r>
      <w:r w:rsidR="00BF7D53" w:rsidRPr="00111542">
        <w:rPr>
          <w:szCs w:val="22"/>
          <w:lang w:val="hu-HU" w:eastAsia="en-US"/>
        </w:rPr>
        <w:t>állapot</w:t>
      </w:r>
      <w:r w:rsidR="00BF7D53">
        <w:rPr>
          <w:szCs w:val="22"/>
          <w:lang w:val="hu-HU" w:eastAsia="en-US"/>
        </w:rPr>
        <w:t>a esetén egy e</w:t>
      </w:r>
      <w:r w:rsidRPr="00DC2C00">
        <w:rPr>
          <w:szCs w:val="22"/>
          <w:lang w:val="hu-HU" w:eastAsia="en-US"/>
        </w:rPr>
        <w:t>gyszeri dózisú ciklosporin egyidejű adása a pitavasztatin AUC-értékének 4,6-</w:t>
      </w:r>
      <w:r w:rsidR="00BF7D53">
        <w:rPr>
          <w:szCs w:val="22"/>
          <w:lang w:val="hu-HU" w:eastAsia="en-US"/>
        </w:rPr>
        <w:t>szeres</w:t>
      </w:r>
      <w:r w:rsidRPr="00DC2C00">
        <w:rPr>
          <w:szCs w:val="22"/>
          <w:lang w:val="hu-HU" w:eastAsia="en-US"/>
        </w:rPr>
        <w:t xml:space="preserve"> emelkedését okozta. </w:t>
      </w:r>
      <w:r w:rsidR="00BF7D53">
        <w:rPr>
          <w:szCs w:val="22"/>
          <w:lang w:val="hu-HU" w:eastAsia="en-US"/>
        </w:rPr>
        <w:t>Nem ismert a</w:t>
      </w:r>
      <w:r w:rsidRPr="00DC2C00">
        <w:rPr>
          <w:szCs w:val="22"/>
          <w:lang w:val="hu-HU" w:eastAsia="en-US"/>
        </w:rPr>
        <w:t xml:space="preserve"> ciklosporin hatása a pitavasztatinra</w:t>
      </w:r>
      <w:r w:rsidR="00BF7D53">
        <w:rPr>
          <w:szCs w:val="22"/>
          <w:lang w:val="hu-HU" w:eastAsia="en-US"/>
        </w:rPr>
        <w:t xml:space="preserve"> mindkét hatóanyag dinamikus egyensúlyi állapota esetén</w:t>
      </w:r>
      <w:r w:rsidRPr="00DC2C00">
        <w:rPr>
          <w:szCs w:val="22"/>
          <w:lang w:val="hu-HU" w:eastAsia="en-US"/>
        </w:rPr>
        <w:t>. A Pitilox alkalmazása ellenjavallt ciklosporinnal kezelt betegeknél (lásd 4.3 pont).</w:t>
      </w:r>
    </w:p>
    <w:p w14:paraId="5A5865BF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0C4443A1" w14:textId="2F47CD1C" w:rsidR="005268C6" w:rsidRDefault="002D01C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C2C00">
        <w:rPr>
          <w:i/>
          <w:iCs/>
          <w:szCs w:val="22"/>
          <w:lang w:val="hu-HU" w:eastAsia="en-US"/>
        </w:rPr>
        <w:t>Eritromicin</w:t>
      </w:r>
      <w:r w:rsidRPr="00DC2C00">
        <w:rPr>
          <w:szCs w:val="22"/>
          <w:lang w:val="hu-HU" w:eastAsia="en-US"/>
        </w:rPr>
        <w:t>: A pitavasztatin eritromicinnel való együttes adása, a pitavasztatin AUC-értékének 2,8</w:t>
      </w:r>
      <w:r w:rsidR="00BF7D53">
        <w:rPr>
          <w:szCs w:val="22"/>
          <w:lang w:val="hu-HU" w:eastAsia="en-US"/>
        </w:rPr>
        <w:noBreakHyphen/>
        <w:t>szeres</w:t>
      </w:r>
      <w:r w:rsidRPr="00DC2C00">
        <w:rPr>
          <w:szCs w:val="22"/>
          <w:lang w:val="hu-HU" w:eastAsia="en-US"/>
        </w:rPr>
        <w:t xml:space="preserve"> növekedését</w:t>
      </w:r>
      <w:r w:rsidR="00BF7D53">
        <w:rPr>
          <w:szCs w:val="22"/>
          <w:lang w:val="hu-HU" w:eastAsia="en-US"/>
        </w:rPr>
        <w:t xml:space="preserve"> idézte elő</w:t>
      </w:r>
      <w:r w:rsidRPr="00DC2C00">
        <w:rPr>
          <w:szCs w:val="22"/>
          <w:lang w:val="hu-HU" w:eastAsia="en-US"/>
        </w:rPr>
        <w:t xml:space="preserve">. </w:t>
      </w:r>
      <w:r>
        <w:rPr>
          <w:rFonts w:eastAsia="Times New Roman"/>
          <w:noProof/>
          <w:snapToGrid/>
          <w:szCs w:val="22"/>
          <w:lang w:val="hu-HU" w:eastAsia="en-US"/>
        </w:rPr>
        <w:t>Eritromicinnel vagy más makrolid antibiotikummal való kezelés alatt a Pitilox-kezelés átmeneti felfüggesztése javasolt.</w:t>
      </w:r>
    </w:p>
    <w:p w14:paraId="31E338E7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750ABF58" w14:textId="70947174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Gemfibrozil és egyéb fibrátok:</w:t>
      </w:r>
      <w:r w:rsidRPr="00DC2C00">
        <w:rPr>
          <w:bCs/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A fibrátok önmagukban történő alkalmazása esetenként myopathiával jár. S</w:t>
      </w:r>
      <w:r w:rsidRPr="00DC2C00">
        <w:rPr>
          <w:szCs w:val="22"/>
          <w:lang w:val="hu-HU" w:eastAsia="en-US"/>
        </w:rPr>
        <w:t>ztatinok fibrátokkal történő egyidejű alkalmazása esetén fokozott a myopathia, illetve a rhabdomyolysis kockázata</w:t>
      </w:r>
      <w:r w:rsidRPr="00DC2C00">
        <w:rPr>
          <w:bCs/>
          <w:szCs w:val="22"/>
          <w:lang w:val="hu-HU" w:eastAsia="en-US"/>
        </w:rPr>
        <w:t xml:space="preserve">. A </w:t>
      </w:r>
      <w:r w:rsidRPr="00DC2C00">
        <w:rPr>
          <w:szCs w:val="22"/>
          <w:lang w:val="hu-HU" w:eastAsia="en-US"/>
        </w:rPr>
        <w:t xml:space="preserve">Pitilox-ot körültekintéssel kell alkalmazni fibrátokkal együtt (lásd 4.4 pont). Farmakokinetikai vizsgálatokban a pitavasztatin gemfibrozillal történő egyidejű alkalmazása a pitavasztatin AUC-értékének 1,4-szeres emelkedését, a fenofibrát AUC-értékének pedig 1,2-szeres emelkedését </w:t>
      </w:r>
      <w:r w:rsidR="00BF7D53">
        <w:rPr>
          <w:szCs w:val="22"/>
          <w:lang w:val="hu-HU" w:eastAsia="en-US"/>
        </w:rPr>
        <w:t>idézte elő</w:t>
      </w:r>
      <w:r w:rsidRPr="00DC2C00">
        <w:rPr>
          <w:szCs w:val="22"/>
          <w:lang w:val="hu-HU" w:eastAsia="en-US"/>
        </w:rPr>
        <w:t>.</w:t>
      </w:r>
    </w:p>
    <w:p w14:paraId="385B9379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2C355037" w14:textId="223D648F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Niacin:</w:t>
      </w:r>
      <w:r w:rsidRPr="00DC2C00">
        <w:rPr>
          <w:bCs/>
          <w:szCs w:val="22"/>
          <w:lang w:val="hu-HU" w:eastAsia="en-US"/>
        </w:rPr>
        <w:t xml:space="preserve"> </w:t>
      </w:r>
      <w:r w:rsidRPr="00DC2C00">
        <w:rPr>
          <w:szCs w:val="22"/>
          <w:lang w:val="hu-HU" w:eastAsia="en-US"/>
        </w:rPr>
        <w:t xml:space="preserve">Pitavasztatinnal és niacinnal </w:t>
      </w:r>
      <w:r w:rsidRPr="00DC2C00">
        <w:rPr>
          <w:bCs/>
          <w:szCs w:val="22"/>
          <w:lang w:val="hu-HU" w:eastAsia="en-US"/>
        </w:rPr>
        <w:t>nem végeztek interakciós vizsgálatot</w:t>
      </w:r>
      <w:r w:rsidRPr="00DC2C00">
        <w:rPr>
          <w:szCs w:val="22"/>
          <w:lang w:val="hu-HU" w:eastAsia="en-US"/>
        </w:rPr>
        <w:t xml:space="preserve">. A niacin monoterápiában történő alkalmazása összefüggésbe hozható </w:t>
      </w:r>
      <w:r w:rsidR="00AB3CCB">
        <w:rPr>
          <w:szCs w:val="22"/>
          <w:lang w:val="hu-HU" w:eastAsia="en-US"/>
        </w:rPr>
        <w:t xml:space="preserve">a </w:t>
      </w:r>
      <w:r w:rsidRPr="00DC2C00">
        <w:rPr>
          <w:szCs w:val="22"/>
          <w:lang w:val="hu-HU" w:eastAsia="en-US"/>
        </w:rPr>
        <w:t xml:space="preserve">myopathia és </w:t>
      </w:r>
      <w:r w:rsidR="00AB3CCB">
        <w:rPr>
          <w:szCs w:val="22"/>
          <w:lang w:val="hu-HU" w:eastAsia="en-US"/>
        </w:rPr>
        <w:t xml:space="preserve">a </w:t>
      </w:r>
      <w:r w:rsidRPr="00DC2C00">
        <w:rPr>
          <w:szCs w:val="22"/>
          <w:lang w:val="hu-HU" w:eastAsia="en-US"/>
        </w:rPr>
        <w:t>rhabdomyolysis kialakulásával. Ezért a Pitilox és a niacin egyidejű alkalmazása körültekintést igényel.</w:t>
      </w:r>
    </w:p>
    <w:p w14:paraId="14531DDB" w14:textId="77777777" w:rsidR="005268C6" w:rsidRPr="00DC2C00" w:rsidRDefault="005268C6">
      <w:pPr>
        <w:spacing w:line="240" w:lineRule="auto"/>
        <w:rPr>
          <w:szCs w:val="22"/>
          <w:lang w:val="hu-HU" w:eastAsia="en-US"/>
        </w:rPr>
      </w:pPr>
    </w:p>
    <w:p w14:paraId="53AD2629" w14:textId="09D15785" w:rsidR="005268C6" w:rsidRPr="00DC2C00" w:rsidRDefault="002D01CE">
      <w:pPr>
        <w:widowControl w:val="0"/>
        <w:rPr>
          <w:rFonts w:eastAsia="HG Mincho Light J"/>
          <w:szCs w:val="22"/>
          <w:lang w:val="hu-HU"/>
        </w:rPr>
      </w:pPr>
      <w:r w:rsidRPr="00DC2C00">
        <w:rPr>
          <w:i/>
          <w:szCs w:val="22"/>
          <w:lang w:val="hu-HU"/>
        </w:rPr>
        <w:t>Fuzidinsav:</w:t>
      </w:r>
      <w:r w:rsidRPr="00DC2C00">
        <w:rPr>
          <w:szCs w:val="22"/>
          <w:lang w:val="hu-HU"/>
        </w:rPr>
        <w:t xml:space="preserve"> </w:t>
      </w:r>
      <w:r>
        <w:rPr>
          <w:szCs w:val="22"/>
          <w:lang w:val="hu-HU"/>
        </w:rPr>
        <w:t>A szisztémás fuzidinsav-készítmények és sztatinok egyidejű adása fokozhatja a myopathia (pl. rhabdomyolysis) kockázatát. Ennek az interakciónak a mechanizmusa (legyen az farmakodinámiás, farmakokinetikai vagy mindkettő) egyelőre nem ismert. Az ezzel a kombinációval kezelt betegeknél rhabdomyolysisről számoltak be (néhány haláleset is történt).</w:t>
      </w:r>
    </w:p>
    <w:p w14:paraId="349DD74D" w14:textId="77777777" w:rsidR="005268C6" w:rsidRDefault="002D01C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Ha szisztémás fuzidinsav-kezelés szükséges, annak teljes időtartamára fel kell függeszteni a Pitilox-terápiát. Lásd még 4.4 pont.</w:t>
      </w:r>
    </w:p>
    <w:p w14:paraId="265967BC" w14:textId="77777777" w:rsidR="005268C6" w:rsidRDefault="005268C6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EED6B11" w14:textId="175C6386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i/>
          <w:szCs w:val="22"/>
          <w:lang w:val="hu-HU" w:eastAsia="en-US"/>
        </w:rPr>
        <w:t>Glekaprevir és pibrentaszvir:</w:t>
      </w:r>
      <w:r w:rsidRPr="00DC2C00">
        <w:rPr>
          <w:szCs w:val="22"/>
          <w:lang w:val="hu-HU" w:eastAsia="en-US"/>
        </w:rPr>
        <w:t xml:space="preserve"> A HMG-CoA-reduktáz</w:t>
      </w:r>
      <w:r w:rsidR="00AB3CCB">
        <w:rPr>
          <w:szCs w:val="22"/>
          <w:lang w:val="hu-HU" w:eastAsia="en-US"/>
        </w:rPr>
        <w:t>-</w:t>
      </w:r>
      <w:r w:rsidRPr="00DC2C00">
        <w:rPr>
          <w:szCs w:val="22"/>
          <w:lang w:val="hu-HU" w:eastAsia="en-US"/>
        </w:rPr>
        <w:t xml:space="preserve">gátlók és </w:t>
      </w:r>
      <w:r w:rsidR="00AB3CCB">
        <w:rPr>
          <w:szCs w:val="22"/>
          <w:lang w:val="hu-HU" w:eastAsia="en-US"/>
        </w:rPr>
        <w:t xml:space="preserve">a </w:t>
      </w:r>
      <w:r w:rsidRPr="00DC2C00">
        <w:rPr>
          <w:szCs w:val="22"/>
          <w:lang w:val="hu-HU" w:eastAsia="en-US"/>
        </w:rPr>
        <w:t xml:space="preserve">glekaprevir/pibrentaszvir egyidejű alkalmazása növelheti </w:t>
      </w:r>
      <w:r w:rsidR="00AB3CCB">
        <w:rPr>
          <w:szCs w:val="22"/>
          <w:lang w:val="hu-HU" w:eastAsia="en-US"/>
        </w:rPr>
        <w:t xml:space="preserve">a </w:t>
      </w:r>
      <w:r w:rsidRPr="00DC2C00">
        <w:rPr>
          <w:szCs w:val="22"/>
          <w:lang w:val="hu-HU" w:eastAsia="en-US"/>
        </w:rPr>
        <w:t>HMG-CoA-reduktáz</w:t>
      </w:r>
      <w:r w:rsidR="00AB3CCB">
        <w:rPr>
          <w:szCs w:val="22"/>
          <w:lang w:val="hu-HU" w:eastAsia="en-US"/>
        </w:rPr>
        <w:t>-</w:t>
      </w:r>
      <w:r w:rsidRPr="00DC2C00">
        <w:rPr>
          <w:szCs w:val="22"/>
          <w:lang w:val="hu-HU" w:eastAsia="en-US"/>
        </w:rPr>
        <w:t>gátlók plazmakoncentrációját. A pitavasztatint nem vizsgálták</w:t>
      </w:r>
      <w:r w:rsidR="00AB3CCB">
        <w:rPr>
          <w:szCs w:val="22"/>
          <w:lang w:val="hu-HU" w:eastAsia="en-US"/>
        </w:rPr>
        <w:t>,</w:t>
      </w:r>
      <w:r w:rsidRPr="00DC2C00">
        <w:rPr>
          <w:szCs w:val="22"/>
          <w:lang w:val="hu-HU" w:eastAsia="en-US"/>
        </w:rPr>
        <w:t xml:space="preserve"> de valószínűleg ugyanez a kölcsönhatás fog előfordulni. </w:t>
      </w:r>
      <w:r w:rsidR="00AB3CCB">
        <w:rPr>
          <w:szCs w:val="22"/>
          <w:lang w:val="hu-HU" w:eastAsia="en-US"/>
        </w:rPr>
        <w:t>A g</w:t>
      </w:r>
      <w:r w:rsidRPr="00DC2C00">
        <w:rPr>
          <w:szCs w:val="22"/>
          <w:lang w:val="hu-HU" w:eastAsia="en-US"/>
        </w:rPr>
        <w:t>lekaprevir/pibrentaszvir kezelés kezdetén a legkisebb Pitilox-dózis</w:t>
      </w:r>
      <w:r w:rsidR="00AB3CCB">
        <w:rPr>
          <w:szCs w:val="22"/>
          <w:lang w:val="hu-HU" w:eastAsia="en-US"/>
        </w:rPr>
        <w:t xml:space="preserve"> alkalmazása</w:t>
      </w:r>
      <w:r w:rsidRPr="00DC2C00">
        <w:rPr>
          <w:szCs w:val="22"/>
          <w:lang w:val="hu-HU" w:eastAsia="en-US"/>
        </w:rPr>
        <w:t xml:space="preserve"> ajánlott, továbbá </w:t>
      </w:r>
      <w:r w:rsidR="00AB3CCB">
        <w:rPr>
          <w:szCs w:val="22"/>
          <w:lang w:val="hu-HU" w:eastAsia="en-US"/>
        </w:rPr>
        <w:t xml:space="preserve">az </w:t>
      </w:r>
      <w:r w:rsidRPr="00DC2C00">
        <w:rPr>
          <w:szCs w:val="22"/>
          <w:lang w:val="hu-HU" w:eastAsia="en-US"/>
        </w:rPr>
        <w:t>ezen kombinációt alkalmazó betegek állapotának klinikai monitorozása javasolt.</w:t>
      </w:r>
    </w:p>
    <w:p w14:paraId="053147DE" w14:textId="77777777" w:rsidR="005268C6" w:rsidRDefault="005268C6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E9EB736" w14:textId="7146761B" w:rsidR="005268C6" w:rsidRPr="00DC2C00" w:rsidRDefault="002D01CE">
      <w:pPr>
        <w:autoSpaceDE w:val="0"/>
        <w:autoSpaceDN w:val="0"/>
        <w:adjustRightInd w:val="0"/>
        <w:rPr>
          <w:bCs/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Rifampicin:</w:t>
      </w:r>
      <w:r w:rsidRPr="00DC2C00">
        <w:rPr>
          <w:bCs/>
          <w:szCs w:val="22"/>
          <w:lang w:val="hu-HU" w:eastAsia="en-US"/>
        </w:rPr>
        <w:t xml:space="preserve"> </w:t>
      </w:r>
      <w:r w:rsidR="00AB3CCB">
        <w:rPr>
          <w:bCs/>
          <w:szCs w:val="22"/>
          <w:lang w:val="hu-HU" w:eastAsia="en-US"/>
        </w:rPr>
        <w:t>A p</w:t>
      </w:r>
      <w:r w:rsidRPr="00DC2C00">
        <w:rPr>
          <w:bCs/>
          <w:szCs w:val="22"/>
          <w:lang w:val="hu-HU" w:eastAsia="en-US"/>
        </w:rPr>
        <w:t>itavasztatinnal történő egyidejű alkalmazás a pitavasztatin AUC-értékének 1,3-</w:t>
      </w:r>
      <w:r w:rsidR="00AB3CCB">
        <w:rPr>
          <w:bCs/>
          <w:szCs w:val="22"/>
          <w:lang w:val="hu-HU" w:eastAsia="en-US"/>
        </w:rPr>
        <w:t>szeres</w:t>
      </w:r>
      <w:r w:rsidRPr="00DC2C00">
        <w:rPr>
          <w:bCs/>
          <w:szCs w:val="22"/>
          <w:lang w:val="hu-HU" w:eastAsia="en-US"/>
        </w:rPr>
        <w:t xml:space="preserve"> emelkedését </w:t>
      </w:r>
      <w:r w:rsidR="00AB3CCB">
        <w:rPr>
          <w:bCs/>
          <w:szCs w:val="22"/>
          <w:lang w:val="hu-HU" w:eastAsia="en-US"/>
        </w:rPr>
        <w:t xml:space="preserve">idézte elő </w:t>
      </w:r>
      <w:r w:rsidRPr="00DC2C00">
        <w:rPr>
          <w:bCs/>
          <w:szCs w:val="22"/>
          <w:lang w:val="hu-HU" w:eastAsia="en-US"/>
        </w:rPr>
        <w:t xml:space="preserve">a májba történő </w:t>
      </w:r>
      <w:r w:rsidR="00AB3CCB" w:rsidRPr="00406CAC">
        <w:rPr>
          <w:bCs/>
          <w:szCs w:val="22"/>
          <w:lang w:val="hu-HU" w:eastAsia="en-US"/>
        </w:rPr>
        <w:t xml:space="preserve">csökkent </w:t>
      </w:r>
      <w:r w:rsidRPr="00DC2C00">
        <w:rPr>
          <w:bCs/>
          <w:szCs w:val="22"/>
          <w:lang w:val="hu-HU" w:eastAsia="en-US"/>
        </w:rPr>
        <w:t>felvétel miatt.</w:t>
      </w:r>
    </w:p>
    <w:p w14:paraId="39E768DC" w14:textId="77777777" w:rsidR="005268C6" w:rsidRPr="00DC2C00" w:rsidRDefault="005268C6">
      <w:pPr>
        <w:autoSpaceDE w:val="0"/>
        <w:autoSpaceDN w:val="0"/>
        <w:adjustRightInd w:val="0"/>
        <w:rPr>
          <w:bCs/>
          <w:szCs w:val="22"/>
          <w:lang w:val="hu-HU" w:eastAsia="en-US"/>
        </w:rPr>
      </w:pPr>
    </w:p>
    <w:p w14:paraId="7DAE9C61" w14:textId="442E8567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Proteáz-inhibitorok és nem nukleozid reverz</w:t>
      </w:r>
      <w:r w:rsidR="00AB3CCB">
        <w:rPr>
          <w:bCs/>
          <w:i/>
          <w:szCs w:val="22"/>
          <w:lang w:val="hu-HU" w:eastAsia="en-US"/>
        </w:rPr>
        <w:t xml:space="preserve"> </w:t>
      </w:r>
      <w:r w:rsidRPr="00DC2C00">
        <w:rPr>
          <w:bCs/>
          <w:i/>
          <w:szCs w:val="22"/>
          <w:lang w:val="hu-HU" w:eastAsia="en-US"/>
        </w:rPr>
        <w:t>transzkriptáz</w:t>
      </w:r>
      <w:r w:rsidR="00AB3CCB">
        <w:rPr>
          <w:bCs/>
          <w:i/>
          <w:szCs w:val="22"/>
          <w:lang w:val="hu-HU" w:eastAsia="en-US"/>
        </w:rPr>
        <w:t xml:space="preserve"> </w:t>
      </w:r>
      <w:r w:rsidRPr="00DC2C00">
        <w:rPr>
          <w:bCs/>
          <w:i/>
          <w:szCs w:val="22"/>
          <w:lang w:val="hu-HU" w:eastAsia="en-US"/>
        </w:rPr>
        <w:t>gátlók:</w:t>
      </w:r>
      <w:r w:rsidRPr="00DC2C00">
        <w:rPr>
          <w:bCs/>
          <w:iCs/>
          <w:szCs w:val="22"/>
          <w:lang w:val="hu-HU" w:eastAsia="en-US"/>
        </w:rPr>
        <w:t xml:space="preserve"> Lopinavir/ritonavir, darunavir/ritonavir, atazanavir vagy efavirenz Pitilox-szal való egyidejű alkalmazása a pitavasztatin AUC-értékének csekély változását okozhatj</w:t>
      </w:r>
      <w:r w:rsidR="00AB3CCB">
        <w:rPr>
          <w:bCs/>
          <w:iCs/>
          <w:szCs w:val="22"/>
          <w:lang w:val="hu-HU" w:eastAsia="en-US"/>
        </w:rPr>
        <w:t>a</w:t>
      </w:r>
      <w:r w:rsidRPr="00DC2C00">
        <w:rPr>
          <w:bCs/>
          <w:iCs/>
          <w:szCs w:val="22"/>
          <w:lang w:val="hu-HU" w:eastAsia="en-US"/>
        </w:rPr>
        <w:t>.</w:t>
      </w:r>
    </w:p>
    <w:p w14:paraId="2EB23AFD" w14:textId="77777777" w:rsidR="005268C6" w:rsidRPr="00DC2C00" w:rsidRDefault="005268C6">
      <w:pPr>
        <w:autoSpaceDE w:val="0"/>
        <w:autoSpaceDN w:val="0"/>
        <w:adjustRightInd w:val="0"/>
        <w:rPr>
          <w:bCs/>
          <w:szCs w:val="22"/>
          <w:lang w:val="hu-HU" w:eastAsia="en-US"/>
        </w:rPr>
      </w:pPr>
    </w:p>
    <w:p w14:paraId="068DB83B" w14:textId="4A460C75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lastRenderedPageBreak/>
        <w:t>Ezetimib</w:t>
      </w:r>
      <w:r w:rsidR="007B78EF">
        <w:rPr>
          <w:bCs/>
          <w:iCs/>
          <w:szCs w:val="22"/>
          <w:lang w:val="hu-HU" w:eastAsia="en-US"/>
        </w:rPr>
        <w:t>, valamint</w:t>
      </w:r>
      <w:r w:rsidRPr="00DC2C00">
        <w:rPr>
          <w:bCs/>
          <w:iCs/>
          <w:szCs w:val="22"/>
          <w:lang w:val="hu-HU" w:eastAsia="en-US"/>
        </w:rPr>
        <w:t xml:space="preserve"> a</w:t>
      </w:r>
      <w:r w:rsidRPr="00DC2C00">
        <w:rPr>
          <w:bCs/>
          <w:i/>
          <w:szCs w:val="22"/>
          <w:lang w:val="hu-HU" w:eastAsia="en-US"/>
        </w:rPr>
        <w:t xml:space="preserve"> </w:t>
      </w:r>
      <w:r w:rsidRPr="00DC2C00">
        <w:rPr>
          <w:szCs w:val="22"/>
          <w:lang w:val="hu-HU" w:eastAsia="en-US"/>
        </w:rPr>
        <w:t>glükuronid</w:t>
      </w:r>
      <w:r w:rsidR="007B78EF">
        <w:rPr>
          <w:szCs w:val="22"/>
          <w:lang w:val="hu-HU" w:eastAsia="en-US"/>
        </w:rPr>
        <w:t>-</w:t>
      </w:r>
      <w:r w:rsidRPr="00DC2C00">
        <w:rPr>
          <w:szCs w:val="22"/>
          <w:lang w:val="hu-HU" w:eastAsia="en-US"/>
        </w:rPr>
        <w:t>metabolitja gátolja a táplálékból és az epéből származó koleszterin felszívódását. A pitavasztatin egyidejű alkalmazásának nincs hatása az ezetimib vagy glükuronid</w:t>
      </w:r>
      <w:r w:rsidR="007B78EF">
        <w:rPr>
          <w:szCs w:val="22"/>
          <w:lang w:val="hu-HU" w:eastAsia="en-US"/>
        </w:rPr>
        <w:t>-</w:t>
      </w:r>
      <w:r w:rsidRPr="00DC2C00">
        <w:rPr>
          <w:szCs w:val="22"/>
          <w:lang w:val="hu-HU" w:eastAsia="en-US"/>
        </w:rPr>
        <w:t>metabolitjának plazmakoncentráció</w:t>
      </w:r>
      <w:r w:rsidR="007B78EF">
        <w:rPr>
          <w:szCs w:val="22"/>
          <w:lang w:val="hu-HU" w:eastAsia="en-US"/>
        </w:rPr>
        <w:t>já</w:t>
      </w:r>
      <w:r w:rsidRPr="00DC2C00">
        <w:rPr>
          <w:szCs w:val="22"/>
          <w:lang w:val="hu-HU" w:eastAsia="en-US"/>
        </w:rPr>
        <w:t>ra. Az ezetimibnek nincsen hatása a pitavasztatin plazmakoncentráció</w:t>
      </w:r>
      <w:r w:rsidR="007B78EF">
        <w:rPr>
          <w:szCs w:val="22"/>
          <w:lang w:val="hu-HU" w:eastAsia="en-US"/>
        </w:rPr>
        <w:t>já</w:t>
      </w:r>
      <w:r w:rsidRPr="00DC2C00">
        <w:rPr>
          <w:szCs w:val="22"/>
          <w:lang w:val="hu-HU" w:eastAsia="en-US"/>
        </w:rPr>
        <w:t>ra.</w:t>
      </w:r>
    </w:p>
    <w:p w14:paraId="05E16B61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33E127B4" w14:textId="7C58B426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CYP3A4-gátlók:</w:t>
      </w:r>
      <w:r w:rsidRPr="00DC2C00">
        <w:rPr>
          <w:bCs/>
          <w:szCs w:val="22"/>
          <w:lang w:val="hu-HU" w:eastAsia="en-US"/>
        </w:rPr>
        <w:t xml:space="preserve"> Gyógyszer</w:t>
      </w:r>
      <w:r w:rsidR="007B78EF">
        <w:rPr>
          <w:bCs/>
          <w:szCs w:val="22"/>
          <w:lang w:val="hu-HU" w:eastAsia="en-US"/>
        </w:rPr>
        <w:t>-</w:t>
      </w:r>
      <w:r w:rsidRPr="00DC2C00">
        <w:rPr>
          <w:bCs/>
          <w:szCs w:val="22"/>
          <w:lang w:val="hu-HU" w:eastAsia="en-US"/>
        </w:rPr>
        <w:t>interakciós vizsgálatokban az itrakonazol és a grépfrútlé – ismert</w:t>
      </w:r>
      <w:r w:rsidR="007B78EF">
        <w:rPr>
          <w:bCs/>
          <w:szCs w:val="22"/>
          <w:lang w:val="hu-HU" w:eastAsia="en-US"/>
        </w:rPr>
        <w:t>en</w:t>
      </w:r>
      <w:r w:rsidRPr="00DC2C00">
        <w:rPr>
          <w:bCs/>
          <w:szCs w:val="22"/>
          <w:lang w:val="hu-HU" w:eastAsia="en-US"/>
        </w:rPr>
        <w:t xml:space="preserve"> CYP3A4-gátlók – nem mutat</w:t>
      </w:r>
      <w:r w:rsidR="007B78EF">
        <w:rPr>
          <w:bCs/>
          <w:szCs w:val="22"/>
          <w:lang w:val="hu-HU" w:eastAsia="en-US"/>
        </w:rPr>
        <w:t>ott</w:t>
      </w:r>
      <w:r w:rsidRPr="00DC2C00">
        <w:rPr>
          <w:bCs/>
          <w:szCs w:val="22"/>
          <w:lang w:val="hu-HU" w:eastAsia="en-US"/>
        </w:rPr>
        <w:t xml:space="preserve"> szignifikáns hatást a pitavasztatin plazmakoncentrációjára.</w:t>
      </w:r>
    </w:p>
    <w:p w14:paraId="5FBCF875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6F949910" w14:textId="5AA0D78F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Digoxin</w:t>
      </w:r>
      <w:r w:rsidRPr="00DC2C00">
        <w:rPr>
          <w:szCs w:val="22"/>
          <w:lang w:val="hu-HU" w:eastAsia="en-US"/>
        </w:rPr>
        <w:t xml:space="preserve"> mint ismert P-gp</w:t>
      </w:r>
      <w:r w:rsidR="007B78EF">
        <w:rPr>
          <w:szCs w:val="22"/>
          <w:lang w:val="hu-HU" w:eastAsia="en-US"/>
        </w:rPr>
        <w:t>-</w:t>
      </w:r>
      <w:r w:rsidRPr="00DC2C00">
        <w:rPr>
          <w:szCs w:val="22"/>
          <w:lang w:val="hu-HU" w:eastAsia="en-US"/>
        </w:rPr>
        <w:t>szubsztrát</w:t>
      </w:r>
      <w:r w:rsidR="007B78EF">
        <w:rPr>
          <w:szCs w:val="22"/>
          <w:lang w:val="hu-HU" w:eastAsia="en-US"/>
        </w:rPr>
        <w:t>:</w:t>
      </w:r>
      <w:r w:rsidRPr="00DC2C00">
        <w:rPr>
          <w:szCs w:val="22"/>
          <w:lang w:val="hu-HU" w:eastAsia="en-US"/>
        </w:rPr>
        <w:t xml:space="preserve"> nem lép kölcsönhatásba pitavasztatinnal. Egyidejű alkalmazásukkor nem volt tapasztalható szignifikáns változás sem a pitavasztatin, sem a digoxin koncentrációjában.</w:t>
      </w:r>
    </w:p>
    <w:p w14:paraId="32C0DE9E" w14:textId="77777777" w:rsidR="005268C6" w:rsidRPr="00DC2C00" w:rsidRDefault="005268C6">
      <w:pPr>
        <w:autoSpaceDE w:val="0"/>
        <w:autoSpaceDN w:val="0"/>
        <w:adjustRightInd w:val="0"/>
        <w:rPr>
          <w:bCs/>
          <w:szCs w:val="22"/>
          <w:lang w:val="hu-HU" w:eastAsia="en-US"/>
        </w:rPr>
      </w:pPr>
    </w:p>
    <w:p w14:paraId="2C292B24" w14:textId="5DA84B7E" w:rsidR="005268C6" w:rsidRPr="00DC2C00" w:rsidRDefault="002D01CE">
      <w:pPr>
        <w:autoSpaceDE w:val="0"/>
        <w:autoSpaceDN w:val="0"/>
        <w:adjustRightInd w:val="0"/>
        <w:rPr>
          <w:bCs/>
          <w:szCs w:val="22"/>
          <w:lang w:val="hu-HU" w:eastAsia="en-US"/>
        </w:rPr>
      </w:pPr>
      <w:r w:rsidRPr="00DC2C00">
        <w:rPr>
          <w:bCs/>
          <w:i/>
          <w:szCs w:val="22"/>
          <w:lang w:val="hu-HU" w:eastAsia="en-US"/>
        </w:rPr>
        <w:t>Warfarin:</w:t>
      </w:r>
      <w:r w:rsidRPr="00DC2C00">
        <w:rPr>
          <w:bCs/>
          <w:szCs w:val="22"/>
          <w:lang w:val="hu-HU" w:eastAsia="en-US"/>
        </w:rPr>
        <w:t xml:space="preserve"> Egészséges önkénteseket vizsgálva, naponta 4 mg pitavasztatin együttes adása nem volt hatással a warfarin </w:t>
      </w:r>
      <w:r w:rsidR="007B78EF">
        <w:rPr>
          <w:bCs/>
          <w:szCs w:val="22"/>
          <w:lang w:val="hu-HU" w:eastAsia="en-US"/>
        </w:rPr>
        <w:t>dinamikus egyensúlyi állapotú</w:t>
      </w:r>
      <w:r w:rsidRPr="00DC2C00">
        <w:rPr>
          <w:bCs/>
          <w:szCs w:val="22"/>
          <w:lang w:val="hu-HU" w:eastAsia="en-US"/>
        </w:rPr>
        <w:t xml:space="preserve"> farmakokinetikájára és farmakodinamikájára (INR és PT). Azonban a többi sztatinhoz hasonlóan, azoknál a betegeknél, akik warfarint szednek: a protrombinidő vagy az INR-érték ellenőrzése szükséges, ha kezelésüket </w:t>
      </w:r>
      <w:r w:rsidRPr="00DC2C00">
        <w:rPr>
          <w:szCs w:val="22"/>
          <w:lang w:val="hu-HU" w:eastAsia="en-US"/>
        </w:rPr>
        <w:t>Pitilox-szal egészítik ki.</w:t>
      </w:r>
    </w:p>
    <w:p w14:paraId="4268D274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hu-HU" w:eastAsia="en-US"/>
        </w:rPr>
      </w:pPr>
    </w:p>
    <w:p w14:paraId="03AE3A2C" w14:textId="77777777" w:rsidR="005268C6" w:rsidRPr="00DC2C00" w:rsidRDefault="002D01CE">
      <w:pPr>
        <w:autoSpaceDE w:val="0"/>
        <w:autoSpaceDN w:val="0"/>
        <w:adjustRightInd w:val="0"/>
        <w:rPr>
          <w:iCs/>
          <w:szCs w:val="22"/>
          <w:u w:val="single"/>
          <w:lang w:val="hu-HU" w:eastAsia="en-US"/>
        </w:rPr>
      </w:pPr>
      <w:r w:rsidRPr="00DC2C00">
        <w:rPr>
          <w:iCs/>
          <w:szCs w:val="22"/>
          <w:u w:val="single"/>
          <w:lang w:val="hu-HU"/>
        </w:rPr>
        <w:t>Gyermekek és serdülők</w:t>
      </w:r>
    </w:p>
    <w:p w14:paraId="4DFA5119" w14:textId="1C6508C7" w:rsidR="005268C6" w:rsidRPr="00DC2C00" w:rsidRDefault="002D01CE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Gyógyszer</w:t>
      </w:r>
      <w:r w:rsidR="00460006">
        <w:rPr>
          <w:szCs w:val="22"/>
          <w:lang w:val="hu-HU" w:eastAsia="en-US"/>
        </w:rPr>
        <w:t>–</w:t>
      </w:r>
      <w:r w:rsidRPr="00DC2C00">
        <w:rPr>
          <w:szCs w:val="22"/>
          <w:lang w:val="hu-HU" w:eastAsia="en-US"/>
        </w:rPr>
        <w:t xml:space="preserve">gyógyszer kölcsönhatási vizsgálatokat csak felnőtteknél végeztek. A kölcsönhatások mértéke </w:t>
      </w:r>
      <w:r w:rsidRPr="00DC2C00">
        <w:rPr>
          <w:iCs/>
          <w:szCs w:val="22"/>
          <w:lang w:val="hu-HU"/>
        </w:rPr>
        <w:t>gyermekeknél és serdülőknél</w:t>
      </w:r>
      <w:r w:rsidRPr="00DC2C00">
        <w:rPr>
          <w:szCs w:val="22"/>
          <w:lang w:val="hu-HU" w:eastAsia="en-US"/>
        </w:rPr>
        <w:t xml:space="preserve"> nem ismert.</w:t>
      </w:r>
    </w:p>
    <w:p w14:paraId="1705FEE1" w14:textId="77777777" w:rsidR="005268C6" w:rsidRDefault="005268C6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C0FCC90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65278D72" w14:textId="77777777" w:rsidR="005268C6" w:rsidRDefault="005268C6">
      <w:pPr>
        <w:spacing w:line="240" w:lineRule="auto"/>
        <w:rPr>
          <w:i/>
          <w:szCs w:val="22"/>
          <w:lang w:val="hu-HU"/>
        </w:rPr>
      </w:pPr>
    </w:p>
    <w:p w14:paraId="396A4626" w14:textId="77777777" w:rsidR="005268C6" w:rsidRDefault="002D01CE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Terhesség</w:t>
      </w:r>
    </w:p>
    <w:p w14:paraId="3D1203AF" w14:textId="52A57D73" w:rsidR="005268C6" w:rsidRPr="00DC2C00" w:rsidRDefault="002D01CE">
      <w:pPr>
        <w:tabs>
          <w:tab w:val="right" w:pos="9431"/>
        </w:tabs>
        <w:spacing w:line="200" w:lineRule="atLeast"/>
        <w:rPr>
          <w:szCs w:val="22"/>
          <w:lang w:val="hu-HU"/>
        </w:rPr>
      </w:pPr>
      <w:r w:rsidRPr="00DC2C00">
        <w:rPr>
          <w:szCs w:val="22"/>
          <w:lang w:val="hu-HU" w:eastAsia="en-US"/>
        </w:rPr>
        <w:t>A Pitilox</w:t>
      </w:r>
      <w:r w:rsidRPr="00DC2C00">
        <w:rPr>
          <w:szCs w:val="22"/>
          <w:lang w:val="hu-HU"/>
        </w:rPr>
        <w:t xml:space="preserve"> alkalmazása ellenjavallt terhesség alatt (lásd 4.3 pont). </w:t>
      </w:r>
      <w:r>
        <w:rPr>
          <w:szCs w:val="22"/>
          <w:lang w:val="fi-FI"/>
        </w:rPr>
        <w:t>Fogamzóképes nőknek hatékony fogamzásgátló módszert kell alkalmazniuk a pitavasztatin-kezelés alatt</w:t>
      </w:r>
      <w:r w:rsidRPr="00DC2C00">
        <w:rPr>
          <w:szCs w:val="22"/>
          <w:lang w:val="hu-HU"/>
        </w:rPr>
        <w:t xml:space="preserve">. Mivel a koleszterin és egyéb, a koleszterin-bioszintézis eredményeképpen létrejövő köztitermékek </w:t>
      </w:r>
      <w:r w:rsidR="00460006" w:rsidRPr="00FD6D6A">
        <w:rPr>
          <w:szCs w:val="22"/>
          <w:lang w:val="hu-HU"/>
        </w:rPr>
        <w:t>nélkülözhetetlenek</w:t>
      </w:r>
      <w:r w:rsidR="00460006" w:rsidRPr="00460006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a magzat fejlődéséhez, a HMG</w:t>
      </w:r>
      <w:r w:rsidRPr="00DC2C00">
        <w:rPr>
          <w:szCs w:val="22"/>
          <w:lang w:val="hu-HU"/>
        </w:rPr>
        <w:noBreakHyphen/>
        <w:t>CoA</w:t>
      </w:r>
      <w:r w:rsidRPr="00DC2C00">
        <w:rPr>
          <w:szCs w:val="22"/>
          <w:lang w:val="hu-HU"/>
        </w:rPr>
        <w:noBreakHyphen/>
        <w:t>reduktáz gátlásából eredő kockázat nagyobb, mint a terhesség idején alkalmazott terápiából származó előny. Az állatok</w:t>
      </w:r>
      <w:r w:rsidR="00460006">
        <w:rPr>
          <w:szCs w:val="22"/>
          <w:lang w:val="hu-HU"/>
        </w:rPr>
        <w:t>kal</w:t>
      </w:r>
      <w:r w:rsidRPr="00DC2C00">
        <w:rPr>
          <w:szCs w:val="22"/>
          <w:lang w:val="hu-HU"/>
        </w:rPr>
        <w:t xml:space="preserve"> végzett vizsgálatok reproduk</w:t>
      </w:r>
      <w:r w:rsidR="00460006">
        <w:rPr>
          <w:szCs w:val="22"/>
          <w:lang w:val="hu-HU"/>
        </w:rPr>
        <w:t>ciós</w:t>
      </w:r>
      <w:r w:rsidRPr="00DC2C00">
        <w:rPr>
          <w:szCs w:val="22"/>
          <w:lang w:val="hu-HU"/>
        </w:rPr>
        <w:t xml:space="preserve"> toxicitást </w:t>
      </w:r>
      <w:r w:rsidR="00460006">
        <w:rPr>
          <w:szCs w:val="22"/>
          <w:lang w:val="hu-HU"/>
        </w:rPr>
        <w:t>igazol</w:t>
      </w:r>
      <w:r w:rsidRPr="00DC2C00">
        <w:rPr>
          <w:szCs w:val="22"/>
          <w:lang w:val="hu-HU"/>
        </w:rPr>
        <w:t>tak, de teratogén potenciált nem (lásd 5.3 pont). Amennyiben a beteg gyermeket szeretne, a kezelést legalább egy</w:t>
      </w:r>
      <w:r w:rsidR="00460006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hónappal a fogantatás előtt abba kell hagynia. Amennyiben a beteg a pitavasztatin-terápia ideje alatt teherbe esik, a kezelést azonnal abba kell hagyni.</w:t>
      </w:r>
    </w:p>
    <w:p w14:paraId="77242F48" w14:textId="77777777" w:rsidR="005268C6" w:rsidRDefault="005268C6">
      <w:pPr>
        <w:spacing w:line="240" w:lineRule="auto"/>
        <w:rPr>
          <w:szCs w:val="22"/>
          <w:u w:val="single"/>
          <w:lang w:val="hu-HU"/>
        </w:rPr>
      </w:pPr>
    </w:p>
    <w:p w14:paraId="4236CDC6" w14:textId="77777777" w:rsidR="005268C6" w:rsidRPr="00DC2C00" w:rsidRDefault="002D01CE">
      <w:pPr>
        <w:spacing w:line="240" w:lineRule="auto"/>
        <w:rPr>
          <w:szCs w:val="22"/>
          <w:u w:val="single"/>
          <w:lang w:val="hu-HU"/>
        </w:rPr>
      </w:pPr>
      <w:r w:rsidRPr="00DC2C00">
        <w:rPr>
          <w:szCs w:val="22"/>
          <w:u w:val="single"/>
          <w:lang w:val="hu-HU"/>
        </w:rPr>
        <w:t>Szoptatás</w:t>
      </w:r>
    </w:p>
    <w:p w14:paraId="4B80FF11" w14:textId="31CA8F2D" w:rsidR="005268C6" w:rsidRPr="00DC2C00" w:rsidRDefault="002D01CE">
      <w:pPr>
        <w:spacing w:line="240" w:lineRule="auto"/>
        <w:rPr>
          <w:szCs w:val="22"/>
          <w:lang w:val="hu-HU"/>
        </w:rPr>
      </w:pPr>
      <w:r w:rsidRPr="00DC2C00">
        <w:rPr>
          <w:szCs w:val="22"/>
          <w:lang w:val="hu-HU" w:eastAsia="en-US"/>
        </w:rPr>
        <w:t>A Pitilox</w:t>
      </w:r>
      <w:r w:rsidRPr="00DC2C00">
        <w:rPr>
          <w:szCs w:val="22"/>
          <w:lang w:val="hu-HU"/>
        </w:rPr>
        <w:t xml:space="preserve"> alkalmazása ellenjavallt szoptatás alatt (lásd 4.3 pont). A pitavasztatin </w:t>
      </w:r>
      <w:r w:rsidR="00460006" w:rsidRPr="003F4281">
        <w:rPr>
          <w:szCs w:val="22"/>
          <w:lang w:val="hu-HU"/>
        </w:rPr>
        <w:t>kiválasztódik</w:t>
      </w:r>
      <w:r w:rsidR="00460006">
        <w:rPr>
          <w:szCs w:val="22"/>
          <w:lang w:val="hu-HU"/>
        </w:rPr>
        <w:t xml:space="preserve"> a laktáló</w:t>
      </w:r>
      <w:r w:rsidR="00460006" w:rsidRPr="00460006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patkányok</w:t>
      </w:r>
      <w:r w:rsidR="00460006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tej</w:t>
      </w:r>
      <w:r w:rsidR="00460006">
        <w:rPr>
          <w:szCs w:val="22"/>
          <w:lang w:val="hu-HU"/>
        </w:rPr>
        <w:t>é</w:t>
      </w:r>
      <w:r w:rsidRPr="00DC2C00">
        <w:rPr>
          <w:szCs w:val="22"/>
          <w:lang w:val="hu-HU"/>
        </w:rPr>
        <w:t>be. Nem ismert, hogy a gyógyszer kiválasztódik-e humán anyatejbe.</w:t>
      </w:r>
    </w:p>
    <w:p w14:paraId="2EC61CB9" w14:textId="77777777" w:rsidR="005268C6" w:rsidRPr="00DC2C00" w:rsidRDefault="005268C6">
      <w:pPr>
        <w:spacing w:line="240" w:lineRule="auto"/>
        <w:rPr>
          <w:szCs w:val="22"/>
          <w:lang w:val="hu-HU"/>
        </w:rPr>
      </w:pPr>
    </w:p>
    <w:p w14:paraId="0148AE1E" w14:textId="77777777" w:rsidR="005268C6" w:rsidRPr="00DC2C00" w:rsidRDefault="002D01CE">
      <w:pPr>
        <w:spacing w:line="240" w:lineRule="auto"/>
        <w:rPr>
          <w:szCs w:val="22"/>
          <w:u w:val="single"/>
          <w:lang w:val="hu-HU"/>
        </w:rPr>
      </w:pPr>
      <w:r w:rsidRPr="00DC2C00">
        <w:rPr>
          <w:szCs w:val="22"/>
          <w:u w:val="single"/>
          <w:lang w:val="hu-HU"/>
        </w:rPr>
        <w:t>Termékenység</w:t>
      </w:r>
    </w:p>
    <w:p w14:paraId="5C4C5E42" w14:textId="77777777" w:rsidR="005268C6" w:rsidRPr="00DC2C00" w:rsidRDefault="002D01CE">
      <w:pPr>
        <w:spacing w:line="240" w:lineRule="auto"/>
        <w:rPr>
          <w:szCs w:val="22"/>
          <w:lang w:val="hu-HU"/>
        </w:rPr>
      </w:pPr>
      <w:r w:rsidRPr="00DC2C00">
        <w:rPr>
          <w:szCs w:val="22"/>
          <w:lang w:val="hu-HU"/>
        </w:rPr>
        <w:t>Jelenleg nincsenek adatok.</w:t>
      </w:r>
    </w:p>
    <w:p w14:paraId="78C8EE01" w14:textId="77777777" w:rsidR="005268C6" w:rsidRDefault="005268C6">
      <w:pPr>
        <w:spacing w:line="240" w:lineRule="auto"/>
        <w:rPr>
          <w:szCs w:val="22"/>
          <w:lang w:val="hu-HU"/>
        </w:rPr>
      </w:pPr>
    </w:p>
    <w:p w14:paraId="4F5F9479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20CFC664" w14:textId="77777777" w:rsidR="005268C6" w:rsidRDefault="005268C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DFABB66" w14:textId="77777777" w:rsidR="005268C6" w:rsidRDefault="002D01CE">
      <w:pPr>
        <w:autoSpaceDE w:val="0"/>
        <w:autoSpaceDN w:val="0"/>
        <w:adjustRightInd w:val="0"/>
        <w:rPr>
          <w:rFonts w:eastAsia="Times New Roman"/>
          <w:noProof/>
          <w:snapToGrid/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 xml:space="preserve">Nincsenek olyan jellegzetes mellékhatások, amelyek alapján a Pitilox károsan befolyásolná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a gépjárművezetéshez és a gépek kezeléséhez szükséges képességeket. Azonban figyelembe kell venni, hogy a </w:t>
      </w:r>
      <w:r w:rsidRPr="00DC2C00">
        <w:rPr>
          <w:szCs w:val="22"/>
          <w:lang w:val="hu-HU" w:eastAsia="en-US"/>
        </w:rPr>
        <w:t>Pitilox-kezelés alatt szédülést és aluszékonyságot jelentettek.</w:t>
      </w:r>
    </w:p>
    <w:p w14:paraId="76F4266C" w14:textId="77777777" w:rsidR="005268C6" w:rsidRDefault="005268C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72EC6E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46E500B7" w14:textId="77777777" w:rsidR="005268C6" w:rsidRDefault="005268C6">
      <w:pPr>
        <w:spacing w:line="240" w:lineRule="auto"/>
        <w:rPr>
          <w:i/>
          <w:szCs w:val="22"/>
          <w:lang w:val="hu-HU"/>
        </w:rPr>
      </w:pPr>
    </w:p>
    <w:p w14:paraId="5A5954A1" w14:textId="77777777" w:rsidR="005268C6" w:rsidRDefault="002D01C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u w:val="single"/>
          <w:lang w:val="hu-HU" w:eastAsia="en-US"/>
        </w:rPr>
      </w:pPr>
      <w:r>
        <w:rPr>
          <w:rFonts w:eastAsiaTheme="minorHAnsi"/>
          <w:color w:val="000000"/>
          <w:szCs w:val="22"/>
          <w:u w:val="single"/>
          <w:lang w:val="hu-HU" w:eastAsia="en-US"/>
        </w:rPr>
        <w:t>A biztonságossági profil összefoglalása</w:t>
      </w:r>
    </w:p>
    <w:p w14:paraId="301090C3" w14:textId="42E3887D" w:rsidR="005268C6" w:rsidRDefault="002D01CE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Kontrollos klinikai vizsgálatokban – a javasolt dózisok alkalmazásakor – a pitavasztatinnal kezelt betegek kevesebb mint 4%</w:t>
      </w:r>
      <w:r>
        <w:rPr>
          <w:color w:val="auto"/>
          <w:sz w:val="22"/>
          <w:szCs w:val="22"/>
          <w:lang w:val="hu-HU"/>
        </w:rPr>
        <w:noBreakHyphen/>
        <w:t xml:space="preserve">a hagyta abba a vizsgálatot a mellékhatások miatt. A kontrollos klinikai vizsgálatokban </w:t>
      </w:r>
      <w:r w:rsidR="00460006">
        <w:rPr>
          <w:color w:val="auto"/>
          <w:sz w:val="22"/>
          <w:szCs w:val="22"/>
          <w:lang w:val="hu-HU"/>
        </w:rPr>
        <w:t xml:space="preserve">a myalgia volt a </w:t>
      </w:r>
      <w:r>
        <w:rPr>
          <w:color w:val="auto"/>
          <w:sz w:val="22"/>
          <w:szCs w:val="22"/>
          <w:lang w:val="hu-HU"/>
        </w:rPr>
        <w:t>leggyakrabban jelentett</w:t>
      </w:r>
      <w:r w:rsidR="00460006">
        <w:rPr>
          <w:color w:val="auto"/>
          <w:sz w:val="22"/>
          <w:szCs w:val="22"/>
          <w:lang w:val="hu-HU"/>
        </w:rPr>
        <w:t>,</w:t>
      </w:r>
      <w:r>
        <w:rPr>
          <w:color w:val="auto"/>
          <w:sz w:val="22"/>
          <w:szCs w:val="22"/>
          <w:lang w:val="hu-HU"/>
        </w:rPr>
        <w:t xml:space="preserve"> pitavasztatinnal kapcsolatos mellékhatás.</w:t>
      </w:r>
    </w:p>
    <w:p w14:paraId="068E4E61" w14:textId="77777777" w:rsidR="005268C6" w:rsidRDefault="005268C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lang w:val="hu-HU" w:eastAsia="en-US"/>
        </w:rPr>
      </w:pPr>
    </w:p>
    <w:p w14:paraId="1C6181EF" w14:textId="77777777" w:rsidR="005268C6" w:rsidRDefault="002D01C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u w:val="single"/>
          <w:lang w:val="hu-HU" w:eastAsia="en-US"/>
        </w:rPr>
      </w:pPr>
      <w:r>
        <w:rPr>
          <w:rFonts w:eastAsiaTheme="minorHAnsi"/>
          <w:color w:val="000000"/>
          <w:szCs w:val="22"/>
          <w:u w:val="single"/>
          <w:lang w:val="hu-HU" w:eastAsia="en-US"/>
        </w:rPr>
        <w:t>A mellékhatások összefoglalása</w:t>
      </w:r>
    </w:p>
    <w:p w14:paraId="63C2651F" w14:textId="6B312C3C" w:rsidR="005268C6" w:rsidRPr="00DC2C00" w:rsidRDefault="002D01CE" w:rsidP="0046000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A világszerte végzett, kontrollos klinikai vizsgálatokban és kiterjesztett vizsgálatokban a javasolt dózisok mellett megfigyelt mellékhatások és gyakoriságuk az alábbi listában látható</w:t>
      </w:r>
      <w:r w:rsidR="00460006">
        <w:rPr>
          <w:szCs w:val="22"/>
          <w:lang w:val="hu-HU" w:eastAsia="en-US"/>
        </w:rPr>
        <w:t>k</w:t>
      </w:r>
      <w:r w:rsidRPr="00DC2C00">
        <w:rPr>
          <w:szCs w:val="22"/>
          <w:lang w:val="hu-HU" w:eastAsia="en-US"/>
        </w:rPr>
        <w:t xml:space="preserve">, szervrendszeri </w:t>
      </w:r>
      <w:r w:rsidRPr="00DC2C00">
        <w:rPr>
          <w:szCs w:val="22"/>
          <w:lang w:val="hu-HU" w:eastAsia="en-US"/>
        </w:rPr>
        <w:lastRenderedPageBreak/>
        <w:t xml:space="preserve">kategóriák szerint csoportosítva. </w:t>
      </w:r>
      <w:r>
        <w:rPr>
          <w:rFonts w:eastAsiaTheme="minorHAnsi"/>
          <w:color w:val="000000"/>
          <w:szCs w:val="22"/>
          <w:lang w:val="hu-HU" w:eastAsia="en-US"/>
        </w:rPr>
        <w:t>A gyakoriságok meghatározása a következő:</w:t>
      </w:r>
      <w:r w:rsidRPr="00DC2C00">
        <w:rPr>
          <w:szCs w:val="22"/>
          <w:lang w:val="hu-HU" w:eastAsia="en-US"/>
        </w:rPr>
        <w:t xml:space="preserve"> </w:t>
      </w:r>
      <w:r w:rsidRPr="00DC2C00">
        <w:rPr>
          <w:szCs w:val="22"/>
          <w:lang w:val="hu-HU"/>
        </w:rPr>
        <w:t>nagyon gyakori (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szCs w:val="22"/>
          <w:lang w:val="hu-HU"/>
        </w:rPr>
        <w:t>1/10); gyakori (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szCs w:val="22"/>
          <w:lang w:val="hu-HU"/>
        </w:rPr>
        <w:t>1/100 </w:t>
      </w:r>
      <w:r w:rsidR="00460006">
        <w:rPr>
          <w:szCs w:val="22"/>
          <w:lang w:val="hu-HU"/>
        </w:rPr>
        <w:t>–</w:t>
      </w:r>
      <w:r w:rsidRPr="00DC2C00">
        <w:rPr>
          <w:rFonts w:hint="eastAsia"/>
          <w:szCs w:val="22"/>
          <w:lang w:val="hu-HU"/>
        </w:rPr>
        <w:t> </w:t>
      </w:r>
      <w:r w:rsidRPr="00DC2C00">
        <w:rPr>
          <w:szCs w:val="22"/>
          <w:lang w:val="hu-HU"/>
        </w:rPr>
        <w:t>&lt;1/10); nem gyakori (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szCs w:val="22"/>
          <w:lang w:val="hu-HU"/>
        </w:rPr>
        <w:t>1/1000 </w:t>
      </w:r>
      <w:r w:rsidR="00460006" w:rsidRPr="00460006">
        <w:rPr>
          <w:szCs w:val="22"/>
          <w:lang w:val="hu-HU"/>
        </w:rPr>
        <w:t>–</w:t>
      </w:r>
      <w:r w:rsidRPr="00DC2C00">
        <w:rPr>
          <w:rFonts w:hint="eastAsia"/>
          <w:szCs w:val="22"/>
          <w:lang w:val="hu-HU"/>
        </w:rPr>
        <w:t> </w:t>
      </w:r>
      <w:r w:rsidRPr="00DC2C00">
        <w:rPr>
          <w:szCs w:val="22"/>
          <w:lang w:val="hu-HU"/>
        </w:rPr>
        <w:t>&lt;1/100); ritka (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szCs w:val="22"/>
          <w:lang w:val="hu-HU"/>
        </w:rPr>
        <w:t>1/10 000 </w:t>
      </w:r>
      <w:r w:rsidR="00460006" w:rsidRPr="00460006">
        <w:rPr>
          <w:szCs w:val="22"/>
          <w:lang w:val="hu-HU"/>
        </w:rPr>
        <w:t>–</w:t>
      </w:r>
      <w:r w:rsidRPr="00DC2C00">
        <w:rPr>
          <w:rFonts w:hint="eastAsia"/>
          <w:szCs w:val="22"/>
          <w:lang w:val="hu-HU"/>
        </w:rPr>
        <w:t> </w:t>
      </w:r>
      <w:r w:rsidRPr="00DC2C00">
        <w:rPr>
          <w:szCs w:val="22"/>
          <w:lang w:val="hu-HU"/>
        </w:rPr>
        <w:t>&lt;1/1000); nagyon ritka (</w:t>
      </w:r>
      <w:r w:rsidRPr="00DC2C00">
        <w:rPr>
          <w:szCs w:val="22"/>
          <w:lang w:val="hu-HU" w:eastAsia="en-US"/>
        </w:rPr>
        <w:t xml:space="preserve">&lt;1/10 000); </w:t>
      </w:r>
      <w:r w:rsidRPr="00DC2C00">
        <w:rPr>
          <w:szCs w:val="22"/>
          <w:lang w:val="hu-HU"/>
        </w:rPr>
        <w:t>nem ismert (a gyakoriság a rendelkezésre álló adatokból nem állapítható meg).</w:t>
      </w:r>
    </w:p>
    <w:p w14:paraId="33AE320D" w14:textId="77777777" w:rsidR="005268C6" w:rsidRDefault="005268C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u w:val="single"/>
          <w:lang w:val="hu-HU" w:eastAsia="en-US"/>
        </w:rPr>
      </w:pPr>
    </w:p>
    <w:p w14:paraId="3CC2E3C1" w14:textId="77777777" w:rsidR="005268C6" w:rsidRPr="00DC2C00" w:rsidRDefault="002D01C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Vérképzőszervi és nyirokrendszeri betegségek és tünetek</w:t>
      </w:r>
    </w:p>
    <w:p w14:paraId="1BA84473" w14:textId="77777777" w:rsidR="005268C6" w:rsidRPr="00DC2C00" w:rsidRDefault="002D01C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>: anaemia</w:t>
      </w:r>
    </w:p>
    <w:p w14:paraId="2156A162" w14:textId="77777777" w:rsidR="005268C6" w:rsidRPr="00DC2C00" w:rsidRDefault="005268C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/>
          <w:szCs w:val="22"/>
          <w:lang w:val="hu-HU"/>
        </w:rPr>
      </w:pPr>
    </w:p>
    <w:p w14:paraId="1379E985" w14:textId="77777777" w:rsidR="005268C6" w:rsidRPr="00DC2C00" w:rsidRDefault="002D01CE">
      <w:pPr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Anyagcsere- és táplálkozási betegségek és tünetek</w:t>
      </w:r>
    </w:p>
    <w:p w14:paraId="470060A4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>: anorexia</w:t>
      </w:r>
    </w:p>
    <w:p w14:paraId="74885ECC" w14:textId="77777777" w:rsidR="005268C6" w:rsidRPr="00DC2C00" w:rsidRDefault="005268C6">
      <w:pPr>
        <w:rPr>
          <w:bCs/>
          <w:i/>
          <w:szCs w:val="22"/>
          <w:lang w:val="hu-HU"/>
        </w:rPr>
      </w:pPr>
    </w:p>
    <w:p w14:paraId="2EA9B58A" w14:textId="77777777" w:rsidR="005268C6" w:rsidRPr="00DC2C00" w:rsidRDefault="002D01CE">
      <w:pPr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Pszichiátriai kórképek</w:t>
      </w:r>
    </w:p>
    <w:p w14:paraId="3FA64BAB" w14:textId="587AF79A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>: insomnia</w:t>
      </w:r>
    </w:p>
    <w:p w14:paraId="69B1C579" w14:textId="77777777" w:rsidR="005268C6" w:rsidRPr="00DC2C00" w:rsidRDefault="005268C6">
      <w:pPr>
        <w:rPr>
          <w:bCs/>
          <w:i/>
          <w:szCs w:val="22"/>
          <w:lang w:val="hu-HU"/>
        </w:rPr>
      </w:pPr>
    </w:p>
    <w:p w14:paraId="63F19171" w14:textId="77777777" w:rsidR="005268C6" w:rsidRPr="00DC2C00" w:rsidRDefault="002D01CE">
      <w:pPr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Idegrendszeri betegségek és tünetek</w:t>
      </w:r>
    </w:p>
    <w:p w14:paraId="456577C3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Gyakori</w:t>
      </w:r>
      <w:r w:rsidRPr="00DC2C00">
        <w:rPr>
          <w:bCs/>
          <w:iCs/>
          <w:szCs w:val="22"/>
          <w:lang w:val="hu-HU"/>
        </w:rPr>
        <w:t>: fejfájás</w:t>
      </w:r>
    </w:p>
    <w:p w14:paraId="60B05A44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 xml:space="preserve">: szédülés, </w:t>
      </w:r>
      <w:r>
        <w:rPr>
          <w:color w:val="000000"/>
          <w:szCs w:val="22"/>
          <w:lang w:val="hu-HU"/>
        </w:rPr>
        <w:t>dysgeusia</w:t>
      </w:r>
      <w:r w:rsidRPr="00DC2C00">
        <w:rPr>
          <w:bCs/>
          <w:iCs/>
          <w:szCs w:val="22"/>
          <w:lang w:val="hu-HU"/>
        </w:rPr>
        <w:t>, aluszékonyság</w:t>
      </w:r>
    </w:p>
    <w:p w14:paraId="6883C827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i/>
          <w:szCs w:val="22"/>
          <w:lang w:val="hu-HU"/>
        </w:rPr>
        <w:t>Nem ismert</w:t>
      </w:r>
      <w:r w:rsidRPr="00DC2C00">
        <w:rPr>
          <w:iCs/>
          <w:szCs w:val="22"/>
          <w:lang w:val="hu-HU"/>
        </w:rPr>
        <w:t xml:space="preserve">: </w:t>
      </w:r>
      <w:r w:rsidRPr="00DC2C00">
        <w:rPr>
          <w:iCs/>
          <w:szCs w:val="22"/>
          <w:lang w:val="hu-HU" w:eastAsia="en-US"/>
        </w:rPr>
        <w:t>myasthenia gravis</w:t>
      </w:r>
    </w:p>
    <w:p w14:paraId="22A27E20" w14:textId="77777777" w:rsidR="005268C6" w:rsidRPr="00DC2C00" w:rsidRDefault="005268C6">
      <w:pPr>
        <w:rPr>
          <w:szCs w:val="22"/>
          <w:lang w:val="hu-HU"/>
        </w:rPr>
      </w:pPr>
    </w:p>
    <w:p w14:paraId="4ECD5210" w14:textId="77777777" w:rsidR="005268C6" w:rsidRPr="00DC2C00" w:rsidRDefault="002D01CE">
      <w:pPr>
        <w:rPr>
          <w:iCs/>
          <w:szCs w:val="22"/>
          <w:u w:val="single"/>
          <w:lang w:val="hu-HU"/>
        </w:rPr>
      </w:pPr>
      <w:r w:rsidRPr="00DC2C00">
        <w:rPr>
          <w:iCs/>
          <w:szCs w:val="22"/>
          <w:u w:val="single"/>
          <w:lang w:val="hu-HU"/>
        </w:rPr>
        <w:t>Szembetegségek és szemészeti tünetek</w:t>
      </w:r>
    </w:p>
    <w:p w14:paraId="35D211BF" w14:textId="77777777" w:rsidR="005268C6" w:rsidRPr="00DC2C00" w:rsidRDefault="002D01CE">
      <w:pPr>
        <w:rPr>
          <w:iCs/>
          <w:szCs w:val="22"/>
          <w:lang w:val="hu-HU"/>
        </w:rPr>
      </w:pPr>
      <w:r w:rsidRPr="00DC2C00">
        <w:rPr>
          <w:i/>
          <w:szCs w:val="22"/>
          <w:lang w:val="hu-HU"/>
        </w:rPr>
        <w:t>Ritka</w:t>
      </w:r>
      <w:r w:rsidRPr="00DC2C00">
        <w:rPr>
          <w:iCs/>
          <w:szCs w:val="22"/>
          <w:lang w:val="hu-HU"/>
        </w:rPr>
        <w:t>: csökkent látásélesség</w:t>
      </w:r>
    </w:p>
    <w:p w14:paraId="56FF8F5F" w14:textId="77777777" w:rsidR="005268C6" w:rsidRPr="00DC2C00" w:rsidRDefault="002D01CE">
      <w:pPr>
        <w:rPr>
          <w:szCs w:val="22"/>
          <w:lang w:val="hu-HU"/>
        </w:rPr>
      </w:pPr>
      <w:r w:rsidRPr="00DC2C00">
        <w:rPr>
          <w:i/>
          <w:iCs/>
          <w:szCs w:val="22"/>
          <w:lang w:val="hu-HU"/>
        </w:rPr>
        <w:t>Nem ismert</w:t>
      </w:r>
      <w:r w:rsidRPr="00DC2C00">
        <w:rPr>
          <w:szCs w:val="22"/>
          <w:lang w:val="hu-HU"/>
        </w:rPr>
        <w:t>: ocularis myasthenia</w:t>
      </w:r>
    </w:p>
    <w:p w14:paraId="252C1830" w14:textId="77777777" w:rsidR="005268C6" w:rsidRPr="00DC2C00" w:rsidRDefault="005268C6">
      <w:pPr>
        <w:rPr>
          <w:szCs w:val="22"/>
          <w:lang w:val="hu-HU"/>
        </w:rPr>
      </w:pPr>
    </w:p>
    <w:p w14:paraId="27A8B9C3" w14:textId="77777777" w:rsidR="005268C6" w:rsidRPr="00DC2C00" w:rsidRDefault="002D01CE">
      <w:pPr>
        <w:rPr>
          <w:szCs w:val="22"/>
          <w:u w:val="single"/>
          <w:lang w:val="hu-HU"/>
        </w:rPr>
      </w:pPr>
      <w:r w:rsidRPr="00DC2C00">
        <w:rPr>
          <w:szCs w:val="22"/>
          <w:u w:val="single"/>
          <w:lang w:val="hu-HU"/>
        </w:rPr>
        <w:t>Fül és az egyensúly-érzékelő szerv betegségei és tünetei</w:t>
      </w:r>
    </w:p>
    <w:p w14:paraId="0EEB3CE4" w14:textId="77777777" w:rsidR="005268C6" w:rsidRPr="00DC2C00" w:rsidRDefault="002D01CE">
      <w:pPr>
        <w:rPr>
          <w:szCs w:val="22"/>
          <w:lang w:val="hu-HU"/>
        </w:rPr>
      </w:pPr>
      <w:r w:rsidRPr="00DC2C00">
        <w:rPr>
          <w:i/>
          <w:iCs/>
          <w:szCs w:val="22"/>
          <w:lang w:val="hu-HU"/>
        </w:rPr>
        <w:t>Nem gyakori</w:t>
      </w:r>
      <w:r w:rsidRPr="00DC2C00">
        <w:rPr>
          <w:szCs w:val="22"/>
          <w:lang w:val="hu-HU"/>
        </w:rPr>
        <w:t>: tinnitus</w:t>
      </w:r>
    </w:p>
    <w:p w14:paraId="718BC281" w14:textId="77777777" w:rsidR="005268C6" w:rsidRPr="00DC2C00" w:rsidRDefault="005268C6">
      <w:pPr>
        <w:rPr>
          <w:szCs w:val="22"/>
          <w:lang w:val="hu-HU"/>
        </w:rPr>
      </w:pPr>
    </w:p>
    <w:p w14:paraId="19B1BA3D" w14:textId="77777777" w:rsidR="005268C6" w:rsidRPr="00DC2C00" w:rsidRDefault="002D01CE">
      <w:pPr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Emésztőrendszeri betegségek és tünetek</w:t>
      </w:r>
    </w:p>
    <w:p w14:paraId="524274E0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Gyakori</w:t>
      </w:r>
      <w:r w:rsidRPr="00DC2C00">
        <w:rPr>
          <w:bCs/>
          <w:iCs/>
          <w:szCs w:val="22"/>
          <w:lang w:val="hu-HU"/>
        </w:rPr>
        <w:t>: székrekedés, hasmenés, dyspepsia, hányinger</w:t>
      </w:r>
    </w:p>
    <w:p w14:paraId="5A8A907D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>: hasi fájdalom, szájszárazság, hányás</w:t>
      </w:r>
    </w:p>
    <w:p w14:paraId="10D5E075" w14:textId="77777777" w:rsidR="005268C6" w:rsidRPr="00DC2C00" w:rsidRDefault="002D01CE">
      <w:pPr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Ritka</w:t>
      </w:r>
      <w:r w:rsidRPr="00DC2C00">
        <w:rPr>
          <w:bCs/>
          <w:iCs/>
          <w:szCs w:val="22"/>
          <w:lang w:val="hu-HU"/>
        </w:rPr>
        <w:t>: glossodynia, akut pancreatitis</w:t>
      </w:r>
    </w:p>
    <w:p w14:paraId="7810A232" w14:textId="77777777" w:rsidR="005268C6" w:rsidRPr="00DC2C00" w:rsidRDefault="005268C6">
      <w:pPr>
        <w:rPr>
          <w:bCs/>
          <w:i/>
          <w:szCs w:val="22"/>
          <w:lang w:val="hu-HU"/>
        </w:rPr>
      </w:pPr>
    </w:p>
    <w:p w14:paraId="312B531F" w14:textId="3D95CC32" w:rsidR="005268C6" w:rsidRPr="00DC2C00" w:rsidRDefault="002D01CE">
      <w:pPr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Máj- és epebetegségek</w:t>
      </w:r>
      <w:r w:rsidR="00460006">
        <w:rPr>
          <w:bCs/>
          <w:iCs/>
          <w:szCs w:val="22"/>
          <w:u w:val="single"/>
          <w:lang w:val="hu-HU"/>
        </w:rPr>
        <w:t>,</w:t>
      </w:r>
      <w:r w:rsidRPr="00DC2C00">
        <w:rPr>
          <w:bCs/>
          <w:iCs/>
          <w:szCs w:val="22"/>
          <w:u w:val="single"/>
          <w:lang w:val="hu-HU"/>
        </w:rPr>
        <w:t xml:space="preserve"> illetve tünetek</w:t>
      </w:r>
    </w:p>
    <w:p w14:paraId="6620A8F2" w14:textId="77777777" w:rsidR="005268C6" w:rsidRPr="00DC2C00" w:rsidRDefault="002D01CE">
      <w:pPr>
        <w:tabs>
          <w:tab w:val="right" w:pos="9072"/>
        </w:tabs>
        <w:rPr>
          <w:szCs w:val="22"/>
          <w:lang w:val="hu-HU"/>
        </w:rPr>
      </w:pPr>
      <w:r w:rsidRPr="00DC2C00">
        <w:rPr>
          <w:i/>
          <w:iCs/>
          <w:szCs w:val="22"/>
          <w:lang w:val="hu-HU"/>
        </w:rPr>
        <w:t>Nem gyakori</w:t>
      </w:r>
      <w:r w:rsidRPr="00DC2C00">
        <w:rPr>
          <w:szCs w:val="22"/>
          <w:lang w:val="hu-HU"/>
        </w:rPr>
        <w:t>: emelkedett transzaminázszint (glutamát-oxálacetát-transzamináz, glutamát-piruvát-transzamináz)</w:t>
      </w:r>
    </w:p>
    <w:p w14:paraId="0DFE4035" w14:textId="77777777" w:rsidR="005268C6" w:rsidRPr="00DC2C00" w:rsidRDefault="002D01CE">
      <w:pPr>
        <w:tabs>
          <w:tab w:val="right" w:pos="9072"/>
        </w:tabs>
        <w:rPr>
          <w:szCs w:val="22"/>
          <w:lang w:val="hu-HU"/>
        </w:rPr>
      </w:pPr>
      <w:r w:rsidRPr="00DC2C00">
        <w:rPr>
          <w:i/>
          <w:iCs/>
          <w:szCs w:val="22"/>
          <w:lang w:val="hu-HU"/>
        </w:rPr>
        <w:t>Ritka</w:t>
      </w:r>
      <w:r w:rsidRPr="00DC2C00">
        <w:rPr>
          <w:szCs w:val="22"/>
          <w:lang w:val="hu-HU"/>
        </w:rPr>
        <w:t>: cholestaticus sárgaság</w:t>
      </w:r>
    </w:p>
    <w:p w14:paraId="6DF1E121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7356B1CF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A bőr és a bőr alatti szövet betegségei és tünetei</w:t>
      </w:r>
    </w:p>
    <w:p w14:paraId="5FF05818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>: pruritus, bőrkiütés</w:t>
      </w:r>
    </w:p>
    <w:p w14:paraId="22708157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Ritka</w:t>
      </w:r>
      <w:r w:rsidRPr="00DC2C00">
        <w:rPr>
          <w:bCs/>
          <w:iCs/>
          <w:szCs w:val="22"/>
          <w:lang w:val="hu-HU"/>
        </w:rPr>
        <w:t>: urticaria, erythema</w:t>
      </w:r>
    </w:p>
    <w:p w14:paraId="511E9A4E" w14:textId="77777777" w:rsidR="005268C6" w:rsidRPr="00DC2C00" w:rsidRDefault="005268C6">
      <w:pPr>
        <w:tabs>
          <w:tab w:val="right" w:pos="9072"/>
        </w:tabs>
        <w:rPr>
          <w:bCs/>
          <w:i/>
          <w:szCs w:val="22"/>
          <w:lang w:val="hu-HU"/>
        </w:rPr>
      </w:pPr>
    </w:p>
    <w:p w14:paraId="1E1288EA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u w:val="single"/>
          <w:lang w:val="hu-HU"/>
        </w:rPr>
      </w:pPr>
      <w:r w:rsidRPr="00DC2C00">
        <w:rPr>
          <w:bCs/>
          <w:iCs/>
          <w:szCs w:val="22"/>
          <w:u w:val="single"/>
          <w:lang w:val="hu-HU"/>
        </w:rPr>
        <w:t>A csont- és izomrendszer, valamint a kötőszövet betegségei és tünetei</w:t>
      </w:r>
    </w:p>
    <w:p w14:paraId="481B4609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Gyakori</w:t>
      </w:r>
      <w:r w:rsidRPr="00DC2C00">
        <w:rPr>
          <w:bCs/>
          <w:iCs/>
          <w:szCs w:val="22"/>
          <w:lang w:val="hu-HU"/>
        </w:rPr>
        <w:t>: myalgia, arthralgia</w:t>
      </w:r>
    </w:p>
    <w:p w14:paraId="595A969E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hu-HU"/>
        </w:rPr>
      </w:pPr>
      <w:r w:rsidRPr="00DC2C00">
        <w:rPr>
          <w:bCs/>
          <w:i/>
          <w:szCs w:val="22"/>
          <w:lang w:val="hu-HU"/>
        </w:rPr>
        <w:t>Nem gyakori</w:t>
      </w:r>
      <w:r w:rsidRPr="00DC2C00">
        <w:rPr>
          <w:bCs/>
          <w:iCs/>
          <w:szCs w:val="22"/>
          <w:lang w:val="hu-HU"/>
        </w:rPr>
        <w:t>: izomgörcsök</w:t>
      </w:r>
    </w:p>
    <w:p w14:paraId="035112F4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de-DE"/>
        </w:rPr>
      </w:pPr>
      <w:r w:rsidRPr="00DC2C00">
        <w:rPr>
          <w:bCs/>
          <w:i/>
          <w:szCs w:val="22"/>
          <w:lang w:val="de-DE"/>
        </w:rPr>
        <w:t>Nem ismert:</w:t>
      </w:r>
      <w:r w:rsidRPr="00DC2C00">
        <w:rPr>
          <w:bCs/>
          <w:iCs/>
          <w:szCs w:val="22"/>
          <w:lang w:val="de-DE"/>
        </w:rPr>
        <w:t xml:space="preserve"> immunmediált nekrotizáló myopathia (lásd 4.4 pont)</w:t>
      </w:r>
    </w:p>
    <w:p w14:paraId="5850CF2A" w14:textId="77777777" w:rsidR="005268C6" w:rsidRPr="00DC2C00" w:rsidRDefault="005268C6">
      <w:pPr>
        <w:tabs>
          <w:tab w:val="right" w:pos="9072"/>
        </w:tabs>
        <w:rPr>
          <w:bCs/>
          <w:i/>
          <w:szCs w:val="22"/>
          <w:lang w:val="de-DE"/>
        </w:rPr>
      </w:pPr>
    </w:p>
    <w:p w14:paraId="2F2864C3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u w:val="single"/>
          <w:lang w:val="de-DE"/>
        </w:rPr>
      </w:pPr>
      <w:r w:rsidRPr="00DC2C00">
        <w:rPr>
          <w:bCs/>
          <w:iCs/>
          <w:szCs w:val="22"/>
          <w:u w:val="single"/>
          <w:lang w:val="de-DE"/>
        </w:rPr>
        <w:t>Vese- és húgyúti betegségek és tünetek</w:t>
      </w:r>
    </w:p>
    <w:p w14:paraId="3BAE69E7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de-DE"/>
        </w:rPr>
      </w:pPr>
      <w:r w:rsidRPr="00DC2C00">
        <w:rPr>
          <w:bCs/>
          <w:i/>
          <w:szCs w:val="22"/>
          <w:lang w:val="de-DE"/>
        </w:rPr>
        <w:t>Nem gyakori</w:t>
      </w:r>
      <w:r w:rsidRPr="00DC2C00">
        <w:rPr>
          <w:bCs/>
          <w:iCs/>
          <w:szCs w:val="22"/>
          <w:lang w:val="de-DE"/>
        </w:rPr>
        <w:t>: pollakisuria</w:t>
      </w:r>
    </w:p>
    <w:p w14:paraId="2D218D53" w14:textId="77777777" w:rsidR="005268C6" w:rsidRPr="00DC2C00" w:rsidRDefault="005268C6">
      <w:pPr>
        <w:tabs>
          <w:tab w:val="right" w:pos="9072"/>
        </w:tabs>
        <w:rPr>
          <w:bCs/>
          <w:i/>
          <w:szCs w:val="22"/>
          <w:lang w:val="de-DE"/>
        </w:rPr>
      </w:pPr>
    </w:p>
    <w:p w14:paraId="7B376AC9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u w:val="single"/>
          <w:lang w:val="de-DE"/>
        </w:rPr>
      </w:pPr>
      <w:r w:rsidRPr="00DC2C00">
        <w:rPr>
          <w:bCs/>
          <w:iCs/>
          <w:szCs w:val="22"/>
          <w:u w:val="single"/>
          <w:lang w:val="de-DE"/>
        </w:rPr>
        <w:t>Általános tünetek, az alkalmazás helyén fellépő reakciók</w:t>
      </w:r>
    </w:p>
    <w:p w14:paraId="1808A5B8" w14:textId="77777777" w:rsidR="005268C6" w:rsidRPr="00DC2C00" w:rsidRDefault="002D01CE">
      <w:pPr>
        <w:tabs>
          <w:tab w:val="right" w:pos="9072"/>
        </w:tabs>
        <w:rPr>
          <w:bCs/>
          <w:iCs/>
          <w:szCs w:val="22"/>
          <w:lang w:val="de-DE"/>
        </w:rPr>
      </w:pPr>
      <w:r w:rsidRPr="00DC2C00">
        <w:rPr>
          <w:bCs/>
          <w:i/>
          <w:szCs w:val="22"/>
          <w:lang w:val="de-DE"/>
        </w:rPr>
        <w:t>Nem gyakori</w:t>
      </w:r>
      <w:r w:rsidRPr="00DC2C00">
        <w:rPr>
          <w:bCs/>
          <w:iCs/>
          <w:szCs w:val="22"/>
          <w:lang w:val="de-DE"/>
        </w:rPr>
        <w:t>: asthenia, rossz közérzet, fáradtság, perifériás ödéma</w:t>
      </w:r>
    </w:p>
    <w:p w14:paraId="1ECA51B2" w14:textId="77777777" w:rsidR="005268C6" w:rsidRPr="00DC2C00" w:rsidRDefault="005268C6">
      <w:pPr>
        <w:autoSpaceDE w:val="0"/>
        <w:autoSpaceDN w:val="0"/>
        <w:adjustRightInd w:val="0"/>
        <w:rPr>
          <w:szCs w:val="22"/>
          <w:lang w:val="de-DE" w:eastAsia="en-US"/>
        </w:rPr>
      </w:pPr>
    </w:p>
    <w:p w14:paraId="52ACE8F0" w14:textId="77777777" w:rsidR="005268C6" w:rsidRPr="00DC2C00" w:rsidRDefault="002D01CE">
      <w:pPr>
        <w:tabs>
          <w:tab w:val="right" w:pos="9072"/>
        </w:tabs>
        <w:rPr>
          <w:szCs w:val="22"/>
          <w:lang w:val="de-DE"/>
        </w:rPr>
      </w:pPr>
      <w:r w:rsidRPr="00DC2C00">
        <w:rPr>
          <w:szCs w:val="22"/>
          <w:lang w:val="de-DE"/>
        </w:rPr>
        <w:t>Kontrollos klinikai vizsgálatokban a pitavasztatint szedő betegek 1,8%-nál (2800-ból 49 beteg esetében) a vér kreatin-kináz-szintje a normálérték felső határának háromszorosát meghaladó értékre emelkedett. A normálérték felső határának tízszeresét meghaladó kreatin-kináz-szint izomtünetekkel egyidejűleg ritka, a 4 mg pitavasztatinnal kezelt 2406 betegből csak 1-nél fordult elő (0,04%).</w:t>
      </w:r>
    </w:p>
    <w:p w14:paraId="4E711FC5" w14:textId="77777777" w:rsidR="005268C6" w:rsidRPr="00DC2C00" w:rsidRDefault="005268C6">
      <w:pPr>
        <w:tabs>
          <w:tab w:val="right" w:pos="9072"/>
        </w:tabs>
        <w:rPr>
          <w:szCs w:val="22"/>
          <w:lang w:val="de-DE"/>
        </w:rPr>
      </w:pPr>
    </w:p>
    <w:p w14:paraId="64DCA793" w14:textId="77777777" w:rsidR="005268C6" w:rsidRPr="00DC2C00" w:rsidRDefault="002D01CE" w:rsidP="00DC2C00">
      <w:pPr>
        <w:keepNext/>
        <w:autoSpaceDE w:val="0"/>
        <w:autoSpaceDN w:val="0"/>
        <w:adjustRightInd w:val="0"/>
        <w:rPr>
          <w:bCs/>
          <w:szCs w:val="22"/>
          <w:u w:val="single"/>
          <w:lang w:val="de-DE" w:eastAsia="en-US"/>
        </w:rPr>
      </w:pPr>
      <w:r w:rsidRPr="00DC2C00">
        <w:rPr>
          <w:bCs/>
          <w:szCs w:val="22"/>
          <w:u w:val="single"/>
          <w:lang w:val="de-DE" w:eastAsia="en-US"/>
        </w:rPr>
        <w:lastRenderedPageBreak/>
        <w:t>Gyermekek és serdülők</w:t>
      </w:r>
    </w:p>
    <w:p w14:paraId="00159889" w14:textId="562A7A3E" w:rsidR="005268C6" w:rsidRDefault="002D01CE" w:rsidP="00DC2C00">
      <w:pPr>
        <w:keepNext/>
        <w:tabs>
          <w:tab w:val="right" w:pos="9072"/>
        </w:tabs>
        <w:rPr>
          <w:szCs w:val="22"/>
          <w:lang w:val="hu-HU"/>
        </w:rPr>
      </w:pPr>
      <w:r w:rsidRPr="00DC2C00">
        <w:rPr>
          <w:szCs w:val="22"/>
          <w:lang w:val="de-DE"/>
        </w:rPr>
        <w:t>A klinikai biztonságossági adatbázis 142 pitavasztatint szedő gyermek és serdülő biztonságossági adatait tartalmazta. Közülük 87-en voltak 6</w:t>
      </w:r>
      <w:r w:rsidR="00460006">
        <w:rPr>
          <w:szCs w:val="22"/>
          <w:lang w:val="de-DE"/>
        </w:rPr>
        <w:t xml:space="preserve"> és</w:t>
      </w:r>
      <w:r w:rsidRPr="00DC2C00">
        <w:rPr>
          <w:szCs w:val="22"/>
          <w:lang w:val="de-DE"/>
        </w:rPr>
        <w:t xml:space="preserve">11 év közötti </w:t>
      </w:r>
      <w:r w:rsidR="000D4D19">
        <w:rPr>
          <w:szCs w:val="22"/>
          <w:lang w:val="de-DE"/>
        </w:rPr>
        <w:t>élet</w:t>
      </w:r>
      <w:r w:rsidRPr="00DC2C00">
        <w:rPr>
          <w:szCs w:val="22"/>
          <w:lang w:val="de-DE"/>
        </w:rPr>
        <w:t xml:space="preserve">korúak, 55 beteg 12 és betöltött 18. év közötti </w:t>
      </w:r>
      <w:r w:rsidR="000D4D19">
        <w:rPr>
          <w:szCs w:val="22"/>
          <w:lang w:val="de-DE"/>
        </w:rPr>
        <w:t>élet</w:t>
      </w:r>
      <w:r w:rsidRPr="00DC2C00">
        <w:rPr>
          <w:szCs w:val="22"/>
          <w:lang w:val="de-DE"/>
        </w:rPr>
        <w:t>korú volt. Összesen 91 beteg egy évig szedte a pitavasztatint, 12-en két és fél évig és 2-en pedig három évig.</w:t>
      </w:r>
      <w:r>
        <w:rPr>
          <w:szCs w:val="22"/>
          <w:lang w:val="hu-HU"/>
        </w:rPr>
        <w:t xml:space="preserve"> A mellékhatások miatt a pitavasztatinnal kezelt betegek kevesebb mint 3%</w:t>
      </w:r>
      <w:r>
        <w:rPr>
          <w:szCs w:val="22"/>
          <w:lang w:val="hu-HU"/>
        </w:rPr>
        <w:noBreakHyphen/>
        <w:t>ának kellett abbahagynia a vizsgálatot. A leggyakrabban jelentett pitavasztatinnal összefüggő mellékhatások a klinikai programban a következők voltak: fejfájás (4,9%), myalgia (2,1%) és hasi fájdalom (4,9%). Az elérhető adatok alapján gyermekeknél és serdülőknék a mellékhatások gyakorisága, típusa és súlyossága várhatóan hasonló a felnőtteknél tapasztaltakhoz.</w:t>
      </w:r>
    </w:p>
    <w:p w14:paraId="578962FC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4CA745A0" w14:textId="77777777" w:rsidR="005268C6" w:rsidRPr="00DC2C00" w:rsidRDefault="002D01CE">
      <w:pPr>
        <w:autoSpaceDE w:val="0"/>
        <w:autoSpaceDN w:val="0"/>
        <w:adjustRightInd w:val="0"/>
        <w:rPr>
          <w:bCs/>
          <w:szCs w:val="22"/>
          <w:u w:val="single"/>
          <w:lang w:val="hu-HU" w:eastAsia="en-US"/>
        </w:rPr>
      </w:pPr>
      <w:r w:rsidRPr="00DC2C00">
        <w:rPr>
          <w:bCs/>
          <w:szCs w:val="22"/>
          <w:u w:val="single"/>
          <w:lang w:val="hu-HU" w:eastAsia="en-US"/>
        </w:rPr>
        <w:t>Forgalomba hozatalt követő tapasztalatok</w:t>
      </w:r>
    </w:p>
    <w:p w14:paraId="4826D7B4" w14:textId="6AD8F97B" w:rsidR="005268C6" w:rsidRDefault="002D01CE">
      <w:pPr>
        <w:autoSpaceDE w:val="0"/>
        <w:autoSpaceDN w:val="0"/>
        <w:adjustRightInd w:val="0"/>
        <w:rPr>
          <w:szCs w:val="22"/>
          <w:lang w:eastAsia="en-US"/>
        </w:rPr>
      </w:pPr>
      <w:r w:rsidRPr="00DC2C00">
        <w:rPr>
          <w:szCs w:val="22"/>
          <w:lang w:val="hu-HU" w:eastAsia="en-US"/>
        </w:rPr>
        <w:t>Japánban közel 20 000 betegnél, egy 2 éves, prospektív, forgalomba hozatalt követő megfigyeléses vizsgálatot végeztek. A 20 000 betegnek a túlyomó többsége 1 mg vagy 2 mg pitavasztatint kapott és nem 4 mg-ot. A betegek 10,4%-nál jelentettek olyan mellékhatásokat, amelyeknél a pitavasztatinnal az ok</w:t>
      </w:r>
      <w:r w:rsidR="000D4D19">
        <w:rPr>
          <w:szCs w:val="22"/>
          <w:lang w:val="hu-HU" w:eastAsia="en-US"/>
        </w:rPr>
        <w:t>–</w:t>
      </w:r>
      <w:r w:rsidRPr="00DC2C00">
        <w:rPr>
          <w:szCs w:val="22"/>
          <w:lang w:val="hu-HU" w:eastAsia="en-US"/>
        </w:rPr>
        <w:t xml:space="preserve">okozati összefüggést nem lehet kizárni. </w:t>
      </w:r>
      <w:r>
        <w:rPr>
          <w:szCs w:val="22"/>
          <w:lang w:val="hu-HU"/>
        </w:rPr>
        <w:t>A betegek 7,4%-a hagyta abba a vizsgálatot a mellékhatások miatt.</w:t>
      </w:r>
      <w:r>
        <w:rPr>
          <w:szCs w:val="22"/>
          <w:lang w:eastAsia="en-US"/>
        </w:rPr>
        <w:t xml:space="preserve"> A myalgia aránya 1,08% volt. A mellékhatások nagy része enyhe volt. A mellékhatások aránya a 2 év alatt magasabb volt azoknál a betegeknél, akiknek az anamn</w:t>
      </w:r>
      <w:r w:rsidR="000D4D19">
        <w:rPr>
          <w:szCs w:val="22"/>
          <w:lang w:eastAsia="en-US"/>
        </w:rPr>
        <w:t>éz</w:t>
      </w:r>
      <w:r>
        <w:rPr>
          <w:szCs w:val="22"/>
          <w:lang w:eastAsia="en-US"/>
        </w:rPr>
        <w:t>isében gyógyszerallergia (20,4%) vagy máj-</w:t>
      </w:r>
      <w:r w:rsidR="000D4D19">
        <w:rPr>
          <w:szCs w:val="22"/>
          <w:lang w:eastAsia="en-US"/>
        </w:rPr>
        <w:t>, illetve</w:t>
      </w:r>
      <w:r>
        <w:rPr>
          <w:szCs w:val="22"/>
          <w:lang w:eastAsia="en-US"/>
        </w:rPr>
        <w:t xml:space="preserve"> vesebetegség (13,5%) szerepelt.</w:t>
      </w:r>
    </w:p>
    <w:p w14:paraId="152DE04C" w14:textId="77777777" w:rsidR="005268C6" w:rsidRDefault="005268C6">
      <w:pPr>
        <w:tabs>
          <w:tab w:val="right" w:pos="9072"/>
        </w:tabs>
        <w:rPr>
          <w:szCs w:val="22"/>
        </w:rPr>
      </w:pPr>
    </w:p>
    <w:p w14:paraId="1C02772A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szCs w:val="22"/>
        </w:rPr>
        <w:t>Az alábbiakban látható a javasolt dózisok alkalmazása esetén, a prospektív, forgalomba hozatalt követő megfigyeléses vizsgálatban megfigyelt mellékhatások és gyakoriságaik felsorolása, amelyeket a világszerte végzett, kontrollált klinikai vizsgálatokban nem észleltek.</w:t>
      </w:r>
    </w:p>
    <w:p w14:paraId="25A23889" w14:textId="77777777" w:rsidR="005268C6" w:rsidRDefault="005268C6">
      <w:pPr>
        <w:rPr>
          <w:bCs/>
          <w:i/>
          <w:szCs w:val="22"/>
        </w:rPr>
      </w:pPr>
    </w:p>
    <w:p w14:paraId="5B5FB509" w14:textId="68671FC3" w:rsidR="005268C6" w:rsidRDefault="002D01CE">
      <w:pPr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Máj- és epebetegségek</w:t>
      </w:r>
      <w:r w:rsidR="000D4D19">
        <w:rPr>
          <w:bCs/>
          <w:iCs/>
          <w:szCs w:val="22"/>
          <w:u w:val="single"/>
        </w:rPr>
        <w:t>,</w:t>
      </w:r>
      <w:r>
        <w:rPr>
          <w:bCs/>
          <w:iCs/>
          <w:szCs w:val="22"/>
          <w:u w:val="single"/>
        </w:rPr>
        <w:t xml:space="preserve"> illetve tünetek</w:t>
      </w:r>
    </w:p>
    <w:p w14:paraId="01B10F3D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Ritka:</w:t>
      </w:r>
      <w:r>
        <w:rPr>
          <w:szCs w:val="22"/>
        </w:rPr>
        <w:t xml:space="preserve"> kóros májműködés, májbetegség</w:t>
      </w:r>
    </w:p>
    <w:p w14:paraId="00A23908" w14:textId="77777777" w:rsidR="005268C6" w:rsidRDefault="005268C6">
      <w:pPr>
        <w:tabs>
          <w:tab w:val="right" w:pos="9072"/>
        </w:tabs>
        <w:rPr>
          <w:szCs w:val="22"/>
        </w:rPr>
      </w:pPr>
    </w:p>
    <w:p w14:paraId="6A729F47" w14:textId="77777777" w:rsidR="005268C6" w:rsidRDefault="002D01CE">
      <w:pPr>
        <w:tabs>
          <w:tab w:val="right" w:pos="9072"/>
        </w:tabs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A csont- és izomrendszer, valamint a kötőszövet betegségei és tünetei</w:t>
      </w:r>
    </w:p>
    <w:p w14:paraId="4A55608C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Ritka</w:t>
      </w:r>
      <w:r>
        <w:rPr>
          <w:szCs w:val="22"/>
        </w:rPr>
        <w:t>: myopathia, rhabdomyolysis</w:t>
      </w:r>
    </w:p>
    <w:p w14:paraId="4865A7F6" w14:textId="77777777" w:rsidR="005268C6" w:rsidRDefault="005268C6">
      <w:pPr>
        <w:tabs>
          <w:tab w:val="right" w:pos="9072"/>
        </w:tabs>
        <w:rPr>
          <w:szCs w:val="22"/>
        </w:rPr>
      </w:pPr>
    </w:p>
    <w:p w14:paraId="7EE95EAE" w14:textId="77777777" w:rsidR="005268C6" w:rsidRDefault="002D01CE">
      <w:pPr>
        <w:autoSpaceDE w:val="0"/>
        <w:autoSpaceDN w:val="0"/>
        <w:adjustRightInd w:val="0"/>
        <w:rPr>
          <w:szCs w:val="22"/>
          <w:lang w:eastAsia="en-US"/>
        </w:rPr>
      </w:pPr>
      <w:r>
        <w:rPr>
          <w:szCs w:val="22"/>
          <w:lang w:eastAsia="en-US"/>
        </w:rPr>
        <w:t>A forgalomba hozatal utáni megfigyeléses vizsgálat során két esetben hospitalizációt igénylő rhabdomyolysist jelentettek (betegek 0,01%-a).</w:t>
      </w:r>
    </w:p>
    <w:p w14:paraId="59E24301" w14:textId="77777777" w:rsidR="005268C6" w:rsidRDefault="005268C6">
      <w:pPr>
        <w:autoSpaceDE w:val="0"/>
        <w:autoSpaceDN w:val="0"/>
        <w:adjustRightInd w:val="0"/>
        <w:rPr>
          <w:szCs w:val="22"/>
          <w:lang w:eastAsia="en-US"/>
        </w:rPr>
      </w:pPr>
    </w:p>
    <w:p w14:paraId="583158B3" w14:textId="468D5D79" w:rsidR="005268C6" w:rsidRDefault="002D01CE">
      <w:pPr>
        <w:autoSpaceDE w:val="0"/>
        <w:autoSpaceDN w:val="0"/>
        <w:adjustRightInd w:val="0"/>
        <w:rPr>
          <w:szCs w:val="22"/>
          <w:lang w:eastAsia="en-US"/>
        </w:rPr>
      </w:pPr>
      <w:r>
        <w:rPr>
          <w:szCs w:val="22"/>
          <w:lang w:eastAsia="en-US"/>
        </w:rPr>
        <w:t>Ezenkívül a pitavasztatin összes ajánlott dózisával kezelt betegeknél a forgalomba hozatalt követően spontán bejelentések érkeztek a vázizomzatra kifejtett hatásokról, köztük myalgiáról és myopathiáról. Rhabdomyolysisről is beszámoltak akut veseelégtelenséggel vagy anélkül, beleértve a halálos kimenetelű rhabdomyolysist</w:t>
      </w:r>
      <w:r w:rsidR="000D4D19">
        <w:rPr>
          <w:szCs w:val="22"/>
          <w:lang w:eastAsia="en-US"/>
        </w:rPr>
        <w:t xml:space="preserve"> is</w:t>
      </w:r>
      <w:r>
        <w:rPr>
          <w:szCs w:val="22"/>
          <w:lang w:eastAsia="en-US"/>
        </w:rPr>
        <w:t>. Spontán jelentések a következő eseményekről is érkeztek (a gyakorisága forgalomba hozatalt követő vizsgálatokban megfigyelteken alapszik).</w:t>
      </w:r>
    </w:p>
    <w:p w14:paraId="7824B4F9" w14:textId="77777777" w:rsidR="005268C6" w:rsidRDefault="005268C6">
      <w:pPr>
        <w:tabs>
          <w:tab w:val="right" w:pos="9072"/>
        </w:tabs>
        <w:rPr>
          <w:szCs w:val="22"/>
        </w:rPr>
      </w:pPr>
    </w:p>
    <w:p w14:paraId="333FAE84" w14:textId="77777777" w:rsidR="005268C6" w:rsidRDefault="002D01CE">
      <w:pPr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Idegrendszeri betegségek és tünetek</w:t>
      </w:r>
    </w:p>
    <w:p w14:paraId="2D16D3BF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Nem gyakori</w:t>
      </w:r>
      <w:r>
        <w:rPr>
          <w:szCs w:val="22"/>
        </w:rPr>
        <w:t>: hypoaesthesia</w:t>
      </w:r>
    </w:p>
    <w:p w14:paraId="5FC61F66" w14:textId="77777777" w:rsidR="005268C6" w:rsidRDefault="005268C6">
      <w:pPr>
        <w:tabs>
          <w:tab w:val="right" w:pos="9072"/>
        </w:tabs>
        <w:rPr>
          <w:szCs w:val="22"/>
        </w:rPr>
      </w:pPr>
    </w:p>
    <w:p w14:paraId="4EAF842A" w14:textId="77777777" w:rsidR="005268C6" w:rsidRDefault="002D01CE">
      <w:pPr>
        <w:tabs>
          <w:tab w:val="right" w:pos="9072"/>
        </w:tabs>
        <w:rPr>
          <w:szCs w:val="22"/>
          <w:u w:val="single"/>
        </w:rPr>
      </w:pPr>
      <w:r>
        <w:rPr>
          <w:szCs w:val="22"/>
          <w:u w:val="single"/>
        </w:rPr>
        <w:t>Emésztőrendszeri betegségek és tünetek</w:t>
      </w:r>
    </w:p>
    <w:p w14:paraId="3E6E1F9E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Ritka</w:t>
      </w:r>
      <w:r>
        <w:rPr>
          <w:szCs w:val="22"/>
        </w:rPr>
        <w:t>: hasi diszkomfortérzés</w:t>
      </w:r>
    </w:p>
    <w:p w14:paraId="21BFBA81" w14:textId="77777777" w:rsidR="005268C6" w:rsidRDefault="005268C6">
      <w:pPr>
        <w:tabs>
          <w:tab w:val="right" w:pos="9072"/>
        </w:tabs>
        <w:rPr>
          <w:iCs/>
          <w:szCs w:val="22"/>
          <w:u w:val="single"/>
        </w:rPr>
      </w:pPr>
    </w:p>
    <w:p w14:paraId="5362B2FD" w14:textId="77777777" w:rsidR="005268C6" w:rsidRDefault="002D01CE">
      <w:pPr>
        <w:tabs>
          <w:tab w:val="right" w:pos="9072"/>
        </w:tabs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A bőr és a bőr alatti szövet betegségei és tünetei</w:t>
      </w:r>
    </w:p>
    <w:p w14:paraId="0C7982BC" w14:textId="24F6194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Nem ismert:</w:t>
      </w:r>
      <w:r>
        <w:rPr>
          <w:szCs w:val="22"/>
        </w:rPr>
        <w:t xml:space="preserve"> angio</w:t>
      </w:r>
      <w:r w:rsidR="000D4D19">
        <w:rPr>
          <w:szCs w:val="22"/>
        </w:rPr>
        <w:t>o</w:t>
      </w:r>
      <w:r>
        <w:rPr>
          <w:szCs w:val="22"/>
        </w:rPr>
        <w:t>edema</w:t>
      </w:r>
    </w:p>
    <w:p w14:paraId="2C990C36" w14:textId="77777777" w:rsidR="005268C6" w:rsidRDefault="005268C6">
      <w:pPr>
        <w:tabs>
          <w:tab w:val="right" w:pos="9072"/>
        </w:tabs>
        <w:rPr>
          <w:szCs w:val="22"/>
        </w:rPr>
      </w:pPr>
    </w:p>
    <w:p w14:paraId="06764A03" w14:textId="77777777" w:rsidR="005268C6" w:rsidRDefault="002D01CE">
      <w:pPr>
        <w:tabs>
          <w:tab w:val="right" w:pos="9072"/>
        </w:tabs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A csont- és izomrendszer, valamint a kötőszövet betegségei és tünetei</w:t>
      </w:r>
    </w:p>
    <w:p w14:paraId="03021921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Nem ismert</w:t>
      </w:r>
      <w:r>
        <w:rPr>
          <w:szCs w:val="22"/>
        </w:rPr>
        <w:t>: lupus-szerű szindróma</w:t>
      </w:r>
    </w:p>
    <w:p w14:paraId="028AB7C5" w14:textId="77777777" w:rsidR="005268C6" w:rsidRDefault="005268C6">
      <w:pPr>
        <w:tabs>
          <w:tab w:val="right" w:pos="9072"/>
        </w:tabs>
        <w:rPr>
          <w:szCs w:val="22"/>
        </w:rPr>
      </w:pPr>
    </w:p>
    <w:p w14:paraId="1EB8BD90" w14:textId="77777777" w:rsidR="005268C6" w:rsidRDefault="002D01CE">
      <w:pPr>
        <w:tabs>
          <w:tab w:val="right" w:pos="9072"/>
        </w:tabs>
        <w:rPr>
          <w:szCs w:val="22"/>
          <w:u w:val="single"/>
        </w:rPr>
      </w:pPr>
      <w:r>
        <w:rPr>
          <w:szCs w:val="22"/>
          <w:u w:val="single"/>
        </w:rPr>
        <w:t>A nemi szervekkel és az emlőkkel kapcsolatos betegségek és tünetek</w:t>
      </w:r>
    </w:p>
    <w:p w14:paraId="304D023E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i/>
          <w:iCs/>
          <w:szCs w:val="22"/>
        </w:rPr>
        <w:t>Ritka</w:t>
      </w:r>
      <w:r>
        <w:rPr>
          <w:szCs w:val="22"/>
        </w:rPr>
        <w:t>: gynaecomastia</w:t>
      </w:r>
    </w:p>
    <w:p w14:paraId="155BDAEB" w14:textId="77777777" w:rsidR="005268C6" w:rsidRDefault="005268C6">
      <w:pPr>
        <w:tabs>
          <w:tab w:val="right" w:pos="9072"/>
        </w:tabs>
        <w:rPr>
          <w:szCs w:val="22"/>
        </w:rPr>
      </w:pPr>
    </w:p>
    <w:p w14:paraId="7FEA2D67" w14:textId="77777777" w:rsidR="005268C6" w:rsidRDefault="002D01CE" w:rsidP="00DC2C00">
      <w:pPr>
        <w:keepNext/>
        <w:tabs>
          <w:tab w:val="right" w:pos="9072"/>
        </w:tabs>
        <w:rPr>
          <w:b/>
          <w:bCs/>
          <w:szCs w:val="22"/>
        </w:rPr>
      </w:pPr>
      <w:r>
        <w:rPr>
          <w:b/>
          <w:bCs/>
          <w:szCs w:val="22"/>
        </w:rPr>
        <w:lastRenderedPageBreak/>
        <w:t>A sztatin gyógyszercsoport hatásai</w:t>
      </w:r>
    </w:p>
    <w:p w14:paraId="55DCC5EC" w14:textId="77777777" w:rsidR="005268C6" w:rsidRDefault="005268C6" w:rsidP="00DC2C00">
      <w:pPr>
        <w:keepNext/>
        <w:tabs>
          <w:tab w:val="right" w:pos="9072"/>
        </w:tabs>
        <w:rPr>
          <w:szCs w:val="22"/>
        </w:rPr>
      </w:pPr>
    </w:p>
    <w:p w14:paraId="11A1D22B" w14:textId="77777777" w:rsidR="005268C6" w:rsidRDefault="002D01CE" w:rsidP="00DC2C00">
      <w:pPr>
        <w:keepNext/>
        <w:tabs>
          <w:tab w:val="right" w:pos="9072"/>
        </w:tabs>
        <w:rPr>
          <w:szCs w:val="22"/>
        </w:rPr>
      </w:pPr>
      <w:r>
        <w:rPr>
          <w:szCs w:val="22"/>
        </w:rPr>
        <w:t>A következő mellékhatásokat jelentették néhány sztatinnál:</w:t>
      </w:r>
    </w:p>
    <w:p w14:paraId="08087086" w14:textId="77777777" w:rsidR="005268C6" w:rsidRDefault="002D01CE" w:rsidP="00DC2C00">
      <w:pPr>
        <w:keepNext/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alvászavarok, beleértve a rémálmokat;</w:t>
      </w:r>
    </w:p>
    <w:p w14:paraId="46D1814C" w14:textId="77777777" w:rsidR="005268C6" w:rsidRDefault="002D01CE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memóriavesztés;</w:t>
      </w:r>
    </w:p>
    <w:p w14:paraId="6E5A186C" w14:textId="77777777" w:rsidR="005268C6" w:rsidRDefault="002D01CE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szexuális zavarok;</w:t>
      </w:r>
    </w:p>
    <w:p w14:paraId="1167E2F2" w14:textId="77777777" w:rsidR="005268C6" w:rsidRDefault="002D01CE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depresszió;</w:t>
      </w:r>
    </w:p>
    <w:p w14:paraId="597A0D31" w14:textId="01020E1B" w:rsidR="005268C6" w:rsidRDefault="002D01CE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>
        <w:rPr>
          <w:szCs w:val="22"/>
          <w:lang w:eastAsia="en-US"/>
        </w:rPr>
        <w:t>interstitiális tüdőbetegség kivételes estei, különösen hosszú</w:t>
      </w:r>
      <w:r w:rsidR="000D4D19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távú alkalmazásnál (lásd 4.4 pont);</w:t>
      </w:r>
    </w:p>
    <w:p w14:paraId="3A59023E" w14:textId="20E7C11F" w:rsidR="005268C6" w:rsidRDefault="002D01CE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diabetes mellitus: a gyakoriság a rizikófaktorok (éhomi vércukorszint ≥</w:t>
      </w:r>
      <w:r>
        <w:rPr>
          <w:rFonts w:hint="eastAsia"/>
          <w:szCs w:val="22"/>
          <w:lang w:eastAsia="en-US"/>
        </w:rPr>
        <w:t>5</w:t>
      </w:r>
      <w:r>
        <w:rPr>
          <w:szCs w:val="22"/>
          <w:lang w:eastAsia="en-US"/>
        </w:rPr>
        <w:t>,6 mmol/l, BMI &gt;30 kg/m</w:t>
      </w:r>
      <w:r>
        <w:rPr>
          <w:szCs w:val="22"/>
          <w:vertAlign w:val="superscript"/>
          <w:lang w:eastAsia="en-US"/>
        </w:rPr>
        <w:t>2</w:t>
      </w:r>
      <w:r>
        <w:rPr>
          <w:szCs w:val="22"/>
          <w:lang w:eastAsia="en-US"/>
        </w:rPr>
        <w:t>, emelkedett trigliceridszintek, hipertónia az anamn</w:t>
      </w:r>
      <w:r w:rsidR="000D4D19">
        <w:rPr>
          <w:szCs w:val="22"/>
          <w:lang w:eastAsia="en-US"/>
        </w:rPr>
        <w:t>éz</w:t>
      </w:r>
      <w:r>
        <w:rPr>
          <w:szCs w:val="22"/>
          <w:lang w:eastAsia="en-US"/>
        </w:rPr>
        <w:t>isben) jelenlététől vagy hiányától függ.</w:t>
      </w:r>
    </w:p>
    <w:p w14:paraId="03B7DE84" w14:textId="77777777" w:rsidR="005268C6" w:rsidRDefault="005268C6">
      <w:pPr>
        <w:spacing w:line="240" w:lineRule="auto"/>
        <w:rPr>
          <w:szCs w:val="22"/>
          <w:u w:val="single"/>
          <w:lang w:val="hu-HU"/>
        </w:rPr>
      </w:pPr>
    </w:p>
    <w:p w14:paraId="3FE02733" w14:textId="77777777" w:rsidR="005268C6" w:rsidRDefault="002D01CE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Feltételezett mellékhatások bejelentése</w:t>
      </w:r>
    </w:p>
    <w:p w14:paraId="154CA0AD" w14:textId="77777777" w:rsidR="005268C6" w:rsidRDefault="002D01C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7BCDBD3" w14:textId="77777777" w:rsidR="005268C6" w:rsidRDefault="002D01C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szCs w:val="22"/>
            <w:highlight w:val="lightGray"/>
            <w:lang w:val="hu-HU"/>
          </w:rPr>
          <w:t>V. füg</w:t>
        </w:r>
        <w:bookmarkStart w:id="4" w:name="_Hlt352075914"/>
        <w:bookmarkStart w:id="5" w:name="_Hlt352075915"/>
        <w:r>
          <w:rPr>
            <w:rStyle w:val="Hiperhivatkozs"/>
            <w:szCs w:val="22"/>
            <w:highlight w:val="lightGray"/>
            <w:lang w:val="hu-HU"/>
          </w:rPr>
          <w:t>g</w:t>
        </w:r>
        <w:bookmarkEnd w:id="4"/>
        <w:bookmarkEnd w:id="5"/>
        <w:r>
          <w:rPr>
            <w:rStyle w:val="Hiperhivatkozs"/>
            <w:szCs w:val="22"/>
            <w:highlight w:val="lightGray"/>
            <w:lang w:val="hu-HU"/>
          </w:rPr>
          <w:t>elékben</w:t>
        </w:r>
      </w:hyperlink>
      <w:r>
        <w:rPr>
          <w:szCs w:val="22"/>
          <w:highlight w:val="lightGray"/>
          <w:lang w:val="hu-HU"/>
        </w:rPr>
        <w:t xml:space="preserve"> található elérhetőségek valamelyikén keresztül</w:t>
      </w:r>
      <w:r>
        <w:rPr>
          <w:szCs w:val="22"/>
          <w:lang w:val="hu-HU"/>
        </w:rPr>
        <w:t>.</w:t>
      </w:r>
    </w:p>
    <w:p w14:paraId="26E3A2EB" w14:textId="77777777" w:rsidR="005268C6" w:rsidRDefault="005268C6">
      <w:pPr>
        <w:spacing w:line="240" w:lineRule="auto"/>
        <w:rPr>
          <w:szCs w:val="22"/>
          <w:u w:val="single"/>
          <w:lang w:val="hu-HU"/>
        </w:rPr>
      </w:pPr>
    </w:p>
    <w:p w14:paraId="05EDCFA4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0F4377E2" w14:textId="77777777" w:rsidR="005268C6" w:rsidRPr="00DC2C00" w:rsidRDefault="005268C6">
      <w:pPr>
        <w:widowControl w:val="0"/>
        <w:rPr>
          <w:szCs w:val="22"/>
          <w:lang w:val="hu-HU" w:eastAsia="en-US"/>
        </w:rPr>
      </w:pPr>
    </w:p>
    <w:p w14:paraId="2A5AE083" w14:textId="74E503B4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 xml:space="preserve">Túladagolás esetére nincs speciális kezelési mód. Túladagolás esetén a beteget tüneti kezelésben és szükség szerint </w:t>
      </w:r>
      <w:r w:rsidR="000D4D19">
        <w:rPr>
          <w:szCs w:val="22"/>
          <w:lang w:val="hu-HU"/>
        </w:rPr>
        <w:t>szupportív</w:t>
      </w:r>
      <w:r w:rsidRPr="00DC2C00">
        <w:rPr>
          <w:szCs w:val="22"/>
          <w:lang w:val="hu-HU"/>
        </w:rPr>
        <w:t xml:space="preserve"> terápiában kell részesíteni. A májfunkciókat és a CK</w:t>
      </w:r>
      <w:r w:rsidRPr="00DC2C00">
        <w:rPr>
          <w:szCs w:val="22"/>
          <w:lang w:val="hu-HU"/>
        </w:rPr>
        <w:noBreakHyphen/>
        <w:t>szintet ellenőrizni kell. Nem valószínű, hogy a hemodialízis ilyen esetekben hatásos lenne.</w:t>
      </w:r>
    </w:p>
    <w:p w14:paraId="7B63B909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3BBE77FE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150E3081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5C67878C" w14:textId="77777777" w:rsidR="005268C6" w:rsidRPr="00DC2C00" w:rsidRDefault="005268C6">
      <w:pPr>
        <w:widowControl w:val="0"/>
        <w:rPr>
          <w:b/>
          <w:szCs w:val="22"/>
          <w:lang w:val="hu-HU" w:eastAsia="en-US"/>
        </w:rPr>
      </w:pPr>
    </w:p>
    <w:p w14:paraId="0AC7F907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34A93BFD" w14:textId="77777777" w:rsidR="005268C6" w:rsidRPr="00DC2C00" w:rsidRDefault="005268C6">
      <w:pPr>
        <w:widowControl w:val="0"/>
        <w:rPr>
          <w:szCs w:val="22"/>
          <w:lang w:val="hu-HU" w:eastAsia="en-US"/>
        </w:rPr>
      </w:pPr>
    </w:p>
    <w:p w14:paraId="5B6F2676" w14:textId="77777777" w:rsidR="005268C6" w:rsidRPr="00DC2C00" w:rsidRDefault="002D01CE">
      <w:pPr>
        <w:widowControl w:val="0"/>
        <w:rPr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Farmakoterápiás csoport</w:t>
      </w:r>
      <w:r w:rsidRPr="00DC2C00">
        <w:rPr>
          <w:szCs w:val="22"/>
          <w:lang w:val="hu-HU" w:eastAsia="en-US"/>
        </w:rPr>
        <w:t xml:space="preserve">: lipidszintet módosító anyagok, </w:t>
      </w:r>
      <w:r w:rsidRPr="00DC2C00">
        <w:rPr>
          <w:szCs w:val="22"/>
          <w:lang w:val="hu-HU" w:eastAsia="es-ES"/>
        </w:rPr>
        <w:t>HMG-CoA-reduktáz-inhibitorok</w:t>
      </w:r>
      <w:r w:rsidRPr="00DC2C00">
        <w:rPr>
          <w:szCs w:val="22"/>
          <w:lang w:val="hu-HU" w:eastAsia="en-US"/>
        </w:rPr>
        <w:t xml:space="preserve">, ATC-kód: </w:t>
      </w:r>
      <w:r w:rsidRPr="00DC2C00">
        <w:rPr>
          <w:szCs w:val="22"/>
          <w:lang w:val="hu-HU" w:eastAsia="es-ES"/>
        </w:rPr>
        <w:t>C10AA08</w:t>
      </w:r>
      <w:r w:rsidRPr="00DC2C00">
        <w:rPr>
          <w:szCs w:val="22"/>
          <w:lang w:val="hu-HU" w:eastAsia="en-US"/>
        </w:rPr>
        <w:t>.</w:t>
      </w:r>
    </w:p>
    <w:p w14:paraId="522356A1" w14:textId="77777777" w:rsidR="005268C6" w:rsidRPr="00DC2C00" w:rsidRDefault="005268C6">
      <w:pPr>
        <w:widowControl w:val="0"/>
        <w:rPr>
          <w:noProof/>
          <w:szCs w:val="22"/>
          <w:lang w:val="hu-HU" w:eastAsia="en-US"/>
        </w:rPr>
      </w:pPr>
    </w:p>
    <w:p w14:paraId="30BF4F8E" w14:textId="77777777" w:rsidR="005268C6" w:rsidRDefault="002D01CE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Hatásmechanizmus</w:t>
      </w:r>
    </w:p>
    <w:p w14:paraId="365BD819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u w:val="single"/>
          <w:lang w:val="hu-HU"/>
        </w:rPr>
      </w:pPr>
    </w:p>
    <w:p w14:paraId="7C7E04EE" w14:textId="77777777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>A pitasztatin kompetitíven gátolja a HMG-CoA-reduktázt, a koleszterinszintézis sebesség-meghatározó enzimét, gátolva a májban a koleszterinszintézist. A májban lévő LDL-receptorok expressziójának növelésével elősegíti a vérben keringő LDL felvételét, csökkentve ezzel a vér összkoleszterin (TC) és LDL-koleszterin (LDL-C) koncentrációját. A máj koleszterinszintézisének tartós gátlása által csökkenti a VLDL vérbe történő szekrécióját és a plazma trigliceridszintjét (TG).</w:t>
      </w:r>
    </w:p>
    <w:p w14:paraId="0990141A" w14:textId="77777777" w:rsidR="005268C6" w:rsidRDefault="005268C6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775FE3D0" w14:textId="77777777" w:rsidR="005268C6" w:rsidRDefault="002D01CE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Farmakodinámiás hatások</w:t>
      </w:r>
    </w:p>
    <w:p w14:paraId="34B38F82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67954C42" w14:textId="000164D5" w:rsidR="005268C6" w:rsidRPr="00DC2C00" w:rsidRDefault="002D01CE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DC2C00">
        <w:rPr>
          <w:szCs w:val="22"/>
          <w:lang w:val="hu-HU"/>
        </w:rPr>
        <w:t>A pitavasztatin csökkenti a megemelkedett LDL</w:t>
      </w:r>
      <w:r w:rsidRPr="00DC2C00">
        <w:rPr>
          <w:szCs w:val="22"/>
          <w:lang w:val="hu-HU"/>
        </w:rPr>
        <w:noBreakHyphen/>
        <w:t>C-, összkoleszterin- és trigliceridszintet, valamint emeli a HDL-koleszterin (HDL-C) szintjét. Csökkenti az ApoB</w:t>
      </w:r>
      <w:r w:rsidR="000D4D19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szintjét és változó mértékű növekedést eredményez az ApoA1-szintjében (lásd 1. táblázat). Csökkenti továbbá a non-HDL-C-szintjét, az emelkedett TC/HDL-C és az ApoB/ApoA1 hányadost.</w:t>
      </w:r>
    </w:p>
    <w:p w14:paraId="659B7E9A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1954D91A" w14:textId="5085E897" w:rsidR="005268C6" w:rsidRPr="00DC2C00" w:rsidRDefault="002D01CE" w:rsidP="00DC2C00">
      <w:pPr>
        <w:keepNext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lastRenderedPageBreak/>
        <w:t>1. táblázat A primer hypercholesterinaemiában szenvedő betegek különböző dózisokkal végzett kezelésre adott válaszai (</w:t>
      </w:r>
      <w:r w:rsidRPr="00DC2C00">
        <w:rPr>
          <w:szCs w:val="22"/>
          <w:lang w:val="hu-HU"/>
        </w:rPr>
        <w:t>12 héten át mért értékek, a kiindulási értékhez képest, a változás korrigált átlagos százalékos értéke</w:t>
      </w:r>
      <w:r w:rsidRPr="00DC2C00">
        <w:rPr>
          <w:color w:val="000000"/>
          <w:szCs w:val="22"/>
          <w:lang w:val="hu-HU"/>
        </w:rPr>
        <w:t>):</w:t>
      </w:r>
    </w:p>
    <w:p w14:paraId="67197749" w14:textId="77777777" w:rsidR="005268C6" w:rsidRPr="00DC2C00" w:rsidRDefault="005268C6" w:rsidP="00DC2C00">
      <w:pPr>
        <w:keepNext/>
        <w:tabs>
          <w:tab w:val="right" w:pos="9072"/>
        </w:tabs>
        <w:rPr>
          <w:b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4"/>
        <w:gridCol w:w="1116"/>
        <w:gridCol w:w="1134"/>
        <w:gridCol w:w="1127"/>
        <w:gridCol w:w="1135"/>
        <w:gridCol w:w="1126"/>
        <w:gridCol w:w="1135"/>
        <w:gridCol w:w="1143"/>
      </w:tblGrid>
      <w:tr w:rsidR="005268C6" w14:paraId="33D0CC1E" w14:textId="77777777">
        <w:tc>
          <w:tcPr>
            <w:tcW w:w="1160" w:type="dxa"/>
          </w:tcPr>
          <w:p w14:paraId="5702183D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dózis</w:t>
            </w:r>
          </w:p>
        </w:tc>
        <w:tc>
          <w:tcPr>
            <w:tcW w:w="1161" w:type="dxa"/>
          </w:tcPr>
          <w:p w14:paraId="0668CB82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N</w:t>
            </w:r>
          </w:p>
        </w:tc>
        <w:tc>
          <w:tcPr>
            <w:tcW w:w="1161" w:type="dxa"/>
          </w:tcPr>
          <w:p w14:paraId="7D53EA8D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LDL-C</w:t>
            </w:r>
          </w:p>
        </w:tc>
        <w:tc>
          <w:tcPr>
            <w:tcW w:w="1161" w:type="dxa"/>
          </w:tcPr>
          <w:p w14:paraId="175A297F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TC*</w:t>
            </w:r>
          </w:p>
        </w:tc>
        <w:tc>
          <w:tcPr>
            <w:tcW w:w="1161" w:type="dxa"/>
          </w:tcPr>
          <w:p w14:paraId="78F6B3CA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HDL-C</w:t>
            </w:r>
          </w:p>
        </w:tc>
        <w:tc>
          <w:tcPr>
            <w:tcW w:w="1161" w:type="dxa"/>
          </w:tcPr>
          <w:p w14:paraId="2B5C579A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TG</w:t>
            </w:r>
          </w:p>
        </w:tc>
        <w:tc>
          <w:tcPr>
            <w:tcW w:w="1161" w:type="dxa"/>
          </w:tcPr>
          <w:p w14:paraId="1099754E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ApoB</w:t>
            </w:r>
          </w:p>
        </w:tc>
        <w:tc>
          <w:tcPr>
            <w:tcW w:w="1161" w:type="dxa"/>
          </w:tcPr>
          <w:p w14:paraId="6A35FA50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ApoA1</w:t>
            </w:r>
          </w:p>
        </w:tc>
      </w:tr>
      <w:tr w:rsidR="005268C6" w14:paraId="1B56CBCF" w14:textId="77777777">
        <w:tc>
          <w:tcPr>
            <w:tcW w:w="1160" w:type="dxa"/>
          </w:tcPr>
          <w:p w14:paraId="6C337ACE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placebo</w:t>
            </w:r>
          </w:p>
        </w:tc>
        <w:tc>
          <w:tcPr>
            <w:tcW w:w="1161" w:type="dxa"/>
          </w:tcPr>
          <w:p w14:paraId="0DFB1DDC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51</w:t>
            </w:r>
          </w:p>
        </w:tc>
        <w:tc>
          <w:tcPr>
            <w:tcW w:w="1161" w:type="dxa"/>
          </w:tcPr>
          <w:p w14:paraId="75B53F7C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-4,0</w:t>
            </w:r>
          </w:p>
        </w:tc>
        <w:tc>
          <w:tcPr>
            <w:tcW w:w="1161" w:type="dxa"/>
          </w:tcPr>
          <w:p w14:paraId="45516B96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-1,3</w:t>
            </w:r>
          </w:p>
        </w:tc>
        <w:tc>
          <w:tcPr>
            <w:tcW w:w="1161" w:type="dxa"/>
          </w:tcPr>
          <w:p w14:paraId="5F9936ED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2,5</w:t>
            </w:r>
          </w:p>
        </w:tc>
        <w:tc>
          <w:tcPr>
            <w:tcW w:w="1161" w:type="dxa"/>
          </w:tcPr>
          <w:p w14:paraId="13DD0F59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-2,1</w:t>
            </w:r>
          </w:p>
        </w:tc>
        <w:tc>
          <w:tcPr>
            <w:tcW w:w="1161" w:type="dxa"/>
          </w:tcPr>
          <w:p w14:paraId="22A2765E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0,3</w:t>
            </w:r>
          </w:p>
        </w:tc>
        <w:tc>
          <w:tcPr>
            <w:tcW w:w="1161" w:type="dxa"/>
          </w:tcPr>
          <w:p w14:paraId="4DA3ADFE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3,2</w:t>
            </w:r>
          </w:p>
        </w:tc>
      </w:tr>
      <w:tr w:rsidR="005268C6" w14:paraId="3B677C0C" w14:textId="77777777">
        <w:tc>
          <w:tcPr>
            <w:tcW w:w="1160" w:type="dxa"/>
          </w:tcPr>
          <w:p w14:paraId="6BD57234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 mg </w:t>
            </w:r>
          </w:p>
        </w:tc>
        <w:tc>
          <w:tcPr>
            <w:tcW w:w="1161" w:type="dxa"/>
          </w:tcPr>
          <w:p w14:paraId="768B22F5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52</w:t>
            </w:r>
          </w:p>
        </w:tc>
        <w:tc>
          <w:tcPr>
            <w:tcW w:w="1161" w:type="dxa"/>
          </w:tcPr>
          <w:p w14:paraId="52C90AC3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-33,0</w:t>
            </w:r>
          </w:p>
        </w:tc>
        <w:tc>
          <w:tcPr>
            <w:tcW w:w="1161" w:type="dxa"/>
          </w:tcPr>
          <w:p w14:paraId="05AEBB20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-22,8</w:t>
            </w:r>
          </w:p>
        </w:tc>
        <w:tc>
          <w:tcPr>
            <w:tcW w:w="1161" w:type="dxa"/>
          </w:tcPr>
          <w:p w14:paraId="1B4D7DC3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9,4</w:t>
            </w:r>
          </w:p>
        </w:tc>
        <w:tc>
          <w:tcPr>
            <w:tcW w:w="1161" w:type="dxa"/>
          </w:tcPr>
          <w:p w14:paraId="06DE7218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-14,8</w:t>
            </w:r>
          </w:p>
        </w:tc>
        <w:tc>
          <w:tcPr>
            <w:tcW w:w="1161" w:type="dxa"/>
          </w:tcPr>
          <w:p w14:paraId="1ECBA470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-24,1</w:t>
            </w:r>
          </w:p>
        </w:tc>
        <w:tc>
          <w:tcPr>
            <w:tcW w:w="1161" w:type="dxa"/>
          </w:tcPr>
          <w:p w14:paraId="05702C7D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8,5</w:t>
            </w:r>
          </w:p>
        </w:tc>
      </w:tr>
      <w:tr w:rsidR="005268C6" w14:paraId="77B33662" w14:textId="77777777">
        <w:tc>
          <w:tcPr>
            <w:tcW w:w="1160" w:type="dxa"/>
          </w:tcPr>
          <w:p w14:paraId="0C0E9A86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 mg</w:t>
            </w:r>
          </w:p>
        </w:tc>
        <w:tc>
          <w:tcPr>
            <w:tcW w:w="1161" w:type="dxa"/>
          </w:tcPr>
          <w:p w14:paraId="274AC911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49</w:t>
            </w:r>
          </w:p>
        </w:tc>
        <w:tc>
          <w:tcPr>
            <w:tcW w:w="1161" w:type="dxa"/>
          </w:tcPr>
          <w:p w14:paraId="7B106877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-38,2</w:t>
            </w:r>
          </w:p>
        </w:tc>
        <w:tc>
          <w:tcPr>
            <w:tcW w:w="1161" w:type="dxa"/>
          </w:tcPr>
          <w:p w14:paraId="3F848E86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-26,1</w:t>
            </w:r>
          </w:p>
        </w:tc>
        <w:tc>
          <w:tcPr>
            <w:tcW w:w="1161" w:type="dxa"/>
          </w:tcPr>
          <w:p w14:paraId="5B5C76BB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9,0</w:t>
            </w:r>
          </w:p>
        </w:tc>
        <w:tc>
          <w:tcPr>
            <w:tcW w:w="1161" w:type="dxa"/>
          </w:tcPr>
          <w:p w14:paraId="0543CBCA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-17,4</w:t>
            </w:r>
          </w:p>
        </w:tc>
        <w:tc>
          <w:tcPr>
            <w:tcW w:w="1161" w:type="dxa"/>
          </w:tcPr>
          <w:p w14:paraId="14EDAE6C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-30,4</w:t>
            </w:r>
          </w:p>
        </w:tc>
        <w:tc>
          <w:tcPr>
            <w:tcW w:w="1161" w:type="dxa"/>
          </w:tcPr>
          <w:p w14:paraId="7D4914E3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5,6</w:t>
            </w:r>
          </w:p>
        </w:tc>
      </w:tr>
      <w:tr w:rsidR="005268C6" w14:paraId="02F5DE44" w14:textId="77777777">
        <w:tc>
          <w:tcPr>
            <w:tcW w:w="1160" w:type="dxa"/>
          </w:tcPr>
          <w:p w14:paraId="313A396D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 mg</w:t>
            </w:r>
          </w:p>
        </w:tc>
        <w:tc>
          <w:tcPr>
            <w:tcW w:w="1161" w:type="dxa"/>
          </w:tcPr>
          <w:p w14:paraId="21B9CCC3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50</w:t>
            </w:r>
          </w:p>
        </w:tc>
        <w:tc>
          <w:tcPr>
            <w:tcW w:w="1161" w:type="dxa"/>
          </w:tcPr>
          <w:p w14:paraId="6FF11739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-46,5</w:t>
            </w:r>
          </w:p>
        </w:tc>
        <w:tc>
          <w:tcPr>
            <w:tcW w:w="1161" w:type="dxa"/>
          </w:tcPr>
          <w:p w14:paraId="0F14E35D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-32,5</w:t>
            </w:r>
          </w:p>
        </w:tc>
        <w:tc>
          <w:tcPr>
            <w:tcW w:w="1161" w:type="dxa"/>
          </w:tcPr>
          <w:p w14:paraId="2F6331CA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8,3</w:t>
            </w:r>
          </w:p>
        </w:tc>
        <w:tc>
          <w:tcPr>
            <w:tcW w:w="1161" w:type="dxa"/>
          </w:tcPr>
          <w:p w14:paraId="0B79E568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-21,2</w:t>
            </w:r>
          </w:p>
        </w:tc>
        <w:tc>
          <w:tcPr>
            <w:tcW w:w="1161" w:type="dxa"/>
          </w:tcPr>
          <w:p w14:paraId="5E628425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-36,1</w:t>
            </w:r>
          </w:p>
        </w:tc>
        <w:tc>
          <w:tcPr>
            <w:tcW w:w="1161" w:type="dxa"/>
          </w:tcPr>
          <w:p w14:paraId="04747695" w14:textId="77777777" w:rsidR="005268C6" w:rsidRDefault="002D01CE" w:rsidP="00DC2C00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4,7</w:t>
            </w:r>
          </w:p>
        </w:tc>
      </w:tr>
    </w:tbl>
    <w:p w14:paraId="2D5C89A8" w14:textId="77777777" w:rsidR="005268C6" w:rsidRDefault="002D01CE" w:rsidP="00DC2C00">
      <w:pPr>
        <w:keepNext/>
        <w:autoSpaceDE w:val="0"/>
        <w:autoSpaceDN w:val="0"/>
        <w:adjustRightInd w:val="0"/>
        <w:rPr>
          <w:color w:val="000000"/>
          <w:szCs w:val="22"/>
          <w:highlight w:val="yellow"/>
        </w:rPr>
      </w:pPr>
      <w:r>
        <w:rPr>
          <w:color w:val="000000"/>
          <w:szCs w:val="22"/>
        </w:rPr>
        <w:t>*nem korrigált érték</w:t>
      </w:r>
    </w:p>
    <w:p w14:paraId="5219B94A" w14:textId="77777777" w:rsidR="005268C6" w:rsidRDefault="005268C6">
      <w:pPr>
        <w:tabs>
          <w:tab w:val="right" w:pos="9072"/>
        </w:tabs>
        <w:rPr>
          <w:szCs w:val="22"/>
        </w:rPr>
      </w:pPr>
    </w:p>
    <w:p w14:paraId="3FE632C2" w14:textId="77777777" w:rsidR="005268C6" w:rsidRDefault="002D01CE">
      <w:pPr>
        <w:tabs>
          <w:tab w:val="right" w:pos="9072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Klinikai hatásosság és biztonságosság</w:t>
      </w:r>
    </w:p>
    <w:p w14:paraId="7D36255F" w14:textId="77777777" w:rsidR="005268C6" w:rsidRDefault="005268C6">
      <w:pPr>
        <w:tabs>
          <w:tab w:val="right" w:pos="9072"/>
        </w:tabs>
        <w:rPr>
          <w:szCs w:val="22"/>
        </w:rPr>
      </w:pPr>
    </w:p>
    <w:p w14:paraId="2144B91B" w14:textId="7A217DBC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szCs w:val="22"/>
        </w:rPr>
        <w:t>A kontrollos klinikai vizsgálatokba 1687 primer</w:t>
      </w:r>
      <w:r>
        <w:rPr>
          <w:szCs w:val="22"/>
          <w:lang w:val="hu-HU"/>
        </w:rPr>
        <w:t xml:space="preserve"> hypercholesterinaemiában és kevert dyslipidaemiában szenvedő</w:t>
      </w:r>
      <w:r>
        <w:rPr>
          <w:szCs w:val="22"/>
        </w:rPr>
        <w:t xml:space="preserve"> beteget vontak be – köztük 1239 beteget a terápiás dózissal kezeltek (a kiindulási LDL-C-érték átlaga megközelítőleg 4,8 mmol/l) – a pitavasztatin konzisztensen csökkentette az LDL-C-, az összkoleszterin-, a non-HDL-C-, a triglicerid- és az ApoB-koncentrációt valamint megemelte a HDL</w:t>
      </w:r>
      <w:r w:rsidR="000D4D19">
        <w:rPr>
          <w:szCs w:val="22"/>
        </w:rPr>
        <w:noBreakHyphen/>
      </w:r>
      <w:r>
        <w:rPr>
          <w:szCs w:val="22"/>
        </w:rPr>
        <w:t>C- és az ApoA1 koncentrációját. A TC/HDL-C és az ApoB/ApoA1 hányados értéke csökkent. 2 mg pitavasztatin alkalmazása az LDL-C-szintet 38–39%-kal csökkentette, a 4 mg pitavasztatin pedig 44–45%-kal. A 2 mg-ot szedő betegek nagyrésze elérte az Európai Atherosclerosis Társaság (</w:t>
      </w:r>
      <w:r w:rsidRPr="00DC2C00">
        <w:rPr>
          <w:i/>
          <w:iCs/>
          <w:color w:val="000000"/>
          <w:szCs w:val="22"/>
        </w:rPr>
        <w:t>European Atherosclerosis Society</w:t>
      </w:r>
      <w:r>
        <w:rPr>
          <w:color w:val="000000"/>
          <w:szCs w:val="22"/>
        </w:rPr>
        <w:t xml:space="preserve">, </w:t>
      </w:r>
      <w:r>
        <w:rPr>
          <w:szCs w:val="22"/>
        </w:rPr>
        <w:t xml:space="preserve">EAS) az LDL-C-szintjére vonatkozó kezelési célértékét </w:t>
      </w:r>
      <w:r>
        <w:rPr>
          <w:color w:val="000000"/>
          <w:szCs w:val="22"/>
        </w:rPr>
        <w:t>(&lt;3 mmol/l).</w:t>
      </w:r>
    </w:p>
    <w:p w14:paraId="647E0391" w14:textId="77777777" w:rsidR="005268C6" w:rsidRDefault="005268C6">
      <w:pPr>
        <w:tabs>
          <w:tab w:val="right" w:pos="9072"/>
        </w:tabs>
        <w:rPr>
          <w:szCs w:val="22"/>
        </w:rPr>
      </w:pPr>
    </w:p>
    <w:p w14:paraId="515BCBCF" w14:textId="6C147B53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szCs w:val="22"/>
        </w:rPr>
        <w:t>Egy kontrollos klinikai vizsgálatban 942, 65 éves vagy annál idősebb, primer</w:t>
      </w:r>
      <w:r>
        <w:rPr>
          <w:szCs w:val="22"/>
          <w:lang w:val="hu-HU"/>
        </w:rPr>
        <w:t xml:space="preserve"> hypercholesterinaemiában és kevert dyslipidaemiában (</w:t>
      </w:r>
      <w:r>
        <w:rPr>
          <w:szCs w:val="22"/>
        </w:rPr>
        <w:t>a kiindulási LDL-C-érték átlaga megközelítőleg 4,2 mmol/l)</w:t>
      </w:r>
      <w:r>
        <w:rPr>
          <w:szCs w:val="22"/>
          <w:lang w:val="hu-HU"/>
        </w:rPr>
        <w:t xml:space="preserve"> szenvedő </w:t>
      </w:r>
      <w:r>
        <w:rPr>
          <w:szCs w:val="22"/>
        </w:rPr>
        <w:t xml:space="preserve">beteg vett részt. Közülük 434 beteget kezeltek 1 mg, 2 mg vagy 4 mg pitavasztatinnal. Az LDL-C-érték 31%-kal csökkent 1 mg-os dózisú, 39%-kal 2 mg-os dózisú és 44,3%-kal 4 mg-os dózisú pitavasztatin alkalmazásakor. Körülbelül a betegek 90%-a érte el az EAS kezelési célértékét. A betegek több mint 80%-a egyéb gyógyszert is szedett egyidejűleg, de a mellékhatások </w:t>
      </w:r>
      <w:r w:rsidR="000D4D19">
        <w:rPr>
          <w:szCs w:val="22"/>
        </w:rPr>
        <w:t xml:space="preserve">incidenciája </w:t>
      </w:r>
      <w:r>
        <w:rPr>
          <w:szCs w:val="22"/>
        </w:rPr>
        <w:t>hasonló volt az összes kezelési csoportban. A mellékhatások miatt</w:t>
      </w:r>
      <w:r>
        <w:rPr>
          <w:szCs w:val="22"/>
          <w:lang w:val="hu-HU"/>
        </w:rPr>
        <w:t xml:space="preserve"> a betegek kevesebb mint 5%</w:t>
      </w:r>
      <w:r>
        <w:rPr>
          <w:szCs w:val="22"/>
          <w:lang w:val="hu-HU"/>
        </w:rPr>
        <w:noBreakHyphen/>
        <w:t>a hagyta abba a vizsgálatot.</w:t>
      </w:r>
      <w:r>
        <w:rPr>
          <w:szCs w:val="22"/>
        </w:rPr>
        <w:t xml:space="preserve"> A biztonságossági és hatásossági eredmények a különböző életkorú alcsoportokban (65–69; 70–74 és </w:t>
      </w:r>
      <w:r>
        <w:rPr>
          <w:szCs w:val="22"/>
          <w:lang w:eastAsia="en-US"/>
        </w:rPr>
        <w:t>≥</w:t>
      </w:r>
      <w:r>
        <w:rPr>
          <w:rFonts w:hint="eastAsia"/>
          <w:color w:val="000000"/>
          <w:szCs w:val="22"/>
        </w:rPr>
        <w:t>75 </w:t>
      </w:r>
      <w:r>
        <w:rPr>
          <w:rFonts w:hint="eastAsia"/>
          <w:color w:val="000000"/>
          <w:szCs w:val="22"/>
        </w:rPr>
        <w:t>é</w:t>
      </w:r>
      <w:r>
        <w:rPr>
          <w:rFonts w:hint="eastAsia"/>
          <w:color w:val="000000"/>
          <w:szCs w:val="22"/>
        </w:rPr>
        <w:t xml:space="preserve">v) </w:t>
      </w:r>
      <w:r>
        <w:rPr>
          <w:szCs w:val="22"/>
        </w:rPr>
        <w:t>hasonlóak voltak</w:t>
      </w:r>
      <w:r>
        <w:rPr>
          <w:color w:val="000000"/>
          <w:szCs w:val="22"/>
        </w:rPr>
        <w:t>.</w:t>
      </w:r>
    </w:p>
    <w:p w14:paraId="49A6A0E3" w14:textId="77777777" w:rsidR="005268C6" w:rsidRDefault="005268C6">
      <w:pPr>
        <w:tabs>
          <w:tab w:val="right" w:pos="9072"/>
        </w:tabs>
        <w:rPr>
          <w:szCs w:val="22"/>
        </w:rPr>
      </w:pPr>
    </w:p>
    <w:p w14:paraId="1876F265" w14:textId="68CC165C" w:rsidR="005268C6" w:rsidRDefault="002D01CE">
      <w:pPr>
        <w:tabs>
          <w:tab w:val="right" w:pos="9072"/>
        </w:tabs>
        <w:rPr>
          <w:szCs w:val="22"/>
          <w:lang w:val="hu-HU"/>
        </w:rPr>
      </w:pPr>
      <w:r>
        <w:rPr>
          <w:szCs w:val="22"/>
        </w:rPr>
        <w:t>Kontrollos klinikai vizsgálatokban összesen 761 beteg vett részt (közülük 507 beteg 4 mg pitavasztatint kapott), akik primer</w:t>
      </w:r>
      <w:r>
        <w:rPr>
          <w:szCs w:val="22"/>
          <w:lang w:val="hu-HU"/>
        </w:rPr>
        <w:t xml:space="preserve"> hypercholesterinaemiában vagy kevert dyslipidaemiában szenvedtek</w:t>
      </w:r>
      <w:r w:rsidR="000D4D19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és 2 vagy több </w:t>
      </w:r>
      <w:r w:rsidR="000D4D19">
        <w:rPr>
          <w:szCs w:val="22"/>
          <w:lang w:val="hu-HU"/>
        </w:rPr>
        <w:t>cardiovascularis</w:t>
      </w:r>
      <w:r>
        <w:rPr>
          <w:szCs w:val="22"/>
          <w:lang w:val="hu-HU"/>
        </w:rPr>
        <w:t xml:space="preserve"> rizikófaktorral rendelkeztek (a kiindulási LDL-C-érték átlaga megközelítőleg 4,1 mmol/l), vagy kevert dyslipidaemiában és 2. típusú cukorbetegségben szenvedtek (a kiindulási LDL-C-érték átlaga megközelítőleg 3,6 mmol/l). A résztvevők megközelítőleg 80%-a érte el a releváns EAS-célértéket (a rizikótól függően 3 mmol/l vagy 2,5 mmol/l). Az LDL-C értéke az első betegcsoportban 44%-kal, a másodikban 41%-kal csökkent.</w:t>
      </w:r>
    </w:p>
    <w:p w14:paraId="263DBC93" w14:textId="77777777" w:rsidR="005268C6" w:rsidRDefault="005268C6">
      <w:pPr>
        <w:tabs>
          <w:tab w:val="right" w:pos="9072"/>
        </w:tabs>
        <w:rPr>
          <w:szCs w:val="22"/>
          <w:lang w:val="hu-HU"/>
        </w:rPr>
      </w:pPr>
    </w:p>
    <w:p w14:paraId="29780981" w14:textId="42832AEB" w:rsidR="005268C6" w:rsidRDefault="001A3C69">
      <w:pPr>
        <w:tabs>
          <w:tab w:val="right" w:pos="9072"/>
        </w:tabs>
        <w:rPr>
          <w:szCs w:val="22"/>
          <w:lang w:val="hu-HU"/>
        </w:rPr>
      </w:pPr>
      <w:r>
        <w:rPr>
          <w:szCs w:val="22"/>
          <w:lang w:val="hu-HU"/>
        </w:rPr>
        <w:t>A l</w:t>
      </w:r>
      <w:r w:rsidR="002D01CE" w:rsidRPr="00DC2C00">
        <w:rPr>
          <w:szCs w:val="22"/>
          <w:lang w:val="hu-HU"/>
        </w:rPr>
        <w:t>egfeljebb 60 hétig tartó primer</w:t>
      </w:r>
      <w:r w:rsidR="002D01CE">
        <w:rPr>
          <w:szCs w:val="22"/>
          <w:lang w:val="hu-HU"/>
        </w:rPr>
        <w:t xml:space="preserve"> hypercholesterinaemiát és kevert dyslipidaemiát tanulmányozó </w:t>
      </w:r>
      <w:r>
        <w:rPr>
          <w:szCs w:val="22"/>
          <w:lang w:val="hu-HU"/>
        </w:rPr>
        <w:t xml:space="preserve">hosszú távú </w:t>
      </w:r>
      <w:r w:rsidR="002D01CE">
        <w:rPr>
          <w:szCs w:val="22"/>
          <w:lang w:val="hu-HU"/>
        </w:rPr>
        <w:t>vizsgálatokban az EAS</w:t>
      </w:r>
      <w:r>
        <w:rPr>
          <w:szCs w:val="22"/>
          <w:lang w:val="hu-HU"/>
        </w:rPr>
        <w:t>-</w:t>
      </w:r>
      <w:r w:rsidR="002D01CE">
        <w:rPr>
          <w:szCs w:val="22"/>
          <w:lang w:val="hu-HU"/>
        </w:rPr>
        <w:t xml:space="preserve">célérték </w:t>
      </w:r>
      <w:r>
        <w:rPr>
          <w:szCs w:val="22"/>
          <w:lang w:val="hu-HU"/>
        </w:rPr>
        <w:t>teljesítése</w:t>
      </w:r>
      <w:r w:rsidR="002D01CE">
        <w:rPr>
          <w:szCs w:val="22"/>
          <w:lang w:val="hu-HU"/>
        </w:rPr>
        <w:t xml:space="preserve"> az LDL-C-szint állandó és stabil csökkenése </w:t>
      </w:r>
      <w:r>
        <w:rPr>
          <w:szCs w:val="22"/>
          <w:lang w:val="hu-HU"/>
        </w:rPr>
        <w:t>révén fennmaradt, a</w:t>
      </w:r>
      <w:r w:rsidR="002D01CE">
        <w:rPr>
          <w:szCs w:val="22"/>
          <w:lang w:val="hu-HU"/>
        </w:rPr>
        <w:t xml:space="preserve"> HDL-C-koncentráció pedig tovább emelked</w:t>
      </w:r>
      <w:r>
        <w:rPr>
          <w:szCs w:val="22"/>
          <w:lang w:val="hu-HU"/>
        </w:rPr>
        <w:t>ett</w:t>
      </w:r>
      <w:r w:rsidR="002D01CE">
        <w:rPr>
          <w:szCs w:val="22"/>
          <w:lang w:val="hu-HU"/>
        </w:rPr>
        <w:t>. Egy vizsgálatban 1346 </w:t>
      </w:r>
      <w:r>
        <w:rPr>
          <w:szCs w:val="22"/>
          <w:lang w:val="hu-HU"/>
        </w:rPr>
        <w:t xml:space="preserve">olyan </w:t>
      </w:r>
      <w:r w:rsidR="002D01CE">
        <w:rPr>
          <w:szCs w:val="22"/>
          <w:lang w:val="hu-HU"/>
        </w:rPr>
        <w:t xml:space="preserve">beteg vett részt, akik már kaptak egy 12 hetes sztatin-terápiát, </w:t>
      </w:r>
      <w:r>
        <w:rPr>
          <w:szCs w:val="22"/>
          <w:lang w:val="hu-HU"/>
        </w:rPr>
        <w:t>melynek</w:t>
      </w:r>
      <w:r w:rsidR="002D01CE">
        <w:rPr>
          <w:szCs w:val="22"/>
          <w:lang w:val="hu-HU"/>
        </w:rPr>
        <w:t xml:space="preserve"> következtében az LDL-C szintje 42,3%</w:t>
      </w:r>
      <w:r>
        <w:rPr>
          <w:szCs w:val="22"/>
          <w:lang w:val="hu-HU"/>
        </w:rPr>
        <w:noBreakHyphen/>
      </w:r>
      <w:r w:rsidR="002D01CE">
        <w:rPr>
          <w:szCs w:val="22"/>
          <w:lang w:val="hu-HU"/>
        </w:rPr>
        <w:t>kal csökkent, az EAS kezelési célértékét a résztvevők 69%-a érte el, míg a HDL-C-szint 5,6%</w:t>
      </w:r>
      <w:r>
        <w:rPr>
          <w:szCs w:val="22"/>
          <w:lang w:val="hu-HU"/>
        </w:rPr>
        <w:noBreakHyphen/>
      </w:r>
      <w:r w:rsidR="002D01CE">
        <w:rPr>
          <w:szCs w:val="22"/>
          <w:lang w:val="hu-HU"/>
        </w:rPr>
        <w:t>kal emelkedett. További 52 hétig tartó 4 mg pitavasztatin-kezeléssel az LDL-C-szint 42,9%-kal csökkent, az EAS kezelési célértékét a résztvevők 74%-a érte el, míg a HDL-C-szint 14,3%-kal nőtt.</w:t>
      </w:r>
    </w:p>
    <w:p w14:paraId="7D1152E1" w14:textId="77777777" w:rsidR="005268C6" w:rsidRDefault="005268C6">
      <w:pPr>
        <w:tabs>
          <w:tab w:val="right" w:pos="9072"/>
        </w:tabs>
        <w:rPr>
          <w:szCs w:val="22"/>
          <w:lang w:val="hu-HU"/>
        </w:rPr>
      </w:pPr>
    </w:p>
    <w:p w14:paraId="1CA58AB6" w14:textId="4D0DA0BE" w:rsidR="005268C6" w:rsidRPr="00DC2C00" w:rsidRDefault="002D01CE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>Japánban egy 2 éves megfigyeléses vizsgálat kiterjesztéseként (LIVES-01, lásd 4.8 pont) 6582 hyper</w:t>
      </w:r>
      <w:r>
        <w:rPr>
          <w:szCs w:val="22"/>
          <w:lang w:val="hu-HU"/>
        </w:rPr>
        <w:t xml:space="preserve">cholesterinaemiában szenvedő </w:t>
      </w:r>
      <w:r w:rsidRPr="00DC2C00">
        <w:rPr>
          <w:color w:val="000000"/>
          <w:szCs w:val="22"/>
          <w:lang w:val="hu-HU"/>
        </w:rPr>
        <w:t>beteget vizsgáltak, akik két éven keresztül 1 mg, 2 mg vagy 4 mg pitavasztatint szedtek majd további 3 évig folytatták a kezelést (teljes kezelés: 5 év). Az 5 éven át tartó vizsgálat alatt az LDL-C szintjének csökkenése (-30,5%) a 3. hónaptól kezdve a vizsgálat befejezéséig fennmaradt. A HDL-C-érték a 3. hónapban 1,7%-kal, az 5. év végére pedig 5,7%-kal emelked</w:t>
      </w:r>
      <w:r w:rsidR="0041087F">
        <w:rPr>
          <w:color w:val="000000"/>
          <w:szCs w:val="22"/>
          <w:lang w:val="hu-HU"/>
        </w:rPr>
        <w:t>ett</w:t>
      </w:r>
      <w:r w:rsidRPr="00DC2C00">
        <w:rPr>
          <w:color w:val="000000"/>
          <w:szCs w:val="22"/>
          <w:lang w:val="hu-HU"/>
        </w:rPr>
        <w:t xml:space="preserve">. Nagyobb HDL-C-érték-növekedést figyeltek meg azoknál a betegeknél, akik alacsonyabb </w:t>
      </w:r>
      <w:r w:rsidRPr="00DC2C00">
        <w:rPr>
          <w:color w:val="000000"/>
          <w:szCs w:val="22"/>
          <w:lang w:val="hu-HU"/>
        </w:rPr>
        <w:lastRenderedPageBreak/>
        <w:t>kiindulási HDL-C-értékkel rendelkeztek (&lt;</w:t>
      </w:r>
      <w:r w:rsidRPr="00DC2C00">
        <w:rPr>
          <w:szCs w:val="22"/>
          <w:lang w:val="hu-HU"/>
        </w:rPr>
        <w:t>40 mg</w:t>
      </w:r>
      <w:r w:rsidRPr="00DC2C00">
        <w:rPr>
          <w:color w:val="000000"/>
          <w:szCs w:val="22"/>
          <w:lang w:val="hu-HU"/>
        </w:rPr>
        <w:t>/dl), például a szérumszint a 3. hónapban 11,9%-kal, az 5 év végére pedig 28,9%-kal emelked</w:t>
      </w:r>
      <w:r w:rsidR="0041087F">
        <w:rPr>
          <w:color w:val="000000"/>
          <w:szCs w:val="22"/>
          <w:lang w:val="hu-HU"/>
        </w:rPr>
        <w:t>ett</w:t>
      </w:r>
      <w:r w:rsidRPr="00DC2C00">
        <w:rPr>
          <w:color w:val="000000"/>
          <w:szCs w:val="22"/>
          <w:lang w:val="hu-HU"/>
        </w:rPr>
        <w:t>.</w:t>
      </w:r>
    </w:p>
    <w:p w14:paraId="15C71D18" w14:textId="77777777" w:rsidR="005268C6" w:rsidRDefault="005268C6">
      <w:pPr>
        <w:tabs>
          <w:tab w:val="right" w:pos="9072"/>
        </w:tabs>
        <w:rPr>
          <w:szCs w:val="22"/>
          <w:lang w:val="hu-HU"/>
        </w:rPr>
      </w:pPr>
    </w:p>
    <w:p w14:paraId="12B3E54F" w14:textId="77777777" w:rsidR="005268C6" w:rsidRPr="00DC2C00" w:rsidRDefault="002D01CE">
      <w:pPr>
        <w:widowControl w:val="0"/>
        <w:autoSpaceDE w:val="0"/>
        <w:autoSpaceDN w:val="0"/>
        <w:adjustRightInd w:val="0"/>
        <w:rPr>
          <w:i/>
          <w:color w:val="000000"/>
          <w:szCs w:val="22"/>
          <w:lang w:val="hu-HU"/>
        </w:rPr>
      </w:pPr>
      <w:r w:rsidRPr="00DC2C00">
        <w:rPr>
          <w:i/>
          <w:color w:val="000000"/>
          <w:szCs w:val="22"/>
          <w:lang w:val="hu-HU"/>
        </w:rPr>
        <w:t>Atherosclerosis</w:t>
      </w:r>
    </w:p>
    <w:p w14:paraId="1A70B509" w14:textId="437CEAD7" w:rsidR="005268C6" w:rsidRPr="00DC2C00" w:rsidRDefault="002D01CE" w:rsidP="0041087F">
      <w:pPr>
        <w:widowControl w:val="0"/>
        <w:autoSpaceDE w:val="0"/>
        <w:autoSpaceDN w:val="0"/>
        <w:adjustRightInd w:val="0"/>
        <w:rPr>
          <w:iCs/>
          <w:color w:val="000000"/>
          <w:szCs w:val="22"/>
          <w:highlight w:val="green"/>
          <w:lang w:val="hu-HU"/>
        </w:rPr>
      </w:pPr>
      <w:r w:rsidRPr="00DC2C00">
        <w:rPr>
          <w:iCs/>
          <w:color w:val="000000"/>
          <w:szCs w:val="22"/>
          <w:lang w:val="hu-HU"/>
        </w:rPr>
        <w:t xml:space="preserve">A Japan-ACS vizsgálat összehasonlította a 4 mg pitavasztatinnal és a 20 mg atorvasztatinnal végzett 8–12 hónapos kezelés koszorúérplakk térfogatára gyakorolt hatását 251 betegnél, </w:t>
      </w:r>
      <w:r w:rsidRPr="00DC2C00">
        <w:rPr>
          <w:iCs/>
          <w:szCs w:val="22"/>
          <w:lang w:val="hu-HU"/>
        </w:rPr>
        <w:t>akik intravas</w:t>
      </w:r>
      <w:r w:rsidR="0041087F">
        <w:rPr>
          <w:iCs/>
          <w:szCs w:val="22"/>
          <w:lang w:val="hu-HU"/>
        </w:rPr>
        <w:t>cula</w:t>
      </w:r>
      <w:r w:rsidRPr="00DC2C00">
        <w:rPr>
          <w:iCs/>
          <w:szCs w:val="22"/>
          <w:lang w:val="hu-HU"/>
        </w:rPr>
        <w:t xml:space="preserve">ris ultrahang segítségével végzett, percutan coronaria-intervencióban részesültek akut koronária szindróma miatt. </w:t>
      </w:r>
      <w:r w:rsidRPr="00DC2C00">
        <w:rPr>
          <w:szCs w:val="22"/>
          <w:lang w:val="hu-HU"/>
        </w:rPr>
        <w:t xml:space="preserve">Ez a vizsgálat a plakk térfogatának körülbelül 17%-os csökkenését mutatta </w:t>
      </w:r>
      <w:r w:rsidRPr="00DC2C00">
        <w:rPr>
          <w:color w:val="000000"/>
          <w:szCs w:val="22"/>
          <w:lang w:val="hu-HU"/>
        </w:rPr>
        <w:t>mindkét kezelési csoportban (-16,9</w:t>
      </w:r>
      <w:r w:rsidR="0041087F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±</w:t>
      </w:r>
      <w:r w:rsidR="0041087F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13,9% pitavasztatin és -18,1</w:t>
      </w:r>
      <w:r w:rsidR="0041087F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±</w:t>
      </w:r>
      <w:r w:rsidR="0041087F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14,2% atorvasztatin esetében). M</w:t>
      </w:r>
      <w:r w:rsidRPr="00DC2C00">
        <w:rPr>
          <w:rStyle w:val="Jegyzethivatkozs"/>
          <w:sz w:val="22"/>
          <w:szCs w:val="22"/>
          <w:lang w:val="hu-HU"/>
        </w:rPr>
        <w:t>indkét hatóanyag noninferiornak bizonyult a másikkal szemben</w:t>
      </w:r>
      <w:r w:rsidRPr="00DC2C00">
        <w:rPr>
          <w:color w:val="000000"/>
          <w:szCs w:val="22"/>
          <w:lang w:val="hu-HU"/>
        </w:rPr>
        <w:t>. Mindkét esetben a plakkregresszió negatív ér-remodellinggel járt együtt (113,0–105,4 mm</w:t>
      </w:r>
      <w:r w:rsidRPr="00DC2C00">
        <w:rPr>
          <w:color w:val="000000"/>
          <w:szCs w:val="22"/>
          <w:vertAlign w:val="superscript"/>
          <w:lang w:val="hu-HU"/>
        </w:rPr>
        <w:t>3</w:t>
      </w:r>
      <w:r w:rsidRPr="00DC2C00">
        <w:rPr>
          <w:color w:val="000000"/>
          <w:szCs w:val="22"/>
          <w:lang w:val="hu-HU"/>
        </w:rPr>
        <w:t>). Nem volt szignifikáns összefüggés az LDL-C szintjének csökkenése és a plakkregresszió között ebben a vizsgálatban, ellentétben a placebokontrollos vizsgálatok eredményei</w:t>
      </w:r>
      <w:r w:rsidR="0041087F">
        <w:rPr>
          <w:color w:val="000000"/>
          <w:szCs w:val="22"/>
          <w:lang w:val="hu-HU"/>
        </w:rPr>
        <w:t>vel</w:t>
      </w:r>
      <w:r w:rsidRPr="00DC2C00">
        <w:rPr>
          <w:color w:val="000000"/>
          <w:szCs w:val="22"/>
          <w:lang w:val="hu-HU"/>
        </w:rPr>
        <w:t>.</w:t>
      </w:r>
    </w:p>
    <w:p w14:paraId="70DDC99F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078CD12D" w14:textId="7496177C" w:rsidR="005268C6" w:rsidRPr="00DC2C00" w:rsidRDefault="002D01CE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 xml:space="preserve">A mortalitásra és morbiditásra gyakorolt kedvező hatásokat eddig </w:t>
      </w:r>
      <w:r w:rsidR="0041087F">
        <w:rPr>
          <w:color w:val="000000"/>
          <w:szCs w:val="22"/>
          <w:lang w:val="hu-HU"/>
        </w:rPr>
        <w:t>csak</w:t>
      </w:r>
      <w:r w:rsidRPr="00DC2C00">
        <w:rPr>
          <w:color w:val="000000"/>
          <w:szCs w:val="22"/>
          <w:lang w:val="hu-HU"/>
        </w:rPr>
        <w:t xml:space="preserve"> HIV-fertőzéssel összefüggő hypercholesterolemia esetén értékelték (lásd alább).</w:t>
      </w:r>
    </w:p>
    <w:p w14:paraId="40415AED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264A1D0D" w14:textId="77777777" w:rsidR="005268C6" w:rsidRPr="00DC2C00" w:rsidRDefault="002D01CE">
      <w:pPr>
        <w:widowControl w:val="0"/>
        <w:autoSpaceDE w:val="0"/>
        <w:autoSpaceDN w:val="0"/>
        <w:adjustRightInd w:val="0"/>
        <w:rPr>
          <w:i/>
          <w:color w:val="000000"/>
          <w:szCs w:val="22"/>
          <w:lang w:val="hu-HU"/>
        </w:rPr>
      </w:pPr>
      <w:r w:rsidRPr="00DC2C00">
        <w:rPr>
          <w:i/>
          <w:color w:val="000000"/>
          <w:szCs w:val="22"/>
          <w:lang w:val="hu-HU"/>
        </w:rPr>
        <w:t>Diabetes mellitus</w:t>
      </w:r>
    </w:p>
    <w:p w14:paraId="0449453B" w14:textId="3D0FD6A0" w:rsidR="005268C6" w:rsidRPr="00DC2C00" w:rsidRDefault="002D01CE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>Egy nyílt elrendezésű, prospektív, kontrollos vizsgálatba, 1269</w:t>
      </w:r>
      <w:r w:rsidR="0041087F">
        <w:rPr>
          <w:color w:val="000000"/>
          <w:szCs w:val="22"/>
          <w:lang w:val="hu-HU"/>
        </w:rPr>
        <w:t>,</w:t>
      </w:r>
      <w:r w:rsidRPr="00DC2C00">
        <w:rPr>
          <w:color w:val="000000"/>
          <w:szCs w:val="22"/>
          <w:lang w:val="hu-HU"/>
        </w:rPr>
        <w:t xml:space="preserve"> csökkent glükóztoleranciával rendelkező japán beteget vontak be, akiket életmódbeli változásra randomizáltak napi 1 mg vagy 2 mg pitavasztatin alkalmazásával vagy pitavasztatin-kezelés nélkül. A kontrollcsoport 45,7%-ánál cukorbetegség alakult ki, összehasonlítva a pitavasztatin-csoporttal, ahol a betegek 39,9%-ánál alakult ki diabetes 2,8 év alatt, 0,82-es </w:t>
      </w:r>
      <w:r w:rsidR="0041087F">
        <w:rPr>
          <w:color w:val="000000"/>
          <w:szCs w:val="22"/>
          <w:lang w:val="hu-HU"/>
        </w:rPr>
        <w:t>relatív hazárddal</w:t>
      </w:r>
      <w:r w:rsidRPr="00DC2C00">
        <w:rPr>
          <w:color w:val="000000"/>
          <w:szCs w:val="22"/>
          <w:lang w:val="hu-HU"/>
        </w:rPr>
        <w:t xml:space="preserve"> [95%-os CI: 0,68-0,99].</w:t>
      </w:r>
    </w:p>
    <w:p w14:paraId="09F1A32E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160DDEC6" w14:textId="264C831A" w:rsidR="005268C6" w:rsidRPr="00DC2C00" w:rsidRDefault="0040282D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Egy </w:t>
      </w:r>
      <w:r w:rsidR="002D01CE" w:rsidRPr="00DC2C00">
        <w:rPr>
          <w:color w:val="000000"/>
          <w:szCs w:val="22"/>
          <w:lang w:val="hu-HU"/>
        </w:rPr>
        <w:t>4815</w:t>
      </w:r>
      <w:r w:rsidR="0041087F">
        <w:rPr>
          <w:color w:val="000000"/>
          <w:szCs w:val="22"/>
          <w:lang w:val="hu-HU"/>
        </w:rPr>
        <w:t>,</w:t>
      </w:r>
      <w:r w:rsidR="002D01CE" w:rsidRPr="00DC2C00">
        <w:rPr>
          <w:color w:val="000000"/>
          <w:szCs w:val="22"/>
          <w:lang w:val="hu-HU"/>
        </w:rPr>
        <w:t> cukorbetegségben nem szenvedő beteg</w:t>
      </w:r>
      <w:r>
        <w:rPr>
          <w:color w:val="000000"/>
          <w:szCs w:val="22"/>
          <w:lang w:val="hu-HU"/>
        </w:rPr>
        <w:t xml:space="preserve"> adataival – a betegek</w:t>
      </w:r>
      <w:r w:rsidR="002D01CE" w:rsidRPr="00DC2C00">
        <w:rPr>
          <w:color w:val="000000"/>
          <w:szCs w:val="22"/>
          <w:lang w:val="hu-HU"/>
        </w:rPr>
        <w:t xml:space="preserve"> legalább 12 hetes időtartamú (nyomonkövetés súlyozott átlaga 17,3 hét [SD 17,7 hét]), randomizált, kontrollos, kettős vak vizsgálat</w:t>
      </w:r>
      <w:r>
        <w:rPr>
          <w:color w:val="000000"/>
          <w:szCs w:val="22"/>
          <w:lang w:val="hu-HU"/>
        </w:rPr>
        <w:t>ban vettek részt – végzett</w:t>
      </w:r>
      <w:r w:rsidR="002D01CE" w:rsidRPr="00DC2C00">
        <w:rPr>
          <w:color w:val="000000"/>
          <w:szCs w:val="22"/>
          <w:lang w:val="hu-HU"/>
        </w:rPr>
        <w:t xml:space="preserve"> metaanalízis kimutatta a pitavasztatin semleges hatását az újonnan kialakuló cukorbetegség kockázatára, a kontroll</w:t>
      </w:r>
      <w:r w:rsidR="0041087F">
        <w:rPr>
          <w:color w:val="000000"/>
          <w:szCs w:val="22"/>
          <w:lang w:val="hu-HU"/>
        </w:rPr>
        <w:t>személyek</w:t>
      </w:r>
      <w:r w:rsidR="002D01CE" w:rsidRPr="00DC2C00">
        <w:rPr>
          <w:color w:val="000000"/>
          <w:szCs w:val="22"/>
          <w:lang w:val="hu-HU"/>
        </w:rPr>
        <w:t xml:space="preserve"> 0,98%-ánál és a pitavasztatint szedő betegek 0,50%</w:t>
      </w:r>
      <w:r w:rsidR="0041087F">
        <w:rPr>
          <w:color w:val="000000"/>
          <w:szCs w:val="22"/>
          <w:lang w:val="hu-HU"/>
        </w:rPr>
        <w:noBreakHyphen/>
      </w:r>
      <w:r w:rsidR="002D01CE" w:rsidRPr="00DC2C00">
        <w:rPr>
          <w:color w:val="000000"/>
          <w:szCs w:val="22"/>
          <w:lang w:val="hu-HU"/>
        </w:rPr>
        <w:t>nál alakult ki cukorbetegség (relatív kockázat 0,70 [95%-os CI: 0,30-1,61]). Míg a kontroll</w:t>
      </w:r>
      <w:r w:rsidR="0041087F">
        <w:rPr>
          <w:color w:val="000000"/>
          <w:szCs w:val="22"/>
          <w:lang w:val="hu-HU"/>
        </w:rPr>
        <w:t>személyek</w:t>
      </w:r>
      <w:r w:rsidR="002D01CE" w:rsidRPr="00DC2C00">
        <w:rPr>
          <w:color w:val="000000"/>
          <w:szCs w:val="22"/>
          <w:lang w:val="hu-HU"/>
        </w:rPr>
        <w:t xml:space="preserve"> 6,5%-át (103/1579) placebóval kezelték, a többi beteg sztatint kapott</w:t>
      </w:r>
      <w:r w:rsidR="0041087F">
        <w:rPr>
          <w:color w:val="000000"/>
          <w:szCs w:val="22"/>
          <w:lang w:val="hu-HU"/>
        </w:rPr>
        <w:t>:</w:t>
      </w:r>
      <w:r w:rsidR="002D01CE" w:rsidRPr="00DC2C00">
        <w:rPr>
          <w:color w:val="000000"/>
          <w:szCs w:val="22"/>
          <w:lang w:val="hu-HU"/>
        </w:rPr>
        <w:t xml:space="preserve"> atorvasztatint, pravasztatint és szimvasztatint.</w:t>
      </w:r>
    </w:p>
    <w:p w14:paraId="2D281B36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76A8B2D1" w14:textId="77777777" w:rsidR="005268C6" w:rsidRDefault="002D01CE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Gyermekek és serdülők</w:t>
      </w:r>
    </w:p>
    <w:p w14:paraId="40E0F1B7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u w:val="single"/>
          <w:lang w:val="hu-HU"/>
        </w:rPr>
      </w:pPr>
    </w:p>
    <w:p w14:paraId="10A5C1A4" w14:textId="5082494C" w:rsidR="005268C6" w:rsidRPr="00DC2C00" w:rsidRDefault="002D01CE" w:rsidP="0040282D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>Egy kettős vak, randomizált, multicentrikus, placebokontrollos vizsgálatban – NK-104-4.01EU (n</w:t>
      </w:r>
      <w:r w:rsidR="0040282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=</w:t>
      </w:r>
      <w:r w:rsidR="0040282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106; 48 fiú és 58 lány) – a h</w:t>
      </w:r>
      <w:r w:rsidR="0040282D">
        <w:rPr>
          <w:color w:val="000000"/>
          <w:szCs w:val="22"/>
          <w:lang w:val="hu-HU"/>
        </w:rPr>
        <w:t>y</w:t>
      </w:r>
      <w:r w:rsidRPr="00DC2C00">
        <w:rPr>
          <w:color w:val="000000"/>
          <w:szCs w:val="22"/>
          <w:lang w:val="hu-HU"/>
        </w:rPr>
        <w:t>perlipidaemia magas kockázatával (éhomi plazma LDL-C</w:t>
      </w:r>
      <w:r w:rsidR="0040282D">
        <w:rPr>
          <w:color w:val="000000"/>
          <w:szCs w:val="22"/>
          <w:lang w:val="hu-HU"/>
        </w:rPr>
        <w:t xml:space="preserve"> ≥</w:t>
      </w:r>
      <w:r w:rsidRPr="00DC2C00">
        <w:rPr>
          <w:color w:val="000000"/>
          <w:szCs w:val="22"/>
          <w:lang w:val="hu-HU"/>
        </w:rPr>
        <w:t xml:space="preserve">160 mg/dl </w:t>
      </w:r>
      <w:r w:rsidR="0040282D">
        <w:rPr>
          <w:color w:val="000000"/>
          <w:szCs w:val="22"/>
          <w:lang w:val="hu-HU"/>
        </w:rPr>
        <w:t>[</w:t>
      </w:r>
      <w:r w:rsidRPr="00DC2C00">
        <w:rPr>
          <w:color w:val="000000"/>
          <w:szCs w:val="22"/>
          <w:lang w:val="hu-HU"/>
        </w:rPr>
        <w:t>4,1 mmol/l</w:t>
      </w:r>
      <w:r w:rsidR="0040282D">
        <w:rPr>
          <w:color w:val="000000"/>
          <w:szCs w:val="22"/>
          <w:lang w:val="hu-HU"/>
        </w:rPr>
        <w:t>]</w:t>
      </w:r>
      <w:r w:rsidRPr="00DC2C00">
        <w:rPr>
          <w:color w:val="000000"/>
          <w:szCs w:val="22"/>
          <w:lang w:val="hu-HU"/>
        </w:rPr>
        <w:t xml:space="preserve"> vagy LDL-C </w:t>
      </w:r>
      <w:r w:rsidR="0040282D" w:rsidRPr="0040282D">
        <w:rPr>
          <w:color w:val="000000"/>
          <w:szCs w:val="22"/>
          <w:lang w:val="hu-HU"/>
        </w:rPr>
        <w:t>≥</w:t>
      </w:r>
      <w:r w:rsidRPr="00DC2C00">
        <w:rPr>
          <w:color w:val="000000"/>
          <w:szCs w:val="22"/>
          <w:lang w:val="hu-HU"/>
        </w:rPr>
        <w:t xml:space="preserve">130 mg/dl </w:t>
      </w:r>
      <w:r w:rsidR="0040282D">
        <w:rPr>
          <w:color w:val="000000"/>
          <w:szCs w:val="22"/>
          <w:lang w:val="hu-HU"/>
        </w:rPr>
        <w:t>[</w:t>
      </w:r>
      <w:r w:rsidRPr="00DC2C00">
        <w:rPr>
          <w:color w:val="000000"/>
          <w:szCs w:val="22"/>
          <w:lang w:val="hu-HU"/>
        </w:rPr>
        <w:t>3,4 mmol/l</w:t>
      </w:r>
      <w:r w:rsidR="0040282D">
        <w:rPr>
          <w:color w:val="000000"/>
          <w:szCs w:val="22"/>
          <w:lang w:val="hu-HU"/>
        </w:rPr>
        <w:t>],</w:t>
      </w:r>
      <w:r w:rsidRPr="00DC2C00">
        <w:rPr>
          <w:color w:val="000000"/>
          <w:szCs w:val="22"/>
          <w:lang w:val="hu-HU"/>
        </w:rPr>
        <w:t xml:space="preserve"> to</w:t>
      </w:r>
      <w:r w:rsidR="0040282D">
        <w:rPr>
          <w:color w:val="000000"/>
          <w:szCs w:val="22"/>
          <w:lang w:val="hu-HU"/>
        </w:rPr>
        <w:t>váb</w:t>
      </w:r>
      <w:r w:rsidRPr="00DC2C00">
        <w:rPr>
          <w:color w:val="000000"/>
          <w:szCs w:val="22"/>
          <w:lang w:val="hu-HU"/>
        </w:rPr>
        <w:t>bi rizi</w:t>
      </w:r>
      <w:r w:rsidR="0040282D">
        <w:rPr>
          <w:color w:val="000000"/>
          <w:szCs w:val="22"/>
          <w:lang w:val="hu-HU"/>
        </w:rPr>
        <w:t>kóf</w:t>
      </w:r>
      <w:r w:rsidRPr="00DC2C00">
        <w:rPr>
          <w:color w:val="000000"/>
          <w:szCs w:val="22"/>
          <w:lang w:val="hu-HU"/>
        </w:rPr>
        <w:t xml:space="preserve">aktorokkal) rendelkező </w:t>
      </w:r>
      <w:r w:rsidR="0040282D" w:rsidRPr="0040282D">
        <w:rPr>
          <w:color w:val="000000"/>
          <w:szCs w:val="22"/>
          <w:lang w:val="hu-HU"/>
        </w:rPr>
        <w:t>≥</w:t>
      </w:r>
      <w:r w:rsidRPr="00DC2C00">
        <w:rPr>
          <w:color w:val="000000"/>
          <w:szCs w:val="22"/>
          <w:lang w:val="hu-HU"/>
        </w:rPr>
        <w:t>6</w:t>
      </w:r>
      <w:r w:rsidRPr="00DC2C00">
        <w:rPr>
          <w:rFonts w:asciiTheme="majorBidi" w:hAnsiTheme="majorBidi" w:cstheme="majorBidi"/>
          <w:color w:val="000000"/>
          <w:szCs w:val="22"/>
          <w:lang w:val="hu-HU"/>
        </w:rPr>
        <w:t> </w:t>
      </w:r>
      <w:r w:rsidR="0040282D" w:rsidRPr="00DC2C00">
        <w:rPr>
          <w:rFonts w:asciiTheme="majorBidi" w:hAnsiTheme="majorBidi" w:cstheme="majorBidi"/>
          <w:color w:val="000000"/>
          <w:szCs w:val="22"/>
          <w:lang w:val="hu-HU"/>
        </w:rPr>
        <w:t>és</w:t>
      </w:r>
      <w:r w:rsidRPr="00DC2C00">
        <w:rPr>
          <w:rFonts w:asciiTheme="majorBidi" w:hAnsiTheme="majorBidi" w:cstheme="majorBidi"/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 xml:space="preserve">&lt;17 év közötti gyermekek és serdülők 1 mg, 2 mg, 4 mg pitavasztatint vagy placebót kaptak 12 héten keresztül. A vizsgálat kezdetekor a betegek nagyrészét heterozigóta familiáris </w:t>
      </w:r>
      <w:r w:rsidRPr="00DC2C00">
        <w:rPr>
          <w:szCs w:val="22"/>
          <w:lang w:val="hu-HU"/>
        </w:rPr>
        <w:t xml:space="preserve">hypercholesterinaemiával </w:t>
      </w:r>
      <w:r w:rsidRPr="00DC2C00">
        <w:rPr>
          <w:color w:val="000000"/>
          <w:szCs w:val="22"/>
          <w:lang w:val="hu-HU"/>
        </w:rPr>
        <w:t>diagnosztizálták. Megközelítőleg 41%-uk 6 </w:t>
      </w:r>
      <w:r w:rsidR="0040282D">
        <w:rPr>
          <w:color w:val="000000"/>
          <w:szCs w:val="22"/>
          <w:lang w:val="hu-HU"/>
        </w:rPr>
        <w:t>–</w:t>
      </w:r>
      <w:r w:rsidRPr="00DC2C00">
        <w:rPr>
          <w:color w:val="000000"/>
          <w:szCs w:val="22"/>
          <w:lang w:val="hu-HU"/>
        </w:rPr>
        <w:t> &lt;</w:t>
      </w:r>
      <w:r w:rsidRPr="00DC2C00">
        <w:rPr>
          <w:szCs w:val="22"/>
          <w:lang w:val="hu-HU"/>
        </w:rPr>
        <w:t xml:space="preserve">10 éves gyermek volt. Megközelítőleg </w:t>
      </w:r>
      <w:r w:rsidRPr="00DC2C00">
        <w:rPr>
          <w:color w:val="000000"/>
          <w:szCs w:val="22"/>
          <w:lang w:val="hu-HU"/>
        </w:rPr>
        <w:t xml:space="preserve">20%-uk </w:t>
      </w:r>
      <w:r w:rsidR="00FF73DD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>Tanner</w:t>
      </w:r>
      <w:r w:rsidR="00FF73DD">
        <w:rPr>
          <w:color w:val="000000"/>
          <w:szCs w:val="22"/>
          <w:lang w:val="hu-HU"/>
        </w:rPr>
        <w:t>-</w:t>
      </w:r>
      <w:r w:rsidRPr="00DC2C00">
        <w:rPr>
          <w:color w:val="000000"/>
          <w:szCs w:val="22"/>
          <w:lang w:val="hu-HU"/>
        </w:rPr>
        <w:t xml:space="preserve">skála szerinti II., 9%-uk </w:t>
      </w:r>
      <w:r w:rsidR="00FF73DD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 xml:space="preserve">III., 12%-uk </w:t>
      </w:r>
      <w:r w:rsidR="00FF73DD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 xml:space="preserve">IV. és 9%-uk </w:t>
      </w:r>
      <w:r w:rsidR="00FF73DD">
        <w:rPr>
          <w:color w:val="000000"/>
          <w:szCs w:val="22"/>
          <w:lang w:val="hu-HU"/>
        </w:rPr>
        <w:t xml:space="preserve">az </w:t>
      </w:r>
      <w:r w:rsidRPr="00DC2C00">
        <w:rPr>
          <w:color w:val="000000"/>
          <w:szCs w:val="22"/>
          <w:lang w:val="hu-HU"/>
        </w:rPr>
        <w:t>V. stádiumba tartozott. Az</w:t>
      </w:r>
      <w:r w:rsidR="00FF73DD">
        <w:rPr>
          <w:color w:val="000000"/>
          <w:szCs w:val="22"/>
          <w:lang w:val="hu-HU"/>
        </w:rPr>
        <w:t xml:space="preserve"> átlagos</w:t>
      </w:r>
      <w:r w:rsidRPr="00DC2C00">
        <w:rPr>
          <w:color w:val="000000"/>
          <w:szCs w:val="22"/>
          <w:lang w:val="hu-HU"/>
        </w:rPr>
        <w:t xml:space="preserve"> LDL-C-szint 23,5%-kal csökkent az 1 mg-os, 30,1%-kal a 2 mg-os és 39,3%-kal a 4 mg-os pitavasztatin-dózis alkalmazásánál</w:t>
      </w:r>
      <w:r w:rsidR="00FF73DD">
        <w:rPr>
          <w:color w:val="000000"/>
          <w:szCs w:val="22"/>
          <w:lang w:val="hu-HU"/>
        </w:rPr>
        <w:t>,</w:t>
      </w:r>
      <w:r w:rsidRPr="00DC2C00">
        <w:rPr>
          <w:color w:val="000000"/>
          <w:szCs w:val="22"/>
          <w:lang w:val="hu-HU"/>
        </w:rPr>
        <w:t xml:space="preserve"> míg a placebóval 1%-os csökkenés volt megfigyelhető.</w:t>
      </w:r>
    </w:p>
    <w:p w14:paraId="420260FB" w14:textId="77777777" w:rsidR="005268C6" w:rsidRPr="00DC2C00" w:rsidRDefault="005268C6">
      <w:pPr>
        <w:tabs>
          <w:tab w:val="right" w:pos="9072"/>
        </w:tabs>
        <w:spacing w:line="240" w:lineRule="auto"/>
        <w:rPr>
          <w:szCs w:val="22"/>
          <w:lang w:val="hu-HU"/>
        </w:rPr>
      </w:pPr>
    </w:p>
    <w:p w14:paraId="704F640F" w14:textId="455E93C8" w:rsidR="005268C6" w:rsidRPr="00DC2C00" w:rsidRDefault="002D01CE" w:rsidP="00FF73DD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C2C00">
        <w:rPr>
          <w:color w:val="000000"/>
          <w:szCs w:val="22"/>
          <w:lang w:val="hu-HU"/>
        </w:rPr>
        <w:t>Egy 52 hetes, nyílt elrendezésű, kiterjeszt</w:t>
      </w:r>
      <w:r w:rsidR="00FF73DD">
        <w:rPr>
          <w:color w:val="000000"/>
          <w:szCs w:val="22"/>
          <w:lang w:val="hu-HU"/>
        </w:rPr>
        <w:t xml:space="preserve">ett </w:t>
      </w:r>
      <w:r w:rsidRPr="00DC2C00">
        <w:rPr>
          <w:color w:val="000000"/>
          <w:szCs w:val="22"/>
          <w:lang w:val="hu-HU"/>
        </w:rPr>
        <w:t>és biztonságossági vizsgálatban (NK-104-4.02EU) a h</w:t>
      </w:r>
      <w:r w:rsidR="0040282D">
        <w:rPr>
          <w:color w:val="000000"/>
          <w:szCs w:val="22"/>
          <w:lang w:val="hu-HU"/>
        </w:rPr>
        <w:t>y</w:t>
      </w:r>
      <w:r w:rsidRPr="00DC2C00">
        <w:rPr>
          <w:color w:val="000000"/>
          <w:szCs w:val="22"/>
          <w:lang w:val="hu-HU"/>
        </w:rPr>
        <w:t xml:space="preserve">perlipidaemia magas kockázatával rendelkező, 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color w:val="000000"/>
          <w:szCs w:val="22"/>
          <w:lang w:val="hu-HU"/>
        </w:rPr>
        <w:t>6 éves és &lt;17 éves gyermekek és serdülők 52 héten keresztül pitavasztatint kaptak. A vizsgálatban részt</w:t>
      </w:r>
      <w:r w:rsidR="00FF73DD">
        <w:rPr>
          <w:color w:val="000000"/>
          <w:szCs w:val="22"/>
          <w:lang w:val="hu-HU"/>
        </w:rPr>
        <w:t xml:space="preserve"> </w:t>
      </w:r>
      <w:r w:rsidRPr="00DC2C00">
        <w:rPr>
          <w:color w:val="000000"/>
          <w:szCs w:val="22"/>
          <w:lang w:val="hu-HU"/>
        </w:rPr>
        <w:t xml:space="preserve">vevő 113 beteg között 55 fiú és 58 lány volt, köztük 87 beteg vett részt a 12 hetes placebokontrollos vizsgálatban. Mindegyik beteg naponta 1 mg pitavasztatinnal kezdte a kezelést, majd </w:t>
      </w:r>
      <w:r w:rsidR="00FF73DD">
        <w:rPr>
          <w:color w:val="000000"/>
          <w:szCs w:val="22"/>
          <w:lang w:val="hu-HU"/>
        </w:rPr>
        <w:t xml:space="preserve">a dózist </w:t>
      </w:r>
      <w:r w:rsidRPr="00DC2C00">
        <w:rPr>
          <w:color w:val="000000"/>
          <w:szCs w:val="22"/>
          <w:lang w:val="hu-HU"/>
        </w:rPr>
        <w:t>2 mg vagy 4 mg pitavasztatinra titrálhatták fel annak érdekében, hogy elérjék az optimális LDL-C-célértéket (&lt;110 mg/dl; 2,8 mmol/l), ami a 4. és 8. heti LDL-C-értéken alapszik. A vizsgálat kezdetekor, a betegek 37%-a volt 6 </w:t>
      </w:r>
      <w:r w:rsidR="00FF73DD">
        <w:rPr>
          <w:color w:val="000000"/>
          <w:szCs w:val="22"/>
          <w:lang w:val="hu-HU"/>
        </w:rPr>
        <w:t>–</w:t>
      </w:r>
      <w:r w:rsidRPr="00DC2C00">
        <w:rPr>
          <w:color w:val="000000"/>
          <w:szCs w:val="22"/>
          <w:lang w:val="hu-HU"/>
        </w:rPr>
        <w:t> &lt;10 éves</w:t>
      </w:r>
      <w:r w:rsidRPr="00DC2C00">
        <w:rPr>
          <w:szCs w:val="22"/>
          <w:lang w:val="hu-HU"/>
        </w:rPr>
        <w:t xml:space="preserve"> gyermek</w:t>
      </w:r>
      <w:r w:rsidR="00FF73DD">
        <w:rPr>
          <w:szCs w:val="22"/>
          <w:lang w:val="hu-HU"/>
        </w:rPr>
        <w:t>,</w:t>
      </w:r>
      <w:r w:rsidRPr="00DC2C00">
        <w:rPr>
          <w:szCs w:val="22"/>
          <w:lang w:val="hu-HU"/>
        </w:rPr>
        <w:t xml:space="preserve"> és körülbelül </w:t>
      </w:r>
      <w:r w:rsidRPr="00DC2C00">
        <w:rPr>
          <w:color w:val="000000"/>
          <w:szCs w:val="22"/>
          <w:lang w:val="hu-HU"/>
        </w:rPr>
        <w:t>22% a Tanner</w:t>
      </w:r>
      <w:r w:rsidR="00FF73DD">
        <w:rPr>
          <w:color w:val="000000"/>
          <w:szCs w:val="22"/>
          <w:lang w:val="hu-HU"/>
        </w:rPr>
        <w:t>-</w:t>
      </w:r>
      <w:r w:rsidRPr="00DC2C00">
        <w:rPr>
          <w:color w:val="000000"/>
          <w:szCs w:val="22"/>
          <w:lang w:val="hu-HU"/>
        </w:rPr>
        <w:t xml:space="preserve">skála szerinti II., 11% </w:t>
      </w:r>
      <w:r w:rsidR="00FF73DD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 xml:space="preserve">III., 12% </w:t>
      </w:r>
      <w:r w:rsidR="00FF73DD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 xml:space="preserve">IV. és 13% az V. stádiumba tartozott. A </w:t>
      </w:r>
      <w:bookmarkStart w:id="6" w:name="_Hlk168897547"/>
      <w:r w:rsidRPr="00DC2C00">
        <w:rPr>
          <w:color w:val="000000"/>
          <w:szCs w:val="22"/>
          <w:lang w:val="hu-HU"/>
        </w:rPr>
        <w:t>betegek nagyrészé</w:t>
      </w:r>
      <w:r w:rsidR="00FF73DD">
        <w:rPr>
          <w:color w:val="000000"/>
          <w:szCs w:val="22"/>
          <w:lang w:val="hu-HU"/>
        </w:rPr>
        <w:t>nél</w:t>
      </w:r>
      <w:r w:rsidRPr="00DC2C00">
        <w:rPr>
          <w:color w:val="000000"/>
          <w:szCs w:val="22"/>
          <w:lang w:val="hu-HU"/>
        </w:rPr>
        <w:t xml:space="preserve"> (n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=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 xml:space="preserve">103) a </w:t>
      </w:r>
      <w:bookmarkEnd w:id="6"/>
      <w:r w:rsidR="00FF73DD">
        <w:rPr>
          <w:color w:val="000000"/>
          <w:szCs w:val="22"/>
          <w:lang w:val="hu-HU"/>
        </w:rPr>
        <w:t xml:space="preserve">dózist </w:t>
      </w:r>
      <w:r w:rsidRPr="00DC2C00">
        <w:rPr>
          <w:color w:val="000000"/>
          <w:szCs w:val="22"/>
          <w:lang w:val="hu-HU"/>
        </w:rPr>
        <w:t>napi 4 mg</w:t>
      </w:r>
      <w:r w:rsidR="00FF73DD">
        <w:rPr>
          <w:color w:val="000000"/>
          <w:szCs w:val="22"/>
          <w:lang w:val="hu-HU"/>
        </w:rPr>
        <w:t>-</w:t>
      </w:r>
      <w:r w:rsidRPr="00DC2C00">
        <w:rPr>
          <w:color w:val="000000"/>
          <w:szCs w:val="22"/>
          <w:lang w:val="hu-HU"/>
        </w:rPr>
        <w:t xml:space="preserve">ra titrálták fel. Az </w:t>
      </w:r>
      <w:r w:rsidR="00FF73DD">
        <w:rPr>
          <w:color w:val="000000"/>
          <w:szCs w:val="22"/>
          <w:lang w:val="hu-HU"/>
        </w:rPr>
        <w:t xml:space="preserve">átlagos </w:t>
      </w:r>
      <w:r w:rsidRPr="00DC2C00">
        <w:rPr>
          <w:color w:val="000000"/>
          <w:szCs w:val="22"/>
          <w:lang w:val="hu-HU"/>
        </w:rPr>
        <w:t>LDL-C-szint 37,8%-kal csökkent az 52. heti végponton.</w:t>
      </w:r>
      <w:r w:rsidRPr="00DC2C00">
        <w:rPr>
          <w:szCs w:val="22"/>
          <w:lang w:val="hu-HU"/>
        </w:rPr>
        <w:t xml:space="preserve"> Összesen 47 beteg (42,0%) érte el az AHA minimális LDL-C-szint-célértéket (</w:t>
      </w:r>
      <w:r w:rsidRPr="00DC2C00">
        <w:rPr>
          <w:color w:val="000000"/>
          <w:szCs w:val="22"/>
          <w:lang w:val="hu-HU"/>
        </w:rPr>
        <w:t>&lt;130 mg/dl)</w:t>
      </w:r>
      <w:r w:rsidR="00FF73DD">
        <w:rPr>
          <w:color w:val="000000"/>
          <w:szCs w:val="22"/>
          <w:lang w:val="hu-HU"/>
        </w:rPr>
        <w:t>,</w:t>
      </w:r>
      <w:r w:rsidRPr="00DC2C00">
        <w:rPr>
          <w:color w:val="000000"/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és 23-an (20,5%) érték el az ideális LDL-C-célértéket (</w:t>
      </w:r>
      <w:r w:rsidRPr="00DC2C00">
        <w:rPr>
          <w:color w:val="000000"/>
          <w:szCs w:val="22"/>
          <w:lang w:val="hu-HU"/>
        </w:rPr>
        <w:t xml:space="preserve">&lt;110 mg/dl) </w:t>
      </w:r>
      <w:r w:rsidRPr="00DC2C00">
        <w:rPr>
          <w:szCs w:val="22"/>
          <w:lang w:val="hu-HU"/>
        </w:rPr>
        <w:t xml:space="preserve">az </w:t>
      </w:r>
      <w:r w:rsidRPr="00DC2C00">
        <w:rPr>
          <w:szCs w:val="22"/>
          <w:lang w:val="hu-HU"/>
        </w:rPr>
        <w:lastRenderedPageBreak/>
        <w:t>52. héten</w:t>
      </w:r>
      <w:r w:rsidRPr="00DC2C00">
        <w:rPr>
          <w:color w:val="000000"/>
          <w:szCs w:val="22"/>
          <w:lang w:val="hu-HU"/>
        </w:rPr>
        <w:t xml:space="preserve">. Az LDL-C átlagos csökkenése a </w:t>
      </w:r>
      <w:r w:rsidR="00FF73DD" w:rsidRPr="00FF73DD">
        <w:rPr>
          <w:color w:val="000000"/>
          <w:szCs w:val="22"/>
          <w:lang w:val="hu-HU"/>
        </w:rPr>
        <w:t>≥</w:t>
      </w:r>
      <w:r w:rsidRPr="00DC2C00">
        <w:rPr>
          <w:color w:val="000000"/>
          <w:szCs w:val="22"/>
          <w:lang w:val="hu-HU"/>
        </w:rPr>
        <w:t>6</w:t>
      </w:r>
      <w:r w:rsidR="00FF73DD">
        <w:rPr>
          <w:color w:val="000000"/>
          <w:szCs w:val="22"/>
          <w:lang w:val="hu-HU"/>
        </w:rPr>
        <w:t xml:space="preserve"> – </w:t>
      </w:r>
      <w:r w:rsidRPr="00DC2C00">
        <w:rPr>
          <w:color w:val="000000"/>
          <w:szCs w:val="22"/>
          <w:lang w:val="hu-HU"/>
        </w:rPr>
        <w:t>&lt;10 </w:t>
      </w:r>
      <w:r w:rsidR="00FF73DD">
        <w:rPr>
          <w:color w:val="000000"/>
          <w:szCs w:val="22"/>
          <w:lang w:val="hu-HU"/>
        </w:rPr>
        <w:t>év</w:t>
      </w:r>
      <w:r w:rsidRPr="00DC2C00">
        <w:rPr>
          <w:color w:val="000000"/>
          <w:szCs w:val="22"/>
          <w:lang w:val="hu-HU"/>
        </w:rPr>
        <w:t xml:space="preserve"> közötti betegeknél (n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=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 xml:space="preserve">42) 40,2% volt az 52. heti </w:t>
      </w:r>
      <w:r w:rsidR="00FF73DD">
        <w:rPr>
          <w:color w:val="000000"/>
          <w:szCs w:val="22"/>
          <w:lang w:val="hu-HU"/>
        </w:rPr>
        <w:t>vég</w:t>
      </w:r>
      <w:r w:rsidRPr="00DC2C00">
        <w:rPr>
          <w:color w:val="000000"/>
          <w:szCs w:val="22"/>
          <w:lang w:val="hu-HU"/>
        </w:rPr>
        <w:t xml:space="preserve">ponton, míg a 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color w:val="000000"/>
          <w:szCs w:val="22"/>
          <w:lang w:val="hu-HU"/>
        </w:rPr>
        <w:t>10</w:t>
      </w:r>
      <w:r w:rsidR="00FF73DD">
        <w:rPr>
          <w:color w:val="000000"/>
          <w:szCs w:val="22"/>
          <w:lang w:val="hu-HU"/>
        </w:rPr>
        <w:t xml:space="preserve"> – </w:t>
      </w:r>
      <w:r w:rsidRPr="00DC2C00">
        <w:rPr>
          <w:color w:val="000000"/>
          <w:szCs w:val="22"/>
          <w:lang w:val="hu-HU"/>
        </w:rPr>
        <w:t>&lt;16 </w:t>
      </w:r>
      <w:r w:rsidR="00FF73DD">
        <w:rPr>
          <w:color w:val="000000"/>
          <w:szCs w:val="22"/>
          <w:lang w:val="hu-HU"/>
        </w:rPr>
        <w:t>éves élet</w:t>
      </w:r>
      <w:r w:rsidRPr="00DC2C00">
        <w:rPr>
          <w:color w:val="000000"/>
          <w:szCs w:val="22"/>
          <w:lang w:val="hu-HU"/>
        </w:rPr>
        <w:t>korúaknál (n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=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61) ez az érték 36,7%</w:t>
      </w:r>
      <w:r w:rsidR="00FF73DD">
        <w:rPr>
          <w:color w:val="000000"/>
          <w:szCs w:val="22"/>
          <w:lang w:val="hu-HU"/>
        </w:rPr>
        <w:t>, és</w:t>
      </w:r>
      <w:r w:rsidRPr="00DC2C00">
        <w:rPr>
          <w:color w:val="000000"/>
          <w:szCs w:val="22"/>
          <w:lang w:val="hu-HU"/>
        </w:rPr>
        <w:t xml:space="preserve"> a </w:t>
      </w:r>
      <w:r w:rsidRPr="00DC2C00">
        <w:rPr>
          <w:rFonts w:hint="eastAsia"/>
          <w:szCs w:val="22"/>
          <w:lang w:val="hu-HU" w:eastAsia="en-US"/>
        </w:rPr>
        <w:t>≥</w:t>
      </w:r>
      <w:r w:rsidRPr="00DC2C00">
        <w:rPr>
          <w:color w:val="000000"/>
          <w:szCs w:val="22"/>
          <w:lang w:val="hu-HU"/>
        </w:rPr>
        <w:t>16</w:t>
      </w:r>
      <w:r w:rsidR="00FF73DD">
        <w:rPr>
          <w:color w:val="000000"/>
          <w:szCs w:val="22"/>
          <w:lang w:val="hu-HU"/>
        </w:rPr>
        <w:t xml:space="preserve"> – </w:t>
      </w:r>
      <w:r w:rsidRPr="00DC2C00">
        <w:rPr>
          <w:color w:val="000000"/>
          <w:szCs w:val="22"/>
          <w:lang w:val="hu-HU"/>
        </w:rPr>
        <w:t>&lt;17</w:t>
      </w:r>
      <w:r w:rsidR="00FF73DD">
        <w:rPr>
          <w:color w:val="000000"/>
          <w:szCs w:val="22"/>
          <w:lang w:val="hu-HU"/>
        </w:rPr>
        <w:t> éveseknél</w:t>
      </w:r>
      <w:r w:rsidRPr="00DC2C00">
        <w:rPr>
          <w:color w:val="000000"/>
          <w:szCs w:val="22"/>
          <w:lang w:val="hu-HU"/>
        </w:rPr>
        <w:t xml:space="preserve"> (n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=</w:t>
      </w:r>
      <w:r w:rsidR="00FF73DD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 xml:space="preserve">9) pedig 34,5% volt. A betegek neme látszólag nem befolyásolta a választ. Ezenkívül az </w:t>
      </w:r>
      <w:r w:rsidR="00FF73DD">
        <w:rPr>
          <w:color w:val="000000"/>
          <w:szCs w:val="22"/>
          <w:lang w:val="hu-HU"/>
        </w:rPr>
        <w:t xml:space="preserve">átlagos </w:t>
      </w:r>
      <w:r w:rsidRPr="00DC2C00">
        <w:rPr>
          <w:color w:val="000000"/>
          <w:szCs w:val="22"/>
          <w:lang w:val="hu-HU"/>
        </w:rPr>
        <w:t>összkoleszterinszint 29,5%-kal, a</w:t>
      </w:r>
      <w:r w:rsidR="00FF73DD">
        <w:rPr>
          <w:color w:val="000000"/>
          <w:szCs w:val="22"/>
          <w:lang w:val="hu-HU"/>
        </w:rPr>
        <w:t>z átlagos</w:t>
      </w:r>
      <w:r w:rsidRPr="00DC2C00">
        <w:rPr>
          <w:color w:val="000000"/>
          <w:szCs w:val="22"/>
          <w:lang w:val="hu-HU"/>
        </w:rPr>
        <w:t xml:space="preserve"> trigliceridszint 7,6%-kal csökkent az 52. heti végponton.</w:t>
      </w:r>
    </w:p>
    <w:p w14:paraId="30BE7C5A" w14:textId="77777777" w:rsidR="005268C6" w:rsidRDefault="005268C6">
      <w:pPr>
        <w:spacing w:line="240" w:lineRule="auto"/>
        <w:rPr>
          <w:szCs w:val="22"/>
          <w:highlight w:val="yellow"/>
          <w:lang w:val="hu-HU"/>
        </w:rPr>
      </w:pPr>
    </w:p>
    <w:p w14:paraId="16B54790" w14:textId="4949C9D6" w:rsidR="005268C6" w:rsidRDefault="002D01CE">
      <w:pPr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szCs w:val="22"/>
          <w:lang w:val="hu-HU"/>
        </w:rPr>
        <w:t>Az Európai Gyógyszerügynökség Gyermekgyógyászati Bizottsága 6 évesnél fiatalabb gyermekeknél és homozigóta familiáris hypercholesterinaemiában szenvedő gyermekek esetén minden korosztálynál eltekint a vizsgálati eredmények benyújtási kötelezettségétől.</w:t>
      </w:r>
    </w:p>
    <w:p w14:paraId="43872200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323026CD" w14:textId="77777777" w:rsidR="005268C6" w:rsidRPr="00DC2C00" w:rsidRDefault="002D01CE">
      <w:pPr>
        <w:widowControl w:val="0"/>
        <w:autoSpaceDE w:val="0"/>
        <w:autoSpaceDN w:val="0"/>
        <w:adjustRightInd w:val="0"/>
        <w:rPr>
          <w:color w:val="000000"/>
          <w:szCs w:val="22"/>
          <w:u w:val="single"/>
          <w:lang w:val="hu-HU"/>
        </w:rPr>
      </w:pPr>
      <w:r w:rsidRPr="00DC2C00">
        <w:rPr>
          <w:color w:val="000000"/>
          <w:szCs w:val="22"/>
          <w:u w:val="single"/>
          <w:lang w:val="hu-HU"/>
        </w:rPr>
        <w:t>HIV-fertőzött populáció</w:t>
      </w:r>
    </w:p>
    <w:p w14:paraId="7C4D6747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408002B5" w14:textId="2ED10171" w:rsidR="005268C6" w:rsidRPr="00DC2C00" w:rsidRDefault="002D01CE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 xml:space="preserve">A pitavasztatin és más sztatinok LDL-C-szintre kifejtett hatássosága kisebb a hypercholesterinaemiában szenvedő, HIV-fertőzött vagy </w:t>
      </w:r>
      <w:r w:rsidR="00FF73DD">
        <w:rPr>
          <w:color w:val="000000"/>
          <w:szCs w:val="22"/>
          <w:lang w:val="hu-HU"/>
        </w:rPr>
        <w:t xml:space="preserve">az </w:t>
      </w:r>
      <w:r w:rsidRPr="00DC2C00">
        <w:rPr>
          <w:color w:val="000000"/>
          <w:szCs w:val="22"/>
          <w:lang w:val="hu-HU"/>
        </w:rPr>
        <w:t xml:space="preserve">arra kezelést kapó betegeknél, mint az elsődleges hypercholesterinaemiában </w:t>
      </w:r>
      <w:r w:rsidR="00B316E6">
        <w:rPr>
          <w:color w:val="000000"/>
          <w:szCs w:val="22"/>
          <w:lang w:val="hu-HU"/>
        </w:rPr>
        <w:t>vagy</w:t>
      </w:r>
      <w:r w:rsidRPr="00DC2C00">
        <w:rPr>
          <w:color w:val="000000"/>
          <w:szCs w:val="22"/>
          <w:lang w:val="hu-HU"/>
        </w:rPr>
        <w:t xml:space="preserve"> kevert dyslipidaemiában szenvedő és nem HIV-fertőzött betegeknél.</w:t>
      </w:r>
    </w:p>
    <w:p w14:paraId="09F4B399" w14:textId="77777777" w:rsidR="005268C6" w:rsidRPr="00DC2C00" w:rsidRDefault="005268C6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0B9A9FE5" w14:textId="219EE8E6" w:rsidR="005268C6" w:rsidRPr="00DC2C00" w:rsidRDefault="002D01CE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 xml:space="preserve">Az INTREPID vizsgálat, </w:t>
      </w:r>
      <w:r w:rsidR="00B316E6">
        <w:rPr>
          <w:color w:val="000000"/>
          <w:szCs w:val="22"/>
          <w:lang w:val="hu-HU"/>
        </w:rPr>
        <w:t xml:space="preserve">amelybe </w:t>
      </w:r>
      <w:r w:rsidRPr="00DC2C00">
        <w:rPr>
          <w:color w:val="000000"/>
          <w:szCs w:val="22"/>
          <w:lang w:val="hu-HU"/>
        </w:rPr>
        <w:t>összesen 252</w:t>
      </w:r>
      <w:r w:rsidR="00B316E6">
        <w:rPr>
          <w:color w:val="000000"/>
          <w:szCs w:val="22"/>
          <w:lang w:val="hu-HU"/>
        </w:rPr>
        <w:t>,</w:t>
      </w:r>
      <w:r w:rsidRPr="00DC2C00">
        <w:rPr>
          <w:color w:val="000000"/>
          <w:szCs w:val="22"/>
          <w:lang w:val="hu-HU"/>
        </w:rPr>
        <w:t> HIV-fertőzött dyslipidaemiás beteget (n</w:t>
      </w:r>
      <w:r w:rsidR="00B316E6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=</w:t>
      </w:r>
      <w:r w:rsidR="00B316E6">
        <w:rPr>
          <w:color w:val="000000"/>
          <w:szCs w:val="22"/>
          <w:lang w:val="hu-HU"/>
        </w:rPr>
        <w:t> </w:t>
      </w:r>
      <w:r w:rsidRPr="00DC2C00">
        <w:rPr>
          <w:color w:val="000000"/>
          <w:szCs w:val="22"/>
          <w:lang w:val="hu-HU"/>
        </w:rPr>
        <w:t>126 karonként) vontak be, egy 4 hetes kimosási (</w:t>
      </w:r>
      <w:r w:rsidRPr="00DC2C00">
        <w:rPr>
          <w:i/>
          <w:iCs/>
          <w:color w:val="000000"/>
          <w:szCs w:val="22"/>
          <w:lang w:val="hu-HU"/>
        </w:rPr>
        <w:t>wash out</w:t>
      </w:r>
      <w:r w:rsidRPr="00DC2C00">
        <w:rPr>
          <w:color w:val="000000"/>
          <w:szCs w:val="22"/>
          <w:lang w:val="hu-HU"/>
        </w:rPr>
        <w:t>)</w:t>
      </w:r>
      <w:r w:rsidR="00B316E6">
        <w:rPr>
          <w:color w:val="000000"/>
          <w:szCs w:val="22"/>
          <w:lang w:val="hu-HU"/>
        </w:rPr>
        <w:t xml:space="preserve"> </w:t>
      </w:r>
      <w:r w:rsidRPr="00DC2C00">
        <w:rPr>
          <w:color w:val="000000"/>
          <w:szCs w:val="22"/>
          <w:lang w:val="hu-HU"/>
        </w:rPr>
        <w:t>/</w:t>
      </w:r>
      <w:r w:rsidR="00B316E6">
        <w:rPr>
          <w:color w:val="000000"/>
          <w:szCs w:val="22"/>
          <w:lang w:val="hu-HU"/>
        </w:rPr>
        <w:t xml:space="preserve"> </w:t>
      </w:r>
      <w:r w:rsidRPr="00DC2C00">
        <w:rPr>
          <w:color w:val="000000"/>
          <w:szCs w:val="22"/>
          <w:lang w:val="hu-HU"/>
        </w:rPr>
        <w:t xml:space="preserve">diétás bevezető szakasszal kezdődött, majd </w:t>
      </w:r>
      <w:r w:rsidR="00B316E6">
        <w:rPr>
          <w:color w:val="000000"/>
          <w:szCs w:val="22"/>
          <w:lang w:val="hu-HU"/>
        </w:rPr>
        <w:t xml:space="preserve">a betegeket </w:t>
      </w:r>
      <w:r w:rsidRPr="00DC2C00">
        <w:rPr>
          <w:color w:val="000000"/>
          <w:szCs w:val="22"/>
          <w:lang w:val="hu-HU"/>
        </w:rPr>
        <w:t>napi egyszer 4 mg pitavasztatin-kezelésre vagy 40 mg pravasztatin-kezelésre randomizálták, ezt 52 héten keresztül kapták. Az elsődleges hat</w:t>
      </w:r>
      <w:r w:rsidR="00B316E6">
        <w:rPr>
          <w:color w:val="000000"/>
          <w:szCs w:val="22"/>
          <w:lang w:val="hu-HU"/>
        </w:rPr>
        <w:t>ásos</w:t>
      </w:r>
      <w:r w:rsidRPr="00DC2C00">
        <w:rPr>
          <w:color w:val="000000"/>
          <w:szCs w:val="22"/>
          <w:lang w:val="hu-HU"/>
        </w:rPr>
        <w:t xml:space="preserve">sági végpontot a 12. hétnél </w:t>
      </w:r>
      <w:r w:rsidR="00B316E6">
        <w:rPr>
          <w:color w:val="000000"/>
          <w:szCs w:val="22"/>
          <w:lang w:val="hu-HU"/>
        </w:rPr>
        <w:t>értékelték</w:t>
      </w:r>
      <w:r w:rsidRPr="00DC2C00">
        <w:rPr>
          <w:color w:val="000000"/>
          <w:szCs w:val="22"/>
          <w:lang w:val="hu-HU"/>
        </w:rPr>
        <w:t>.</w:t>
      </w:r>
    </w:p>
    <w:p w14:paraId="45F4C738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5A8B7D91" w14:textId="75FE41C9" w:rsidR="005268C6" w:rsidRPr="00DC2C00" w:rsidRDefault="002D01CE" w:rsidP="001515B9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 w:rsidRPr="00DC2C00">
        <w:rPr>
          <w:color w:val="000000"/>
          <w:szCs w:val="22"/>
          <w:lang w:val="hu-HU"/>
        </w:rPr>
        <w:t>Az éhomi LDL-C-</w:t>
      </w:r>
      <w:r w:rsidR="00A7154E" w:rsidRPr="00A7154E">
        <w:rPr>
          <w:color w:val="000000"/>
          <w:szCs w:val="22"/>
          <w:lang w:val="hu-HU"/>
        </w:rPr>
        <w:t xml:space="preserve"> </w:t>
      </w:r>
      <w:r w:rsidR="00A7154E" w:rsidRPr="00BF6116">
        <w:rPr>
          <w:color w:val="000000"/>
          <w:szCs w:val="22"/>
          <w:lang w:val="hu-HU"/>
        </w:rPr>
        <w:t>szérum</w:t>
      </w:r>
      <w:r w:rsidRPr="00DC2C00">
        <w:rPr>
          <w:color w:val="000000"/>
          <w:szCs w:val="22"/>
          <w:lang w:val="hu-HU"/>
        </w:rPr>
        <w:t>szint a pitavasztatinnal kezelt csoportban 12 hét alatt 31%-kal, 52 hét alatt 30%-kal csökkent, míg a pravasztatinnal kezelt csoportban ez a</w:t>
      </w:r>
      <w:r w:rsidR="00B316E6">
        <w:rPr>
          <w:color w:val="000000"/>
          <w:szCs w:val="22"/>
          <w:lang w:val="hu-HU"/>
        </w:rPr>
        <w:t xml:space="preserve"> két</w:t>
      </w:r>
      <w:r w:rsidRPr="00DC2C00">
        <w:rPr>
          <w:color w:val="000000"/>
          <w:szCs w:val="22"/>
          <w:lang w:val="hu-HU"/>
        </w:rPr>
        <w:t xml:space="preserve"> érték 21% és 20%</w:t>
      </w:r>
      <w:r w:rsidR="00B316E6">
        <w:rPr>
          <w:color w:val="000000"/>
          <w:szCs w:val="22"/>
          <w:lang w:val="hu-HU"/>
        </w:rPr>
        <w:t xml:space="preserve"> volt</w:t>
      </w:r>
      <w:r w:rsidRPr="00DC2C00">
        <w:rPr>
          <w:color w:val="000000"/>
          <w:szCs w:val="22"/>
          <w:lang w:val="hu-HU"/>
        </w:rPr>
        <w:t xml:space="preserve"> (</w:t>
      </w:r>
      <w:r w:rsidR="00B316E6">
        <w:rPr>
          <w:color w:val="000000"/>
          <w:szCs w:val="22"/>
          <w:lang w:val="hu-HU"/>
        </w:rPr>
        <w:t>a</w:t>
      </w:r>
      <w:r w:rsidRPr="00DC2C00">
        <w:rPr>
          <w:color w:val="000000"/>
          <w:szCs w:val="22"/>
          <w:lang w:val="hu-HU"/>
        </w:rPr>
        <w:t xml:space="preserve"> kezelési különbség </w:t>
      </w:r>
      <w:r w:rsidR="00B316E6">
        <w:rPr>
          <w:color w:val="000000"/>
          <w:szCs w:val="22"/>
          <w:lang w:val="hu-HU"/>
        </w:rPr>
        <w:t xml:space="preserve">LS </w:t>
      </w:r>
      <w:r w:rsidRPr="00DC2C00">
        <w:rPr>
          <w:color w:val="000000"/>
          <w:szCs w:val="22"/>
          <w:lang w:val="hu-HU"/>
        </w:rPr>
        <w:t>átlaga a 12. héten -9,8%, P &lt;0,0001, az 52. héten -8,4% P =0,0007). Statisztikailag szignifikáns kezelési különbség volt a</w:t>
      </w:r>
      <w:r w:rsidR="00B316E6">
        <w:rPr>
          <w:color w:val="000000"/>
          <w:szCs w:val="22"/>
          <w:lang w:val="hu-HU"/>
        </w:rPr>
        <w:t>z átlagos</w:t>
      </w:r>
      <w:r w:rsidRPr="00DC2C00">
        <w:rPr>
          <w:color w:val="000000"/>
          <w:szCs w:val="22"/>
          <w:lang w:val="hu-HU"/>
        </w:rPr>
        <w:t xml:space="preserve"> százalékos </w:t>
      </w:r>
      <w:r w:rsidR="00B316E6">
        <w:rPr>
          <w:color w:val="000000"/>
          <w:szCs w:val="22"/>
          <w:lang w:val="hu-HU"/>
        </w:rPr>
        <w:t>változás</w:t>
      </w:r>
      <w:r w:rsidRPr="00DC2C00">
        <w:rPr>
          <w:color w:val="000000"/>
          <w:szCs w:val="22"/>
          <w:lang w:val="hu-HU"/>
        </w:rPr>
        <w:t xml:space="preserve">ban </w:t>
      </w:r>
      <w:r w:rsidR="001515B9" w:rsidRPr="001515B9">
        <w:rPr>
          <w:color w:val="000000"/>
          <w:szCs w:val="22"/>
          <w:lang w:val="hu-HU"/>
        </w:rPr>
        <w:t>a kiindulás</w:t>
      </w:r>
      <w:r w:rsidR="001515B9">
        <w:rPr>
          <w:color w:val="000000"/>
          <w:szCs w:val="22"/>
          <w:lang w:val="hu-HU"/>
        </w:rPr>
        <w:t>tól</w:t>
      </w:r>
      <w:r w:rsidR="001515B9" w:rsidRPr="001515B9">
        <w:rPr>
          <w:color w:val="000000"/>
          <w:szCs w:val="22"/>
          <w:lang w:val="hu-HU"/>
        </w:rPr>
        <w:t xml:space="preserve"> a 12. és 52. hét</w:t>
      </w:r>
      <w:r w:rsidR="001515B9">
        <w:rPr>
          <w:color w:val="000000"/>
          <w:szCs w:val="22"/>
          <w:lang w:val="hu-HU"/>
        </w:rPr>
        <w:t>ig és</w:t>
      </w:r>
      <w:r w:rsidR="001515B9" w:rsidRPr="001515B9">
        <w:rPr>
          <w:color w:val="000000"/>
          <w:szCs w:val="22"/>
          <w:lang w:val="hu-HU"/>
        </w:rPr>
        <w:t xml:space="preserve"> </w:t>
      </w:r>
      <w:r w:rsidRPr="00DC2C00">
        <w:rPr>
          <w:color w:val="000000"/>
          <w:szCs w:val="22"/>
          <w:lang w:val="hu-HU"/>
        </w:rPr>
        <w:t xml:space="preserve">az összkoleszterin, </w:t>
      </w:r>
      <w:r w:rsidR="001515B9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>non-HDL-koleszterin és az ApoB-szint másodlagos hatásossági végpontban. Mindegyik paraméter esetén nagyobb mértékű csökkenés volt tapasztalható a pitavasztatin-csoportban a pravasztatin-csoporthoz képest. Sem új biztonság</w:t>
      </w:r>
      <w:r w:rsidR="001515B9">
        <w:rPr>
          <w:color w:val="000000"/>
          <w:szCs w:val="22"/>
          <w:lang w:val="hu-HU"/>
        </w:rPr>
        <w:t>osság</w:t>
      </w:r>
      <w:r w:rsidRPr="00DC2C00">
        <w:rPr>
          <w:color w:val="000000"/>
          <w:szCs w:val="22"/>
          <w:lang w:val="hu-HU"/>
        </w:rPr>
        <w:t xml:space="preserve">i szignált, sem nemkívánatos eseményeket nem figyeltek meg </w:t>
      </w:r>
      <w:r w:rsidR="001515B9">
        <w:rPr>
          <w:color w:val="000000"/>
          <w:szCs w:val="22"/>
          <w:lang w:val="hu-HU"/>
        </w:rPr>
        <w:t xml:space="preserve">a </w:t>
      </w:r>
      <w:r w:rsidRPr="00DC2C00">
        <w:rPr>
          <w:color w:val="000000"/>
          <w:szCs w:val="22"/>
          <w:lang w:val="hu-HU"/>
        </w:rPr>
        <w:t>4 mg pitavasztatin alkalmazása mellett. Az 52. héten virológiai hatástalanságot (amelyet a következőképp határoztak meg: HIV-1 RNS v</w:t>
      </w:r>
      <w:r w:rsidR="001515B9">
        <w:rPr>
          <w:color w:val="000000"/>
          <w:szCs w:val="22"/>
          <w:lang w:val="hu-HU"/>
        </w:rPr>
        <w:t>írus</w:t>
      </w:r>
      <w:r w:rsidRPr="00DC2C00">
        <w:rPr>
          <w:color w:val="000000"/>
          <w:szCs w:val="22"/>
          <w:lang w:val="hu-HU"/>
        </w:rPr>
        <w:t>terhelés értéke &gt;200 kópia/ml és &gt;0,3-log növekedés a kiindulási érték</w:t>
      </w:r>
      <w:r w:rsidR="001515B9">
        <w:rPr>
          <w:color w:val="000000"/>
          <w:szCs w:val="22"/>
          <w:lang w:val="hu-HU"/>
        </w:rPr>
        <w:t>r</w:t>
      </w:r>
      <w:r w:rsidRPr="00DC2C00">
        <w:rPr>
          <w:color w:val="000000"/>
          <w:szCs w:val="22"/>
          <w:lang w:val="hu-HU"/>
        </w:rPr>
        <w:t>ől) jelentettek 4 alanynál (3,2%) a pitavasztatin-csoportban és 6 alanynál (4,8%) a pravasztatin-csoportban, az egyes kezelési csoportok között nem volt statisztikailag szignifikáns különbség.</w:t>
      </w:r>
    </w:p>
    <w:p w14:paraId="345D15CB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7219D8B8" w14:textId="43CFFA5F" w:rsidR="005268C6" w:rsidRPr="00DC2C00" w:rsidRDefault="002D01CE" w:rsidP="001515B9">
      <w:pPr>
        <w:tabs>
          <w:tab w:val="right" w:pos="9072"/>
        </w:tabs>
        <w:rPr>
          <w:szCs w:val="22"/>
          <w:lang w:val="hu-HU"/>
        </w:rPr>
      </w:pPr>
      <w:r w:rsidRPr="00DC2C00">
        <w:rPr>
          <w:szCs w:val="22"/>
          <w:lang w:val="hu-HU"/>
        </w:rPr>
        <w:t xml:space="preserve">A REPRIEVE vizsgálatban összesen 7769, alacsony vagy közepes </w:t>
      </w:r>
      <w:r w:rsidR="001515B9">
        <w:rPr>
          <w:szCs w:val="22"/>
          <w:lang w:val="hu-HU"/>
        </w:rPr>
        <w:t>cardiovascularis</w:t>
      </w:r>
      <w:r w:rsidRPr="00DC2C00">
        <w:rPr>
          <w:szCs w:val="22"/>
          <w:lang w:val="hu-HU"/>
        </w:rPr>
        <w:t xml:space="preserve"> kockázatú, antivirális kezelésben részesülő HIV-fertőzött résztvevőt randomizáltak 4 mg pitavasztatin</w:t>
      </w:r>
      <w:r w:rsidR="001515B9">
        <w:rPr>
          <w:szCs w:val="22"/>
          <w:lang w:val="hu-HU"/>
        </w:rPr>
        <w:t>ra</w:t>
      </w:r>
      <w:r w:rsidRPr="00DC2C00">
        <w:rPr>
          <w:szCs w:val="22"/>
          <w:lang w:val="hu-HU"/>
        </w:rPr>
        <w:t xml:space="preserve"> vagy placebokezelésre, és hosszú távon figyelemmel kísérték őket a </w:t>
      </w:r>
      <w:r w:rsidR="001515B9">
        <w:rPr>
          <w:szCs w:val="22"/>
          <w:lang w:val="hu-HU"/>
        </w:rPr>
        <w:t xml:space="preserve">jelentős </w:t>
      </w:r>
      <w:r w:rsidR="001515B9" w:rsidRPr="001515B9">
        <w:rPr>
          <w:szCs w:val="22"/>
          <w:lang w:val="hu-HU"/>
        </w:rPr>
        <w:t>cardiovascularis</w:t>
      </w:r>
      <w:r w:rsidR="001515B9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 xml:space="preserve">nemkívánatos események </w:t>
      </w:r>
      <w:r w:rsidR="001515B9">
        <w:rPr>
          <w:szCs w:val="22"/>
          <w:lang w:val="hu-HU"/>
        </w:rPr>
        <w:t>észlelése érdekében</w:t>
      </w:r>
      <w:r w:rsidRPr="00DC2C00">
        <w:rPr>
          <w:szCs w:val="22"/>
          <w:lang w:val="hu-HU"/>
        </w:rPr>
        <w:t>. A résztvevők átlagéletkora 50</w:t>
      </w:r>
      <w:r w:rsidR="001515B9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év volt, a HIV-vel való együtt</w:t>
      </w:r>
      <w:r w:rsidR="00A7154E">
        <w:rPr>
          <w:szCs w:val="22"/>
          <w:lang w:val="hu-HU"/>
        </w:rPr>
        <w:t xml:space="preserve"> </w:t>
      </w:r>
      <w:r w:rsidRPr="00DC2C00">
        <w:rPr>
          <w:szCs w:val="22"/>
          <w:lang w:val="hu-HU"/>
        </w:rPr>
        <w:t>élés átlagos időtartama 13</w:t>
      </w:r>
      <w:r w:rsidR="001515B9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év (átlagos CD4-szám</w:t>
      </w:r>
      <w:r w:rsidR="001515B9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621 sejt/mm3), és a résztvevők 32%-a nő volt. A vizsgálatot átlagosan 5,1</w:t>
      </w:r>
      <w:r w:rsidR="001515B9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éves kezelési idő</w:t>
      </w:r>
      <w:r w:rsidR="001515B9">
        <w:rPr>
          <w:szCs w:val="22"/>
          <w:lang w:val="hu-HU"/>
        </w:rPr>
        <w:t>tartam</w:t>
      </w:r>
      <w:r w:rsidRPr="00DC2C00">
        <w:rPr>
          <w:szCs w:val="22"/>
          <w:lang w:val="hu-HU"/>
        </w:rPr>
        <w:t xml:space="preserve"> után (tartomány: 4,4–5,9) leállították.</w:t>
      </w:r>
    </w:p>
    <w:p w14:paraId="649C1216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7C973632" w14:textId="2CD667E2" w:rsidR="000D4D19" w:rsidRDefault="002D01CE" w:rsidP="001515B9">
      <w:pPr>
        <w:tabs>
          <w:tab w:val="right" w:pos="9072"/>
        </w:tabs>
        <w:rPr>
          <w:szCs w:val="22"/>
        </w:rPr>
      </w:pPr>
      <w:r w:rsidRPr="00DC2C00">
        <w:rPr>
          <w:szCs w:val="22"/>
          <w:lang w:val="hu-HU"/>
        </w:rPr>
        <w:t>A</w:t>
      </w:r>
      <w:r w:rsidR="001515B9" w:rsidRPr="001515B9">
        <w:rPr>
          <w:szCs w:val="22"/>
          <w:lang w:val="hu-HU"/>
        </w:rPr>
        <w:t xml:space="preserve"> jelentős cardiovascularis</w:t>
      </w:r>
      <w:r w:rsidRPr="00DC2C00">
        <w:rPr>
          <w:szCs w:val="22"/>
          <w:lang w:val="hu-HU"/>
        </w:rPr>
        <w:t xml:space="preserve"> nemkívánatos események </w:t>
      </w:r>
      <w:r w:rsidR="001515B9">
        <w:rPr>
          <w:szCs w:val="22"/>
          <w:lang w:val="hu-HU"/>
        </w:rPr>
        <w:t>incidenciája</w:t>
      </w:r>
      <w:r w:rsidRPr="00DC2C00">
        <w:rPr>
          <w:szCs w:val="22"/>
          <w:lang w:val="hu-HU"/>
        </w:rPr>
        <w:t xml:space="preserve"> a pitavasztatin</w:t>
      </w:r>
      <w:r w:rsidR="001515B9">
        <w:rPr>
          <w:szCs w:val="22"/>
          <w:lang w:val="hu-HU"/>
        </w:rPr>
        <w:t>-</w:t>
      </w:r>
      <w:r w:rsidRPr="00DC2C00">
        <w:rPr>
          <w:szCs w:val="22"/>
          <w:lang w:val="hu-HU"/>
        </w:rPr>
        <w:t>csoportban 4,81/1000</w:t>
      </w:r>
      <w:r w:rsidR="001515B9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betegév volt, míg a placebocsoportban 7,32/1000</w:t>
      </w:r>
      <w:r w:rsidR="001515B9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betegév (</w:t>
      </w:r>
      <w:r w:rsidR="001515B9">
        <w:rPr>
          <w:szCs w:val="22"/>
          <w:lang w:val="hu-HU"/>
        </w:rPr>
        <w:t>relatív hazárd</w:t>
      </w:r>
      <w:r w:rsidRPr="00DC2C00">
        <w:rPr>
          <w:szCs w:val="22"/>
          <w:lang w:val="hu-HU"/>
        </w:rPr>
        <w:t xml:space="preserve"> 0,65, 95% CI 0,48–0,90, P</w:t>
      </w:r>
      <w:r w:rsidR="00C8224B">
        <w:rPr>
          <w:szCs w:val="22"/>
          <w:lang w:val="hu-HU"/>
        </w:rPr>
        <w:t> </w:t>
      </w:r>
      <w:r w:rsidRPr="00DC2C00">
        <w:rPr>
          <w:szCs w:val="22"/>
          <w:lang w:val="hu-HU"/>
        </w:rPr>
        <w:t>=</w:t>
      </w:r>
      <w:r w:rsidR="00C8224B">
        <w:rPr>
          <w:szCs w:val="22"/>
          <w:lang w:val="hu-HU"/>
        </w:rPr>
        <w:t> </w:t>
      </w:r>
      <w:r w:rsidRPr="00DC2C00">
        <w:rPr>
          <w:szCs w:val="22"/>
          <w:lang w:val="hu-HU"/>
        </w:rPr>
        <w:t xml:space="preserve">0,002). </w:t>
      </w:r>
      <w:r>
        <w:rPr>
          <w:szCs w:val="22"/>
        </w:rPr>
        <w:t xml:space="preserve">A cukorbetegség </w:t>
      </w:r>
      <w:r w:rsidR="00C8224B">
        <w:rPr>
          <w:szCs w:val="22"/>
        </w:rPr>
        <w:t>incidenciája</w:t>
      </w:r>
      <w:r>
        <w:rPr>
          <w:szCs w:val="22"/>
        </w:rPr>
        <w:t xml:space="preserve"> a pitavasztatin</w:t>
      </w:r>
      <w:r w:rsidR="00C8224B">
        <w:rPr>
          <w:szCs w:val="22"/>
        </w:rPr>
        <w:t>-</w:t>
      </w:r>
      <w:r>
        <w:rPr>
          <w:szCs w:val="22"/>
        </w:rPr>
        <w:t>csoportban 5,3%</w:t>
      </w:r>
      <w:r w:rsidR="00C8224B">
        <w:rPr>
          <w:szCs w:val="22"/>
        </w:rPr>
        <w:t xml:space="preserve"> (206 eset</w:t>
      </w:r>
      <w:r>
        <w:rPr>
          <w:szCs w:val="22"/>
        </w:rPr>
        <w:t xml:space="preserve">), a placebocsoportban 4,0% </w:t>
      </w:r>
      <w:r w:rsidR="00C8224B">
        <w:rPr>
          <w:szCs w:val="22"/>
        </w:rPr>
        <w:t xml:space="preserve">(155 eset) </w:t>
      </w:r>
      <w:r>
        <w:rPr>
          <w:szCs w:val="22"/>
        </w:rPr>
        <w:t>volt.</w:t>
      </w:r>
    </w:p>
    <w:p w14:paraId="0052D6E5" w14:textId="77777777" w:rsidR="005268C6" w:rsidRDefault="005268C6">
      <w:pPr>
        <w:tabs>
          <w:tab w:val="right" w:pos="9072"/>
        </w:tabs>
        <w:rPr>
          <w:szCs w:val="22"/>
        </w:rPr>
      </w:pPr>
    </w:p>
    <w:p w14:paraId="050AAFCA" w14:textId="77777777" w:rsidR="005268C6" w:rsidRDefault="002D01C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5.2</w:t>
      </w:r>
      <w:r>
        <w:rPr>
          <w:b/>
          <w:szCs w:val="22"/>
          <w:lang w:val="hu-HU"/>
        </w:rPr>
        <w:tab/>
        <w:t>Farmakokinetikai tulajdonságok</w:t>
      </w:r>
    </w:p>
    <w:p w14:paraId="06068C63" w14:textId="77777777" w:rsidR="005268C6" w:rsidRDefault="005268C6">
      <w:pPr>
        <w:widowControl w:val="0"/>
        <w:rPr>
          <w:b/>
          <w:szCs w:val="22"/>
          <w:lang w:eastAsia="en-US"/>
        </w:rPr>
      </w:pPr>
    </w:p>
    <w:p w14:paraId="44447610" w14:textId="77777777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>
        <w:rPr>
          <w:iCs/>
          <w:szCs w:val="22"/>
          <w:u w:val="single"/>
          <w:lang w:eastAsia="en-US"/>
        </w:rPr>
        <w:t>Felszívódás</w:t>
      </w:r>
    </w:p>
    <w:p w14:paraId="11720B0A" w14:textId="385C26D6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>
        <w:rPr>
          <w:iCs/>
          <w:szCs w:val="22"/>
          <w:lang w:eastAsia="en-US"/>
        </w:rPr>
        <w:t>A pitavasztatin gyorsan felszívódik a gastrointestinalis traktus felső részéből</w:t>
      </w:r>
      <w:r w:rsidR="00C8224B">
        <w:rPr>
          <w:iCs/>
          <w:szCs w:val="22"/>
          <w:lang w:eastAsia="en-US"/>
        </w:rPr>
        <w:t>,</w:t>
      </w:r>
      <w:r>
        <w:rPr>
          <w:iCs/>
          <w:szCs w:val="22"/>
          <w:lang w:eastAsia="en-US"/>
        </w:rPr>
        <w:t xml:space="preserve"> és szájon át történő alkalmazás után 1 órán belül eléri a maximális plazmakoncentrációt. Az étkezés nem befolyásolja a felszívódást. A változatlan hatóanyag enterohepati</w:t>
      </w:r>
      <w:r w:rsidR="00C8224B">
        <w:rPr>
          <w:iCs/>
          <w:szCs w:val="22"/>
          <w:lang w:eastAsia="en-US"/>
        </w:rPr>
        <w:t>c</w:t>
      </w:r>
      <w:r>
        <w:rPr>
          <w:iCs/>
          <w:szCs w:val="22"/>
          <w:lang w:eastAsia="en-US"/>
        </w:rPr>
        <w:t>us körforgáson megy keresztül, jól felszívódik a jejunumból és az ileumból. A pitavasztatin abszolút biohasznosulása 51%.</w:t>
      </w:r>
    </w:p>
    <w:p w14:paraId="5F1E3F72" w14:textId="77777777" w:rsidR="005268C6" w:rsidRDefault="005268C6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</w:p>
    <w:p w14:paraId="2674D6D3" w14:textId="77777777" w:rsidR="005268C6" w:rsidRDefault="002D01CE" w:rsidP="00DC2C00">
      <w:pPr>
        <w:keepNext/>
        <w:numPr>
          <w:ilvl w:val="12"/>
          <w:numId w:val="0"/>
        </w:numPr>
        <w:rPr>
          <w:iCs/>
          <w:szCs w:val="22"/>
          <w:u w:val="single"/>
          <w:lang w:eastAsia="en-US"/>
        </w:rPr>
      </w:pPr>
      <w:r>
        <w:rPr>
          <w:iCs/>
          <w:szCs w:val="22"/>
          <w:u w:val="single"/>
          <w:lang w:eastAsia="en-US"/>
        </w:rPr>
        <w:lastRenderedPageBreak/>
        <w:t>Eloszlás</w:t>
      </w:r>
    </w:p>
    <w:p w14:paraId="6B623165" w14:textId="59E4E140" w:rsidR="005268C6" w:rsidRDefault="002D01CE" w:rsidP="00DC2C00">
      <w:pPr>
        <w:keepNext/>
        <w:numPr>
          <w:ilvl w:val="12"/>
          <w:numId w:val="0"/>
        </w:numPr>
        <w:rPr>
          <w:iCs/>
          <w:szCs w:val="22"/>
          <w:lang w:eastAsia="en-US"/>
        </w:rPr>
      </w:pPr>
      <w:r>
        <w:rPr>
          <w:iCs/>
          <w:szCs w:val="22"/>
          <w:lang w:eastAsia="en-US"/>
        </w:rPr>
        <w:t>A pitavasztatin fehérjekötődése a humán plazmában több mint 99%, nagyrészt albuminhoz és alfa</w:t>
      </w:r>
      <w:r w:rsidR="00C8224B">
        <w:rPr>
          <w:iCs/>
          <w:szCs w:val="22"/>
          <w:lang w:eastAsia="en-US"/>
        </w:rPr>
        <w:noBreakHyphen/>
      </w:r>
      <w:r>
        <w:rPr>
          <w:iCs/>
          <w:szCs w:val="22"/>
          <w:lang w:eastAsia="en-US"/>
        </w:rPr>
        <w:t>1</w:t>
      </w:r>
      <w:r w:rsidR="00C8224B">
        <w:rPr>
          <w:iCs/>
          <w:szCs w:val="22"/>
          <w:lang w:eastAsia="en-US"/>
        </w:rPr>
        <w:t xml:space="preserve"> </w:t>
      </w:r>
      <w:r>
        <w:rPr>
          <w:iCs/>
          <w:szCs w:val="22"/>
          <w:lang w:eastAsia="en-US"/>
        </w:rPr>
        <w:t>savas-glikoproteinhez kötődik. Az átlagos eloszlási térfogata megközelítőleg 133 liter. A pitavasztatin aktív transzporttal jut a metabolizmus helyszínére, a májsejtekbe, a</w:t>
      </w:r>
      <w:r w:rsidR="00C8224B">
        <w:rPr>
          <w:iCs/>
          <w:szCs w:val="22"/>
          <w:lang w:eastAsia="en-US"/>
        </w:rPr>
        <w:t>melyekbe</w:t>
      </w:r>
      <w:r>
        <w:rPr>
          <w:iCs/>
          <w:szCs w:val="22"/>
          <w:lang w:eastAsia="en-US"/>
        </w:rPr>
        <w:t xml:space="preserve"> többféle májtranszporteren keresztül, köztük az OATP1B1 és az OATP1B3, jut be. A plazma AUC-értéke változó, a legnagyobb és a legkisebb értékek között körülbelül négyszeres az eltérés. Az SLCO1B1-val (OATP1B1-t kódoló gén) végzett vizsgálatok arra utalnak, hogy ennek a génnek a polimorfizmusa lehet felelős az AUC variabilitásáért. A pitavasztatin nem szubsztrája a </w:t>
      </w:r>
      <w:r w:rsidR="00C8224B">
        <w:rPr>
          <w:iCs/>
          <w:szCs w:val="22"/>
          <w:lang w:eastAsia="en-US"/>
        </w:rPr>
        <w:t>P</w:t>
      </w:r>
      <w:r>
        <w:rPr>
          <w:iCs/>
          <w:szCs w:val="22"/>
          <w:lang w:eastAsia="en-US"/>
        </w:rPr>
        <w:t>-glikoproteinnek.</w:t>
      </w:r>
    </w:p>
    <w:p w14:paraId="310DDA3E" w14:textId="77777777" w:rsidR="005268C6" w:rsidRDefault="005268C6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</w:p>
    <w:p w14:paraId="7B7A3B63" w14:textId="77777777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>
        <w:rPr>
          <w:iCs/>
          <w:szCs w:val="22"/>
          <w:u w:val="single"/>
          <w:lang w:eastAsia="en-US"/>
        </w:rPr>
        <w:t>Biotranszformáció</w:t>
      </w:r>
    </w:p>
    <w:p w14:paraId="1B452E04" w14:textId="796025BD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>
        <w:rPr>
          <w:iCs/>
          <w:szCs w:val="22"/>
          <w:lang w:eastAsia="en-US"/>
        </w:rPr>
        <w:t xml:space="preserve">A pitavasztatin változatlan formája a gyógyszer </w:t>
      </w:r>
      <w:r w:rsidR="00C8224B">
        <w:rPr>
          <w:iCs/>
          <w:szCs w:val="22"/>
          <w:lang w:eastAsia="en-US"/>
        </w:rPr>
        <w:t xml:space="preserve">elsődleges formája </w:t>
      </w:r>
      <w:r>
        <w:rPr>
          <w:iCs/>
          <w:szCs w:val="22"/>
          <w:lang w:eastAsia="en-US"/>
        </w:rPr>
        <w:t>a plazmában. A fő metabolit egy inaktív lakton, amely az UDP-glükuron</w:t>
      </w:r>
      <w:r w:rsidR="00C8224B">
        <w:rPr>
          <w:iCs/>
          <w:szCs w:val="22"/>
          <w:lang w:eastAsia="en-US"/>
        </w:rPr>
        <w:t>oz</w:t>
      </w:r>
      <w:r>
        <w:rPr>
          <w:iCs/>
          <w:szCs w:val="22"/>
          <w:lang w:eastAsia="en-US"/>
        </w:rPr>
        <w:t>il</w:t>
      </w:r>
      <w:r w:rsidR="00C8224B">
        <w:rPr>
          <w:iCs/>
          <w:szCs w:val="22"/>
          <w:lang w:eastAsia="en-US"/>
        </w:rPr>
        <w:t>-</w:t>
      </w:r>
      <w:r>
        <w:rPr>
          <w:iCs/>
          <w:szCs w:val="22"/>
          <w:lang w:eastAsia="en-US"/>
        </w:rPr>
        <w:t>transzferáz (UGT1A3 és 2B7) által, észter</w:t>
      </w:r>
      <w:r w:rsidR="00C8224B">
        <w:rPr>
          <w:iCs/>
          <w:szCs w:val="22"/>
          <w:lang w:eastAsia="en-US"/>
        </w:rPr>
        <w:t xml:space="preserve"> </w:t>
      </w:r>
      <w:r>
        <w:rPr>
          <w:iCs/>
          <w:szCs w:val="22"/>
          <w:lang w:eastAsia="en-US"/>
        </w:rPr>
        <w:t xml:space="preserve">típusú pitavasztatin-glükoronid konjugátumon keresztül keletkezik. 13 emberi citokróm P450 (CYP) izoformát felhasználó </w:t>
      </w:r>
      <w:r>
        <w:rPr>
          <w:i/>
          <w:szCs w:val="22"/>
          <w:lang w:eastAsia="en-US"/>
        </w:rPr>
        <w:t>in vitro</w:t>
      </w:r>
      <w:r>
        <w:rPr>
          <w:iCs/>
          <w:szCs w:val="22"/>
          <w:lang w:eastAsia="en-US"/>
        </w:rPr>
        <w:t xml:space="preserve"> vizsgálatok eredményei alapján a pitavasztatin CYP</w:t>
      </w:r>
      <w:r w:rsidR="00C8224B">
        <w:rPr>
          <w:iCs/>
          <w:szCs w:val="22"/>
          <w:lang w:eastAsia="en-US"/>
        </w:rPr>
        <w:t xml:space="preserve"> </w:t>
      </w:r>
      <w:r>
        <w:rPr>
          <w:iCs/>
          <w:szCs w:val="22"/>
          <w:lang w:eastAsia="en-US"/>
        </w:rPr>
        <w:t>enzimeken keresztül</w:t>
      </w:r>
      <w:r w:rsidR="00C8224B">
        <w:rPr>
          <w:iCs/>
          <w:szCs w:val="22"/>
          <w:lang w:eastAsia="en-US"/>
        </w:rPr>
        <w:t>i</w:t>
      </w:r>
      <w:r>
        <w:rPr>
          <w:iCs/>
          <w:szCs w:val="22"/>
          <w:lang w:eastAsia="en-US"/>
        </w:rPr>
        <w:t xml:space="preserve"> </w:t>
      </w:r>
      <w:r w:rsidR="00C8224B">
        <w:rPr>
          <w:iCs/>
          <w:szCs w:val="22"/>
          <w:lang w:eastAsia="en-US"/>
        </w:rPr>
        <w:t xml:space="preserve">metabolizmusa </w:t>
      </w:r>
      <w:r>
        <w:rPr>
          <w:iCs/>
          <w:szCs w:val="22"/>
          <w:lang w:eastAsia="en-US"/>
        </w:rPr>
        <w:t>minimális. A CYP2C9 (és kisebb mértékben a CYP2C8) felelős a pitavasztatin minor metabolit</w:t>
      </w:r>
      <w:r w:rsidR="00C8224B">
        <w:rPr>
          <w:iCs/>
          <w:szCs w:val="22"/>
          <w:lang w:eastAsia="en-US"/>
        </w:rPr>
        <w:t>okká</w:t>
      </w:r>
      <w:r>
        <w:rPr>
          <w:iCs/>
          <w:szCs w:val="22"/>
          <w:lang w:eastAsia="en-US"/>
        </w:rPr>
        <w:t xml:space="preserve"> történő átalakításában.</w:t>
      </w:r>
    </w:p>
    <w:p w14:paraId="48031C68" w14:textId="77777777" w:rsidR="005268C6" w:rsidRDefault="005268C6">
      <w:pPr>
        <w:tabs>
          <w:tab w:val="right" w:pos="9072"/>
        </w:tabs>
        <w:rPr>
          <w:szCs w:val="22"/>
        </w:rPr>
      </w:pPr>
    </w:p>
    <w:p w14:paraId="3A658A2A" w14:textId="77777777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>
        <w:rPr>
          <w:iCs/>
          <w:szCs w:val="22"/>
          <w:u w:val="single"/>
          <w:lang w:eastAsia="en-US"/>
        </w:rPr>
        <w:t>Elimináció</w:t>
      </w:r>
    </w:p>
    <w:p w14:paraId="64723291" w14:textId="7D367219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>
        <w:rPr>
          <w:iCs/>
          <w:szCs w:val="22"/>
          <w:lang w:eastAsia="en-US"/>
        </w:rPr>
        <w:t>A pitavasztatin változatlan formában</w:t>
      </w:r>
      <w:r w:rsidR="00C8224B">
        <w:rPr>
          <w:iCs/>
          <w:szCs w:val="22"/>
          <w:lang w:eastAsia="en-US"/>
        </w:rPr>
        <w:t>,</w:t>
      </w:r>
      <w:r>
        <w:rPr>
          <w:iCs/>
          <w:szCs w:val="22"/>
          <w:lang w:eastAsia="en-US"/>
        </w:rPr>
        <w:t xml:space="preserve"> gyorsan kiürül a májból az epébe, ugyanakkor enterohepati</w:t>
      </w:r>
      <w:r w:rsidR="00C8224B">
        <w:rPr>
          <w:iCs/>
          <w:szCs w:val="22"/>
          <w:lang w:eastAsia="en-US"/>
        </w:rPr>
        <w:t>c</w:t>
      </w:r>
      <w:r>
        <w:rPr>
          <w:iCs/>
          <w:szCs w:val="22"/>
          <w:lang w:eastAsia="en-US"/>
        </w:rPr>
        <w:t>us körforgáson megy keresztül, ami hozzájárul a hatásának időtartamához. A pitavasztatin kevesebb mint 5%-a ürül a vizelettel. A plazma elimináció</w:t>
      </w:r>
      <w:r w:rsidR="00C8224B">
        <w:rPr>
          <w:iCs/>
          <w:szCs w:val="22"/>
          <w:lang w:eastAsia="en-US"/>
        </w:rPr>
        <w:t>s</w:t>
      </w:r>
      <w:r>
        <w:rPr>
          <w:iCs/>
          <w:szCs w:val="22"/>
          <w:lang w:eastAsia="en-US"/>
        </w:rPr>
        <w:t xml:space="preserve"> felezési ideje 5,7 óra (egyszeri dózis) és 8,9 óra (</w:t>
      </w:r>
      <w:r w:rsidR="00C8224B">
        <w:rPr>
          <w:iCs/>
          <w:szCs w:val="22"/>
          <w:lang w:eastAsia="en-US"/>
        </w:rPr>
        <w:t>dinamikus egyensúlyi állapot</w:t>
      </w:r>
      <w:r>
        <w:rPr>
          <w:iCs/>
          <w:szCs w:val="22"/>
          <w:lang w:eastAsia="en-US"/>
        </w:rPr>
        <w:t xml:space="preserve">) között változik. Az oralis látszólagos clearence mértani átlaga </w:t>
      </w:r>
      <w:r w:rsidR="00C8224B">
        <w:rPr>
          <w:iCs/>
          <w:szCs w:val="22"/>
          <w:lang w:eastAsia="en-US"/>
        </w:rPr>
        <w:t xml:space="preserve">egy </w:t>
      </w:r>
      <w:r>
        <w:rPr>
          <w:iCs/>
          <w:szCs w:val="22"/>
          <w:lang w:eastAsia="en-US"/>
        </w:rPr>
        <w:t>egyszeri dózis után 43,4 l/óra.</w:t>
      </w:r>
    </w:p>
    <w:p w14:paraId="0C0ABF31" w14:textId="77777777" w:rsidR="005268C6" w:rsidRDefault="005268C6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</w:p>
    <w:p w14:paraId="13557E77" w14:textId="2CC41581" w:rsidR="005268C6" w:rsidRDefault="008D24DD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>
        <w:rPr>
          <w:iCs/>
          <w:szCs w:val="22"/>
          <w:u w:val="single"/>
          <w:lang w:eastAsia="en-US"/>
        </w:rPr>
        <w:t>A t</w:t>
      </w:r>
      <w:r w:rsidR="002D01CE">
        <w:rPr>
          <w:iCs/>
          <w:szCs w:val="22"/>
          <w:u w:val="single"/>
          <w:lang w:eastAsia="en-US"/>
        </w:rPr>
        <w:t>áplálék hatása</w:t>
      </w:r>
    </w:p>
    <w:p w14:paraId="51E14F88" w14:textId="77777777" w:rsidR="005268C6" w:rsidRDefault="002D01CE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>
        <w:rPr>
          <w:iCs/>
          <w:szCs w:val="22"/>
          <w:lang w:eastAsia="en-US"/>
        </w:rPr>
        <w:t>Magas zsírtartalmú étel elfogyasztásakor a pitavasztatin maximális plazmakoncentrációja 43%-kal csökkent, de az AUC-érték változatlan maradt.</w:t>
      </w:r>
    </w:p>
    <w:p w14:paraId="4BB4E601" w14:textId="77777777" w:rsidR="005268C6" w:rsidRDefault="005268C6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</w:p>
    <w:p w14:paraId="75E886C8" w14:textId="77777777" w:rsidR="005268C6" w:rsidRDefault="002D01CE">
      <w:pPr>
        <w:widowControl w:val="0"/>
        <w:rPr>
          <w:szCs w:val="22"/>
          <w:u w:val="single"/>
          <w:lang w:eastAsia="en-US"/>
        </w:rPr>
      </w:pPr>
      <w:r>
        <w:rPr>
          <w:szCs w:val="22"/>
          <w:u w:val="single"/>
          <w:lang w:eastAsia="en-US"/>
        </w:rPr>
        <w:t>Különleges betegcsoportok</w:t>
      </w:r>
    </w:p>
    <w:p w14:paraId="74879F5D" w14:textId="77777777" w:rsidR="005268C6" w:rsidRDefault="005268C6">
      <w:pPr>
        <w:widowControl w:val="0"/>
        <w:rPr>
          <w:szCs w:val="22"/>
          <w:lang w:eastAsia="en-US"/>
        </w:rPr>
      </w:pPr>
    </w:p>
    <w:p w14:paraId="11F9A49B" w14:textId="7101C689" w:rsidR="005268C6" w:rsidRDefault="002D01CE">
      <w:pPr>
        <w:widowControl w:val="0"/>
        <w:rPr>
          <w:iCs/>
          <w:szCs w:val="22"/>
          <w:lang w:eastAsia="en-US"/>
        </w:rPr>
      </w:pPr>
      <w:r>
        <w:rPr>
          <w:i/>
          <w:szCs w:val="22"/>
          <w:lang w:eastAsia="en-US"/>
        </w:rPr>
        <w:t>Idősek</w:t>
      </w:r>
      <w:r>
        <w:rPr>
          <w:iCs/>
          <w:szCs w:val="22"/>
          <w:lang w:eastAsia="en-US"/>
        </w:rPr>
        <w:t>: Egy fiatal és idős (</w:t>
      </w:r>
      <w:r w:rsidR="00A32B90">
        <w:rPr>
          <w:iCs/>
          <w:szCs w:val="22"/>
          <w:lang w:eastAsia="en-US"/>
        </w:rPr>
        <w:t>≥</w:t>
      </w:r>
      <w:r>
        <w:rPr>
          <w:iCs/>
          <w:szCs w:val="22"/>
          <w:lang w:eastAsia="en-US"/>
        </w:rPr>
        <w:t xml:space="preserve">65 éves) </w:t>
      </w:r>
      <w:r w:rsidR="00A32B90">
        <w:rPr>
          <w:iCs/>
          <w:szCs w:val="22"/>
          <w:lang w:eastAsia="en-US"/>
        </w:rPr>
        <w:t xml:space="preserve">egészséges </w:t>
      </w:r>
      <w:r>
        <w:rPr>
          <w:iCs/>
          <w:szCs w:val="22"/>
          <w:lang w:eastAsia="en-US"/>
        </w:rPr>
        <w:t>önkénteseket összehasonlító farmakokinetikai vizsgálatban a pitavasztatin AUC-értéke 1,3-sz</w:t>
      </w:r>
      <w:r w:rsidR="00A32B90">
        <w:rPr>
          <w:iCs/>
          <w:szCs w:val="22"/>
          <w:lang w:eastAsia="en-US"/>
        </w:rPr>
        <w:t>e</w:t>
      </w:r>
      <w:r>
        <w:rPr>
          <w:iCs/>
          <w:szCs w:val="22"/>
          <w:lang w:eastAsia="en-US"/>
        </w:rPr>
        <w:t>r magasabb volt az idősebb alanyoknál. A klinikai vizsgálatok szerint ennek nincsen hatása a pitavasztatin biztonságosságára és hatásosságára az idős betegeknél.</w:t>
      </w:r>
    </w:p>
    <w:p w14:paraId="312C7E7D" w14:textId="77777777" w:rsidR="005268C6" w:rsidRDefault="005268C6">
      <w:pPr>
        <w:tabs>
          <w:tab w:val="right" w:pos="9072"/>
        </w:tabs>
        <w:rPr>
          <w:szCs w:val="22"/>
        </w:rPr>
      </w:pPr>
    </w:p>
    <w:p w14:paraId="12FD5363" w14:textId="7A8D95E3" w:rsidR="005268C6" w:rsidRDefault="002D01CE">
      <w:pPr>
        <w:widowControl w:val="0"/>
        <w:rPr>
          <w:szCs w:val="22"/>
          <w:lang w:eastAsia="en-US"/>
        </w:rPr>
      </w:pPr>
      <w:r>
        <w:rPr>
          <w:i/>
          <w:szCs w:val="22"/>
          <w:lang w:eastAsia="en-US"/>
        </w:rPr>
        <w:t>Nem:</w:t>
      </w:r>
      <w:r>
        <w:rPr>
          <w:szCs w:val="22"/>
          <w:lang w:eastAsia="en-US"/>
        </w:rPr>
        <w:t xml:space="preserve"> </w:t>
      </w:r>
      <w:r>
        <w:rPr>
          <w:iCs/>
          <w:szCs w:val="22"/>
          <w:lang w:eastAsia="en-US"/>
        </w:rPr>
        <w:t xml:space="preserve">Egy férfi és nő </w:t>
      </w:r>
      <w:r w:rsidR="00A32B90">
        <w:rPr>
          <w:iCs/>
          <w:szCs w:val="22"/>
          <w:lang w:eastAsia="en-US"/>
        </w:rPr>
        <w:t xml:space="preserve">egészséges </w:t>
      </w:r>
      <w:r>
        <w:rPr>
          <w:iCs/>
          <w:szCs w:val="22"/>
          <w:lang w:eastAsia="en-US"/>
        </w:rPr>
        <w:t>önkénteseket összehasonlító farmakokinetikai vizsgálatban a pitavasztatin AUC-értéke nőknél 1,6-</w:t>
      </w:r>
      <w:r w:rsidR="00A32B90">
        <w:rPr>
          <w:iCs/>
          <w:szCs w:val="22"/>
          <w:lang w:eastAsia="en-US"/>
        </w:rPr>
        <w:t>szeresére</w:t>
      </w:r>
      <w:r>
        <w:rPr>
          <w:iCs/>
          <w:szCs w:val="22"/>
          <w:lang w:eastAsia="en-US"/>
        </w:rPr>
        <w:t xml:space="preserve"> növekedett. </w:t>
      </w:r>
      <w:r w:rsidR="00A32B90">
        <w:rPr>
          <w:iCs/>
          <w:szCs w:val="22"/>
          <w:lang w:eastAsia="en-US"/>
        </w:rPr>
        <w:t>A</w:t>
      </w:r>
      <w:r>
        <w:rPr>
          <w:iCs/>
          <w:szCs w:val="22"/>
          <w:lang w:eastAsia="en-US"/>
        </w:rPr>
        <w:t xml:space="preserve"> klinikai vizsgálatok</w:t>
      </w:r>
      <w:r w:rsidR="00A32B90">
        <w:rPr>
          <w:iCs/>
          <w:szCs w:val="22"/>
          <w:lang w:eastAsia="en-US"/>
        </w:rPr>
        <w:t xml:space="preserve"> szerint ennek nincsen hatása a </w:t>
      </w:r>
      <w:r>
        <w:rPr>
          <w:iCs/>
          <w:szCs w:val="22"/>
          <w:lang w:eastAsia="en-US"/>
        </w:rPr>
        <w:t xml:space="preserve">pitavasztatin biztonságosságára és hatássoságára </w:t>
      </w:r>
      <w:r w:rsidR="00A32B90">
        <w:rPr>
          <w:iCs/>
          <w:szCs w:val="22"/>
          <w:lang w:eastAsia="en-US"/>
        </w:rPr>
        <w:t>a nőbetegeknél</w:t>
      </w:r>
      <w:r>
        <w:rPr>
          <w:iCs/>
          <w:szCs w:val="22"/>
          <w:lang w:eastAsia="en-US"/>
        </w:rPr>
        <w:t>.</w:t>
      </w:r>
    </w:p>
    <w:p w14:paraId="1B74A581" w14:textId="77777777" w:rsidR="005268C6" w:rsidRDefault="005268C6">
      <w:pPr>
        <w:widowControl w:val="0"/>
        <w:rPr>
          <w:szCs w:val="22"/>
          <w:lang w:eastAsia="en-US"/>
        </w:rPr>
      </w:pPr>
    </w:p>
    <w:p w14:paraId="64FE039A" w14:textId="26A7E877" w:rsidR="005268C6" w:rsidRDefault="002D01CE">
      <w:pPr>
        <w:widowControl w:val="0"/>
        <w:rPr>
          <w:szCs w:val="22"/>
          <w:lang w:eastAsia="en-US"/>
        </w:rPr>
      </w:pPr>
      <w:r>
        <w:rPr>
          <w:i/>
          <w:szCs w:val="22"/>
          <w:lang w:eastAsia="en-US"/>
        </w:rPr>
        <w:t xml:space="preserve">Rassz: </w:t>
      </w:r>
      <w:r>
        <w:rPr>
          <w:iCs/>
          <w:szCs w:val="22"/>
          <w:lang w:eastAsia="en-US"/>
        </w:rPr>
        <w:t xml:space="preserve">Nem volt különbség a pitavasztatin farmakokinetikai profiljában a japán és </w:t>
      </w:r>
      <w:r w:rsidR="00A32B90">
        <w:rPr>
          <w:iCs/>
          <w:szCs w:val="22"/>
          <w:lang w:eastAsia="en-US"/>
        </w:rPr>
        <w:t xml:space="preserve">a </w:t>
      </w:r>
      <w:r>
        <w:rPr>
          <w:iCs/>
          <w:szCs w:val="22"/>
          <w:lang w:eastAsia="en-US"/>
        </w:rPr>
        <w:t>kaukázusi egészséges önkéntesek között, ha az életkort és a testtömeget is figyelembe vették.</w:t>
      </w:r>
    </w:p>
    <w:p w14:paraId="7FDD1E8E" w14:textId="77777777" w:rsidR="005268C6" w:rsidRDefault="005268C6">
      <w:pPr>
        <w:widowControl w:val="0"/>
        <w:rPr>
          <w:szCs w:val="22"/>
          <w:lang w:eastAsia="en-US"/>
        </w:rPr>
      </w:pPr>
    </w:p>
    <w:p w14:paraId="60EA3834" w14:textId="083EF023" w:rsidR="005268C6" w:rsidRDefault="002D01CE">
      <w:pPr>
        <w:widowControl w:val="0"/>
        <w:rPr>
          <w:szCs w:val="22"/>
          <w:lang w:eastAsia="en-US"/>
        </w:rPr>
      </w:pPr>
      <w:r>
        <w:rPr>
          <w:i/>
          <w:szCs w:val="22"/>
          <w:lang w:eastAsia="en-US"/>
        </w:rPr>
        <w:t xml:space="preserve">Gyermekek és serdülők: </w:t>
      </w:r>
      <w:r>
        <w:rPr>
          <w:iCs/>
          <w:szCs w:val="22"/>
          <w:lang w:eastAsia="en-US"/>
        </w:rPr>
        <w:t>Korlátozott mennyiségű farmakokinetikai adat áll rendelkezésre gyermekeknél és serdülőknél</w:t>
      </w:r>
      <w:r>
        <w:rPr>
          <w:i/>
          <w:szCs w:val="22"/>
          <w:lang w:eastAsia="en-US"/>
        </w:rPr>
        <w:t>.</w:t>
      </w:r>
      <w:r>
        <w:rPr>
          <w:szCs w:val="22"/>
          <w:lang w:eastAsia="en-US"/>
        </w:rPr>
        <w:t xml:space="preserve"> Az NK-104-4.01EU vizsgálatban (lásd 5.1 pont) a szórványos mintavételek alapján dózisfüggő hatást mutattak ki a pitavasztatin plazmakoncentrációjára a dózis bevétele után 1 órával. Azt is jelezték, hogy a dózis beadása után 1 órával a koncentráció fordítottan arányos volt a testtömeggel</w:t>
      </w:r>
      <w:r w:rsidR="00A32B90">
        <w:rPr>
          <w:szCs w:val="22"/>
          <w:lang w:eastAsia="en-US"/>
        </w:rPr>
        <w:t>,</w:t>
      </w:r>
      <w:r>
        <w:rPr>
          <w:szCs w:val="22"/>
          <w:lang w:eastAsia="en-US"/>
        </w:rPr>
        <w:t xml:space="preserve"> és magasabb lehet gyermekeknél, mint felnőtteknél.</w:t>
      </w:r>
    </w:p>
    <w:p w14:paraId="147AFE3B" w14:textId="77777777" w:rsidR="005268C6" w:rsidRDefault="005268C6">
      <w:pPr>
        <w:widowControl w:val="0"/>
        <w:rPr>
          <w:szCs w:val="22"/>
          <w:lang w:eastAsia="en-US"/>
        </w:rPr>
      </w:pPr>
    </w:p>
    <w:p w14:paraId="4D77E105" w14:textId="5FA21297" w:rsidR="005268C6" w:rsidRDefault="002D01CE">
      <w:pPr>
        <w:widowControl w:val="0"/>
        <w:rPr>
          <w:szCs w:val="22"/>
          <w:lang w:eastAsia="en-US"/>
        </w:rPr>
      </w:pPr>
      <w:r>
        <w:rPr>
          <w:i/>
          <w:szCs w:val="22"/>
          <w:lang w:eastAsia="en-US"/>
        </w:rPr>
        <w:t xml:space="preserve">Vesekárosodás: </w:t>
      </w:r>
      <w:r>
        <w:rPr>
          <w:iCs/>
          <w:szCs w:val="22"/>
          <w:lang w:eastAsia="en-US"/>
        </w:rPr>
        <w:t>Közepesen súlyos fokú vesekárosodásban szenvedőknél az AUC-érték 1,8-</w:t>
      </w:r>
      <w:r w:rsidR="00A32B90">
        <w:rPr>
          <w:iCs/>
          <w:szCs w:val="22"/>
          <w:lang w:eastAsia="en-US"/>
        </w:rPr>
        <w:t>szeresére</w:t>
      </w:r>
      <w:r>
        <w:rPr>
          <w:iCs/>
          <w:szCs w:val="22"/>
          <w:lang w:eastAsia="en-US"/>
        </w:rPr>
        <w:t xml:space="preserve"> nőtt, a hemodialízis-kezelés alatt álló betegeknél az AUC-érték 1,7-szeresére nőtt (lásd 4.2 pont).</w:t>
      </w:r>
    </w:p>
    <w:p w14:paraId="0B005084" w14:textId="77777777" w:rsidR="005268C6" w:rsidRDefault="005268C6">
      <w:pPr>
        <w:widowControl w:val="0"/>
        <w:rPr>
          <w:szCs w:val="22"/>
          <w:lang w:eastAsia="en-US"/>
        </w:rPr>
      </w:pPr>
    </w:p>
    <w:p w14:paraId="261D874F" w14:textId="5AA25911" w:rsidR="005268C6" w:rsidRDefault="002D01CE">
      <w:pPr>
        <w:widowControl w:val="0"/>
        <w:rPr>
          <w:szCs w:val="22"/>
          <w:lang w:eastAsia="en-US"/>
        </w:rPr>
      </w:pPr>
      <w:r>
        <w:rPr>
          <w:i/>
          <w:szCs w:val="22"/>
          <w:lang w:eastAsia="en-US"/>
        </w:rPr>
        <w:t xml:space="preserve">Májkárosodás: </w:t>
      </w:r>
      <w:r>
        <w:rPr>
          <w:iCs/>
          <w:szCs w:val="22"/>
          <w:lang w:eastAsia="en-US"/>
        </w:rPr>
        <w:t>Enyhe májkárosodásban szenvedőknél (Child</w:t>
      </w:r>
      <w:r w:rsidR="00A32B90">
        <w:rPr>
          <w:iCs/>
          <w:szCs w:val="22"/>
          <w:lang w:eastAsia="en-US"/>
        </w:rPr>
        <w:t>–</w:t>
      </w:r>
      <w:r>
        <w:rPr>
          <w:iCs/>
          <w:szCs w:val="22"/>
          <w:lang w:eastAsia="en-US"/>
        </w:rPr>
        <w:t xml:space="preserve">Pugh A) az AUC-érték </w:t>
      </w:r>
      <w:r w:rsidR="00A32B90">
        <w:rPr>
          <w:iCs/>
          <w:szCs w:val="22"/>
          <w:lang w:eastAsia="en-US"/>
        </w:rPr>
        <w:t xml:space="preserve">az </w:t>
      </w:r>
      <w:r>
        <w:rPr>
          <w:iCs/>
          <w:szCs w:val="22"/>
          <w:lang w:eastAsia="en-US"/>
        </w:rPr>
        <w:t>1,6-</w:t>
      </w:r>
      <w:r w:rsidR="00A32B90">
        <w:rPr>
          <w:iCs/>
          <w:szCs w:val="22"/>
          <w:lang w:eastAsia="en-US"/>
        </w:rPr>
        <w:t>szerese</w:t>
      </w:r>
      <w:r>
        <w:rPr>
          <w:iCs/>
          <w:szCs w:val="22"/>
          <w:lang w:eastAsia="en-US"/>
        </w:rPr>
        <w:t>, míg közepesen súlyos májkárosodásban szenvedőknél</w:t>
      </w:r>
      <w:r>
        <w:rPr>
          <w:i/>
          <w:szCs w:val="22"/>
          <w:lang w:eastAsia="en-US"/>
        </w:rPr>
        <w:t xml:space="preserve"> </w:t>
      </w:r>
      <w:r>
        <w:rPr>
          <w:szCs w:val="22"/>
          <w:lang w:eastAsia="en-US"/>
        </w:rPr>
        <w:t>(</w:t>
      </w:r>
      <w:r>
        <w:rPr>
          <w:iCs/>
          <w:szCs w:val="22"/>
          <w:lang w:eastAsia="en-US"/>
        </w:rPr>
        <w:t>Child</w:t>
      </w:r>
      <w:r w:rsidR="00A32B90">
        <w:rPr>
          <w:iCs/>
          <w:szCs w:val="22"/>
          <w:lang w:eastAsia="en-US"/>
        </w:rPr>
        <w:t>–</w:t>
      </w:r>
      <w:r>
        <w:rPr>
          <w:iCs/>
          <w:szCs w:val="22"/>
          <w:lang w:eastAsia="en-US"/>
        </w:rPr>
        <w:t xml:space="preserve">Pugh B) az AUC-érték </w:t>
      </w:r>
      <w:r w:rsidR="00A32B90">
        <w:rPr>
          <w:iCs/>
          <w:szCs w:val="22"/>
          <w:lang w:eastAsia="en-US"/>
        </w:rPr>
        <w:t xml:space="preserve">a </w:t>
      </w:r>
      <w:r>
        <w:rPr>
          <w:iCs/>
          <w:szCs w:val="22"/>
          <w:lang w:eastAsia="en-US"/>
        </w:rPr>
        <w:t>3,9-szerese volt</w:t>
      </w:r>
      <w:r w:rsidR="00A32B90" w:rsidRPr="00A32B90">
        <w:rPr>
          <w:iCs/>
          <w:szCs w:val="22"/>
          <w:lang w:eastAsia="en-US"/>
        </w:rPr>
        <w:t xml:space="preserve"> </w:t>
      </w:r>
      <w:r w:rsidR="00A32B90">
        <w:rPr>
          <w:iCs/>
          <w:szCs w:val="22"/>
          <w:lang w:eastAsia="en-US"/>
        </w:rPr>
        <w:t>az egészséges alanyoknál mért értéknek</w:t>
      </w:r>
      <w:r>
        <w:rPr>
          <w:iCs/>
          <w:szCs w:val="22"/>
          <w:lang w:eastAsia="en-US"/>
        </w:rPr>
        <w:t>.</w:t>
      </w:r>
      <w:r>
        <w:rPr>
          <w:szCs w:val="22"/>
          <w:lang w:eastAsia="en-US"/>
        </w:rPr>
        <w:t xml:space="preserve"> Enyhe és közepesen súlyos májkárosodásban szenvedő betegeknél dóziskorlátozás ajánlott (lásd 4.2 pont). A Pitilox ellenjavallt súlyos májkárosodásban szenvedő betegeknél.</w:t>
      </w:r>
    </w:p>
    <w:p w14:paraId="55DCB3BF" w14:textId="77777777" w:rsidR="005268C6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EE87C42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07F3A99A" w14:textId="77777777" w:rsidR="005268C6" w:rsidRDefault="005268C6">
      <w:pPr>
        <w:widowControl w:val="0"/>
        <w:rPr>
          <w:szCs w:val="22"/>
          <w:lang w:eastAsia="en-US"/>
        </w:rPr>
      </w:pPr>
    </w:p>
    <w:p w14:paraId="29BE2036" w14:textId="608A962E" w:rsidR="005268C6" w:rsidRDefault="002D01CE">
      <w:pPr>
        <w:widowControl w:val="0"/>
        <w:rPr>
          <w:szCs w:val="22"/>
          <w:lang w:eastAsia="en-US"/>
        </w:rPr>
      </w:pPr>
      <w:r>
        <w:rPr>
          <w:szCs w:val="22"/>
          <w:lang w:val="hu-HU"/>
        </w:rPr>
        <w:t>A hagyományos – farmakológiai biztonságosság, ismételt adagolású dózistoxicitási, genotoxicitási és karcinogenitási – vizsgálatokból származó nem klinikai jellegű adatok azt igazolták, hogy a készítmény alkalmazásakor humán vonatkozásban különleges kockázat nem várható</w:t>
      </w:r>
      <w:r>
        <w:rPr>
          <w:szCs w:val="22"/>
          <w:lang w:eastAsia="en-US"/>
        </w:rPr>
        <w:t>. Vesetoxicitásra utaló jeleket észleltek majmok</w:t>
      </w:r>
      <w:r w:rsidR="00181692">
        <w:rPr>
          <w:szCs w:val="22"/>
          <w:lang w:eastAsia="en-US"/>
        </w:rPr>
        <w:t>nál</w:t>
      </w:r>
      <w:r>
        <w:rPr>
          <w:szCs w:val="22"/>
          <w:lang w:eastAsia="en-US"/>
        </w:rPr>
        <w:t xml:space="preserve"> a felnőtteknél alkalmazott napi 4 mg dózissal elértnél nagyobb expozíció esetén. A vizelettel történő kiválasztás jóval nagyobb szerepet játszik a majmoknál, mint más állatfajok esetében. Májmikroszómákkal történő </w:t>
      </w:r>
      <w:r>
        <w:rPr>
          <w:i/>
          <w:iCs/>
          <w:szCs w:val="22"/>
          <w:lang w:eastAsia="en-US"/>
        </w:rPr>
        <w:t>in vitro</w:t>
      </w:r>
      <w:r>
        <w:rPr>
          <w:szCs w:val="22"/>
          <w:lang w:eastAsia="en-US"/>
        </w:rPr>
        <w:t xml:space="preserve"> vizsgálatok azt mutatták, hogy ez egy majomspecifikus metabolit következménye lehet. A majmoknál megfigyelt</w:t>
      </w:r>
      <w:r w:rsidR="00181692">
        <w:rPr>
          <w:szCs w:val="22"/>
          <w:lang w:eastAsia="en-US"/>
        </w:rPr>
        <w:t>,</w:t>
      </w:r>
      <w:r>
        <w:rPr>
          <w:szCs w:val="22"/>
          <w:lang w:eastAsia="en-US"/>
        </w:rPr>
        <w:t xml:space="preserve"> vesére gyakorolt hatásoknak valószínűleg nincs klinikai jelentősége embernél, azonban a vesét érintő mellékhatások lehetőségét nem lehet teljesen kizárni.</w:t>
      </w:r>
    </w:p>
    <w:p w14:paraId="7DE671FC" w14:textId="77777777" w:rsidR="005268C6" w:rsidRDefault="005268C6">
      <w:pPr>
        <w:widowControl w:val="0"/>
        <w:rPr>
          <w:szCs w:val="22"/>
          <w:lang w:eastAsia="en-US"/>
        </w:rPr>
      </w:pPr>
    </w:p>
    <w:p w14:paraId="0CAFBD7F" w14:textId="2AAA32DF" w:rsidR="005268C6" w:rsidRDefault="002D01CE">
      <w:pPr>
        <w:widowControl w:val="0"/>
        <w:rPr>
          <w:szCs w:val="22"/>
          <w:lang w:eastAsia="en-US"/>
        </w:rPr>
      </w:pPr>
      <w:r>
        <w:rPr>
          <w:szCs w:val="22"/>
          <w:lang w:eastAsia="en-US"/>
        </w:rPr>
        <w:t>A pitavasztatin nem befolyásolta a termékenységet vagy a reprodukciós teljesítményt</w:t>
      </w:r>
      <w:r w:rsidR="00181692">
        <w:rPr>
          <w:szCs w:val="22"/>
          <w:lang w:eastAsia="en-US"/>
        </w:rPr>
        <w:t>,</w:t>
      </w:r>
      <w:r>
        <w:rPr>
          <w:szCs w:val="22"/>
          <w:lang w:eastAsia="en-US"/>
        </w:rPr>
        <w:t xml:space="preserve"> és nem észleltek teratogén potenciálra utaló bizonyítékot</w:t>
      </w:r>
      <w:r w:rsidR="00181692">
        <w:rPr>
          <w:szCs w:val="22"/>
          <w:lang w:eastAsia="en-US"/>
        </w:rPr>
        <w:t xml:space="preserve"> sem</w:t>
      </w:r>
      <w:r>
        <w:rPr>
          <w:szCs w:val="22"/>
          <w:lang w:eastAsia="en-US"/>
        </w:rPr>
        <w:t>. Ugyanakkor nagy dózisoknál anyai toxicitást figyeltek meg. Egy, patkányok</w:t>
      </w:r>
      <w:r w:rsidR="00181692">
        <w:rPr>
          <w:szCs w:val="22"/>
          <w:lang w:eastAsia="en-US"/>
        </w:rPr>
        <w:t>kal</w:t>
      </w:r>
      <w:r>
        <w:rPr>
          <w:szCs w:val="22"/>
          <w:lang w:eastAsia="en-US"/>
        </w:rPr>
        <w:t xml:space="preserve"> végzett vizsgálat </w:t>
      </w:r>
      <w:r w:rsidR="00181692">
        <w:rPr>
          <w:szCs w:val="22"/>
          <w:lang w:eastAsia="en-US"/>
        </w:rPr>
        <w:t xml:space="preserve">1 mg/ttkg/nap dózis (megközelítőleg 4-szerese a legnagyobb humán dózisnak, az AUC alapján) alkalmazásakor </w:t>
      </w:r>
      <w:r>
        <w:rPr>
          <w:szCs w:val="22"/>
          <w:lang w:eastAsia="en-US"/>
        </w:rPr>
        <w:t>a nőstények halálozását mutatta ki elléskor vagy a</w:t>
      </w:r>
      <w:r w:rsidR="00181692">
        <w:rPr>
          <w:szCs w:val="22"/>
          <w:lang w:eastAsia="en-US"/>
        </w:rPr>
        <w:t xml:space="preserve"> terminus </w:t>
      </w:r>
      <w:r>
        <w:rPr>
          <w:szCs w:val="22"/>
          <w:lang w:eastAsia="en-US"/>
        </w:rPr>
        <w:t>közelében, ami magzati és újszülöttkori halálozással társult. Fiatal állatokkal nem végeztek vizsgálatokat.</w:t>
      </w:r>
    </w:p>
    <w:p w14:paraId="4D0568CF" w14:textId="77777777" w:rsidR="005268C6" w:rsidRDefault="005268C6">
      <w:pPr>
        <w:tabs>
          <w:tab w:val="right" w:pos="9072"/>
        </w:tabs>
        <w:rPr>
          <w:szCs w:val="22"/>
        </w:rPr>
      </w:pPr>
    </w:p>
    <w:p w14:paraId="6392A577" w14:textId="77777777" w:rsidR="005268C6" w:rsidRDefault="005268C6">
      <w:pPr>
        <w:tabs>
          <w:tab w:val="right" w:pos="9072"/>
        </w:tabs>
        <w:rPr>
          <w:szCs w:val="22"/>
        </w:rPr>
      </w:pPr>
    </w:p>
    <w:p w14:paraId="0BE29F06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FFB6606" w14:textId="77777777" w:rsidR="005268C6" w:rsidRDefault="005268C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A85BA8A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752091D" w14:textId="77777777" w:rsidR="005268C6" w:rsidRDefault="005268C6">
      <w:pPr>
        <w:tabs>
          <w:tab w:val="right" w:pos="9072"/>
        </w:tabs>
        <w:rPr>
          <w:szCs w:val="22"/>
        </w:rPr>
      </w:pPr>
    </w:p>
    <w:p w14:paraId="6134743A" w14:textId="77777777" w:rsidR="005268C6" w:rsidRDefault="002D01CE">
      <w:pPr>
        <w:tabs>
          <w:tab w:val="right" w:pos="9072"/>
        </w:tabs>
        <w:rPr>
          <w:szCs w:val="22"/>
          <w:u w:val="single"/>
        </w:rPr>
      </w:pPr>
      <w:r>
        <w:rPr>
          <w:szCs w:val="22"/>
          <w:u w:val="single"/>
        </w:rPr>
        <w:t>Tablettamag</w:t>
      </w:r>
    </w:p>
    <w:p w14:paraId="345BB4FB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szCs w:val="22"/>
        </w:rPr>
        <w:t>laktóz-monohidrát;</w:t>
      </w:r>
    </w:p>
    <w:p w14:paraId="3D3AC7D7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szCs w:val="22"/>
        </w:rPr>
        <w:t>hipromellóz</w:t>
      </w:r>
      <w:r>
        <w:rPr>
          <w:color w:val="000000"/>
          <w:szCs w:val="22"/>
        </w:rPr>
        <w:t>;</w:t>
      </w:r>
    </w:p>
    <w:p w14:paraId="131167F6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color w:val="000000"/>
          <w:szCs w:val="22"/>
        </w:rPr>
        <w:t>hidroxipropilcellulóz</w:t>
      </w:r>
      <w:r>
        <w:rPr>
          <w:szCs w:val="22"/>
        </w:rPr>
        <w:t xml:space="preserve"> (alacsony szubsztitúciós fokú</w:t>
      </w:r>
      <w:r>
        <w:rPr>
          <w:szCs w:val="22"/>
          <w:lang w:val="hu-HU"/>
        </w:rPr>
        <w:t>);</w:t>
      </w:r>
    </w:p>
    <w:p w14:paraId="1DCE0E94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color w:val="000000"/>
          <w:szCs w:val="22"/>
        </w:rPr>
        <w:t>magnézium-sztearát.</w:t>
      </w:r>
    </w:p>
    <w:p w14:paraId="0511FED0" w14:textId="77777777" w:rsidR="005268C6" w:rsidRDefault="005268C6">
      <w:pPr>
        <w:tabs>
          <w:tab w:val="right" w:pos="9072"/>
        </w:tabs>
        <w:rPr>
          <w:color w:val="000000"/>
          <w:szCs w:val="22"/>
        </w:rPr>
      </w:pPr>
    </w:p>
    <w:p w14:paraId="1E692A23" w14:textId="77777777" w:rsidR="005268C6" w:rsidRDefault="002D01CE">
      <w:pPr>
        <w:tabs>
          <w:tab w:val="right" w:pos="9072"/>
        </w:tabs>
        <w:rPr>
          <w:color w:val="000000"/>
          <w:szCs w:val="22"/>
          <w:u w:val="single"/>
        </w:rPr>
      </w:pPr>
      <w:r>
        <w:rPr>
          <w:color w:val="000000"/>
          <w:szCs w:val="22"/>
          <w:u w:val="single"/>
        </w:rPr>
        <w:t>Filmbevonat</w:t>
      </w:r>
    </w:p>
    <w:p w14:paraId="43823983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szCs w:val="22"/>
        </w:rPr>
        <w:t>hipromellóz</w:t>
      </w:r>
      <w:r>
        <w:rPr>
          <w:color w:val="000000"/>
          <w:szCs w:val="22"/>
        </w:rPr>
        <w:t>;</w:t>
      </w:r>
    </w:p>
    <w:p w14:paraId="75E5244A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color w:val="000000"/>
          <w:szCs w:val="22"/>
        </w:rPr>
        <w:t>titán-dioxid (E171);</w:t>
      </w:r>
    </w:p>
    <w:p w14:paraId="72AE1295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color w:val="000000"/>
          <w:szCs w:val="22"/>
        </w:rPr>
        <w:t>talkum;</w:t>
      </w:r>
    </w:p>
    <w:p w14:paraId="1B0BC6F5" w14:textId="77777777" w:rsidR="005268C6" w:rsidRDefault="002D01CE">
      <w:pPr>
        <w:tabs>
          <w:tab w:val="right" w:pos="9072"/>
        </w:tabs>
        <w:rPr>
          <w:color w:val="000000"/>
          <w:szCs w:val="22"/>
        </w:rPr>
      </w:pPr>
      <w:r>
        <w:rPr>
          <w:color w:val="000000"/>
          <w:szCs w:val="22"/>
        </w:rPr>
        <w:t>propilénglikol (E1520);</w:t>
      </w:r>
    </w:p>
    <w:p w14:paraId="2DDC5CFA" w14:textId="5E6E5333" w:rsidR="005268C6" w:rsidRDefault="002D01CE">
      <w:pPr>
        <w:rPr>
          <w:color w:val="000000"/>
          <w:szCs w:val="22"/>
        </w:rPr>
      </w:pPr>
      <w:r>
        <w:rPr>
          <w:color w:val="000000"/>
          <w:szCs w:val="22"/>
        </w:rPr>
        <w:t xml:space="preserve">sárga vas-oxid (E172) </w:t>
      </w:r>
      <w:r>
        <w:rPr>
          <w:i/>
          <w:color w:val="000000"/>
          <w:szCs w:val="22"/>
        </w:rPr>
        <w:t>– csak az 1 mg-os és 2 mg-os hatáserősségben</w:t>
      </w:r>
    </w:p>
    <w:p w14:paraId="79E7B098" w14:textId="497AC297" w:rsidR="005268C6" w:rsidRDefault="002D01CE">
      <w:pPr>
        <w:widowControl w:val="0"/>
        <w:rPr>
          <w:color w:val="000000"/>
          <w:szCs w:val="22"/>
        </w:rPr>
      </w:pPr>
      <w:r>
        <w:rPr>
          <w:color w:val="000000"/>
          <w:szCs w:val="22"/>
        </w:rPr>
        <w:t xml:space="preserve">vörös vas-oxid (E172) </w:t>
      </w:r>
      <w:r>
        <w:rPr>
          <w:i/>
          <w:color w:val="000000"/>
          <w:szCs w:val="22"/>
        </w:rPr>
        <w:t>– csak a 2 mg-os és 4 mg-os hatáserősségben</w:t>
      </w:r>
    </w:p>
    <w:p w14:paraId="486EA5E3" w14:textId="77777777" w:rsidR="005268C6" w:rsidRDefault="005268C6">
      <w:pPr>
        <w:tabs>
          <w:tab w:val="right" w:pos="9072"/>
        </w:tabs>
        <w:rPr>
          <w:szCs w:val="22"/>
        </w:rPr>
      </w:pPr>
    </w:p>
    <w:p w14:paraId="57DEDA3E" w14:textId="77777777" w:rsidR="005268C6" w:rsidRDefault="002D01CE">
      <w:pPr>
        <w:tabs>
          <w:tab w:val="right" w:pos="9072"/>
        </w:tabs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1B676221" w14:textId="77777777" w:rsidR="005268C6" w:rsidRDefault="005268C6">
      <w:pPr>
        <w:tabs>
          <w:tab w:val="right" w:pos="9072"/>
        </w:tabs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82C4B27" w14:textId="77777777" w:rsidR="005268C6" w:rsidRDefault="002D01CE">
      <w:pPr>
        <w:tabs>
          <w:tab w:val="right" w:pos="9072"/>
        </w:tabs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064BF5BB" w14:textId="77777777" w:rsidR="005268C6" w:rsidRDefault="005268C6">
      <w:pPr>
        <w:tabs>
          <w:tab w:val="right" w:pos="9072"/>
        </w:tabs>
        <w:rPr>
          <w:rFonts w:eastAsia="Times New Roman"/>
          <w:noProof/>
          <w:snapToGrid/>
          <w:szCs w:val="22"/>
          <w:lang w:val="hu-HU" w:eastAsia="en-US"/>
        </w:rPr>
      </w:pPr>
    </w:p>
    <w:p w14:paraId="2B1EC341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5635508E" w14:textId="77777777" w:rsidR="005268C6" w:rsidRDefault="005268C6">
      <w:pPr>
        <w:tabs>
          <w:tab w:val="right" w:pos="9072"/>
        </w:tabs>
        <w:rPr>
          <w:szCs w:val="22"/>
        </w:rPr>
      </w:pPr>
    </w:p>
    <w:p w14:paraId="56603D6A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szCs w:val="22"/>
        </w:rPr>
        <w:t>3 év</w:t>
      </w:r>
    </w:p>
    <w:p w14:paraId="4520DF94" w14:textId="77777777" w:rsidR="005268C6" w:rsidRDefault="005268C6">
      <w:pPr>
        <w:tabs>
          <w:tab w:val="right" w:pos="9072"/>
        </w:tabs>
        <w:rPr>
          <w:szCs w:val="22"/>
        </w:rPr>
      </w:pPr>
    </w:p>
    <w:p w14:paraId="192E02F7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6.4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15347B2D" w14:textId="77777777" w:rsidR="005268C6" w:rsidRDefault="005268C6">
      <w:pPr>
        <w:tabs>
          <w:tab w:val="right" w:pos="9072"/>
        </w:tabs>
        <w:rPr>
          <w:szCs w:val="22"/>
        </w:rPr>
      </w:pPr>
    </w:p>
    <w:p w14:paraId="19661EBA" w14:textId="77777777" w:rsidR="005268C6" w:rsidRDefault="002D01CE">
      <w:pPr>
        <w:tabs>
          <w:tab w:val="right" w:pos="9072"/>
        </w:tabs>
        <w:rPr>
          <w:szCs w:val="22"/>
        </w:rPr>
      </w:pPr>
      <w:r>
        <w:rPr>
          <w:szCs w:val="22"/>
        </w:rPr>
        <w:t>Ez a gyógyszer nem igényel különleges tárolást.</w:t>
      </w:r>
    </w:p>
    <w:p w14:paraId="7DB593F1" w14:textId="77777777" w:rsidR="005268C6" w:rsidRDefault="005268C6">
      <w:pPr>
        <w:tabs>
          <w:tab w:val="right" w:pos="9072"/>
        </w:tabs>
        <w:rPr>
          <w:szCs w:val="22"/>
        </w:rPr>
      </w:pPr>
    </w:p>
    <w:p w14:paraId="39F9849B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6.5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Csomagolás típusa és kiszerelése</w:t>
      </w:r>
    </w:p>
    <w:p w14:paraId="3460F21F" w14:textId="77777777" w:rsidR="005268C6" w:rsidRDefault="005268C6">
      <w:pPr>
        <w:widowControl w:val="0"/>
        <w:rPr>
          <w:szCs w:val="22"/>
          <w:lang w:eastAsia="en-US"/>
        </w:rPr>
      </w:pPr>
    </w:p>
    <w:p w14:paraId="06355181" w14:textId="77777777" w:rsidR="005268C6" w:rsidRDefault="002D01CE">
      <w:pPr>
        <w:widowControl w:val="0"/>
        <w:rPr>
          <w:szCs w:val="22"/>
          <w:lang w:eastAsia="en-US"/>
        </w:rPr>
      </w:pPr>
      <w:r>
        <w:rPr>
          <w:szCs w:val="22"/>
          <w:lang w:eastAsia="en-US"/>
        </w:rPr>
        <w:t>7, 28, 30, 56, 60, 84, 90 vagy 100 filmtabletta PVC/PVDC//Al buborékcsomagolásban, dobozban.</w:t>
      </w:r>
    </w:p>
    <w:p w14:paraId="468464DB" w14:textId="77777777" w:rsidR="005268C6" w:rsidRDefault="002D01CE">
      <w:pPr>
        <w:widowControl w:val="0"/>
        <w:rPr>
          <w:bCs/>
          <w:noProof/>
          <w:szCs w:val="22"/>
          <w:lang w:val="hu-HU"/>
        </w:rPr>
      </w:pPr>
      <w:bookmarkStart w:id="7" w:name="_Hlk169506868"/>
      <w:r>
        <w:rPr>
          <w:bCs/>
          <w:noProof/>
          <w:szCs w:val="22"/>
          <w:lang w:val="hu-HU"/>
        </w:rPr>
        <w:t xml:space="preserve">7, 28, 56 vagy 84 filmtabletta naptárjelzéses </w:t>
      </w:r>
      <w:r>
        <w:rPr>
          <w:szCs w:val="22"/>
          <w:lang w:eastAsia="en-US"/>
        </w:rPr>
        <w:t xml:space="preserve">PVC/PVDC//Al </w:t>
      </w:r>
      <w:r>
        <w:rPr>
          <w:bCs/>
          <w:noProof/>
          <w:szCs w:val="22"/>
          <w:lang w:val="hu-HU"/>
        </w:rPr>
        <w:t>buborékcsomagolásban, dobozban.</w:t>
      </w:r>
    </w:p>
    <w:bookmarkEnd w:id="7"/>
    <w:p w14:paraId="601DF8BA" w14:textId="77777777" w:rsidR="005268C6" w:rsidRDefault="005268C6">
      <w:pPr>
        <w:widowControl w:val="0"/>
        <w:rPr>
          <w:bCs/>
          <w:noProof/>
          <w:szCs w:val="22"/>
          <w:lang w:val="hu-HU"/>
        </w:rPr>
      </w:pPr>
    </w:p>
    <w:p w14:paraId="78DBE93C" w14:textId="77777777" w:rsidR="005268C6" w:rsidRPr="00DC2C00" w:rsidRDefault="002D01CE">
      <w:pPr>
        <w:widowControl w:val="0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lastRenderedPageBreak/>
        <w:t>7×1, 28×1, 30×1, 56×1, 60×1, 84×1, 90×1 vagy 100×1 filmtabletta adagonként perforált PVC/PVDC//Al buborékcsomagolásban, dobozban.</w:t>
      </w:r>
    </w:p>
    <w:p w14:paraId="278F91B1" w14:textId="77777777" w:rsidR="005268C6" w:rsidRPr="00DC2C00" w:rsidRDefault="002D01CE">
      <w:pPr>
        <w:widowControl w:val="0"/>
        <w:rPr>
          <w:szCs w:val="22"/>
          <w:lang w:val="hu-HU" w:eastAsia="en-US"/>
        </w:rPr>
      </w:pPr>
      <w:r w:rsidRPr="00DC2C00">
        <w:rPr>
          <w:szCs w:val="22"/>
          <w:lang w:val="hu-HU" w:eastAsia="en-US"/>
        </w:rPr>
        <w:t>7×1, 28×1, 56×1 vagy 84×1 filmtabletta naptárjelzéses, adagonként perforált PVC/PVDC//Al buborékcsomagolásban, dobozban.</w:t>
      </w:r>
    </w:p>
    <w:p w14:paraId="49D5068C" w14:textId="77777777" w:rsidR="005268C6" w:rsidRPr="00DC2C00" w:rsidRDefault="005268C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68FB22" w14:textId="77777777" w:rsidR="005268C6" w:rsidRPr="00DC2C00" w:rsidRDefault="002D01CE">
      <w:pPr>
        <w:rPr>
          <w:szCs w:val="22"/>
          <w:lang w:val="hu-HU"/>
        </w:rPr>
      </w:pPr>
      <w:r w:rsidRPr="00DC2C00">
        <w:rPr>
          <w:szCs w:val="22"/>
          <w:lang w:val="hu-HU"/>
        </w:rPr>
        <w:t>Nem feltétlenül mindegyik kiszerelés kerül kereskedelmi forgalomba.</w:t>
      </w:r>
    </w:p>
    <w:p w14:paraId="32770BC3" w14:textId="77777777" w:rsidR="005268C6" w:rsidRPr="00DC2C00" w:rsidRDefault="005268C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0B0B76" w14:textId="77777777" w:rsidR="005268C6" w:rsidRPr="00DC2C00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C2C00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DC2C00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6EC37C9D" w14:textId="77777777" w:rsidR="005268C6" w:rsidRPr="00DC2C00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C908F91" w14:textId="77777777" w:rsidR="005268C6" w:rsidRPr="00DC2C00" w:rsidRDefault="002D01C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C2C00"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30E08352" w14:textId="77777777" w:rsidR="005268C6" w:rsidRPr="00DC2C00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01AABDE" w14:textId="77777777" w:rsidR="005268C6" w:rsidRPr="00DC2C00" w:rsidRDefault="002D01CE">
      <w:pPr>
        <w:spacing w:line="240" w:lineRule="exact"/>
        <w:rPr>
          <w:szCs w:val="22"/>
          <w:lang w:val="hu-HU"/>
        </w:rPr>
      </w:pPr>
      <w:r w:rsidRPr="00DC2C00">
        <w:rPr>
          <w:b/>
          <w:lang w:val="hu-HU"/>
        </w:rPr>
        <w:t>Megjegyzés:</w:t>
      </w:r>
      <w:r w:rsidRPr="00DC2C00">
        <w:rPr>
          <w:lang w:val="hu-HU"/>
        </w:rPr>
        <w:t xml:space="preserve"> </w:t>
      </w:r>
      <w:r>
        <w:rPr>
          <w:b/>
          <w:szCs w:val="22"/>
        </w:rPr>
        <w:sym w:font="Wingdings" w:char="F058"/>
      </w:r>
      <w:r w:rsidRPr="00DC2C00">
        <w:rPr>
          <w:szCs w:val="22"/>
          <w:lang w:val="hu-HU"/>
        </w:rPr>
        <w:t xml:space="preserve"> (egy keresztes)</w:t>
      </w:r>
    </w:p>
    <w:p w14:paraId="0A403DA4" w14:textId="77777777" w:rsidR="005268C6" w:rsidRDefault="002D01CE">
      <w:pPr>
        <w:pStyle w:val="Cmsor2"/>
        <w:rPr>
          <w:sz w:val="22"/>
        </w:rPr>
      </w:pPr>
      <w:r>
        <w:rPr>
          <w:sz w:val="22"/>
        </w:rPr>
        <w:t>Osztályozás: II. csoport</w:t>
      </w:r>
    </w:p>
    <w:p w14:paraId="5D8975D2" w14:textId="77777777" w:rsidR="005268C6" w:rsidRPr="00DC2C00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C2C00">
        <w:rPr>
          <w:lang w:val="hu-HU"/>
        </w:rPr>
        <w:t>Kizárólag orvosi rendelvényhez kötött gyógyszer (V).</w:t>
      </w:r>
    </w:p>
    <w:p w14:paraId="7D79F0CC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4A17B772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0AE57BA4" w14:textId="77777777" w:rsidR="005268C6" w:rsidRPr="00DC2C00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C2C00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C2C0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0C4F349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3EB5ED8B" w14:textId="77777777" w:rsidR="005268C6" w:rsidRPr="00DC2C00" w:rsidRDefault="002D01CE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2C00">
        <w:rPr>
          <w:bCs/>
          <w:szCs w:val="22"/>
          <w:lang w:val="hu-HU"/>
        </w:rPr>
        <w:t xml:space="preserve">KRKA, d.d., Novo mesto, </w:t>
      </w:r>
      <w:r w:rsidRPr="00DC2C00">
        <w:rPr>
          <w:szCs w:val="22"/>
          <w:lang w:val="hu-HU" w:eastAsia="en-US"/>
        </w:rPr>
        <w:t>Šmarješka</w:t>
      </w:r>
      <w:r w:rsidRPr="00DC2C00">
        <w:rPr>
          <w:bCs/>
          <w:szCs w:val="22"/>
          <w:lang w:val="hu-HU"/>
        </w:rPr>
        <w:t xml:space="preserve"> cesta 6, 8501 Novo mesto, Szlovénia</w:t>
      </w:r>
    </w:p>
    <w:p w14:paraId="6466C5E9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55C3625F" w14:textId="77777777" w:rsidR="005268C6" w:rsidRPr="00DC2C00" w:rsidRDefault="005268C6">
      <w:pPr>
        <w:tabs>
          <w:tab w:val="right" w:pos="9072"/>
        </w:tabs>
        <w:rPr>
          <w:szCs w:val="22"/>
          <w:lang w:val="hu-HU"/>
        </w:rPr>
      </w:pPr>
    </w:p>
    <w:p w14:paraId="43A1B17A" w14:textId="77777777" w:rsidR="005268C6" w:rsidRDefault="002D01C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8.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D225C6E" w14:textId="77777777" w:rsidR="005268C6" w:rsidRDefault="005268C6">
      <w:pPr>
        <w:tabs>
          <w:tab w:val="clear" w:pos="567"/>
        </w:tabs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1A40A9E7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rFonts w:eastAsia="Times New Roman"/>
          <w:noProof/>
          <w:snapToGrid/>
          <w:szCs w:val="22"/>
          <w:u w:val="single"/>
          <w:lang w:eastAsia="en-US"/>
        </w:rPr>
        <w:t>Pitilox 1 mg filmtabletta</w:t>
      </w:r>
    </w:p>
    <w:p w14:paraId="3DC2B066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OGYI-T-24438/01</w:t>
      </w:r>
      <w:r>
        <w:rPr>
          <w:rFonts w:eastAsia="Times New Roman"/>
          <w:noProof/>
          <w:snapToGrid/>
          <w:szCs w:val="22"/>
          <w:lang w:eastAsia="en-US"/>
        </w:rPr>
        <w:tab/>
        <w:t>7×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0F61CB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OGYI-T-24438/02</w:t>
      </w:r>
      <w:r>
        <w:rPr>
          <w:rFonts w:eastAsia="Times New Roman"/>
          <w:noProof/>
          <w:snapToGrid/>
          <w:szCs w:val="22"/>
          <w:lang w:eastAsia="en-US"/>
        </w:rPr>
        <w:tab/>
        <w:t>7×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2CB83BEC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OGYI-T-24438/03</w:t>
      </w:r>
      <w:r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32DFA36D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OGYI-T-24438/04</w:t>
      </w:r>
      <w:r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488D6C81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OGYI-T-24438/05</w:t>
      </w:r>
      <w:r>
        <w:rPr>
          <w:rFonts w:eastAsia="Times New Roman"/>
          <w:noProof/>
          <w:snapToGrid/>
          <w:szCs w:val="22"/>
          <w:lang w:eastAsia="en-US"/>
        </w:rPr>
        <w:tab/>
        <w:t>28×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4887DE2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OGYI-T-24438/06</w:t>
      </w:r>
      <w:r>
        <w:rPr>
          <w:rFonts w:eastAsia="Times New Roman"/>
          <w:noProof/>
          <w:snapToGrid/>
          <w:szCs w:val="22"/>
          <w:lang w:eastAsia="en-US"/>
        </w:rPr>
        <w:tab/>
        <w:t>28×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33522BF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OGYI-T-24438/07</w:t>
      </w:r>
      <w:r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726D1C5C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OGYI-T-24438/08</w:t>
      </w:r>
      <w:r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5EE5E4C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OGYI-T-24438/09</w:t>
      </w:r>
      <w:r>
        <w:rPr>
          <w:rFonts w:eastAsia="Times New Roman"/>
          <w:noProof/>
          <w:snapToGrid/>
          <w:szCs w:val="22"/>
          <w:lang w:eastAsia="en-US"/>
        </w:rPr>
        <w:tab/>
        <w:t>30×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34860A0C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OGYI-T-24438/10</w:t>
      </w:r>
      <w:r>
        <w:rPr>
          <w:rFonts w:eastAsia="Times New Roman"/>
          <w:noProof/>
          <w:snapToGrid/>
          <w:szCs w:val="22"/>
          <w:lang w:eastAsia="en-US"/>
        </w:rPr>
        <w:tab/>
        <w:t>30×1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53C35D8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OGYI-T-24438/11</w:t>
      </w:r>
      <w:r>
        <w:rPr>
          <w:rFonts w:eastAsia="Times New Roman"/>
          <w:noProof/>
          <w:snapToGrid/>
          <w:szCs w:val="22"/>
          <w:lang w:eastAsia="en-US"/>
        </w:rPr>
        <w:tab/>
        <w:t>56×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1EA5DE2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OGYI-T-24438/12</w:t>
      </w:r>
      <w:r>
        <w:rPr>
          <w:rFonts w:eastAsia="Times New Roman"/>
          <w:noProof/>
          <w:snapToGrid/>
          <w:szCs w:val="22"/>
          <w:lang w:eastAsia="en-US"/>
        </w:rPr>
        <w:tab/>
        <w:t>56×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57208CB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OGYI-T-24438/13</w:t>
      </w:r>
      <w:r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6C2BAEC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OGYI-T-24438/14</w:t>
      </w:r>
      <w:r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4789A7EE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OGYI-T-24438/15</w:t>
      </w:r>
      <w:r>
        <w:rPr>
          <w:rFonts w:eastAsia="Times New Roman"/>
          <w:noProof/>
          <w:snapToGrid/>
          <w:szCs w:val="22"/>
          <w:lang w:eastAsia="en-US"/>
        </w:rPr>
        <w:tab/>
        <w:t>60×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06FC382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OGYI-T-24438/16</w:t>
      </w:r>
      <w:r>
        <w:rPr>
          <w:rFonts w:eastAsia="Times New Roman"/>
          <w:noProof/>
          <w:snapToGrid/>
          <w:szCs w:val="22"/>
          <w:lang w:eastAsia="en-US"/>
        </w:rPr>
        <w:tab/>
        <w:t>60×1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5029F63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OGYI-T-24438/17</w:t>
      </w:r>
      <w:r>
        <w:rPr>
          <w:rFonts w:eastAsia="Times New Roman"/>
          <w:noProof/>
          <w:snapToGrid/>
          <w:szCs w:val="22"/>
          <w:lang w:eastAsia="en-US"/>
        </w:rPr>
        <w:tab/>
        <w:t>84×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0A9586E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OGYI-T-24438/18</w:t>
      </w:r>
      <w:r>
        <w:rPr>
          <w:rFonts w:eastAsia="Times New Roman"/>
          <w:noProof/>
          <w:snapToGrid/>
          <w:szCs w:val="22"/>
          <w:lang w:eastAsia="en-US"/>
        </w:rPr>
        <w:tab/>
        <w:t>84×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1BB24808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OGYI-T-24438/19</w:t>
      </w:r>
      <w:r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1822D1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OGYI-T-24438/20</w:t>
      </w:r>
      <w:r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1A092241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OGYI-T-24438/21</w:t>
      </w:r>
      <w:r>
        <w:rPr>
          <w:rFonts w:eastAsia="Times New Roman"/>
          <w:noProof/>
          <w:snapToGrid/>
          <w:szCs w:val="22"/>
          <w:lang w:eastAsia="en-US"/>
        </w:rPr>
        <w:tab/>
        <w:t>80×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6B73C8FD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OGYI-T-24438/22</w:t>
      </w:r>
      <w:r>
        <w:rPr>
          <w:rFonts w:eastAsia="Times New Roman"/>
          <w:noProof/>
          <w:snapToGrid/>
          <w:szCs w:val="22"/>
          <w:lang w:eastAsia="en-US"/>
        </w:rPr>
        <w:tab/>
        <w:t>80×1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53F286A6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OGYI-T-24438/23</w:t>
      </w:r>
      <w:r>
        <w:rPr>
          <w:rFonts w:eastAsia="Times New Roman"/>
          <w:noProof/>
          <w:snapToGrid/>
          <w:szCs w:val="22"/>
          <w:lang w:eastAsia="en-US"/>
        </w:rPr>
        <w:tab/>
        <w:t>100×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1A24682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OGYI-T-24438/24</w:t>
      </w:r>
      <w:r>
        <w:rPr>
          <w:rFonts w:eastAsia="Times New Roman"/>
          <w:noProof/>
          <w:snapToGrid/>
          <w:szCs w:val="22"/>
          <w:lang w:eastAsia="en-US"/>
        </w:rPr>
        <w:tab/>
        <w:t>100×1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1BC251E" w14:textId="77777777" w:rsidR="005268C6" w:rsidRDefault="005268C6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29E8A2ED" w14:textId="77777777" w:rsidR="005268C6" w:rsidRDefault="002D01CE" w:rsidP="00DC2C00">
      <w:pPr>
        <w:keepNext/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rFonts w:eastAsia="Times New Roman"/>
          <w:noProof/>
          <w:snapToGrid/>
          <w:szCs w:val="22"/>
          <w:u w:val="single"/>
          <w:lang w:eastAsia="en-US"/>
        </w:rPr>
        <w:lastRenderedPageBreak/>
        <w:t>Pitilox 2 mg filmtabletta</w:t>
      </w:r>
    </w:p>
    <w:p w14:paraId="5CBF2C53" w14:textId="77777777" w:rsidR="005268C6" w:rsidRDefault="002D01CE" w:rsidP="00DC2C00">
      <w:pPr>
        <w:keepNext/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OGYI-T-24438/25</w:t>
      </w:r>
      <w:r>
        <w:rPr>
          <w:rFonts w:eastAsia="Times New Roman"/>
          <w:noProof/>
          <w:snapToGrid/>
          <w:szCs w:val="22"/>
          <w:lang w:eastAsia="en-US"/>
        </w:rPr>
        <w:tab/>
        <w:t>7×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D144EE9" w14:textId="77777777" w:rsidR="005268C6" w:rsidRDefault="002D01CE" w:rsidP="00DC2C00">
      <w:pPr>
        <w:keepNext/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OGYI-T-24438/26</w:t>
      </w:r>
      <w:r>
        <w:rPr>
          <w:rFonts w:eastAsia="Times New Roman"/>
          <w:noProof/>
          <w:snapToGrid/>
          <w:szCs w:val="22"/>
          <w:lang w:eastAsia="en-US"/>
        </w:rPr>
        <w:tab/>
        <w:t>7×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7F24038D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OGYI-T-24438/27</w:t>
      </w:r>
      <w:r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3A9404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OGYI-T-24438/28</w:t>
      </w:r>
      <w:r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2F1451B1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OGYI-T-24438/29</w:t>
      </w:r>
      <w:r>
        <w:rPr>
          <w:rFonts w:eastAsia="Times New Roman"/>
          <w:noProof/>
          <w:snapToGrid/>
          <w:szCs w:val="22"/>
          <w:lang w:eastAsia="en-US"/>
        </w:rPr>
        <w:tab/>
        <w:t>28×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398EC1FA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OGYI-T-24438/30</w:t>
      </w:r>
      <w:r>
        <w:rPr>
          <w:rFonts w:eastAsia="Times New Roman"/>
          <w:noProof/>
          <w:snapToGrid/>
          <w:szCs w:val="22"/>
          <w:lang w:eastAsia="en-US"/>
        </w:rPr>
        <w:tab/>
        <w:t>28×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34B4630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OGYI-T-24438/31</w:t>
      </w:r>
      <w:r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747906F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OGYI-T-24438/32</w:t>
      </w:r>
      <w:r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5F7CAF17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OGYI-T-24438/33</w:t>
      </w:r>
      <w:r>
        <w:rPr>
          <w:rFonts w:eastAsia="Times New Roman"/>
          <w:noProof/>
          <w:snapToGrid/>
          <w:szCs w:val="22"/>
          <w:lang w:eastAsia="en-US"/>
        </w:rPr>
        <w:tab/>
        <w:t>30×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D55EB1C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OGYI-T-24438/34</w:t>
      </w:r>
      <w:r>
        <w:rPr>
          <w:rFonts w:eastAsia="Times New Roman"/>
          <w:noProof/>
          <w:snapToGrid/>
          <w:szCs w:val="22"/>
          <w:lang w:eastAsia="en-US"/>
        </w:rPr>
        <w:tab/>
        <w:t>30×1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74295E4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OGYI-T-24438/35</w:t>
      </w:r>
      <w:r>
        <w:rPr>
          <w:rFonts w:eastAsia="Times New Roman"/>
          <w:noProof/>
          <w:snapToGrid/>
          <w:szCs w:val="22"/>
          <w:lang w:eastAsia="en-US"/>
        </w:rPr>
        <w:tab/>
        <w:t>56×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21279BF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OGYI-T-24438/36</w:t>
      </w:r>
      <w:r>
        <w:rPr>
          <w:rFonts w:eastAsia="Times New Roman"/>
          <w:noProof/>
          <w:snapToGrid/>
          <w:szCs w:val="22"/>
          <w:lang w:eastAsia="en-US"/>
        </w:rPr>
        <w:tab/>
        <w:t>56×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49D577D1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OGYI-T-24438/37</w:t>
      </w:r>
      <w:r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D62684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OGYI-T-24438/38</w:t>
      </w:r>
      <w:r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6346BC49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OGYI-T-24438/39</w:t>
      </w:r>
      <w:r>
        <w:rPr>
          <w:rFonts w:eastAsia="Times New Roman"/>
          <w:noProof/>
          <w:snapToGrid/>
          <w:szCs w:val="22"/>
          <w:lang w:eastAsia="en-US"/>
        </w:rPr>
        <w:tab/>
        <w:t>60×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BB2369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OGYI-T-24438/40</w:t>
      </w:r>
      <w:r>
        <w:rPr>
          <w:rFonts w:eastAsia="Times New Roman"/>
          <w:noProof/>
          <w:snapToGrid/>
          <w:szCs w:val="22"/>
          <w:lang w:eastAsia="en-US"/>
        </w:rPr>
        <w:tab/>
        <w:t>60×1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6EE4A17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OGYI-T-24438/41</w:t>
      </w:r>
      <w:r>
        <w:rPr>
          <w:rFonts w:eastAsia="Times New Roman"/>
          <w:noProof/>
          <w:snapToGrid/>
          <w:szCs w:val="22"/>
          <w:lang w:eastAsia="en-US"/>
        </w:rPr>
        <w:tab/>
        <w:t>84×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5413E418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OGYI-T-24438/42</w:t>
      </w:r>
      <w:r>
        <w:rPr>
          <w:rFonts w:eastAsia="Times New Roman"/>
          <w:noProof/>
          <w:snapToGrid/>
          <w:szCs w:val="22"/>
          <w:lang w:eastAsia="en-US"/>
        </w:rPr>
        <w:tab/>
        <w:t>84×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1A2242AA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OGYI-T-24438/43</w:t>
      </w:r>
      <w:r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F643459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OGYI-T-24438/44</w:t>
      </w:r>
      <w:r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323903D6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OGYI-T-24438/45</w:t>
      </w:r>
      <w:r>
        <w:rPr>
          <w:rFonts w:eastAsia="Times New Roman"/>
          <w:noProof/>
          <w:snapToGrid/>
          <w:szCs w:val="22"/>
          <w:lang w:eastAsia="en-US"/>
        </w:rPr>
        <w:tab/>
        <w:t>80×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505509D9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OGYI-T-24438/46</w:t>
      </w:r>
      <w:r>
        <w:rPr>
          <w:rFonts w:eastAsia="Times New Roman"/>
          <w:noProof/>
          <w:snapToGrid/>
          <w:szCs w:val="22"/>
          <w:lang w:eastAsia="en-US"/>
        </w:rPr>
        <w:tab/>
        <w:t>80×1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6967B341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OGYI-T-24438/47</w:t>
      </w:r>
      <w:r>
        <w:rPr>
          <w:rFonts w:eastAsia="Times New Roman"/>
          <w:noProof/>
          <w:snapToGrid/>
          <w:szCs w:val="22"/>
          <w:lang w:eastAsia="en-US"/>
        </w:rPr>
        <w:tab/>
        <w:t>100×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A54B442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OGYI-T-24438/48</w:t>
      </w:r>
      <w:r>
        <w:rPr>
          <w:rFonts w:eastAsia="Times New Roman"/>
          <w:noProof/>
          <w:snapToGrid/>
          <w:szCs w:val="22"/>
          <w:lang w:eastAsia="en-US"/>
        </w:rPr>
        <w:tab/>
        <w:t>100×1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E94142E" w14:textId="77777777" w:rsidR="005268C6" w:rsidRDefault="005268C6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01D6F82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rFonts w:eastAsia="Times New Roman"/>
          <w:noProof/>
          <w:snapToGrid/>
          <w:szCs w:val="22"/>
          <w:u w:val="single"/>
          <w:lang w:eastAsia="en-US"/>
        </w:rPr>
        <w:t>Pitilox 4 mg filmtabletta</w:t>
      </w:r>
    </w:p>
    <w:p w14:paraId="2EFA1EDF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OGYI-T-24438/49</w:t>
      </w:r>
      <w:r>
        <w:rPr>
          <w:rFonts w:eastAsia="Times New Roman"/>
          <w:noProof/>
          <w:snapToGrid/>
          <w:szCs w:val="22"/>
          <w:lang w:eastAsia="en-US"/>
        </w:rPr>
        <w:tab/>
        <w:t>7×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C7F27C8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OGYI-T-24438/50</w:t>
      </w:r>
      <w:r>
        <w:rPr>
          <w:rFonts w:eastAsia="Times New Roman"/>
          <w:noProof/>
          <w:snapToGrid/>
          <w:szCs w:val="22"/>
          <w:lang w:eastAsia="en-US"/>
        </w:rPr>
        <w:tab/>
        <w:t>7×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4525FB2C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OGYI-T-24438/51</w:t>
      </w:r>
      <w:r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5D21A6D1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OGYI-T-24438/52</w:t>
      </w:r>
      <w:r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6F0985FA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OGYI-T-24438/53</w:t>
      </w:r>
      <w:r>
        <w:rPr>
          <w:rFonts w:eastAsia="Times New Roman"/>
          <w:noProof/>
          <w:snapToGrid/>
          <w:szCs w:val="22"/>
          <w:lang w:eastAsia="en-US"/>
        </w:rPr>
        <w:tab/>
        <w:t>28×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5B65B0C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OGYI-T-24438/54</w:t>
      </w:r>
      <w:r>
        <w:rPr>
          <w:rFonts w:eastAsia="Times New Roman"/>
          <w:noProof/>
          <w:snapToGrid/>
          <w:szCs w:val="22"/>
          <w:lang w:eastAsia="en-US"/>
        </w:rPr>
        <w:tab/>
        <w:t>28×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673C480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OGYI-T-24438/55</w:t>
      </w:r>
      <w:r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EA3AD5A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OGYI-T-24438/56</w:t>
      </w:r>
      <w:r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383E1EC0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OGYI-T-24438/57</w:t>
      </w:r>
      <w:r>
        <w:rPr>
          <w:rFonts w:eastAsia="Times New Roman"/>
          <w:noProof/>
          <w:snapToGrid/>
          <w:szCs w:val="22"/>
          <w:lang w:eastAsia="en-US"/>
        </w:rPr>
        <w:tab/>
        <w:t>30×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22E8969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OGYI-T-24438/58</w:t>
      </w:r>
      <w:r>
        <w:rPr>
          <w:rFonts w:eastAsia="Times New Roman"/>
          <w:noProof/>
          <w:snapToGrid/>
          <w:szCs w:val="22"/>
          <w:lang w:eastAsia="en-US"/>
        </w:rPr>
        <w:tab/>
        <w:t>30×1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E5A5CEF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OGYI-T-24438/59</w:t>
      </w:r>
      <w:r>
        <w:rPr>
          <w:rFonts w:eastAsia="Times New Roman"/>
          <w:noProof/>
          <w:snapToGrid/>
          <w:szCs w:val="22"/>
          <w:lang w:eastAsia="en-US"/>
        </w:rPr>
        <w:tab/>
        <w:t>56×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3BAC03D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OGYI-T-24438/60</w:t>
      </w:r>
      <w:r>
        <w:rPr>
          <w:rFonts w:eastAsia="Times New Roman"/>
          <w:noProof/>
          <w:snapToGrid/>
          <w:szCs w:val="22"/>
          <w:lang w:eastAsia="en-US"/>
        </w:rPr>
        <w:tab/>
        <w:t>56×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511CC9E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OGYI-T-24438/61</w:t>
      </w:r>
      <w:r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587A07C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OGYI-T-24438/62</w:t>
      </w:r>
      <w:r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5C89DA06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OGYI-T-24438/63</w:t>
      </w:r>
      <w:r>
        <w:rPr>
          <w:rFonts w:eastAsia="Times New Roman"/>
          <w:noProof/>
          <w:snapToGrid/>
          <w:szCs w:val="22"/>
          <w:lang w:eastAsia="en-US"/>
        </w:rPr>
        <w:tab/>
        <w:t>60×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F7E0BDF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OGYI-T-24438/64</w:t>
      </w:r>
      <w:r>
        <w:rPr>
          <w:rFonts w:eastAsia="Times New Roman"/>
          <w:noProof/>
          <w:snapToGrid/>
          <w:szCs w:val="22"/>
          <w:lang w:eastAsia="en-US"/>
        </w:rPr>
        <w:tab/>
        <w:t>60×1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19A2EE0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OGYI-T-24438/65</w:t>
      </w:r>
      <w:r>
        <w:rPr>
          <w:rFonts w:eastAsia="Times New Roman"/>
          <w:noProof/>
          <w:snapToGrid/>
          <w:szCs w:val="22"/>
          <w:lang w:eastAsia="en-US"/>
        </w:rPr>
        <w:tab/>
        <w:t>84×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6304F814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OGYI-T-24438/66</w:t>
      </w:r>
      <w:r>
        <w:rPr>
          <w:rFonts w:eastAsia="Times New Roman"/>
          <w:noProof/>
          <w:snapToGrid/>
          <w:szCs w:val="22"/>
          <w:lang w:eastAsia="en-US"/>
        </w:rPr>
        <w:tab/>
        <w:t>84×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50ADF3A7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OGYI-T-24438/67</w:t>
      </w:r>
      <w:r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3C692615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OGYI-T-24438/68</w:t>
      </w:r>
      <w:r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>naptárjelzéses, adagonként perforált PVC/PVDC//Al buborékcsomagolásban</w:t>
      </w:r>
    </w:p>
    <w:p w14:paraId="28E6DA5B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OGYI-T-24438/69</w:t>
      </w:r>
      <w:r>
        <w:rPr>
          <w:rFonts w:eastAsia="Times New Roman"/>
          <w:noProof/>
          <w:snapToGrid/>
          <w:szCs w:val="22"/>
          <w:lang w:eastAsia="en-US"/>
        </w:rPr>
        <w:tab/>
        <w:t>80×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3B53B006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OGYI-T-24438/70</w:t>
      </w:r>
      <w:r>
        <w:rPr>
          <w:rFonts w:eastAsia="Times New Roman"/>
          <w:noProof/>
          <w:snapToGrid/>
          <w:szCs w:val="22"/>
          <w:lang w:eastAsia="en-US"/>
        </w:rPr>
        <w:tab/>
        <w:t>80×1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4949D4A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lastRenderedPageBreak/>
        <w:t>OGYI-T-24438/71</w:t>
      </w:r>
      <w:r>
        <w:rPr>
          <w:rFonts w:eastAsia="Times New Roman"/>
          <w:noProof/>
          <w:snapToGrid/>
          <w:szCs w:val="22"/>
          <w:lang w:eastAsia="en-US"/>
        </w:rPr>
        <w:tab/>
        <w:t>100×</w:t>
      </w:r>
      <w:r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462E1D2" w14:textId="77777777" w:rsidR="005268C6" w:rsidRDefault="002D01CE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OGYI-T-24438/72</w:t>
      </w:r>
      <w:r>
        <w:rPr>
          <w:rFonts w:eastAsia="Times New Roman"/>
          <w:noProof/>
          <w:snapToGrid/>
          <w:szCs w:val="22"/>
          <w:lang w:eastAsia="en-US"/>
        </w:rPr>
        <w:tab/>
        <w:t>100×1</w:t>
      </w:r>
      <w:r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07E0923" w14:textId="77777777" w:rsidR="005268C6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7E314101" w14:textId="77777777" w:rsidR="005268C6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4297B388" w14:textId="77777777" w:rsidR="005268C6" w:rsidRDefault="002D01CE">
      <w:pPr>
        <w:spacing w:line="240" w:lineRule="auto"/>
        <w:ind w:left="567" w:hanging="567"/>
        <w:outlineLvl w:val="0"/>
        <w:rPr>
          <w:b/>
          <w:szCs w:val="22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ELSŐ KIADÁSÁNAK/ MEGÚJÍTÁSÁNAK</w:t>
      </w:r>
      <w:r>
        <w:rPr>
          <w:b/>
          <w:szCs w:val="22"/>
        </w:rPr>
        <w:t xml:space="preserve"> DÁTUMA</w:t>
      </w:r>
    </w:p>
    <w:p w14:paraId="50CF4AA3" w14:textId="77777777" w:rsidR="005268C6" w:rsidRDefault="005268C6">
      <w:pPr>
        <w:spacing w:line="240" w:lineRule="auto"/>
        <w:ind w:left="567" w:hanging="567"/>
        <w:outlineLvl w:val="0"/>
        <w:rPr>
          <w:b/>
          <w:szCs w:val="22"/>
        </w:rPr>
      </w:pPr>
    </w:p>
    <w:p w14:paraId="3B6F2E13" w14:textId="77777777" w:rsidR="005268C6" w:rsidRDefault="002D01CE">
      <w:pPr>
        <w:spacing w:line="240" w:lineRule="auto"/>
        <w:ind w:left="567" w:hanging="567"/>
        <w:outlineLvl w:val="0"/>
        <w:rPr>
          <w:b/>
          <w:szCs w:val="22"/>
        </w:rPr>
      </w:pPr>
      <w:r>
        <w:rPr>
          <w:rFonts w:eastAsia="Times New Roman"/>
          <w:noProof/>
          <w:snapToGrid/>
          <w:szCs w:val="22"/>
          <w:lang w:eastAsia="en-US"/>
        </w:rPr>
        <w:t>A forgalomba hozatali engedély első kiadásának dátuma: 2024. augusztus 14.</w:t>
      </w:r>
    </w:p>
    <w:p w14:paraId="33476718" w14:textId="77777777" w:rsidR="005268C6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54AD58A" w14:textId="77777777" w:rsidR="005268C6" w:rsidRDefault="005268C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32EEF676" w14:textId="77777777" w:rsidR="005268C6" w:rsidRDefault="002D01CE">
      <w:pPr>
        <w:spacing w:line="240" w:lineRule="auto"/>
        <w:ind w:left="567" w:hanging="567"/>
        <w:outlineLvl w:val="0"/>
        <w:rPr>
          <w:b/>
          <w:szCs w:val="22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SZÖVEG ELLENŐRZÉSÉNEK DÁTUMA</w:t>
      </w:r>
    </w:p>
    <w:p w14:paraId="1471D2DA" w14:textId="77777777" w:rsidR="005268C6" w:rsidRDefault="005268C6">
      <w:pPr>
        <w:tabs>
          <w:tab w:val="right" w:pos="9072"/>
        </w:tabs>
        <w:rPr>
          <w:szCs w:val="22"/>
        </w:rPr>
      </w:pPr>
    </w:p>
    <w:p w14:paraId="71D41F66" w14:textId="51801584" w:rsidR="005268C6" w:rsidRDefault="00A7154E">
      <w:pPr>
        <w:tabs>
          <w:tab w:val="right" w:pos="9072"/>
        </w:tabs>
        <w:rPr>
          <w:szCs w:val="22"/>
        </w:rPr>
      </w:pPr>
      <w:r>
        <w:rPr>
          <w:rFonts w:eastAsia="Times New Roman"/>
          <w:noProof/>
          <w:snapToGrid/>
          <w:szCs w:val="22"/>
          <w:lang w:eastAsia="en-US"/>
        </w:rPr>
        <w:t>2026. június 20.</w:t>
      </w:r>
    </w:p>
    <w:sectPr w:rsidR="005268C6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BBAA4" w14:textId="77777777" w:rsidR="00775FD4" w:rsidRDefault="00775FD4">
      <w:pPr>
        <w:spacing w:line="240" w:lineRule="auto"/>
      </w:pPr>
      <w:r>
        <w:separator/>
      </w:r>
    </w:p>
  </w:endnote>
  <w:endnote w:type="continuationSeparator" w:id="0">
    <w:p w14:paraId="64543D2C" w14:textId="77777777" w:rsidR="00775FD4" w:rsidRDefault="00775F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157C4" w14:textId="02C259E2" w:rsidR="005268C6" w:rsidRDefault="00AE406B">
    <w:pPr>
      <w:pStyle w:val="llb"/>
      <w:rPr>
        <w:sz w:val="18"/>
        <w:szCs w:val="18"/>
      </w:rPr>
    </w:pPr>
    <w:r w:rsidRPr="00AE406B">
      <w:rPr>
        <w:sz w:val="18"/>
        <w:szCs w:val="18"/>
      </w:rPr>
      <w:t>NNGYK/ETGY/12006/2026</w:t>
    </w:r>
  </w:p>
  <w:p w14:paraId="067E9405" w14:textId="0BA69B1D" w:rsidR="00AE406B" w:rsidRDefault="00AE406B">
    <w:pPr>
      <w:pStyle w:val="llb"/>
      <w:rPr>
        <w:sz w:val="18"/>
        <w:szCs w:val="18"/>
      </w:rPr>
    </w:pPr>
    <w:r w:rsidRPr="00AE406B">
      <w:rPr>
        <w:sz w:val="18"/>
        <w:szCs w:val="18"/>
      </w:rPr>
      <w:t>NNGYK/ETGY/1200</w:t>
    </w:r>
    <w:r>
      <w:rPr>
        <w:sz w:val="18"/>
        <w:szCs w:val="18"/>
      </w:rPr>
      <w:t>7</w:t>
    </w:r>
    <w:r w:rsidRPr="00AE406B">
      <w:rPr>
        <w:sz w:val="18"/>
        <w:szCs w:val="18"/>
      </w:rPr>
      <w:t>/2026</w:t>
    </w:r>
  </w:p>
  <w:p w14:paraId="3F803CCC" w14:textId="10FA1EE2" w:rsidR="00AE406B" w:rsidRDefault="00AE406B">
    <w:pPr>
      <w:pStyle w:val="llb"/>
      <w:rPr>
        <w:sz w:val="18"/>
        <w:szCs w:val="18"/>
      </w:rPr>
    </w:pPr>
    <w:r w:rsidRPr="00AE406B">
      <w:rPr>
        <w:sz w:val="18"/>
        <w:szCs w:val="18"/>
      </w:rPr>
      <w:t>NNGYK/ETGY/1200</w:t>
    </w:r>
    <w:r>
      <w:rPr>
        <w:sz w:val="18"/>
        <w:szCs w:val="18"/>
      </w:rPr>
      <w:t>8</w:t>
    </w:r>
    <w:r w:rsidRPr="00AE406B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24EB5" w14:textId="77777777" w:rsidR="00775FD4" w:rsidRDefault="00775FD4">
      <w:pPr>
        <w:spacing w:line="240" w:lineRule="auto"/>
      </w:pPr>
      <w:r>
        <w:separator/>
      </w:r>
    </w:p>
  </w:footnote>
  <w:footnote w:type="continuationSeparator" w:id="0">
    <w:p w14:paraId="39C8FE12" w14:textId="77777777" w:rsidR="00775FD4" w:rsidRDefault="00775F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760023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BCBEEEE" w14:textId="77777777" w:rsidR="005268C6" w:rsidRDefault="002D01CE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3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B3CE5"/>
    <w:multiLevelType w:val="hybridMultilevel"/>
    <w:tmpl w:val="F03A81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D4AE3"/>
    <w:multiLevelType w:val="hybridMultilevel"/>
    <w:tmpl w:val="792AB734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D73E0"/>
    <w:multiLevelType w:val="hybridMultilevel"/>
    <w:tmpl w:val="F962C0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345B1"/>
    <w:multiLevelType w:val="hybridMultilevel"/>
    <w:tmpl w:val="9062A7E4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B5919"/>
    <w:multiLevelType w:val="hybridMultilevel"/>
    <w:tmpl w:val="A07E6948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1731"/>
    <w:multiLevelType w:val="hybridMultilevel"/>
    <w:tmpl w:val="675218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22D7D"/>
    <w:multiLevelType w:val="hybridMultilevel"/>
    <w:tmpl w:val="A7DEA0CA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F0E07"/>
    <w:multiLevelType w:val="multilevel"/>
    <w:tmpl w:val="8C3C3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93296">
    <w:abstractNumId w:val="6"/>
  </w:num>
  <w:num w:numId="2" w16cid:durableId="866798338">
    <w:abstractNumId w:val="5"/>
  </w:num>
  <w:num w:numId="3" w16cid:durableId="836844566">
    <w:abstractNumId w:val="0"/>
  </w:num>
  <w:num w:numId="4" w16cid:durableId="1229802297">
    <w:abstractNumId w:val="3"/>
  </w:num>
  <w:num w:numId="5" w16cid:durableId="703558125">
    <w:abstractNumId w:val="1"/>
  </w:num>
  <w:num w:numId="6" w16cid:durableId="1959214354">
    <w:abstractNumId w:val="2"/>
  </w:num>
  <w:num w:numId="7" w16cid:durableId="944969204">
    <w:abstractNumId w:val="4"/>
  </w:num>
  <w:num w:numId="8" w16cid:durableId="12578627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8C6"/>
    <w:rsid w:val="000D4D19"/>
    <w:rsid w:val="001515B9"/>
    <w:rsid w:val="001606D7"/>
    <w:rsid w:val="00181692"/>
    <w:rsid w:val="001A3C69"/>
    <w:rsid w:val="002D01CE"/>
    <w:rsid w:val="0040282D"/>
    <w:rsid w:val="0041087F"/>
    <w:rsid w:val="00460006"/>
    <w:rsid w:val="005268C6"/>
    <w:rsid w:val="006D69FB"/>
    <w:rsid w:val="00745585"/>
    <w:rsid w:val="00775FD4"/>
    <w:rsid w:val="007B78EF"/>
    <w:rsid w:val="00822AFE"/>
    <w:rsid w:val="008D24DD"/>
    <w:rsid w:val="00A32B90"/>
    <w:rsid w:val="00A7154E"/>
    <w:rsid w:val="00AB3CCB"/>
    <w:rsid w:val="00AD4FDE"/>
    <w:rsid w:val="00AE406B"/>
    <w:rsid w:val="00B316E6"/>
    <w:rsid w:val="00BF7D53"/>
    <w:rsid w:val="00C8224B"/>
    <w:rsid w:val="00D907ED"/>
    <w:rsid w:val="00DC2C00"/>
    <w:rsid w:val="00EB7AAB"/>
    <w:rsid w:val="00F55456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D3638"/>
  <w15:chartTrackingRefBased/>
  <w15:docId w15:val="{7BD22FF4-B339-43E9-A069-2EA1F0E5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hAnsi="Times New Roman" w:cs="Times New Roman"/>
      <w:snapToGrid w:val="0"/>
      <w:szCs w:val="20"/>
      <w:lang w:val="en-GB" w:eastAsia="zh-CN"/>
    </w:rPr>
  </w:style>
  <w:style w:type="paragraph" w:styleId="Cmsor2">
    <w:name w:val="heading 2"/>
    <w:basedOn w:val="Norml"/>
    <w:next w:val="Norml"/>
    <w:link w:val="Cmsor2Char"/>
    <w:qFormat/>
    <w:pPr>
      <w:keepNext/>
      <w:tabs>
        <w:tab w:val="clear" w:pos="567"/>
      </w:tabs>
      <w:spacing w:line="240" w:lineRule="auto"/>
      <w:outlineLvl w:val="1"/>
    </w:pPr>
    <w:rPr>
      <w:rFonts w:eastAsia="Times New Roman"/>
      <w:b/>
      <w:bCs/>
      <w:snapToGrid/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Pr>
      <w:i/>
      <w:iCs/>
    </w:rPr>
  </w:style>
  <w:style w:type="paragraph" w:styleId="Szvegtrzs">
    <w:name w:val="Body Text"/>
    <w:basedOn w:val="Norml"/>
    <w:link w:val="SzvegtrzsChar"/>
    <w:pPr>
      <w:widowControl w:val="0"/>
      <w:tabs>
        <w:tab w:val="clear" w:pos="567"/>
      </w:tabs>
      <w:suppressAutoHyphens/>
      <w:spacing w:after="120" w:line="240" w:lineRule="auto"/>
    </w:pPr>
    <w:rPr>
      <w:rFonts w:eastAsia="HG Mincho Light J"/>
      <w:snapToGrid/>
      <w:color w:val="000000"/>
      <w:sz w:val="24"/>
      <w:szCs w:val="24"/>
      <w:lang w:val="hu-HU"/>
    </w:rPr>
  </w:style>
  <w:style w:type="character" w:customStyle="1" w:styleId="SzvegtrzsChar">
    <w:name w:val="Szövegtörzs Char"/>
    <w:basedOn w:val="Bekezdsalapbettpusa"/>
    <w:link w:val="Szvegtrzs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/>
    </w:rPr>
  </w:style>
  <w:style w:type="paragraph" w:styleId="Listaszerbekezds">
    <w:name w:val="List Paragraph"/>
    <w:basedOn w:val="Norml"/>
    <w:uiPriority w:val="1"/>
    <w:qFormat/>
    <w:pPr>
      <w:snapToGrid w:val="0"/>
      <w:ind w:left="720"/>
      <w:contextualSpacing/>
    </w:pPr>
    <w:rPr>
      <w:snapToGrid/>
    </w:r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character" w:customStyle="1" w:styleId="Cmsor2Char">
    <w:name w:val="Címsor 2 Char"/>
    <w:basedOn w:val="Bekezdsalapbettpusa"/>
    <w:link w:val="Cmsor2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Pr>
      <w:color w:val="954F72" w:themeColor="followed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31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189720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968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7350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3390898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3441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9958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411576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9101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93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373818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2698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6246</Words>
  <Characters>43105</Characters>
  <Application>Microsoft Office Word</Application>
  <DocSecurity>0</DocSecurity>
  <Lines>359</Lines>
  <Paragraphs>98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HU_OGYI_64.1</cp:lastModifiedBy>
  <cp:revision>4</cp:revision>
  <dcterms:created xsi:type="dcterms:W3CDTF">2026-07-08T07:37:00Z</dcterms:created>
  <dcterms:modified xsi:type="dcterms:W3CDTF">2026-07-13T07:45:00Z</dcterms:modified>
</cp:coreProperties>
</file>