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70734E" w14:textId="77777777" w:rsidR="009F5F6A" w:rsidRDefault="00962A10">
      <w:pPr>
        <w:widowControl w:val="0"/>
        <w:spacing w:line="240" w:lineRule="auto"/>
        <w:rPr>
          <w:lang w:val="hu-HU"/>
        </w:rPr>
      </w:pPr>
      <w:r>
        <w:rPr>
          <w:rFonts w:eastAsia="Times New Roman"/>
          <w:b/>
          <w:noProof/>
          <w:snapToGrid/>
          <w:szCs w:val="22"/>
          <w:lang w:val="hu-HU" w:eastAsia="en-US"/>
        </w:rPr>
        <w:t>1.</w:t>
      </w:r>
      <w:r>
        <w:rPr>
          <w:rFonts w:eastAsia="Times New Roman"/>
          <w:b/>
          <w:noProof/>
          <w:snapToGrid/>
          <w:szCs w:val="22"/>
          <w:lang w:val="hu-HU" w:eastAsia="en-US"/>
        </w:rPr>
        <w:tab/>
        <w:t>A GYÓGYSZER NEVE</w:t>
      </w:r>
    </w:p>
    <w:p w14:paraId="160426EB" w14:textId="77777777" w:rsidR="009F5F6A" w:rsidRDefault="009F5F6A">
      <w:pPr>
        <w:widowControl w:val="0"/>
        <w:spacing w:line="240" w:lineRule="auto"/>
        <w:rPr>
          <w:rFonts w:eastAsia="Times New Roman"/>
          <w:noProof/>
          <w:snapToGrid/>
          <w:szCs w:val="22"/>
          <w:lang w:val="hu-HU" w:eastAsia="en-US"/>
        </w:rPr>
      </w:pPr>
    </w:p>
    <w:p w14:paraId="3855C5F6" w14:textId="77777777" w:rsidR="009F5F6A" w:rsidRDefault="00962A10">
      <w:pPr>
        <w:widowControl w:val="0"/>
        <w:spacing w:line="240" w:lineRule="auto"/>
        <w:rPr>
          <w:rFonts w:eastAsia="Times New Roman"/>
          <w:noProof/>
          <w:snapToGrid/>
          <w:szCs w:val="22"/>
          <w:lang w:val="hu-HU" w:eastAsia="en-US"/>
        </w:rPr>
      </w:pPr>
      <w:r>
        <w:rPr>
          <w:rFonts w:eastAsia="Times New Roman"/>
          <w:noProof/>
          <w:snapToGrid/>
          <w:szCs w:val="22"/>
          <w:lang w:val="hu-HU" w:eastAsia="en-US"/>
        </w:rPr>
        <w:t>Eltrombopag Krka 25 mg filmtabletta</w:t>
      </w:r>
    </w:p>
    <w:p w14:paraId="4D9837DF" w14:textId="77777777" w:rsidR="009F5F6A" w:rsidRDefault="00962A10">
      <w:pPr>
        <w:widowControl w:val="0"/>
        <w:spacing w:line="240" w:lineRule="auto"/>
        <w:rPr>
          <w:rFonts w:eastAsia="Times New Roman"/>
          <w:noProof/>
          <w:snapToGrid/>
          <w:szCs w:val="22"/>
          <w:lang w:val="hu-HU" w:eastAsia="en-US"/>
        </w:rPr>
      </w:pPr>
      <w:r>
        <w:rPr>
          <w:rFonts w:eastAsia="Times New Roman"/>
          <w:noProof/>
          <w:snapToGrid/>
          <w:szCs w:val="22"/>
          <w:lang w:val="hu-HU" w:eastAsia="en-US"/>
        </w:rPr>
        <w:t>Eltrombopag Krka 50 mg filmtabletta</w:t>
      </w:r>
    </w:p>
    <w:p w14:paraId="63A4471E" w14:textId="77777777" w:rsidR="009F5F6A" w:rsidRDefault="00962A10">
      <w:pPr>
        <w:widowControl w:val="0"/>
        <w:spacing w:line="240" w:lineRule="auto"/>
        <w:rPr>
          <w:rFonts w:eastAsia="Times New Roman"/>
          <w:noProof/>
          <w:snapToGrid/>
          <w:szCs w:val="22"/>
          <w:lang w:val="hu-HU" w:eastAsia="en-US"/>
        </w:rPr>
      </w:pPr>
      <w:r>
        <w:rPr>
          <w:rFonts w:eastAsia="Times New Roman"/>
          <w:noProof/>
          <w:snapToGrid/>
          <w:szCs w:val="22"/>
          <w:lang w:val="hu-HU" w:eastAsia="en-US"/>
        </w:rPr>
        <w:t>Eltrombopag Krka 75 mg filmtabletta</w:t>
      </w:r>
    </w:p>
    <w:p w14:paraId="30493353" w14:textId="77777777" w:rsidR="009F5F6A" w:rsidRDefault="009F5F6A">
      <w:pPr>
        <w:spacing w:line="240" w:lineRule="auto"/>
        <w:rPr>
          <w:lang w:val="hu-HU"/>
        </w:rPr>
      </w:pPr>
    </w:p>
    <w:p w14:paraId="0342C070" w14:textId="77777777" w:rsidR="009F5F6A" w:rsidRDefault="009F5F6A">
      <w:pPr>
        <w:widowControl w:val="0"/>
        <w:spacing w:line="240" w:lineRule="auto"/>
        <w:rPr>
          <w:rFonts w:eastAsia="Times New Roman"/>
          <w:noProof/>
          <w:snapToGrid/>
          <w:szCs w:val="22"/>
          <w:lang w:val="hu-HU" w:eastAsia="en-US"/>
        </w:rPr>
      </w:pPr>
    </w:p>
    <w:p w14:paraId="32DD2E87" w14:textId="77777777" w:rsidR="009F5F6A" w:rsidRDefault="00962A10">
      <w:pPr>
        <w:widowControl w:val="0"/>
        <w:spacing w:line="240" w:lineRule="auto"/>
        <w:rPr>
          <w:b/>
          <w:lang w:val="hu-HU"/>
        </w:rPr>
      </w:pPr>
      <w:r>
        <w:rPr>
          <w:b/>
          <w:lang w:val="hu-HU"/>
        </w:rPr>
        <w:t>2.</w:t>
      </w:r>
      <w:r>
        <w:rPr>
          <w:b/>
          <w:lang w:val="hu-HU"/>
        </w:rPr>
        <w:tab/>
        <w:t>MINŐSÉGI ÉS MENNYISÉGI ÖSSZETÉTEL</w:t>
      </w:r>
    </w:p>
    <w:p w14:paraId="6A4EC078" w14:textId="77777777" w:rsidR="009F5F6A" w:rsidRDefault="009F5F6A">
      <w:pPr>
        <w:widowControl w:val="0"/>
        <w:spacing w:line="240" w:lineRule="auto"/>
        <w:rPr>
          <w:rFonts w:eastAsia="Times New Roman"/>
          <w:b/>
          <w:noProof/>
          <w:snapToGrid/>
          <w:szCs w:val="22"/>
          <w:lang w:val="hu-HU" w:eastAsia="en-US"/>
        </w:rPr>
      </w:pPr>
    </w:p>
    <w:p w14:paraId="6A3A9AC0"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25 mg filmtabletta</w:t>
      </w:r>
    </w:p>
    <w:p w14:paraId="654FABD0" w14:textId="77777777" w:rsidR="009F5F6A" w:rsidRDefault="00962A10">
      <w:pPr>
        <w:widowControl w:val="0"/>
        <w:spacing w:line="240" w:lineRule="auto"/>
        <w:rPr>
          <w:rFonts w:eastAsia="Times New Roman"/>
          <w:noProof/>
          <w:snapToGrid/>
          <w:szCs w:val="22"/>
          <w:lang w:val="hu-HU" w:eastAsia="en-US"/>
        </w:rPr>
      </w:pPr>
      <w:r>
        <w:rPr>
          <w:rFonts w:eastAsia="Times New Roman"/>
          <w:noProof/>
          <w:snapToGrid/>
          <w:szCs w:val="22"/>
          <w:lang w:val="hu-HU" w:eastAsia="en-US"/>
        </w:rPr>
        <w:t>25 mg eltrombopagot tartalmaz (eltrombopag-olamin formájában) filmtablettánként.</w:t>
      </w:r>
    </w:p>
    <w:p w14:paraId="3C7F3244" w14:textId="77777777" w:rsidR="009F5F6A" w:rsidRDefault="009F5F6A">
      <w:pPr>
        <w:widowControl w:val="0"/>
        <w:spacing w:line="240" w:lineRule="auto"/>
        <w:rPr>
          <w:rFonts w:eastAsia="Times New Roman"/>
          <w:noProof/>
          <w:snapToGrid/>
          <w:szCs w:val="22"/>
          <w:lang w:val="hu-HU" w:eastAsia="en-US"/>
        </w:rPr>
      </w:pPr>
    </w:p>
    <w:p w14:paraId="76B81D29"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50 mg filmtabletta</w:t>
      </w:r>
    </w:p>
    <w:p w14:paraId="1043B285" w14:textId="77777777" w:rsidR="009F5F6A" w:rsidRDefault="00962A10">
      <w:pPr>
        <w:widowControl w:val="0"/>
        <w:spacing w:line="240" w:lineRule="auto"/>
        <w:rPr>
          <w:rFonts w:eastAsia="Times New Roman"/>
          <w:noProof/>
          <w:snapToGrid/>
          <w:szCs w:val="22"/>
          <w:lang w:val="hu-HU" w:eastAsia="en-US"/>
        </w:rPr>
      </w:pPr>
      <w:r>
        <w:rPr>
          <w:rFonts w:eastAsia="Times New Roman"/>
          <w:noProof/>
          <w:snapToGrid/>
          <w:szCs w:val="22"/>
          <w:lang w:val="hu-HU" w:eastAsia="en-US"/>
        </w:rPr>
        <w:t>50 mg eltrombopagot tartalmaz (eltrombopag-olamin formájában) filmtablettánként.</w:t>
      </w:r>
    </w:p>
    <w:p w14:paraId="10245F47" w14:textId="77777777" w:rsidR="009F5F6A" w:rsidRDefault="009F5F6A">
      <w:pPr>
        <w:widowControl w:val="0"/>
        <w:spacing w:line="240" w:lineRule="auto"/>
        <w:rPr>
          <w:rFonts w:eastAsia="Times New Roman"/>
          <w:noProof/>
          <w:snapToGrid/>
          <w:szCs w:val="22"/>
          <w:lang w:val="hu-HU" w:eastAsia="en-US"/>
        </w:rPr>
      </w:pPr>
    </w:p>
    <w:p w14:paraId="5E67DACB"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75 mg filmtabletta</w:t>
      </w:r>
    </w:p>
    <w:p w14:paraId="514179D5" w14:textId="77777777" w:rsidR="009F5F6A" w:rsidRDefault="00962A10">
      <w:pPr>
        <w:widowControl w:val="0"/>
        <w:spacing w:line="240" w:lineRule="auto"/>
        <w:rPr>
          <w:rFonts w:eastAsia="Times New Roman"/>
          <w:noProof/>
          <w:snapToGrid/>
          <w:szCs w:val="22"/>
          <w:lang w:val="hu-HU" w:eastAsia="en-US"/>
        </w:rPr>
      </w:pPr>
      <w:r>
        <w:rPr>
          <w:rFonts w:eastAsia="Times New Roman"/>
          <w:noProof/>
          <w:snapToGrid/>
          <w:szCs w:val="22"/>
          <w:lang w:val="hu-HU" w:eastAsia="en-US"/>
        </w:rPr>
        <w:t>75 mg eltrombopagot tartalmaz (eltrombopag-olamin formájában) filmtablettánként.</w:t>
      </w:r>
    </w:p>
    <w:p w14:paraId="57EBC348" w14:textId="77777777" w:rsidR="009F5F6A" w:rsidRDefault="009F5F6A">
      <w:pPr>
        <w:widowControl w:val="0"/>
        <w:spacing w:line="240" w:lineRule="auto"/>
        <w:rPr>
          <w:rFonts w:eastAsia="Times New Roman"/>
          <w:noProof/>
          <w:snapToGrid/>
          <w:szCs w:val="22"/>
          <w:lang w:val="hu-HU" w:eastAsia="en-US"/>
        </w:rPr>
      </w:pPr>
    </w:p>
    <w:p w14:paraId="0AAF985F" w14:textId="77777777" w:rsidR="009F5F6A" w:rsidRDefault="009F5F6A">
      <w:pPr>
        <w:pStyle w:val="EMEAEnBodyText"/>
        <w:autoSpaceDE w:val="0"/>
        <w:autoSpaceDN w:val="0"/>
        <w:adjustRightInd w:val="0"/>
        <w:spacing w:before="0" w:after="0"/>
        <w:rPr>
          <w:bCs/>
          <w:noProof/>
          <w:szCs w:val="22"/>
          <w:lang w:val="hu-HU"/>
        </w:rPr>
      </w:pPr>
    </w:p>
    <w:p w14:paraId="0D75279E" w14:textId="77777777" w:rsidR="009F5F6A" w:rsidRDefault="00962A10">
      <w:pPr>
        <w:pStyle w:val="EMEAEnBodyText"/>
        <w:autoSpaceDE w:val="0"/>
        <w:autoSpaceDN w:val="0"/>
        <w:adjustRightInd w:val="0"/>
        <w:spacing w:before="0" w:after="0"/>
        <w:rPr>
          <w:bCs/>
          <w:noProof/>
          <w:szCs w:val="22"/>
          <w:lang w:val="hu-HU"/>
        </w:rPr>
      </w:pPr>
      <w:r>
        <w:rPr>
          <w:lang w:val="hu-HU"/>
        </w:rPr>
        <w:t xml:space="preserve">A segédanyagok teljes </w:t>
      </w:r>
      <w:r>
        <w:rPr>
          <w:bCs/>
          <w:noProof/>
          <w:szCs w:val="22"/>
          <w:lang w:val="hu-HU"/>
        </w:rPr>
        <w:t>listáját</w:t>
      </w:r>
      <w:r>
        <w:rPr>
          <w:lang w:val="hu-HU"/>
        </w:rPr>
        <w:t xml:space="preserve"> lásd a 6.1 pontban</w:t>
      </w:r>
      <w:r>
        <w:rPr>
          <w:bCs/>
          <w:noProof/>
          <w:szCs w:val="22"/>
          <w:lang w:val="hu-HU"/>
        </w:rPr>
        <w:t>.</w:t>
      </w:r>
    </w:p>
    <w:p w14:paraId="627D873A" w14:textId="77777777" w:rsidR="009F5F6A" w:rsidRDefault="009F5F6A">
      <w:pPr>
        <w:pStyle w:val="EMEAEnBodyText"/>
        <w:autoSpaceDE w:val="0"/>
        <w:autoSpaceDN w:val="0"/>
        <w:adjustRightInd w:val="0"/>
        <w:spacing w:before="0" w:after="0"/>
        <w:rPr>
          <w:lang w:val="hu-HU"/>
        </w:rPr>
      </w:pPr>
    </w:p>
    <w:p w14:paraId="04B9AA12" w14:textId="77777777" w:rsidR="009F5F6A" w:rsidRDefault="009F5F6A">
      <w:pPr>
        <w:widowControl w:val="0"/>
        <w:spacing w:line="240" w:lineRule="auto"/>
        <w:rPr>
          <w:b/>
          <w:lang w:val="hu-HU"/>
        </w:rPr>
      </w:pPr>
    </w:p>
    <w:p w14:paraId="61BE1A87" w14:textId="77777777" w:rsidR="009F5F6A" w:rsidRDefault="00962A10">
      <w:pPr>
        <w:spacing w:line="240" w:lineRule="auto"/>
        <w:ind w:left="567" w:hanging="567"/>
        <w:rPr>
          <w:rFonts w:eastAsia="Times New Roman"/>
          <w:b/>
          <w:noProof/>
          <w:snapToGrid/>
          <w:szCs w:val="22"/>
          <w:lang w:val="hu-HU" w:eastAsia="en-US"/>
        </w:rPr>
      </w:pPr>
      <w:r>
        <w:rPr>
          <w:rFonts w:eastAsia="Times New Roman"/>
          <w:b/>
          <w:noProof/>
          <w:snapToGrid/>
          <w:szCs w:val="22"/>
          <w:lang w:val="hu-HU" w:eastAsia="en-US"/>
        </w:rPr>
        <w:t>3.</w:t>
      </w:r>
      <w:r>
        <w:rPr>
          <w:rFonts w:eastAsia="Times New Roman"/>
          <w:b/>
          <w:noProof/>
          <w:snapToGrid/>
          <w:szCs w:val="22"/>
          <w:lang w:val="hu-HU" w:eastAsia="en-US"/>
        </w:rPr>
        <w:tab/>
        <w:t>GYÓGYSZERFORMA</w:t>
      </w:r>
    </w:p>
    <w:p w14:paraId="550C8A67" w14:textId="77777777" w:rsidR="009F5F6A" w:rsidRDefault="009F5F6A">
      <w:pPr>
        <w:spacing w:line="240" w:lineRule="auto"/>
        <w:ind w:left="567" w:hanging="567"/>
        <w:rPr>
          <w:b/>
          <w:lang w:val="hu-HU"/>
        </w:rPr>
      </w:pPr>
    </w:p>
    <w:p w14:paraId="5D2677B2" w14:textId="77777777" w:rsidR="009F5F6A" w:rsidRDefault="00962A10">
      <w:pPr>
        <w:spacing w:line="240" w:lineRule="auto"/>
        <w:ind w:left="567" w:hanging="567"/>
        <w:rPr>
          <w:lang w:val="hu-HU" w:eastAsia="en-US"/>
        </w:rPr>
      </w:pPr>
      <w:r>
        <w:rPr>
          <w:lang w:val="hu-HU" w:eastAsia="en-US"/>
        </w:rPr>
        <w:t>Filmtabletta.</w:t>
      </w:r>
    </w:p>
    <w:p w14:paraId="27CABF2F" w14:textId="77777777" w:rsidR="009F5F6A" w:rsidRDefault="009F5F6A">
      <w:pPr>
        <w:spacing w:line="240" w:lineRule="auto"/>
        <w:ind w:left="567" w:hanging="567"/>
        <w:rPr>
          <w:b/>
          <w:lang w:val="hu-HU"/>
        </w:rPr>
      </w:pPr>
    </w:p>
    <w:p w14:paraId="2815278C"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25 mg filmtabletta</w:t>
      </w:r>
    </w:p>
    <w:p w14:paraId="4E9AE58C" w14:textId="034A4893" w:rsidR="009F5F6A" w:rsidRDefault="00962A10">
      <w:pPr>
        <w:widowControl w:val="0"/>
        <w:spacing w:line="240" w:lineRule="auto"/>
        <w:rPr>
          <w:rFonts w:eastAsia="Times New Roman"/>
          <w:noProof/>
          <w:snapToGrid/>
          <w:szCs w:val="22"/>
          <w:lang w:val="hu-HU" w:eastAsia="en-US"/>
        </w:rPr>
      </w:pPr>
      <w:r>
        <w:rPr>
          <w:rFonts w:eastAsia="Times New Roman"/>
          <w:noProof/>
          <w:snapToGrid/>
          <w:szCs w:val="22"/>
          <w:lang w:val="hu-HU" w:eastAsia="en-US"/>
        </w:rPr>
        <w:t xml:space="preserve">Fehér </w:t>
      </w:r>
      <w:r w:rsidR="00C67DB1">
        <w:rPr>
          <w:rFonts w:eastAsia="Times New Roman"/>
          <w:noProof/>
          <w:snapToGrid/>
          <w:szCs w:val="22"/>
          <w:lang w:val="hu-HU" w:eastAsia="en-US"/>
        </w:rPr>
        <w:t>vagy csaknem fehér színű,</w:t>
      </w:r>
      <w:r w:rsidR="002440F3">
        <w:rPr>
          <w:rFonts w:eastAsia="Times New Roman"/>
          <w:noProof/>
          <w:snapToGrid/>
          <w:szCs w:val="22"/>
          <w:lang w:val="hu-HU" w:eastAsia="en-US"/>
        </w:rPr>
        <w:t xml:space="preserve"> </w:t>
      </w:r>
      <w:r w:rsidR="00C67DB1">
        <w:rPr>
          <w:rFonts w:eastAsia="Times New Roman"/>
          <w:noProof/>
          <w:snapToGrid/>
          <w:szCs w:val="22"/>
          <w:lang w:val="hu-HU" w:eastAsia="en-US"/>
        </w:rPr>
        <w:t>kerek,</w:t>
      </w:r>
      <w:r>
        <w:rPr>
          <w:rFonts w:eastAsia="Times New Roman"/>
          <w:noProof/>
          <w:snapToGrid/>
          <w:szCs w:val="22"/>
          <w:lang w:val="hu-HU" w:eastAsia="en-US"/>
        </w:rPr>
        <w:t xml:space="preserve"> megközelítőleg 7 mm átmérőjű, mindkét oldalán domború felületű, egyik oldalán mélynyomású „25” jelöléssel ellátott filmtabletta </w:t>
      </w:r>
    </w:p>
    <w:p w14:paraId="276514D6" w14:textId="77777777" w:rsidR="009F5F6A" w:rsidRDefault="009F5F6A">
      <w:pPr>
        <w:widowControl w:val="0"/>
        <w:spacing w:line="240" w:lineRule="auto"/>
        <w:rPr>
          <w:rFonts w:eastAsia="Times New Roman"/>
          <w:noProof/>
          <w:snapToGrid/>
          <w:szCs w:val="22"/>
          <w:lang w:val="hu-HU" w:eastAsia="en-US"/>
        </w:rPr>
      </w:pPr>
    </w:p>
    <w:p w14:paraId="6BDD1B93"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50 mg filmtabletta</w:t>
      </w:r>
    </w:p>
    <w:p w14:paraId="1C77BB55" w14:textId="77777777" w:rsidR="009F5F6A" w:rsidRDefault="00962A10">
      <w:pPr>
        <w:rPr>
          <w:rFonts w:eastAsia="Times New Roman"/>
          <w:noProof/>
          <w:snapToGrid/>
          <w:szCs w:val="22"/>
          <w:lang w:val="hu-HU" w:eastAsia="en-US"/>
        </w:rPr>
      </w:pPr>
      <w:r>
        <w:rPr>
          <w:rFonts w:eastAsia="Times New Roman"/>
          <w:noProof/>
          <w:snapToGrid/>
          <w:szCs w:val="22"/>
          <w:lang w:val="hu-HU" w:eastAsia="en-US"/>
        </w:rPr>
        <w:t>Barna színű, kerek, megközelítőleg 10 mm átmérőjű, mindkét oldalán domború felületű, egyik oldalán mélynyomású „50” jelöléssel ellátott filmtabletta.</w:t>
      </w:r>
    </w:p>
    <w:p w14:paraId="385A7921" w14:textId="77777777" w:rsidR="009F5F6A" w:rsidRDefault="009F5F6A">
      <w:pPr>
        <w:widowControl w:val="0"/>
        <w:spacing w:line="240" w:lineRule="auto"/>
        <w:rPr>
          <w:rFonts w:eastAsia="Times New Roman"/>
          <w:noProof/>
          <w:snapToGrid/>
          <w:szCs w:val="22"/>
          <w:u w:val="single"/>
          <w:lang w:val="hu-HU" w:eastAsia="en-US"/>
        </w:rPr>
      </w:pPr>
    </w:p>
    <w:p w14:paraId="01E5CB3F" w14:textId="77777777" w:rsidR="009F5F6A" w:rsidRDefault="009F5F6A">
      <w:pPr>
        <w:widowControl w:val="0"/>
        <w:spacing w:line="240" w:lineRule="auto"/>
        <w:rPr>
          <w:rFonts w:eastAsia="Times New Roman"/>
          <w:noProof/>
          <w:snapToGrid/>
          <w:szCs w:val="22"/>
          <w:u w:val="single"/>
          <w:lang w:val="hu-HU" w:eastAsia="en-US"/>
        </w:rPr>
      </w:pPr>
    </w:p>
    <w:p w14:paraId="67B2E4B6"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75 mg filmtabletta</w:t>
      </w:r>
    </w:p>
    <w:p w14:paraId="54FCF621" w14:textId="77777777" w:rsidR="009F5F6A" w:rsidRDefault="00962A10">
      <w:pPr>
        <w:autoSpaceDE w:val="0"/>
        <w:autoSpaceDN w:val="0"/>
        <w:adjustRightInd w:val="0"/>
        <w:spacing w:line="240" w:lineRule="auto"/>
        <w:jc w:val="both"/>
        <w:rPr>
          <w:lang w:val="hu-HU"/>
        </w:rPr>
      </w:pPr>
      <w:r>
        <w:rPr>
          <w:rFonts w:eastAsia="Times New Roman"/>
          <w:noProof/>
          <w:snapToGrid/>
          <w:szCs w:val="22"/>
          <w:lang w:val="hu-HU" w:eastAsia="en-US"/>
        </w:rPr>
        <w:t>Rózsaszín színű, kerek, megközelítőleg 11 mm átmérőjű, mindkét oldalán domború felületű, egyik oldalán mélynyomású „75” jelöléssel ellátott filmtabletta.</w:t>
      </w:r>
    </w:p>
    <w:p w14:paraId="077B42EF" w14:textId="77777777" w:rsidR="009F5F6A" w:rsidRDefault="009F5F6A">
      <w:pPr>
        <w:autoSpaceDE w:val="0"/>
        <w:autoSpaceDN w:val="0"/>
        <w:adjustRightInd w:val="0"/>
        <w:spacing w:line="240" w:lineRule="auto"/>
        <w:jc w:val="both"/>
        <w:rPr>
          <w:lang w:val="hu-HU"/>
        </w:rPr>
      </w:pPr>
    </w:p>
    <w:p w14:paraId="1EC3705E" w14:textId="77777777" w:rsidR="009F5F6A" w:rsidRDefault="009F5F6A">
      <w:pPr>
        <w:spacing w:line="240" w:lineRule="auto"/>
        <w:rPr>
          <w:lang w:val="hu-HU"/>
        </w:rPr>
      </w:pPr>
    </w:p>
    <w:p w14:paraId="4ABA79B3" w14:textId="77777777" w:rsidR="009F5F6A" w:rsidRDefault="00962A10">
      <w:pPr>
        <w:spacing w:line="240" w:lineRule="auto"/>
        <w:ind w:left="567" w:hanging="567"/>
        <w:outlineLvl w:val="0"/>
        <w:rPr>
          <w:b/>
          <w:lang w:val="hu-HU"/>
        </w:rPr>
      </w:pPr>
      <w:r>
        <w:rPr>
          <w:b/>
          <w:lang w:val="hu-HU"/>
        </w:rPr>
        <w:t>4.</w:t>
      </w:r>
      <w:r>
        <w:rPr>
          <w:b/>
          <w:lang w:val="hu-HU"/>
        </w:rPr>
        <w:tab/>
        <w:t>KLINIKAI JELLEMZŐK</w:t>
      </w:r>
    </w:p>
    <w:p w14:paraId="6EDBA0AA" w14:textId="77777777" w:rsidR="009F5F6A" w:rsidRDefault="009F5F6A">
      <w:pPr>
        <w:spacing w:line="240" w:lineRule="auto"/>
        <w:ind w:left="567" w:hanging="567"/>
        <w:outlineLvl w:val="0"/>
        <w:rPr>
          <w:b/>
          <w:lang w:val="hu-HU"/>
        </w:rPr>
      </w:pPr>
    </w:p>
    <w:p w14:paraId="7AAF9563"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4.1</w:t>
      </w:r>
      <w:r>
        <w:rPr>
          <w:rFonts w:eastAsia="Times New Roman"/>
          <w:b/>
          <w:noProof/>
          <w:snapToGrid/>
          <w:szCs w:val="22"/>
          <w:lang w:val="hu-HU" w:eastAsia="en-US"/>
        </w:rPr>
        <w:tab/>
        <w:t>Terápiás javallatok</w:t>
      </w:r>
    </w:p>
    <w:p w14:paraId="3D02EC14" w14:textId="77777777" w:rsidR="009F5F6A" w:rsidRDefault="009F5F6A">
      <w:pPr>
        <w:spacing w:line="240" w:lineRule="auto"/>
        <w:ind w:left="567" w:hanging="567"/>
        <w:outlineLvl w:val="0"/>
        <w:rPr>
          <w:b/>
          <w:lang w:val="hu-HU"/>
        </w:rPr>
      </w:pPr>
    </w:p>
    <w:p w14:paraId="34279182" w14:textId="77777777"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Az Eltrombopag Krka primer immun thrombocytopenia (ITP) kezelésére javallott olyan felnőtt betegeknél, akik más kezelésekre (pl. kortikoszteroidok, immunglobulinok) nem reagálnak (lásd 4.2 és 5.1 pont).</w:t>
      </w:r>
    </w:p>
    <w:p w14:paraId="6D0604B0" w14:textId="77777777" w:rsidR="009F5F6A" w:rsidRDefault="009F5F6A">
      <w:pPr>
        <w:spacing w:line="240" w:lineRule="auto"/>
        <w:rPr>
          <w:rFonts w:eastAsia="Times New Roman"/>
          <w:noProof/>
          <w:snapToGrid/>
          <w:szCs w:val="22"/>
          <w:lang w:val="hu-HU" w:eastAsia="en-US"/>
        </w:rPr>
      </w:pPr>
    </w:p>
    <w:p w14:paraId="1AEEB353" w14:textId="77777777" w:rsidR="009F5F6A" w:rsidRDefault="00962A10">
      <w:pPr>
        <w:spacing w:line="240" w:lineRule="auto"/>
        <w:rPr>
          <w:rFonts w:eastAsia="Times New Roman"/>
          <w:snapToGrid/>
          <w:szCs w:val="22"/>
          <w:lang w:val="hu-HU" w:eastAsia="en-US"/>
        </w:rPr>
      </w:pPr>
      <w:r>
        <w:rPr>
          <w:rFonts w:eastAsia="Times New Roman"/>
          <w:noProof/>
          <w:snapToGrid/>
          <w:szCs w:val="22"/>
          <w:lang w:val="hu-HU" w:eastAsia="en-US"/>
        </w:rPr>
        <w:t>Az Eltrombopag</w:t>
      </w:r>
      <w:r>
        <w:rPr>
          <w:rFonts w:eastAsia="Times New Roman"/>
          <w:snapToGrid/>
          <w:szCs w:val="22"/>
          <w:lang w:val="hu-HU" w:eastAsia="en-US"/>
        </w:rPr>
        <w:t xml:space="preserve"> </w:t>
      </w:r>
      <w:r>
        <w:rPr>
          <w:rFonts w:eastAsia="Times New Roman"/>
          <w:noProof/>
          <w:snapToGrid/>
          <w:szCs w:val="22"/>
          <w:lang w:val="hu-HU" w:eastAsia="en-US"/>
        </w:rPr>
        <w:t xml:space="preserve">Krka </w:t>
      </w:r>
      <w:r>
        <w:rPr>
          <w:rFonts w:eastAsia="Times New Roman"/>
          <w:snapToGrid/>
          <w:szCs w:val="22"/>
          <w:lang w:val="hu-HU" w:eastAsia="en-US"/>
        </w:rPr>
        <w:t>6 hónapja vagy annál hosszabb ideje fennálló primer immun thrombocytopenia (ITP) kezelésére javallott olyan 1 évesnél idősebb gyermekgyógyászati betegeknél, akik más kezelésekre (pl. kortikoszteroidok, immunglobulinok) nem reagálnak (lásd 4.2 és 5.1 pont).</w:t>
      </w:r>
    </w:p>
    <w:p w14:paraId="52623378" w14:textId="77777777" w:rsidR="009F5F6A" w:rsidRDefault="009F5F6A">
      <w:pPr>
        <w:spacing w:line="240" w:lineRule="auto"/>
        <w:rPr>
          <w:rFonts w:eastAsia="Times New Roman"/>
          <w:snapToGrid/>
          <w:szCs w:val="22"/>
          <w:lang w:val="hu-HU" w:eastAsia="en-US"/>
        </w:rPr>
      </w:pPr>
    </w:p>
    <w:p w14:paraId="1C5D64E7" w14:textId="77777777" w:rsidR="009F5F6A" w:rsidRDefault="00962A10">
      <w:pPr>
        <w:spacing w:line="240" w:lineRule="auto"/>
        <w:rPr>
          <w:rFonts w:eastAsia="Times New Roman"/>
          <w:snapToGrid/>
          <w:szCs w:val="22"/>
          <w:lang w:val="hu-HU" w:eastAsia="en-US"/>
        </w:rPr>
      </w:pPr>
      <w:r>
        <w:rPr>
          <w:rFonts w:eastAsia="Times New Roman"/>
          <w:noProof/>
          <w:snapToGrid/>
          <w:szCs w:val="22"/>
          <w:lang w:val="hu-HU" w:eastAsia="en-US"/>
        </w:rPr>
        <w:t>Az Eltrombopag</w:t>
      </w:r>
      <w:r>
        <w:rPr>
          <w:rFonts w:eastAsia="Times New Roman"/>
          <w:snapToGrid/>
          <w:szCs w:val="22"/>
          <w:lang w:val="hu-HU" w:eastAsia="en-US"/>
        </w:rPr>
        <w:t xml:space="preserve"> </w:t>
      </w:r>
      <w:r>
        <w:rPr>
          <w:rFonts w:eastAsia="Times New Roman"/>
          <w:noProof/>
          <w:snapToGrid/>
          <w:szCs w:val="22"/>
          <w:lang w:val="hu-HU" w:eastAsia="en-US"/>
        </w:rPr>
        <w:t xml:space="preserve">Krka </w:t>
      </w:r>
      <w:r>
        <w:rPr>
          <w:rFonts w:eastAsia="Times New Roman"/>
          <w:snapToGrid/>
          <w:szCs w:val="22"/>
          <w:lang w:val="hu-HU" w:eastAsia="en-US"/>
        </w:rPr>
        <w:t>felnőttkori thrombocytopenia kezelésére javallott olyan krónikus hepatitis C-fertőzésben (HCV) szenvedő betegeknél, akiknél a thrombocytopenia mértéke a legfontosabb gátló faktora az optimális interferon alapú terápia megkezdésének vagy fenntartásának (lásd 4.4 és 5.1 pont).</w:t>
      </w:r>
    </w:p>
    <w:p w14:paraId="45F4B162" w14:textId="77777777" w:rsidR="009F5F6A" w:rsidRDefault="009F5F6A">
      <w:pPr>
        <w:spacing w:line="240" w:lineRule="auto"/>
        <w:rPr>
          <w:rFonts w:eastAsia="Times New Roman"/>
          <w:snapToGrid/>
          <w:szCs w:val="22"/>
          <w:lang w:val="hu-HU" w:eastAsia="en-US"/>
        </w:rPr>
      </w:pPr>
    </w:p>
    <w:p w14:paraId="5745D0AC"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lastRenderedPageBreak/>
        <w:t>4.2</w:t>
      </w:r>
      <w:r>
        <w:rPr>
          <w:rFonts w:eastAsia="Times New Roman"/>
          <w:b/>
          <w:noProof/>
          <w:snapToGrid/>
          <w:szCs w:val="22"/>
          <w:lang w:val="hu-HU" w:eastAsia="en-US"/>
        </w:rPr>
        <w:tab/>
        <w:t>Adagolás és alkalmazás</w:t>
      </w:r>
    </w:p>
    <w:p w14:paraId="2C6328AF" w14:textId="77777777" w:rsidR="009F5F6A" w:rsidRDefault="009F5F6A">
      <w:pPr>
        <w:spacing w:line="240" w:lineRule="auto"/>
        <w:ind w:left="567" w:hanging="567"/>
        <w:outlineLvl w:val="0"/>
        <w:rPr>
          <w:b/>
          <w:lang w:val="hu-HU"/>
        </w:rPr>
      </w:pPr>
    </w:p>
    <w:p w14:paraId="731C7F03"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eltrombopag-kezelést a haematológiai betegségek vagy a krónikus hepatitis C és szövődményeinek kezelésében jártas szakorvos felügyelete mellett kell elkezdeni és végezni.</w:t>
      </w:r>
    </w:p>
    <w:p w14:paraId="27419432" w14:textId="77777777" w:rsidR="009F5F6A" w:rsidRDefault="009F5F6A">
      <w:pPr>
        <w:spacing w:line="240" w:lineRule="auto"/>
        <w:ind w:left="567" w:hanging="567"/>
        <w:outlineLvl w:val="0"/>
        <w:rPr>
          <w:b/>
          <w:lang w:val="hu-HU"/>
        </w:rPr>
      </w:pPr>
    </w:p>
    <w:p w14:paraId="19DF109E" w14:textId="77777777" w:rsidR="009F5F6A" w:rsidRDefault="00962A10">
      <w:pPr>
        <w:spacing w:line="240" w:lineRule="auto"/>
        <w:rPr>
          <w:rFonts w:eastAsia="Times New Roman"/>
          <w:snapToGrid/>
          <w:szCs w:val="22"/>
          <w:u w:val="single"/>
          <w:lang w:val="hu-HU" w:eastAsia="en-US"/>
        </w:rPr>
      </w:pPr>
      <w:r>
        <w:rPr>
          <w:rFonts w:eastAsia="Times New Roman"/>
          <w:snapToGrid/>
          <w:szCs w:val="22"/>
          <w:u w:val="single"/>
          <w:lang w:val="hu-HU" w:eastAsia="en-US"/>
        </w:rPr>
        <w:t>Adagolás</w:t>
      </w:r>
    </w:p>
    <w:p w14:paraId="1D8D37B2" w14:textId="77777777" w:rsidR="009F5F6A" w:rsidRDefault="009F5F6A">
      <w:pPr>
        <w:autoSpaceDE w:val="0"/>
        <w:autoSpaceDN w:val="0"/>
        <w:adjustRightInd w:val="0"/>
        <w:spacing w:line="240" w:lineRule="auto"/>
        <w:jc w:val="both"/>
        <w:rPr>
          <w:lang w:val="hu-HU"/>
        </w:rPr>
      </w:pPr>
    </w:p>
    <w:p w14:paraId="4D9E6747"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 adagolását egyedileg kell meghatározni a beteg vérlemezkeszáma alapján. Az eltrombopag-kezelés célja nem a vérlemezkeszám normalizálása kell, hogy legyen.</w:t>
      </w:r>
    </w:p>
    <w:p w14:paraId="50ECF0CC" w14:textId="77777777" w:rsidR="009F5F6A" w:rsidRDefault="009F5F6A">
      <w:pPr>
        <w:autoSpaceDE w:val="0"/>
        <w:autoSpaceDN w:val="0"/>
        <w:adjustRightInd w:val="0"/>
        <w:spacing w:line="240" w:lineRule="auto"/>
        <w:rPr>
          <w:rFonts w:eastAsia="Times New Roman"/>
          <w:snapToGrid/>
          <w:szCs w:val="22"/>
          <w:lang w:val="hu-HU" w:eastAsia="en-US"/>
        </w:rPr>
      </w:pPr>
    </w:p>
    <w:p w14:paraId="2CDEB26E"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Kereskedelmi forgalomban elérhető az eltrombopag por belsőleges szuszpenzióhoz gyógyszerformában is más néven. A por belsőleges szuszpenzióhoz magasabb eltrombopag-expozíciót okozhat, mint a tabletta formula (lásd 5.2 pont). A tabletta és a por belsőleges szuszpenzióhoz formulák közötti váltáskor a thrombocytaszámot 2 hétig hetente monitorozni kell.</w:t>
      </w:r>
    </w:p>
    <w:p w14:paraId="766FE426" w14:textId="77777777" w:rsidR="009F5F6A" w:rsidRDefault="009F5F6A">
      <w:pPr>
        <w:autoSpaceDE w:val="0"/>
        <w:autoSpaceDN w:val="0"/>
        <w:adjustRightInd w:val="0"/>
        <w:spacing w:line="240" w:lineRule="auto"/>
        <w:rPr>
          <w:rFonts w:eastAsia="Times New Roman"/>
          <w:snapToGrid/>
          <w:szCs w:val="22"/>
          <w:lang w:val="hu-HU" w:eastAsia="en-US"/>
        </w:rPr>
      </w:pPr>
    </w:p>
    <w:p w14:paraId="3D907CDE" w14:textId="77777777" w:rsidR="009F5F6A" w:rsidRDefault="00962A10">
      <w:pPr>
        <w:spacing w:line="240" w:lineRule="auto"/>
        <w:rPr>
          <w:rFonts w:eastAsia="Times New Roman"/>
          <w:bCs/>
          <w:i/>
          <w:iCs/>
          <w:snapToGrid/>
          <w:szCs w:val="22"/>
          <w:u w:val="single"/>
          <w:lang w:val="hu-HU" w:eastAsia="en-US"/>
        </w:rPr>
      </w:pPr>
      <w:r>
        <w:rPr>
          <w:rFonts w:eastAsia="Times New Roman"/>
          <w:bCs/>
          <w:i/>
          <w:iCs/>
          <w:snapToGrid/>
          <w:szCs w:val="22"/>
          <w:u w:val="single"/>
          <w:lang w:val="hu-HU" w:eastAsia="en-US"/>
        </w:rPr>
        <w:t>Immun (primer) thrombocytopenia</w:t>
      </w:r>
    </w:p>
    <w:p w14:paraId="6B131C40" w14:textId="77777777" w:rsidR="009F5F6A" w:rsidRDefault="009F5F6A">
      <w:pPr>
        <w:autoSpaceDE w:val="0"/>
        <w:autoSpaceDN w:val="0"/>
        <w:adjustRightInd w:val="0"/>
        <w:spacing w:line="240" w:lineRule="auto"/>
        <w:rPr>
          <w:rFonts w:eastAsia="Times New Roman"/>
          <w:snapToGrid/>
          <w:szCs w:val="22"/>
          <w:lang w:val="hu-HU" w:eastAsia="en-US"/>
        </w:rPr>
      </w:pPr>
    </w:p>
    <w:p w14:paraId="572FA7A7"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hint="eastAsia"/>
          <w:snapToGrid/>
          <w:szCs w:val="22"/>
          <w:lang w:val="hu-HU" w:eastAsia="en-US"/>
        </w:rPr>
        <w:t>A ≥</w:t>
      </w:r>
      <w:r>
        <w:rPr>
          <w:rFonts w:eastAsia="Times New Roman"/>
          <w:snapToGrid/>
          <w:szCs w:val="22"/>
          <w:lang w:val="hu-HU" w:eastAsia="en-US"/>
        </w:rPr>
        <w:t> </w:t>
      </w:r>
      <w:r>
        <w:rPr>
          <w:rFonts w:eastAsia="Times New Roman" w:hint="eastAsia"/>
          <w:snapToGrid/>
          <w:szCs w:val="22"/>
          <w:lang w:val="hu-HU" w:eastAsia="en-US"/>
        </w:rPr>
        <w:t>50</w:t>
      </w:r>
      <w:r>
        <w:rPr>
          <w:rFonts w:eastAsia="Times New Roman"/>
          <w:snapToGrid/>
          <w:szCs w:val="22"/>
          <w:lang w:val="hu-HU" w:eastAsia="en-US"/>
        </w:rPr>
        <w:t> </w:t>
      </w:r>
      <w:r>
        <w:rPr>
          <w:rFonts w:eastAsia="Times New Roman" w:hint="eastAsia"/>
          <w:snapToGrid/>
          <w:szCs w:val="22"/>
          <w:lang w:val="hu-HU" w:eastAsia="en-US"/>
        </w:rPr>
        <w:t>000/mikroliteres vérlemezkeszám eléréséhez és fenntartásához szükséges legalacsonyabb</w:t>
      </w:r>
      <w:r>
        <w:rPr>
          <w:rFonts w:eastAsia="Times New Roman"/>
          <w:snapToGrid/>
          <w:szCs w:val="22"/>
          <w:lang w:val="hu-HU" w:eastAsia="en-US"/>
        </w:rPr>
        <w:t xml:space="preserve"> eltrombopag-adagot kell alkalmazni. A dózismódosítás a vérlemezkeszám válaszon </w:t>
      </w:r>
      <w:proofErr w:type="gramStart"/>
      <w:r>
        <w:rPr>
          <w:rFonts w:eastAsia="Times New Roman"/>
          <w:snapToGrid/>
          <w:szCs w:val="22"/>
          <w:lang w:val="hu-HU" w:eastAsia="en-US"/>
        </w:rPr>
        <w:t>kell</w:t>
      </w:r>
      <w:proofErr w:type="gramEnd"/>
      <w:r>
        <w:rPr>
          <w:rFonts w:eastAsia="Times New Roman"/>
          <w:snapToGrid/>
          <w:szCs w:val="22"/>
          <w:lang w:val="hu-HU" w:eastAsia="en-US"/>
        </w:rPr>
        <w:t xml:space="preserve"> alapuljon. Az eltrombopag nem alkalmazható a vérlemezkeszám normalizálására. Klinikai vizsgálatokban a vérlemezkeszám az eltrombopag-kezelés megkezdése után általában 1-2 héten belül emelkedett, és a kezelés befejezése után 1-2 héten belül csökkent.</w:t>
      </w:r>
    </w:p>
    <w:p w14:paraId="5A3F9ACB" w14:textId="77777777" w:rsidR="009F5F6A" w:rsidRDefault="009F5F6A">
      <w:pPr>
        <w:autoSpaceDE w:val="0"/>
        <w:autoSpaceDN w:val="0"/>
        <w:adjustRightInd w:val="0"/>
        <w:spacing w:line="240" w:lineRule="auto"/>
        <w:rPr>
          <w:rFonts w:eastAsia="Times New Roman"/>
          <w:snapToGrid/>
          <w:szCs w:val="22"/>
          <w:lang w:val="hu-HU" w:eastAsia="en-US"/>
        </w:rPr>
      </w:pPr>
    </w:p>
    <w:p w14:paraId="55223184"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bCs/>
          <w:i/>
          <w:iCs/>
          <w:snapToGrid/>
          <w:szCs w:val="22"/>
          <w:lang w:val="hu-HU" w:eastAsia="en-US"/>
        </w:rPr>
        <w:t>Felnőttek, valamint 6 és betöltött 18. életév közötti életkorú gyermekek és serdülők</w:t>
      </w:r>
    </w:p>
    <w:p w14:paraId="1BD271A4"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 javasolt kezd</w:t>
      </w:r>
      <w:r>
        <w:rPr>
          <w:rFonts w:eastAsia="Times New Roman" w:hint="eastAsia"/>
          <w:snapToGrid/>
          <w:szCs w:val="22"/>
          <w:lang w:val="hu-HU" w:eastAsia="en-US"/>
        </w:rPr>
        <w:t>ő</w:t>
      </w:r>
      <w:r>
        <w:rPr>
          <w:rFonts w:eastAsia="Times New Roman"/>
          <w:snapToGrid/>
          <w:szCs w:val="22"/>
          <w:lang w:val="hu-HU" w:eastAsia="en-US"/>
        </w:rPr>
        <w:t xml:space="preserve"> dózisa naponta egyszer 50 mg. Kelet-/délkelet-ázsiai származású betegeknél a kezelést csökkentett dózissal, napi egyszeri 25 mg-mal kell kezdeni (lásd 5.2 pont).</w:t>
      </w:r>
    </w:p>
    <w:p w14:paraId="735E6E80" w14:textId="77777777" w:rsidR="009F5F6A" w:rsidRDefault="009F5F6A">
      <w:pPr>
        <w:autoSpaceDE w:val="0"/>
        <w:autoSpaceDN w:val="0"/>
        <w:adjustRightInd w:val="0"/>
        <w:spacing w:line="240" w:lineRule="auto"/>
        <w:rPr>
          <w:rFonts w:eastAsia="Times New Roman"/>
          <w:snapToGrid/>
          <w:szCs w:val="22"/>
          <w:lang w:val="hu-HU" w:eastAsia="en-US"/>
        </w:rPr>
      </w:pPr>
    </w:p>
    <w:p w14:paraId="08C2211C" w14:textId="77777777" w:rsidR="009F5F6A" w:rsidRDefault="00962A10">
      <w:pPr>
        <w:spacing w:line="240" w:lineRule="auto"/>
        <w:rPr>
          <w:rFonts w:eastAsia="Times New Roman"/>
          <w:bCs/>
          <w:i/>
          <w:iCs/>
          <w:snapToGrid/>
          <w:szCs w:val="22"/>
          <w:lang w:val="hu-HU" w:eastAsia="en-US"/>
        </w:rPr>
      </w:pPr>
      <w:r>
        <w:rPr>
          <w:rFonts w:eastAsia="Times New Roman"/>
          <w:bCs/>
          <w:i/>
          <w:iCs/>
          <w:snapToGrid/>
          <w:szCs w:val="22"/>
          <w:lang w:val="hu-HU" w:eastAsia="en-US"/>
        </w:rPr>
        <w:t>1–5 éves gyermekek</w:t>
      </w:r>
    </w:p>
    <w:p w14:paraId="1A7CE559"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 javasolt kezd</w:t>
      </w:r>
      <w:r>
        <w:rPr>
          <w:rFonts w:eastAsia="Times New Roman" w:hint="eastAsia"/>
          <w:snapToGrid/>
          <w:szCs w:val="22"/>
          <w:lang w:val="hu-HU" w:eastAsia="en-US"/>
        </w:rPr>
        <w:t>ő</w:t>
      </w:r>
      <w:r>
        <w:rPr>
          <w:rFonts w:eastAsia="Times New Roman"/>
          <w:snapToGrid/>
          <w:szCs w:val="22"/>
          <w:lang w:val="hu-HU" w:eastAsia="en-US"/>
        </w:rPr>
        <w:t xml:space="preserve"> dózisa naponta egyszer 25 mg.</w:t>
      </w:r>
    </w:p>
    <w:p w14:paraId="44774752" w14:textId="77777777" w:rsidR="009F5F6A" w:rsidRDefault="009F5F6A">
      <w:pPr>
        <w:autoSpaceDE w:val="0"/>
        <w:autoSpaceDN w:val="0"/>
        <w:adjustRightInd w:val="0"/>
        <w:spacing w:line="240" w:lineRule="auto"/>
        <w:rPr>
          <w:rFonts w:eastAsia="Times New Roman"/>
          <w:snapToGrid/>
          <w:szCs w:val="22"/>
          <w:lang w:val="hu-HU" w:eastAsia="en-US"/>
        </w:rPr>
      </w:pPr>
    </w:p>
    <w:p w14:paraId="2EF7F346" w14:textId="77777777" w:rsidR="009F5F6A" w:rsidRDefault="00962A10">
      <w:pPr>
        <w:spacing w:line="240" w:lineRule="auto"/>
        <w:rPr>
          <w:rFonts w:eastAsia="Times New Roman"/>
          <w:bCs/>
          <w:i/>
          <w:iCs/>
          <w:snapToGrid/>
          <w:szCs w:val="22"/>
          <w:lang w:val="hu-HU" w:eastAsia="en-US"/>
        </w:rPr>
      </w:pPr>
      <w:r>
        <w:rPr>
          <w:rFonts w:eastAsia="Times New Roman"/>
          <w:bCs/>
          <w:i/>
          <w:iCs/>
          <w:snapToGrid/>
          <w:szCs w:val="22"/>
          <w:lang w:val="hu-HU" w:eastAsia="en-US"/>
        </w:rPr>
        <w:t>Monitorozás és adagbeállítás</w:t>
      </w:r>
    </w:p>
    <w:p w14:paraId="793CA024"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 xml:space="preserve">Az eltrombopag-kezelés megkezdése után az adagot úgy kell beállítani, hogy a vérlemezkeszám </w:t>
      </w:r>
      <w:r>
        <w:rPr>
          <w:rFonts w:eastAsia="Times New Roman" w:hint="eastAsia"/>
          <w:snapToGrid/>
          <w:szCs w:val="22"/>
          <w:lang w:val="hu-HU" w:eastAsia="en-US"/>
        </w:rPr>
        <w:t>≥</w:t>
      </w:r>
      <w:r>
        <w:rPr>
          <w:rFonts w:eastAsia="Times New Roman"/>
          <w:snapToGrid/>
          <w:szCs w:val="22"/>
          <w:lang w:val="hu-HU" w:eastAsia="en-US"/>
        </w:rPr>
        <w:t> 50 000/mikroliter legyen, ami a vérzés kockázatának csökkentéséhez szükséges érték. A napi dózis a 75 mg-ot nem haladhatja meg.</w:t>
      </w:r>
    </w:p>
    <w:p w14:paraId="25D86B82" w14:textId="77777777" w:rsidR="009F5F6A" w:rsidRDefault="009F5F6A">
      <w:pPr>
        <w:autoSpaceDE w:val="0"/>
        <w:autoSpaceDN w:val="0"/>
        <w:adjustRightInd w:val="0"/>
        <w:spacing w:line="240" w:lineRule="auto"/>
        <w:rPr>
          <w:rFonts w:eastAsia="Times New Roman"/>
          <w:snapToGrid/>
          <w:szCs w:val="22"/>
          <w:lang w:val="hu-HU" w:eastAsia="en-US"/>
        </w:rPr>
      </w:pPr>
    </w:p>
    <w:p w14:paraId="7AA11963"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 xml:space="preserve">Az eltrombopag-kezelés alatt rendszeresen monitorozni kell a haematológiai és májfunkciós értékeket, </w:t>
      </w:r>
      <w:r>
        <w:rPr>
          <w:rFonts w:eastAsia="Times New Roman" w:hint="eastAsia"/>
          <w:snapToGrid/>
          <w:szCs w:val="22"/>
          <w:lang w:val="hu-HU" w:eastAsia="en-US"/>
        </w:rPr>
        <w:t>é</w:t>
      </w:r>
      <w:r>
        <w:rPr>
          <w:rFonts w:eastAsia="Times New Roman"/>
          <w:snapToGrid/>
          <w:szCs w:val="22"/>
          <w:lang w:val="hu-HU" w:eastAsia="en-US"/>
        </w:rPr>
        <w:t>s az eltrombopag adagol</w:t>
      </w:r>
      <w:r>
        <w:rPr>
          <w:rFonts w:eastAsia="Times New Roman" w:hint="eastAsia"/>
          <w:snapToGrid/>
          <w:szCs w:val="22"/>
          <w:lang w:val="hu-HU" w:eastAsia="en-US"/>
        </w:rPr>
        <w:t>á</w:t>
      </w:r>
      <w:r>
        <w:rPr>
          <w:rFonts w:eastAsia="Times New Roman"/>
          <w:snapToGrid/>
          <w:szCs w:val="22"/>
          <w:lang w:val="hu-HU" w:eastAsia="en-US"/>
        </w:rPr>
        <w:t>s</w:t>
      </w:r>
      <w:r>
        <w:rPr>
          <w:rFonts w:eastAsia="Times New Roman" w:hint="eastAsia"/>
          <w:snapToGrid/>
          <w:szCs w:val="22"/>
          <w:lang w:val="hu-HU" w:eastAsia="en-US"/>
        </w:rPr>
        <w:t>á</w:t>
      </w:r>
      <w:r>
        <w:rPr>
          <w:rFonts w:eastAsia="Times New Roman"/>
          <w:snapToGrid/>
          <w:szCs w:val="22"/>
          <w:lang w:val="hu-HU" w:eastAsia="en-US"/>
        </w:rPr>
        <w:t>t a v</w:t>
      </w:r>
      <w:r>
        <w:rPr>
          <w:rFonts w:eastAsia="Times New Roman" w:hint="eastAsia"/>
          <w:snapToGrid/>
          <w:szCs w:val="22"/>
          <w:lang w:val="hu-HU" w:eastAsia="en-US"/>
        </w:rPr>
        <w:t>é</w:t>
      </w:r>
      <w:r>
        <w:rPr>
          <w:rFonts w:eastAsia="Times New Roman"/>
          <w:snapToGrid/>
          <w:szCs w:val="22"/>
          <w:lang w:val="hu-HU" w:eastAsia="en-US"/>
        </w:rPr>
        <w:t>rlemezkesz</w:t>
      </w:r>
      <w:r>
        <w:rPr>
          <w:rFonts w:eastAsia="Times New Roman" w:hint="eastAsia"/>
          <w:snapToGrid/>
          <w:szCs w:val="22"/>
          <w:lang w:val="hu-HU" w:eastAsia="en-US"/>
        </w:rPr>
        <w:t>á</w:t>
      </w:r>
      <w:r>
        <w:rPr>
          <w:rFonts w:eastAsia="Times New Roman"/>
          <w:snapToGrid/>
          <w:szCs w:val="22"/>
          <w:lang w:val="hu-HU" w:eastAsia="en-US"/>
        </w:rPr>
        <w:t>mnak megfelel</w:t>
      </w:r>
      <w:r>
        <w:rPr>
          <w:rFonts w:eastAsia="Times New Roman" w:hint="eastAsia"/>
          <w:snapToGrid/>
          <w:szCs w:val="22"/>
          <w:lang w:val="hu-HU" w:eastAsia="en-US"/>
        </w:rPr>
        <w:t>ő</w:t>
      </w:r>
      <w:r>
        <w:rPr>
          <w:rFonts w:eastAsia="Times New Roman"/>
          <w:snapToGrid/>
          <w:szCs w:val="22"/>
          <w:lang w:val="hu-HU" w:eastAsia="en-US"/>
        </w:rPr>
        <w:t>en kell m</w:t>
      </w:r>
      <w:r>
        <w:rPr>
          <w:rFonts w:eastAsia="Times New Roman" w:hint="eastAsia"/>
          <w:snapToGrid/>
          <w:szCs w:val="22"/>
          <w:lang w:val="hu-HU" w:eastAsia="en-US"/>
        </w:rPr>
        <w:t>ó</w:t>
      </w:r>
      <w:r>
        <w:rPr>
          <w:rFonts w:eastAsia="Times New Roman"/>
          <w:snapToGrid/>
          <w:szCs w:val="22"/>
          <w:lang w:val="hu-HU" w:eastAsia="en-US"/>
        </w:rPr>
        <w:t>dos</w:t>
      </w:r>
      <w:r>
        <w:rPr>
          <w:rFonts w:eastAsia="Times New Roman" w:hint="eastAsia"/>
          <w:snapToGrid/>
          <w:szCs w:val="22"/>
          <w:lang w:val="hu-HU" w:eastAsia="en-US"/>
        </w:rPr>
        <w:t>í</w:t>
      </w:r>
      <w:r>
        <w:rPr>
          <w:rFonts w:eastAsia="Times New Roman"/>
          <w:snapToGrid/>
          <w:szCs w:val="22"/>
          <w:lang w:val="hu-HU" w:eastAsia="en-US"/>
        </w:rPr>
        <w:t>tani, az 1. táblázatban leírtak szerint. Az eltrombopag-kezelés során hetente értékelni kell a teljes vérképet, beleértve a vérlemezkeszámot és a perifériás vérkenetet, a stabil v</w:t>
      </w:r>
      <w:r>
        <w:rPr>
          <w:rFonts w:eastAsia="Times New Roman" w:hint="eastAsia"/>
          <w:snapToGrid/>
          <w:szCs w:val="22"/>
          <w:lang w:val="hu-HU" w:eastAsia="en-US"/>
        </w:rPr>
        <w:t>é</w:t>
      </w:r>
      <w:r>
        <w:rPr>
          <w:rFonts w:eastAsia="Times New Roman"/>
          <w:snapToGrid/>
          <w:szCs w:val="22"/>
          <w:lang w:val="hu-HU" w:eastAsia="en-US"/>
        </w:rPr>
        <w:t>rlemezkesz</w:t>
      </w:r>
      <w:r>
        <w:rPr>
          <w:rFonts w:eastAsia="Times New Roman" w:hint="eastAsia"/>
          <w:snapToGrid/>
          <w:szCs w:val="22"/>
          <w:lang w:val="hu-HU" w:eastAsia="en-US"/>
        </w:rPr>
        <w:t>á</w:t>
      </w:r>
      <w:r>
        <w:rPr>
          <w:rFonts w:eastAsia="Times New Roman"/>
          <w:snapToGrid/>
          <w:szCs w:val="22"/>
          <w:lang w:val="hu-HU" w:eastAsia="en-US"/>
        </w:rPr>
        <w:t>m el</w:t>
      </w:r>
      <w:r>
        <w:rPr>
          <w:rFonts w:eastAsia="Times New Roman" w:hint="eastAsia"/>
          <w:snapToGrid/>
          <w:szCs w:val="22"/>
          <w:lang w:val="hu-HU" w:eastAsia="en-US"/>
        </w:rPr>
        <w:t>é</w:t>
      </w:r>
      <w:r>
        <w:rPr>
          <w:rFonts w:eastAsia="Times New Roman"/>
          <w:snapToGrid/>
          <w:szCs w:val="22"/>
          <w:lang w:val="hu-HU" w:eastAsia="en-US"/>
        </w:rPr>
        <w:t>r</w:t>
      </w:r>
      <w:r>
        <w:rPr>
          <w:rFonts w:eastAsia="Times New Roman" w:hint="eastAsia"/>
          <w:snapToGrid/>
          <w:szCs w:val="22"/>
          <w:lang w:val="hu-HU" w:eastAsia="en-US"/>
        </w:rPr>
        <w:t>é</w:t>
      </w:r>
      <w:r>
        <w:rPr>
          <w:rFonts w:eastAsia="Times New Roman"/>
          <w:snapToGrid/>
          <w:szCs w:val="22"/>
          <w:lang w:val="hu-HU" w:eastAsia="en-US"/>
        </w:rPr>
        <w:t>sig (</w:t>
      </w:r>
      <w:r>
        <w:rPr>
          <w:rFonts w:eastAsia="Times New Roman" w:hint="eastAsia"/>
          <w:snapToGrid/>
          <w:szCs w:val="22"/>
          <w:lang w:val="hu-HU" w:eastAsia="en-US"/>
        </w:rPr>
        <w:t>≥</w:t>
      </w:r>
      <w:r>
        <w:rPr>
          <w:rFonts w:eastAsia="Times New Roman"/>
          <w:snapToGrid/>
          <w:szCs w:val="22"/>
          <w:lang w:val="hu-HU" w:eastAsia="en-US"/>
        </w:rPr>
        <w:t> 50 000/mikroliter legalább 4 h</w:t>
      </w:r>
      <w:r>
        <w:rPr>
          <w:rFonts w:eastAsia="Times New Roman" w:hint="eastAsia"/>
          <w:snapToGrid/>
          <w:szCs w:val="22"/>
          <w:lang w:val="hu-HU" w:eastAsia="en-US"/>
        </w:rPr>
        <w:t>é</w:t>
      </w:r>
      <w:r>
        <w:rPr>
          <w:rFonts w:eastAsia="Times New Roman"/>
          <w:snapToGrid/>
          <w:szCs w:val="22"/>
          <w:lang w:val="hu-HU" w:eastAsia="en-US"/>
        </w:rPr>
        <w:t>tig). Ezt k</w:t>
      </w:r>
      <w:r>
        <w:rPr>
          <w:rFonts w:eastAsia="Times New Roman" w:hint="eastAsia"/>
          <w:snapToGrid/>
          <w:szCs w:val="22"/>
          <w:lang w:val="hu-HU" w:eastAsia="en-US"/>
        </w:rPr>
        <w:t>ö</w:t>
      </w:r>
      <w:r>
        <w:rPr>
          <w:rFonts w:eastAsia="Times New Roman"/>
          <w:snapToGrid/>
          <w:szCs w:val="22"/>
          <w:lang w:val="hu-HU" w:eastAsia="en-US"/>
        </w:rPr>
        <w:t>vet</w:t>
      </w:r>
      <w:r>
        <w:rPr>
          <w:rFonts w:eastAsia="Times New Roman" w:hint="eastAsia"/>
          <w:snapToGrid/>
          <w:szCs w:val="22"/>
          <w:lang w:val="hu-HU" w:eastAsia="en-US"/>
        </w:rPr>
        <w:t>ő</w:t>
      </w:r>
      <w:r>
        <w:rPr>
          <w:rFonts w:eastAsia="Times New Roman"/>
          <w:snapToGrid/>
          <w:szCs w:val="22"/>
          <w:lang w:val="hu-HU" w:eastAsia="en-US"/>
        </w:rPr>
        <w:t>en havonta kell a teljes v</w:t>
      </w:r>
      <w:r>
        <w:rPr>
          <w:rFonts w:eastAsia="Times New Roman" w:hint="eastAsia"/>
          <w:snapToGrid/>
          <w:szCs w:val="22"/>
          <w:lang w:val="hu-HU" w:eastAsia="en-US"/>
        </w:rPr>
        <w:t>é</w:t>
      </w:r>
      <w:r>
        <w:rPr>
          <w:rFonts w:eastAsia="Times New Roman"/>
          <w:snapToGrid/>
          <w:szCs w:val="22"/>
          <w:lang w:val="hu-HU" w:eastAsia="en-US"/>
        </w:rPr>
        <w:t>rk</w:t>
      </w:r>
      <w:r>
        <w:rPr>
          <w:rFonts w:eastAsia="Times New Roman" w:hint="eastAsia"/>
          <w:snapToGrid/>
          <w:szCs w:val="22"/>
          <w:lang w:val="hu-HU" w:eastAsia="en-US"/>
        </w:rPr>
        <w:t>é</w:t>
      </w:r>
      <w:r>
        <w:rPr>
          <w:rFonts w:eastAsia="Times New Roman"/>
          <w:snapToGrid/>
          <w:szCs w:val="22"/>
          <w:lang w:val="hu-HU" w:eastAsia="en-US"/>
        </w:rPr>
        <w:t>pet ellen</w:t>
      </w:r>
      <w:r>
        <w:rPr>
          <w:rFonts w:eastAsia="Times New Roman" w:hint="eastAsia"/>
          <w:snapToGrid/>
          <w:szCs w:val="22"/>
          <w:lang w:val="hu-HU" w:eastAsia="en-US"/>
        </w:rPr>
        <w:t>ő</w:t>
      </w:r>
      <w:r>
        <w:rPr>
          <w:rFonts w:eastAsia="Times New Roman"/>
          <w:snapToGrid/>
          <w:szCs w:val="22"/>
          <w:lang w:val="hu-HU" w:eastAsia="en-US"/>
        </w:rPr>
        <w:t>rizni, beleértve a vérlemezkeszámot és a perifériás vérkenetet.</w:t>
      </w:r>
    </w:p>
    <w:p w14:paraId="1157EFE4" w14:textId="77777777" w:rsidR="009F5F6A" w:rsidRDefault="009F5F6A">
      <w:pPr>
        <w:spacing w:line="240" w:lineRule="auto"/>
        <w:rPr>
          <w:rFonts w:eastAsia="Times New Roman"/>
          <w:bCs/>
          <w:i/>
          <w:iCs/>
          <w:snapToGrid/>
          <w:szCs w:val="22"/>
          <w:lang w:val="hu-HU" w:eastAsia="en-US"/>
        </w:rPr>
      </w:pPr>
    </w:p>
    <w:p w14:paraId="759ABA4B" w14:textId="77777777" w:rsidR="009F5F6A" w:rsidRDefault="00962A10">
      <w:pPr>
        <w:tabs>
          <w:tab w:val="clear" w:pos="567"/>
          <w:tab w:val="left" w:pos="1418"/>
        </w:tabs>
        <w:spacing w:after="12" w:line="247" w:lineRule="auto"/>
        <w:ind w:right="14" w:hanging="9"/>
        <w:rPr>
          <w:b/>
          <w:bCs/>
          <w:snapToGrid/>
          <w:szCs w:val="22"/>
          <w:lang w:val="hu-HU" w:eastAsia="en-GB"/>
        </w:rPr>
      </w:pPr>
      <w:r>
        <w:rPr>
          <w:b/>
          <w:szCs w:val="22"/>
          <w:lang w:val="hu-HU"/>
        </w:rPr>
        <w:t>1. táblázat</w:t>
      </w:r>
      <w:r>
        <w:rPr>
          <w:b/>
          <w:szCs w:val="22"/>
          <w:lang w:val="hu-HU"/>
        </w:rPr>
        <w:tab/>
      </w:r>
      <w:r>
        <w:rPr>
          <w:b/>
          <w:bCs/>
          <w:snapToGrid/>
          <w:szCs w:val="22"/>
          <w:lang w:val="hu-HU" w:eastAsia="en-GB"/>
        </w:rPr>
        <w:t>Az eltrombopag adagjának módosítása ITP-s betegeknél</w:t>
      </w:r>
    </w:p>
    <w:p w14:paraId="4BE9BF7D" w14:textId="77777777" w:rsidR="009F5F6A" w:rsidRDefault="009F5F6A">
      <w:pPr>
        <w:tabs>
          <w:tab w:val="clear" w:pos="567"/>
        </w:tabs>
        <w:spacing w:after="12" w:line="247" w:lineRule="auto"/>
        <w:ind w:left="-6" w:right="14" w:hanging="9"/>
        <w:rPr>
          <w:b/>
          <w:szCs w:val="22"/>
          <w:lang w:val="hu-HU"/>
        </w:rPr>
      </w:pPr>
    </w:p>
    <w:tbl>
      <w:tblPr>
        <w:tblStyle w:val="TableGrid"/>
        <w:tblW w:w="9109" w:type="dxa"/>
        <w:tblInd w:w="5" w:type="dxa"/>
        <w:tblCellMar>
          <w:top w:w="13" w:type="dxa"/>
          <w:left w:w="108" w:type="dxa"/>
          <w:right w:w="81" w:type="dxa"/>
        </w:tblCellMar>
        <w:tblLook w:val="04A0" w:firstRow="1" w:lastRow="0" w:firstColumn="1" w:lastColumn="0" w:noHBand="0" w:noVBand="1"/>
      </w:tblPr>
      <w:tblGrid>
        <w:gridCol w:w="3966"/>
        <w:gridCol w:w="5143"/>
      </w:tblGrid>
      <w:tr w:rsidR="009F5F6A" w14:paraId="79A7396F" w14:textId="77777777">
        <w:trPr>
          <w:trHeight w:val="263"/>
        </w:trPr>
        <w:tc>
          <w:tcPr>
            <w:tcW w:w="3347" w:type="dxa"/>
            <w:tcBorders>
              <w:top w:val="single" w:sz="4" w:space="0" w:color="000000"/>
              <w:left w:val="single" w:sz="4" w:space="0" w:color="000000"/>
              <w:bottom w:val="single" w:sz="4" w:space="0" w:color="000000"/>
              <w:right w:val="single" w:sz="6" w:space="0" w:color="000000"/>
            </w:tcBorders>
          </w:tcPr>
          <w:p w14:paraId="6163FC25" w14:textId="77777777" w:rsidR="009F5F6A" w:rsidRDefault="00962A10">
            <w:pPr>
              <w:spacing w:line="259" w:lineRule="auto"/>
              <w:ind w:right="29"/>
              <w:jc w:val="center"/>
              <w:rPr>
                <w:rFonts w:ascii="Times New Roman" w:hAnsi="Times New Roman" w:cs="Times New Roman"/>
              </w:rPr>
            </w:pPr>
            <w:r>
              <w:rPr>
                <w:rFonts w:ascii="Times New Roman" w:hAnsi="Times New Roman" w:cs="Times New Roman"/>
              </w:rPr>
              <w:t>Vérlemezkeszám</w:t>
            </w:r>
          </w:p>
        </w:tc>
        <w:tc>
          <w:tcPr>
            <w:tcW w:w="5762" w:type="dxa"/>
            <w:tcBorders>
              <w:top w:val="single" w:sz="4" w:space="0" w:color="000000"/>
              <w:left w:val="single" w:sz="6" w:space="0" w:color="000000"/>
              <w:bottom w:val="single" w:sz="4" w:space="0" w:color="000000"/>
              <w:right w:val="single" w:sz="4" w:space="0" w:color="000000"/>
            </w:tcBorders>
          </w:tcPr>
          <w:p w14:paraId="53CCFA32" w14:textId="77777777" w:rsidR="009F5F6A" w:rsidRDefault="00962A10">
            <w:pPr>
              <w:spacing w:line="259" w:lineRule="auto"/>
              <w:ind w:right="29"/>
              <w:jc w:val="center"/>
              <w:rPr>
                <w:rFonts w:ascii="Times New Roman" w:hAnsi="Times New Roman" w:cs="Times New Roman"/>
              </w:rPr>
            </w:pPr>
            <w:r>
              <w:rPr>
                <w:rFonts w:ascii="Times New Roman" w:hAnsi="Times New Roman" w:cs="Times New Roman"/>
              </w:rPr>
              <w:t>Dózismódosítás vagy válasz</w:t>
            </w:r>
          </w:p>
        </w:tc>
      </w:tr>
      <w:tr w:rsidR="009F5F6A" w14:paraId="217D5F64" w14:textId="77777777">
        <w:trPr>
          <w:trHeight w:val="516"/>
        </w:trPr>
        <w:tc>
          <w:tcPr>
            <w:tcW w:w="3347" w:type="dxa"/>
            <w:tcBorders>
              <w:top w:val="single" w:sz="4" w:space="0" w:color="000000"/>
              <w:left w:val="single" w:sz="4" w:space="0" w:color="000000"/>
              <w:bottom w:val="single" w:sz="4" w:space="0" w:color="000000"/>
              <w:right w:val="single" w:sz="6" w:space="0" w:color="000000"/>
            </w:tcBorders>
          </w:tcPr>
          <w:p w14:paraId="1F535F65" w14:textId="77777777" w:rsidR="009F5F6A" w:rsidRDefault="00962A10">
            <w:pPr>
              <w:spacing w:line="259" w:lineRule="auto"/>
              <w:rPr>
                <w:rFonts w:ascii="Times New Roman" w:hAnsi="Times New Roman" w:cs="Times New Roman"/>
              </w:rPr>
            </w:pPr>
            <w:r>
              <w:rPr>
                <w:rFonts w:ascii="Times New Roman" w:hAnsi="Times New Roman" w:cs="Times New Roman"/>
              </w:rPr>
              <w:t>&lt;50 000/mikroliter legalább 2 hetes kezelés után</w:t>
            </w:r>
          </w:p>
        </w:tc>
        <w:tc>
          <w:tcPr>
            <w:tcW w:w="5762" w:type="dxa"/>
            <w:tcBorders>
              <w:top w:val="single" w:sz="4" w:space="0" w:color="000000"/>
              <w:left w:val="single" w:sz="6" w:space="0" w:color="000000"/>
              <w:bottom w:val="single" w:sz="4" w:space="0" w:color="000000"/>
              <w:right w:val="single" w:sz="4" w:space="0" w:color="000000"/>
            </w:tcBorders>
          </w:tcPr>
          <w:p w14:paraId="5C7F7A22" w14:textId="77777777" w:rsidR="009F5F6A" w:rsidRDefault="00962A10">
            <w:pPr>
              <w:spacing w:line="259" w:lineRule="auto"/>
              <w:rPr>
                <w:rFonts w:ascii="Times New Roman" w:hAnsi="Times New Roman" w:cs="Times New Roman"/>
              </w:rPr>
            </w:pPr>
            <w:r>
              <w:rPr>
                <w:rFonts w:ascii="Times New Roman" w:hAnsi="Times New Roman" w:cs="Times New Roman"/>
              </w:rPr>
              <w:t>A napi dózist 25 mg-mal kell emelni, legfeljebb napi 75 mg-ig</w:t>
            </w:r>
            <w:r>
              <w:rPr>
                <w:rFonts w:ascii="Times New Roman" w:hAnsi="Times New Roman" w:cs="Times New Roman"/>
                <w:vertAlign w:val="superscript"/>
              </w:rPr>
              <w:t>*</w:t>
            </w:r>
            <w:r>
              <w:rPr>
                <w:rFonts w:ascii="Times New Roman" w:hAnsi="Times New Roman" w:cs="Times New Roman"/>
              </w:rPr>
              <w:t>.</w:t>
            </w:r>
          </w:p>
        </w:tc>
      </w:tr>
      <w:tr w:rsidR="009F5F6A" w14:paraId="087E922A" w14:textId="77777777">
        <w:trPr>
          <w:trHeight w:val="770"/>
        </w:trPr>
        <w:tc>
          <w:tcPr>
            <w:tcW w:w="3347" w:type="dxa"/>
            <w:tcBorders>
              <w:top w:val="single" w:sz="4" w:space="0" w:color="000000"/>
              <w:left w:val="single" w:sz="4" w:space="0" w:color="000000"/>
              <w:bottom w:val="single" w:sz="4" w:space="0" w:color="000000"/>
              <w:right w:val="single" w:sz="6" w:space="0" w:color="000000"/>
            </w:tcBorders>
          </w:tcPr>
          <w:p w14:paraId="61C14E87" w14:textId="77777777" w:rsidR="009F5F6A" w:rsidRDefault="00962A10">
            <w:pPr>
              <w:spacing w:line="259" w:lineRule="auto"/>
              <w:rPr>
                <w:rFonts w:ascii="Times New Roman" w:hAnsi="Times New Roman" w:cs="Times New Roman"/>
              </w:rPr>
            </w:pPr>
            <w:r>
              <w:rPr>
                <w:rFonts w:ascii="Times New Roman" w:hAnsi="Times New Roman" w:cs="Times New Roman"/>
              </w:rPr>
              <w:t>≥50 000/mikroliter – ≤150 000/mikroliter</w:t>
            </w:r>
          </w:p>
        </w:tc>
        <w:tc>
          <w:tcPr>
            <w:tcW w:w="5762" w:type="dxa"/>
            <w:tcBorders>
              <w:top w:val="single" w:sz="4" w:space="0" w:color="000000"/>
              <w:left w:val="single" w:sz="6" w:space="0" w:color="000000"/>
              <w:bottom w:val="single" w:sz="4" w:space="0" w:color="000000"/>
              <w:right w:val="single" w:sz="4" w:space="0" w:color="000000"/>
            </w:tcBorders>
          </w:tcPr>
          <w:p w14:paraId="4FEE6AA8" w14:textId="77777777" w:rsidR="009F5F6A" w:rsidRDefault="00962A10">
            <w:pPr>
              <w:spacing w:line="259" w:lineRule="auto"/>
              <w:rPr>
                <w:rFonts w:ascii="Times New Roman" w:hAnsi="Times New Roman" w:cs="Times New Roman"/>
              </w:rPr>
            </w:pPr>
            <w:r>
              <w:rPr>
                <w:rFonts w:ascii="Times New Roman" w:hAnsi="Times New Roman" w:cs="Times New Roman"/>
              </w:rPr>
              <w:t>Az eltrombopagnak és/vagy az ITP kezelésére együtt adott gyógyszereknek azt a legalacsonyabb dózisát kell alkalmazni, amellyel fenntartható a vérzés elkerüléséhez vagy csökkentéséhez szükséges vérlemezkeszám.</w:t>
            </w:r>
          </w:p>
        </w:tc>
      </w:tr>
      <w:tr w:rsidR="009F5F6A" w14:paraId="3857F92D" w14:textId="77777777">
        <w:trPr>
          <w:trHeight w:val="515"/>
        </w:trPr>
        <w:tc>
          <w:tcPr>
            <w:tcW w:w="3347" w:type="dxa"/>
            <w:tcBorders>
              <w:top w:val="single" w:sz="4" w:space="0" w:color="000000"/>
              <w:left w:val="single" w:sz="4" w:space="0" w:color="000000"/>
              <w:bottom w:val="single" w:sz="4" w:space="0" w:color="000000"/>
              <w:right w:val="single" w:sz="6" w:space="0" w:color="000000"/>
            </w:tcBorders>
          </w:tcPr>
          <w:p w14:paraId="7ABA14A5" w14:textId="77777777" w:rsidR="009F5F6A" w:rsidRDefault="00962A10">
            <w:pPr>
              <w:spacing w:line="259" w:lineRule="auto"/>
              <w:rPr>
                <w:rFonts w:ascii="Times New Roman" w:hAnsi="Times New Roman" w:cs="Times New Roman"/>
              </w:rPr>
            </w:pPr>
            <w:r>
              <w:rPr>
                <w:rFonts w:ascii="Times New Roman" w:hAnsi="Times New Roman" w:cs="Times New Roman"/>
              </w:rPr>
              <w:t>&gt;150 000/mikroliter – ≤250 000/mikroliter</w:t>
            </w:r>
          </w:p>
        </w:tc>
        <w:tc>
          <w:tcPr>
            <w:tcW w:w="5762" w:type="dxa"/>
            <w:tcBorders>
              <w:top w:val="single" w:sz="4" w:space="0" w:color="000000"/>
              <w:left w:val="single" w:sz="6" w:space="0" w:color="000000"/>
              <w:bottom w:val="single" w:sz="4" w:space="0" w:color="000000"/>
              <w:right w:val="single" w:sz="4" w:space="0" w:color="000000"/>
            </w:tcBorders>
          </w:tcPr>
          <w:p w14:paraId="4FB6F168" w14:textId="77777777" w:rsidR="009F5F6A" w:rsidRDefault="00962A10">
            <w:pPr>
              <w:spacing w:line="259" w:lineRule="auto"/>
              <w:rPr>
                <w:rFonts w:ascii="Times New Roman" w:hAnsi="Times New Roman" w:cs="Times New Roman"/>
              </w:rPr>
            </w:pPr>
            <w:r>
              <w:rPr>
                <w:rFonts w:ascii="Times New Roman" w:hAnsi="Times New Roman" w:cs="Times New Roman"/>
              </w:rPr>
              <w:t>25 mg-mal csökkenteni kell a napi dózist. A dóziscsökkentés, valamint a további dózismódosítások hatásának a megítéléséhez 2 hetet kell várni</w:t>
            </w:r>
            <w:r>
              <w:rPr>
                <w:rFonts w:asciiTheme="minorEastAsia" w:hAnsiTheme="minorEastAsia" w:cs="Times New Roman" w:hint="eastAsia"/>
                <w:vertAlign w:val="superscript"/>
              </w:rPr>
              <w:t>♦</w:t>
            </w:r>
            <w:r>
              <w:rPr>
                <w:rFonts w:ascii="Times New Roman" w:hAnsi="Times New Roman" w:cs="Times New Roman"/>
              </w:rPr>
              <w:t>.</w:t>
            </w:r>
          </w:p>
        </w:tc>
      </w:tr>
      <w:tr w:rsidR="009F5F6A" w14:paraId="35079282" w14:textId="77777777">
        <w:trPr>
          <w:trHeight w:val="1276"/>
        </w:trPr>
        <w:tc>
          <w:tcPr>
            <w:tcW w:w="3347" w:type="dxa"/>
            <w:tcBorders>
              <w:top w:val="single" w:sz="4" w:space="0" w:color="000000"/>
              <w:left w:val="single" w:sz="4" w:space="0" w:color="000000"/>
              <w:bottom w:val="single" w:sz="4" w:space="0" w:color="000000"/>
              <w:right w:val="single" w:sz="6" w:space="0" w:color="000000"/>
            </w:tcBorders>
          </w:tcPr>
          <w:p w14:paraId="21FEF762" w14:textId="77777777" w:rsidR="009F5F6A" w:rsidRDefault="00962A10">
            <w:pPr>
              <w:spacing w:line="259" w:lineRule="auto"/>
              <w:rPr>
                <w:rFonts w:ascii="Times New Roman" w:hAnsi="Times New Roman" w:cs="Times New Roman"/>
              </w:rPr>
            </w:pPr>
            <w:r>
              <w:rPr>
                <w:rFonts w:ascii="Times New Roman" w:hAnsi="Times New Roman" w:cs="Times New Roman"/>
              </w:rPr>
              <w:lastRenderedPageBreak/>
              <w:t>&gt;250 000/mikroliter</w:t>
            </w:r>
          </w:p>
        </w:tc>
        <w:tc>
          <w:tcPr>
            <w:tcW w:w="5762" w:type="dxa"/>
            <w:tcBorders>
              <w:top w:val="single" w:sz="4" w:space="0" w:color="000000"/>
              <w:left w:val="single" w:sz="6" w:space="0" w:color="000000"/>
              <w:bottom w:val="single" w:sz="4" w:space="0" w:color="000000"/>
              <w:right w:val="single" w:sz="4" w:space="0" w:color="000000"/>
            </w:tcBorders>
          </w:tcPr>
          <w:p w14:paraId="4D6541BE" w14:textId="77777777" w:rsidR="009F5F6A" w:rsidRDefault="00962A10">
            <w:pPr>
              <w:spacing w:line="259" w:lineRule="auto"/>
              <w:rPr>
                <w:rFonts w:ascii="Times New Roman" w:hAnsi="Times New Roman" w:cs="Times New Roman"/>
              </w:rPr>
            </w:pPr>
            <w:r>
              <w:rPr>
                <w:rFonts w:ascii="Times New Roman" w:hAnsi="Times New Roman" w:cs="Times New Roman"/>
              </w:rPr>
              <w:t>Az eltrombopag adását le kell állítani; a vérlemezkeszámot gyakrabban, hetente kétszer kell monitorozni.</w:t>
            </w:r>
          </w:p>
          <w:p w14:paraId="4097F961" w14:textId="77777777" w:rsidR="009F5F6A" w:rsidRDefault="009F5F6A">
            <w:pPr>
              <w:spacing w:line="259" w:lineRule="auto"/>
              <w:rPr>
                <w:rFonts w:ascii="Times New Roman" w:hAnsi="Times New Roman" w:cs="Times New Roman"/>
              </w:rPr>
            </w:pPr>
          </w:p>
          <w:p w14:paraId="2146D289" w14:textId="77777777" w:rsidR="009F5F6A" w:rsidRDefault="00962A10">
            <w:pPr>
              <w:spacing w:line="259" w:lineRule="auto"/>
              <w:rPr>
                <w:rFonts w:ascii="Times New Roman" w:hAnsi="Times New Roman" w:cs="Times New Roman"/>
              </w:rPr>
            </w:pPr>
            <w:r>
              <w:rPr>
                <w:rFonts w:ascii="Times New Roman" w:hAnsi="Times New Roman" w:cs="Times New Roman"/>
              </w:rPr>
              <w:t>Ha a vérlemezkeszám ≤100 000/mikroliter, 25 mg-mal alacsonyabb napi adaggal újra kell kezdeni a kezelést.</w:t>
            </w:r>
          </w:p>
        </w:tc>
      </w:tr>
    </w:tbl>
    <w:p w14:paraId="7E8C5CAA" w14:textId="77777777" w:rsidR="009F5F6A" w:rsidRDefault="00962A10">
      <w:pPr>
        <w:pStyle w:val="Listaszerbekezds"/>
        <w:numPr>
          <w:ilvl w:val="0"/>
          <w:numId w:val="44"/>
        </w:numPr>
        <w:tabs>
          <w:tab w:val="clear" w:pos="567"/>
          <w:tab w:val="right" w:pos="9071"/>
        </w:tabs>
        <w:spacing w:after="12" w:line="247" w:lineRule="auto"/>
        <w:ind w:left="567" w:hanging="567"/>
        <w:rPr>
          <w:sz w:val="20"/>
          <w:szCs w:val="22"/>
          <w:lang w:val="sl-SI"/>
        </w:rPr>
      </w:pPr>
      <w:r>
        <w:rPr>
          <w:sz w:val="20"/>
          <w:szCs w:val="22"/>
          <w:lang w:val="sl-SI"/>
        </w:rPr>
        <w:t>A minden második napon 25 mg eltrombopagot szedő betegeknél a dózist naponta egyszer 25 mg-ra kell emelni.</w:t>
      </w:r>
    </w:p>
    <w:p w14:paraId="69CBE4FC" w14:textId="77777777" w:rsidR="009F5F6A" w:rsidRDefault="00962A10">
      <w:pPr>
        <w:tabs>
          <w:tab w:val="clear" w:pos="567"/>
          <w:tab w:val="center" w:pos="4674"/>
        </w:tabs>
        <w:spacing w:after="12" w:line="247" w:lineRule="auto"/>
        <w:ind w:left="567" w:hanging="567"/>
        <w:rPr>
          <w:sz w:val="20"/>
          <w:szCs w:val="22"/>
          <w:lang w:val="sl-SI"/>
        </w:rPr>
      </w:pPr>
      <w:r>
        <w:rPr>
          <w:sz w:val="20"/>
          <w:szCs w:val="22"/>
          <w:lang w:val="sl-SI"/>
        </w:rPr>
        <w:t>♦</w:t>
      </w:r>
      <w:r>
        <w:rPr>
          <w:sz w:val="20"/>
          <w:szCs w:val="22"/>
          <w:lang w:val="sl-SI"/>
        </w:rPr>
        <w:tab/>
        <w:t>A naponta egyszer 25 mg eltrombopagot szedő betegeknél mérlegelni kell a napi egyszeri 12,5 mg-os dózis, vagy alternatív megoldásként a másnaponkénti 25 mg-os dózis adását.</w:t>
      </w:r>
    </w:p>
    <w:p w14:paraId="4E1C81DF" w14:textId="77777777" w:rsidR="009F5F6A" w:rsidRDefault="009F5F6A">
      <w:pPr>
        <w:spacing w:line="240" w:lineRule="auto"/>
        <w:rPr>
          <w:rFonts w:eastAsia="Times New Roman"/>
          <w:bCs/>
          <w:snapToGrid/>
          <w:szCs w:val="22"/>
          <w:lang w:val="hu-HU" w:eastAsia="en-US"/>
        </w:rPr>
      </w:pPr>
    </w:p>
    <w:p w14:paraId="36AF1830"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 az ITP kezelésére alkalmazott más gyógyszerekkel együtt is adható. Az ITP-re egyidej</w:t>
      </w:r>
      <w:r>
        <w:rPr>
          <w:rFonts w:eastAsia="Times New Roman" w:hint="eastAsia"/>
          <w:snapToGrid/>
          <w:szCs w:val="22"/>
          <w:lang w:val="hu-HU" w:eastAsia="en-US"/>
        </w:rPr>
        <w:t>ű</w:t>
      </w:r>
      <w:r>
        <w:rPr>
          <w:rFonts w:eastAsia="Times New Roman"/>
          <w:snapToGrid/>
          <w:szCs w:val="22"/>
          <w:lang w:val="hu-HU" w:eastAsia="en-US"/>
        </w:rPr>
        <w:t>leg alkalmazott gyógyszerek adagját úgy kell módosítani, ahogy az klinikailag indokolt, hogy elker</w:t>
      </w:r>
      <w:r>
        <w:rPr>
          <w:rFonts w:eastAsia="Times New Roman" w:hint="eastAsia"/>
          <w:snapToGrid/>
          <w:szCs w:val="22"/>
          <w:lang w:val="hu-HU" w:eastAsia="en-US"/>
        </w:rPr>
        <w:t>ü</w:t>
      </w:r>
      <w:r>
        <w:rPr>
          <w:rFonts w:eastAsia="Times New Roman"/>
          <w:snapToGrid/>
          <w:szCs w:val="22"/>
          <w:lang w:val="hu-HU" w:eastAsia="en-US"/>
        </w:rPr>
        <w:t>lhet</w:t>
      </w:r>
      <w:r>
        <w:rPr>
          <w:rFonts w:eastAsia="Times New Roman" w:hint="eastAsia"/>
          <w:snapToGrid/>
          <w:szCs w:val="22"/>
          <w:lang w:val="hu-HU" w:eastAsia="en-US"/>
        </w:rPr>
        <w:t>ő</w:t>
      </w:r>
      <w:r>
        <w:rPr>
          <w:rFonts w:eastAsia="Times New Roman"/>
          <w:snapToGrid/>
          <w:szCs w:val="22"/>
          <w:lang w:val="hu-HU" w:eastAsia="en-US"/>
        </w:rPr>
        <w:t xml:space="preserve"> legyen a v</w:t>
      </w:r>
      <w:r>
        <w:rPr>
          <w:rFonts w:eastAsia="Times New Roman" w:hint="eastAsia"/>
          <w:snapToGrid/>
          <w:szCs w:val="22"/>
          <w:lang w:val="hu-HU" w:eastAsia="en-US"/>
        </w:rPr>
        <w:t>é</w:t>
      </w:r>
      <w:r>
        <w:rPr>
          <w:rFonts w:eastAsia="Times New Roman"/>
          <w:snapToGrid/>
          <w:szCs w:val="22"/>
          <w:lang w:val="hu-HU" w:eastAsia="en-US"/>
        </w:rPr>
        <w:t>rlemezkesz</w:t>
      </w:r>
      <w:r>
        <w:rPr>
          <w:rFonts w:eastAsia="Times New Roman" w:hint="eastAsia"/>
          <w:snapToGrid/>
          <w:szCs w:val="22"/>
          <w:lang w:val="hu-HU" w:eastAsia="en-US"/>
        </w:rPr>
        <w:t>á</w:t>
      </w:r>
      <w:r>
        <w:rPr>
          <w:rFonts w:eastAsia="Times New Roman"/>
          <w:snapToGrid/>
          <w:szCs w:val="22"/>
          <w:lang w:val="hu-HU" w:eastAsia="en-US"/>
        </w:rPr>
        <w:t>m t</w:t>
      </w:r>
      <w:r>
        <w:rPr>
          <w:rFonts w:eastAsia="Times New Roman" w:hint="eastAsia"/>
          <w:snapToGrid/>
          <w:szCs w:val="22"/>
          <w:lang w:val="hu-HU" w:eastAsia="en-US"/>
        </w:rPr>
        <w:t>ú</w:t>
      </w:r>
      <w:r>
        <w:rPr>
          <w:rFonts w:eastAsia="Times New Roman"/>
          <w:snapToGrid/>
          <w:szCs w:val="22"/>
          <w:lang w:val="hu-HU" w:eastAsia="en-US"/>
        </w:rPr>
        <w:t>lzott emelked</w:t>
      </w:r>
      <w:r>
        <w:rPr>
          <w:rFonts w:eastAsia="Times New Roman" w:hint="eastAsia"/>
          <w:snapToGrid/>
          <w:szCs w:val="22"/>
          <w:lang w:val="hu-HU" w:eastAsia="en-US"/>
        </w:rPr>
        <w:t>é</w:t>
      </w:r>
      <w:r>
        <w:rPr>
          <w:rFonts w:eastAsia="Times New Roman"/>
          <w:snapToGrid/>
          <w:szCs w:val="22"/>
          <w:lang w:val="hu-HU" w:eastAsia="en-US"/>
        </w:rPr>
        <w:t>se az eltrombopag-kezelés alatt.</w:t>
      </w:r>
    </w:p>
    <w:p w14:paraId="763FAA8C" w14:textId="77777777" w:rsidR="009F5F6A" w:rsidRDefault="009F5F6A">
      <w:pPr>
        <w:autoSpaceDE w:val="0"/>
        <w:autoSpaceDN w:val="0"/>
        <w:adjustRightInd w:val="0"/>
        <w:spacing w:line="240" w:lineRule="auto"/>
        <w:rPr>
          <w:rFonts w:eastAsia="Times New Roman"/>
          <w:snapToGrid/>
          <w:szCs w:val="22"/>
          <w:lang w:val="hu-HU" w:eastAsia="en-US"/>
        </w:rPr>
      </w:pPr>
    </w:p>
    <w:p w14:paraId="037EB725"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Legalább 2 hetet szükséges v</w:t>
      </w:r>
      <w:r>
        <w:rPr>
          <w:rFonts w:eastAsia="Times New Roman" w:hint="eastAsia"/>
          <w:snapToGrid/>
          <w:szCs w:val="22"/>
          <w:lang w:val="hu-HU" w:eastAsia="en-US"/>
        </w:rPr>
        <w:t>á</w:t>
      </w:r>
      <w:r>
        <w:rPr>
          <w:rFonts w:eastAsia="Times New Roman"/>
          <w:snapToGrid/>
          <w:szCs w:val="22"/>
          <w:lang w:val="hu-HU" w:eastAsia="en-US"/>
        </w:rPr>
        <w:t>rni, hogy meg</w:t>
      </w:r>
      <w:r>
        <w:rPr>
          <w:rFonts w:eastAsia="Times New Roman" w:hint="eastAsia"/>
          <w:snapToGrid/>
          <w:szCs w:val="22"/>
          <w:lang w:val="hu-HU" w:eastAsia="en-US"/>
        </w:rPr>
        <w:t>í</w:t>
      </w:r>
      <w:r>
        <w:rPr>
          <w:rFonts w:eastAsia="Times New Roman"/>
          <w:snapToGrid/>
          <w:szCs w:val="22"/>
          <w:lang w:val="hu-HU" w:eastAsia="en-US"/>
        </w:rPr>
        <w:t>t</w:t>
      </w:r>
      <w:r>
        <w:rPr>
          <w:rFonts w:eastAsia="Times New Roman" w:hint="eastAsia"/>
          <w:snapToGrid/>
          <w:szCs w:val="22"/>
          <w:lang w:val="hu-HU" w:eastAsia="en-US"/>
        </w:rPr>
        <w:t>é</w:t>
      </w:r>
      <w:r>
        <w:rPr>
          <w:rFonts w:eastAsia="Times New Roman"/>
          <w:snapToGrid/>
          <w:szCs w:val="22"/>
          <w:lang w:val="hu-HU" w:eastAsia="en-US"/>
        </w:rPr>
        <w:t>lhet</w:t>
      </w:r>
      <w:r>
        <w:rPr>
          <w:rFonts w:eastAsia="Times New Roman" w:hint="eastAsia"/>
          <w:snapToGrid/>
          <w:szCs w:val="22"/>
          <w:lang w:val="hu-HU" w:eastAsia="en-US"/>
        </w:rPr>
        <w:t>ő</w:t>
      </w:r>
      <w:r>
        <w:rPr>
          <w:rFonts w:eastAsia="Times New Roman"/>
          <w:snapToGrid/>
          <w:szCs w:val="22"/>
          <w:lang w:val="hu-HU" w:eastAsia="en-US"/>
        </w:rPr>
        <w:t xml:space="preserve"> legyen a dózismódosítás hatása a beteg vérlemezkev</w:t>
      </w:r>
      <w:r>
        <w:rPr>
          <w:rFonts w:eastAsia="Times New Roman" w:hint="eastAsia"/>
          <w:snapToGrid/>
          <w:szCs w:val="22"/>
          <w:lang w:val="hu-HU" w:eastAsia="en-US"/>
        </w:rPr>
        <w:t>á</w:t>
      </w:r>
      <w:r>
        <w:rPr>
          <w:rFonts w:eastAsia="Times New Roman"/>
          <w:snapToGrid/>
          <w:szCs w:val="22"/>
          <w:lang w:val="hu-HU" w:eastAsia="en-US"/>
        </w:rPr>
        <w:t>lasz</w:t>
      </w:r>
      <w:r>
        <w:rPr>
          <w:rFonts w:eastAsia="Times New Roman" w:hint="eastAsia"/>
          <w:snapToGrid/>
          <w:szCs w:val="22"/>
          <w:lang w:val="hu-HU" w:eastAsia="en-US"/>
        </w:rPr>
        <w:t>á</w:t>
      </w:r>
      <w:r>
        <w:rPr>
          <w:rFonts w:eastAsia="Times New Roman"/>
          <w:snapToGrid/>
          <w:szCs w:val="22"/>
          <w:lang w:val="hu-HU" w:eastAsia="en-US"/>
        </w:rPr>
        <w:t>ra, miel</w:t>
      </w:r>
      <w:r>
        <w:rPr>
          <w:rFonts w:eastAsia="Times New Roman" w:hint="eastAsia"/>
          <w:snapToGrid/>
          <w:szCs w:val="22"/>
          <w:lang w:val="hu-HU" w:eastAsia="en-US"/>
        </w:rPr>
        <w:t>ő</w:t>
      </w:r>
      <w:r>
        <w:rPr>
          <w:rFonts w:eastAsia="Times New Roman"/>
          <w:snapToGrid/>
          <w:szCs w:val="22"/>
          <w:lang w:val="hu-HU" w:eastAsia="en-US"/>
        </w:rPr>
        <w:t xml:space="preserve">tt </w:t>
      </w:r>
      <w:r>
        <w:rPr>
          <w:rFonts w:eastAsia="Times New Roman" w:hint="eastAsia"/>
          <w:snapToGrid/>
          <w:szCs w:val="22"/>
          <w:lang w:val="hu-HU" w:eastAsia="en-US"/>
        </w:rPr>
        <w:t>ú</w:t>
      </w:r>
      <w:r>
        <w:rPr>
          <w:rFonts w:eastAsia="Times New Roman"/>
          <w:snapToGrid/>
          <w:szCs w:val="22"/>
          <w:lang w:val="hu-HU" w:eastAsia="en-US"/>
        </w:rPr>
        <w:t>jabb dózism</w:t>
      </w:r>
      <w:r>
        <w:rPr>
          <w:rFonts w:eastAsia="Times New Roman" w:hint="eastAsia"/>
          <w:snapToGrid/>
          <w:szCs w:val="22"/>
          <w:lang w:val="hu-HU" w:eastAsia="en-US"/>
        </w:rPr>
        <w:t>ó</w:t>
      </w:r>
      <w:r>
        <w:rPr>
          <w:rFonts w:eastAsia="Times New Roman"/>
          <w:snapToGrid/>
          <w:szCs w:val="22"/>
          <w:lang w:val="hu-HU" w:eastAsia="en-US"/>
        </w:rPr>
        <w:t>dos</w:t>
      </w:r>
      <w:r>
        <w:rPr>
          <w:rFonts w:eastAsia="Times New Roman" w:hint="eastAsia"/>
          <w:snapToGrid/>
          <w:szCs w:val="22"/>
          <w:lang w:val="hu-HU" w:eastAsia="en-US"/>
        </w:rPr>
        <w:t>í</w:t>
      </w:r>
      <w:r>
        <w:rPr>
          <w:rFonts w:eastAsia="Times New Roman"/>
          <w:snapToGrid/>
          <w:szCs w:val="22"/>
          <w:lang w:val="hu-HU" w:eastAsia="en-US"/>
        </w:rPr>
        <w:t>t</w:t>
      </w:r>
      <w:r>
        <w:rPr>
          <w:rFonts w:eastAsia="Times New Roman" w:hint="eastAsia"/>
          <w:snapToGrid/>
          <w:szCs w:val="22"/>
          <w:lang w:val="hu-HU" w:eastAsia="en-US"/>
        </w:rPr>
        <w:t>á</w:t>
      </w:r>
      <w:r>
        <w:rPr>
          <w:rFonts w:eastAsia="Times New Roman"/>
          <w:snapToGrid/>
          <w:szCs w:val="22"/>
          <w:lang w:val="hu-HU" w:eastAsia="en-US"/>
        </w:rPr>
        <w:t>s j</w:t>
      </w:r>
      <w:r>
        <w:rPr>
          <w:rFonts w:eastAsia="Times New Roman" w:hint="eastAsia"/>
          <w:snapToGrid/>
          <w:szCs w:val="22"/>
          <w:lang w:val="hu-HU" w:eastAsia="en-US"/>
        </w:rPr>
        <w:t>ö</w:t>
      </w:r>
      <w:r>
        <w:rPr>
          <w:rFonts w:eastAsia="Times New Roman"/>
          <w:snapToGrid/>
          <w:szCs w:val="22"/>
          <w:lang w:val="hu-HU" w:eastAsia="en-US"/>
        </w:rPr>
        <w:t>het sz</w:t>
      </w:r>
      <w:r>
        <w:rPr>
          <w:rFonts w:eastAsia="Times New Roman" w:hint="eastAsia"/>
          <w:snapToGrid/>
          <w:szCs w:val="22"/>
          <w:lang w:val="hu-HU" w:eastAsia="en-US"/>
        </w:rPr>
        <w:t>ó</w:t>
      </w:r>
      <w:r>
        <w:rPr>
          <w:rFonts w:eastAsia="Times New Roman"/>
          <w:snapToGrid/>
          <w:szCs w:val="22"/>
          <w:lang w:val="hu-HU" w:eastAsia="en-US"/>
        </w:rPr>
        <w:t>ba.</w:t>
      </w:r>
    </w:p>
    <w:p w14:paraId="2F44CAB4" w14:textId="77777777" w:rsidR="009F5F6A" w:rsidRDefault="009F5F6A">
      <w:pPr>
        <w:autoSpaceDE w:val="0"/>
        <w:autoSpaceDN w:val="0"/>
        <w:adjustRightInd w:val="0"/>
        <w:spacing w:line="240" w:lineRule="auto"/>
        <w:rPr>
          <w:rFonts w:eastAsia="Times New Roman"/>
          <w:snapToGrid/>
          <w:szCs w:val="22"/>
          <w:lang w:val="hu-HU" w:eastAsia="en-US"/>
        </w:rPr>
      </w:pPr>
    </w:p>
    <w:p w14:paraId="7D212112"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 xml:space="preserve">A standard eltrombopag-dózismódosítás </w:t>
      </w:r>
      <w:r>
        <w:rPr>
          <w:rFonts w:eastAsia="Times New Roman" w:hint="eastAsia"/>
          <w:snapToGrid/>
          <w:szCs w:val="22"/>
          <w:lang w:val="hu-HU" w:eastAsia="en-US"/>
        </w:rPr>
        <w:t>–</w:t>
      </w:r>
      <w:r>
        <w:rPr>
          <w:rFonts w:eastAsia="Times New Roman"/>
          <w:snapToGrid/>
          <w:szCs w:val="22"/>
          <w:lang w:val="hu-HU" w:eastAsia="en-US"/>
        </w:rPr>
        <w:t xml:space="preserve"> növelés vagy csökkentés </w:t>
      </w:r>
      <w:r>
        <w:rPr>
          <w:rFonts w:eastAsia="Times New Roman" w:hint="eastAsia"/>
          <w:snapToGrid/>
          <w:szCs w:val="22"/>
          <w:lang w:val="hu-HU" w:eastAsia="en-US"/>
        </w:rPr>
        <w:t>–</w:t>
      </w:r>
      <w:r>
        <w:rPr>
          <w:rFonts w:eastAsia="Times New Roman"/>
          <w:snapToGrid/>
          <w:szCs w:val="22"/>
          <w:lang w:val="hu-HU" w:eastAsia="en-US"/>
        </w:rPr>
        <w:t xml:space="preserve"> naponta egyszer 25 mg.</w:t>
      </w:r>
    </w:p>
    <w:p w14:paraId="7AFEACE4" w14:textId="77777777" w:rsidR="009F5F6A" w:rsidRDefault="009F5F6A">
      <w:pPr>
        <w:autoSpaceDE w:val="0"/>
        <w:autoSpaceDN w:val="0"/>
        <w:adjustRightInd w:val="0"/>
        <w:spacing w:line="240" w:lineRule="auto"/>
        <w:rPr>
          <w:rFonts w:eastAsia="Times New Roman"/>
          <w:snapToGrid/>
          <w:szCs w:val="22"/>
          <w:lang w:val="hu-HU" w:eastAsia="en-US"/>
        </w:rPr>
      </w:pPr>
    </w:p>
    <w:p w14:paraId="173BA2B0"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A kezelés leállítása</w:t>
      </w:r>
    </w:p>
    <w:p w14:paraId="65DCF727"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eltrombopag-kezelést le kell állítani, ha a vérlemezkeszám napi egyszeri 75 mg eltrombopag 4 h</w:t>
      </w:r>
      <w:r>
        <w:rPr>
          <w:rFonts w:eastAsia="Times New Roman" w:hint="eastAsia"/>
          <w:snapToGrid/>
          <w:szCs w:val="22"/>
          <w:lang w:val="hu-HU" w:eastAsia="en-US"/>
        </w:rPr>
        <w:t>é</w:t>
      </w:r>
      <w:r>
        <w:rPr>
          <w:rFonts w:eastAsia="Times New Roman"/>
          <w:snapToGrid/>
          <w:szCs w:val="22"/>
          <w:lang w:val="hu-HU" w:eastAsia="en-US"/>
        </w:rPr>
        <w:t>tig t</w:t>
      </w:r>
      <w:r>
        <w:rPr>
          <w:rFonts w:eastAsia="Times New Roman" w:hint="eastAsia"/>
          <w:snapToGrid/>
          <w:szCs w:val="22"/>
          <w:lang w:val="hu-HU" w:eastAsia="en-US"/>
        </w:rPr>
        <w:t>ö</w:t>
      </w:r>
      <w:r>
        <w:rPr>
          <w:rFonts w:eastAsia="Times New Roman"/>
          <w:snapToGrid/>
          <w:szCs w:val="22"/>
          <w:lang w:val="hu-HU" w:eastAsia="en-US"/>
        </w:rPr>
        <w:t>rt</w:t>
      </w:r>
      <w:r>
        <w:rPr>
          <w:rFonts w:eastAsia="Times New Roman" w:hint="eastAsia"/>
          <w:snapToGrid/>
          <w:szCs w:val="22"/>
          <w:lang w:val="hu-HU" w:eastAsia="en-US"/>
        </w:rPr>
        <w:t>é</w:t>
      </w:r>
      <w:r>
        <w:rPr>
          <w:rFonts w:eastAsia="Times New Roman"/>
          <w:snapToGrid/>
          <w:szCs w:val="22"/>
          <w:lang w:val="hu-HU" w:eastAsia="en-US"/>
        </w:rPr>
        <w:t>n</w:t>
      </w:r>
      <w:r>
        <w:rPr>
          <w:rFonts w:eastAsia="Times New Roman" w:hint="eastAsia"/>
          <w:snapToGrid/>
          <w:szCs w:val="22"/>
          <w:lang w:val="hu-HU" w:eastAsia="en-US"/>
        </w:rPr>
        <w:t>ő</w:t>
      </w:r>
      <w:r>
        <w:rPr>
          <w:rFonts w:eastAsia="Times New Roman"/>
          <w:snapToGrid/>
          <w:szCs w:val="22"/>
          <w:lang w:val="hu-HU" w:eastAsia="en-US"/>
        </w:rPr>
        <w:t xml:space="preserve"> alkalmaz</w:t>
      </w:r>
      <w:r>
        <w:rPr>
          <w:rFonts w:eastAsia="Times New Roman" w:hint="eastAsia"/>
          <w:snapToGrid/>
          <w:szCs w:val="22"/>
          <w:lang w:val="hu-HU" w:eastAsia="en-US"/>
        </w:rPr>
        <w:t>á</w:t>
      </w:r>
      <w:r>
        <w:rPr>
          <w:rFonts w:eastAsia="Times New Roman"/>
          <w:snapToGrid/>
          <w:szCs w:val="22"/>
          <w:lang w:val="hu-HU" w:eastAsia="en-US"/>
        </w:rPr>
        <w:t>sa ut</w:t>
      </w:r>
      <w:r>
        <w:rPr>
          <w:rFonts w:eastAsia="Times New Roman" w:hint="eastAsia"/>
          <w:snapToGrid/>
          <w:szCs w:val="22"/>
          <w:lang w:val="hu-HU" w:eastAsia="en-US"/>
        </w:rPr>
        <w:t>á</w:t>
      </w:r>
      <w:r>
        <w:rPr>
          <w:rFonts w:eastAsia="Times New Roman"/>
          <w:snapToGrid/>
          <w:szCs w:val="22"/>
          <w:lang w:val="hu-HU" w:eastAsia="en-US"/>
        </w:rPr>
        <w:t xml:space="preserve">n sem </w:t>
      </w:r>
      <w:r>
        <w:rPr>
          <w:rFonts w:eastAsia="Times New Roman" w:hint="eastAsia"/>
          <w:snapToGrid/>
          <w:szCs w:val="22"/>
          <w:lang w:val="hu-HU" w:eastAsia="en-US"/>
        </w:rPr>
        <w:t>é</w:t>
      </w:r>
      <w:r>
        <w:rPr>
          <w:rFonts w:eastAsia="Times New Roman"/>
          <w:snapToGrid/>
          <w:szCs w:val="22"/>
          <w:lang w:val="hu-HU" w:eastAsia="en-US"/>
        </w:rPr>
        <w:t>ri el a klinikailag jelent</w:t>
      </w:r>
      <w:r>
        <w:rPr>
          <w:rFonts w:eastAsia="Times New Roman" w:hint="eastAsia"/>
          <w:snapToGrid/>
          <w:szCs w:val="22"/>
          <w:lang w:val="hu-HU" w:eastAsia="en-US"/>
        </w:rPr>
        <w:t>ő</w:t>
      </w:r>
      <w:r>
        <w:rPr>
          <w:rFonts w:eastAsia="Times New Roman"/>
          <w:snapToGrid/>
          <w:szCs w:val="22"/>
          <w:lang w:val="hu-HU" w:eastAsia="en-US"/>
        </w:rPr>
        <w:t>s v</w:t>
      </w:r>
      <w:r>
        <w:rPr>
          <w:rFonts w:eastAsia="Times New Roman" w:hint="eastAsia"/>
          <w:snapToGrid/>
          <w:szCs w:val="22"/>
          <w:lang w:val="hu-HU" w:eastAsia="en-US"/>
        </w:rPr>
        <w:t>é</w:t>
      </w:r>
      <w:r>
        <w:rPr>
          <w:rFonts w:eastAsia="Times New Roman"/>
          <w:snapToGrid/>
          <w:szCs w:val="22"/>
          <w:lang w:val="hu-HU" w:eastAsia="en-US"/>
        </w:rPr>
        <w:t>rz</w:t>
      </w:r>
      <w:r>
        <w:rPr>
          <w:rFonts w:eastAsia="Times New Roman" w:hint="eastAsia"/>
          <w:snapToGrid/>
          <w:szCs w:val="22"/>
          <w:lang w:val="hu-HU" w:eastAsia="en-US"/>
        </w:rPr>
        <w:t>é</w:t>
      </w:r>
      <w:r>
        <w:rPr>
          <w:rFonts w:eastAsia="Times New Roman"/>
          <w:snapToGrid/>
          <w:szCs w:val="22"/>
          <w:lang w:val="hu-HU" w:eastAsia="en-US"/>
        </w:rPr>
        <w:t>s elker</w:t>
      </w:r>
      <w:r>
        <w:rPr>
          <w:rFonts w:eastAsia="Times New Roman" w:hint="eastAsia"/>
          <w:snapToGrid/>
          <w:szCs w:val="22"/>
          <w:lang w:val="hu-HU" w:eastAsia="en-US"/>
        </w:rPr>
        <w:t>ü</w:t>
      </w:r>
      <w:r>
        <w:rPr>
          <w:rFonts w:eastAsia="Times New Roman"/>
          <w:snapToGrid/>
          <w:szCs w:val="22"/>
          <w:lang w:val="hu-HU" w:eastAsia="en-US"/>
        </w:rPr>
        <w:t>l</w:t>
      </w:r>
      <w:r>
        <w:rPr>
          <w:rFonts w:eastAsia="Times New Roman" w:hint="eastAsia"/>
          <w:snapToGrid/>
          <w:szCs w:val="22"/>
          <w:lang w:val="hu-HU" w:eastAsia="en-US"/>
        </w:rPr>
        <w:t>é</w:t>
      </w:r>
      <w:r>
        <w:rPr>
          <w:rFonts w:eastAsia="Times New Roman"/>
          <w:snapToGrid/>
          <w:szCs w:val="22"/>
          <w:lang w:val="hu-HU" w:eastAsia="en-US"/>
        </w:rPr>
        <w:t>s</w:t>
      </w:r>
      <w:r>
        <w:rPr>
          <w:rFonts w:eastAsia="Times New Roman" w:hint="eastAsia"/>
          <w:snapToGrid/>
          <w:szCs w:val="22"/>
          <w:lang w:val="hu-HU" w:eastAsia="en-US"/>
        </w:rPr>
        <w:t>é</w:t>
      </w:r>
      <w:r>
        <w:rPr>
          <w:rFonts w:eastAsia="Times New Roman"/>
          <w:snapToGrid/>
          <w:szCs w:val="22"/>
          <w:lang w:val="hu-HU" w:eastAsia="en-US"/>
        </w:rPr>
        <w:t>hez elegend</w:t>
      </w:r>
      <w:r>
        <w:rPr>
          <w:rFonts w:eastAsia="Times New Roman" w:hint="eastAsia"/>
          <w:snapToGrid/>
          <w:szCs w:val="22"/>
          <w:lang w:val="hu-HU" w:eastAsia="en-US"/>
        </w:rPr>
        <w:t>ő</w:t>
      </w:r>
      <w:r>
        <w:rPr>
          <w:rFonts w:eastAsia="Times New Roman"/>
          <w:snapToGrid/>
          <w:szCs w:val="22"/>
          <w:lang w:val="hu-HU" w:eastAsia="en-US"/>
        </w:rPr>
        <w:t xml:space="preserve"> szintet.</w:t>
      </w:r>
    </w:p>
    <w:p w14:paraId="69027C5D" w14:textId="77777777" w:rsidR="009F5F6A" w:rsidRDefault="009F5F6A">
      <w:pPr>
        <w:autoSpaceDE w:val="0"/>
        <w:autoSpaceDN w:val="0"/>
        <w:adjustRightInd w:val="0"/>
        <w:spacing w:line="240" w:lineRule="auto"/>
        <w:rPr>
          <w:rFonts w:eastAsia="Times New Roman"/>
          <w:snapToGrid/>
          <w:szCs w:val="22"/>
          <w:lang w:val="hu-HU" w:eastAsia="en-US"/>
        </w:rPr>
      </w:pPr>
    </w:p>
    <w:p w14:paraId="1F69FCE4"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 xml:space="preserve">A betegek </w:t>
      </w:r>
      <w:r>
        <w:rPr>
          <w:rFonts w:eastAsia="Times New Roman" w:hint="eastAsia"/>
          <w:snapToGrid/>
          <w:szCs w:val="22"/>
          <w:lang w:val="hu-HU" w:eastAsia="en-US"/>
        </w:rPr>
        <w:t>á</w:t>
      </w:r>
      <w:r>
        <w:rPr>
          <w:rFonts w:eastAsia="Times New Roman"/>
          <w:snapToGrid/>
          <w:szCs w:val="22"/>
          <w:lang w:val="hu-HU" w:eastAsia="en-US"/>
        </w:rPr>
        <w:t>llapot</w:t>
      </w:r>
      <w:r>
        <w:rPr>
          <w:rFonts w:eastAsia="Times New Roman" w:hint="eastAsia"/>
          <w:snapToGrid/>
          <w:szCs w:val="22"/>
          <w:lang w:val="hu-HU" w:eastAsia="en-US"/>
        </w:rPr>
        <w:t>á</w:t>
      </w:r>
      <w:r>
        <w:rPr>
          <w:rFonts w:eastAsia="Times New Roman"/>
          <w:snapToGrid/>
          <w:szCs w:val="22"/>
          <w:lang w:val="hu-HU" w:eastAsia="en-US"/>
        </w:rPr>
        <w:t>t rendszeres id</w:t>
      </w:r>
      <w:r>
        <w:rPr>
          <w:rFonts w:eastAsia="Times New Roman" w:hint="eastAsia"/>
          <w:snapToGrid/>
          <w:szCs w:val="22"/>
          <w:lang w:val="hu-HU" w:eastAsia="en-US"/>
        </w:rPr>
        <w:t>ő</w:t>
      </w:r>
      <w:r>
        <w:rPr>
          <w:rFonts w:eastAsia="Times New Roman"/>
          <w:snapToGrid/>
          <w:szCs w:val="22"/>
          <w:lang w:val="hu-HU" w:eastAsia="en-US"/>
        </w:rPr>
        <w:t>k</w:t>
      </w:r>
      <w:r>
        <w:rPr>
          <w:rFonts w:eastAsia="Times New Roman" w:hint="eastAsia"/>
          <w:snapToGrid/>
          <w:szCs w:val="22"/>
          <w:lang w:val="hu-HU" w:eastAsia="en-US"/>
        </w:rPr>
        <w:t>ö</w:t>
      </w:r>
      <w:r>
        <w:rPr>
          <w:rFonts w:eastAsia="Times New Roman"/>
          <w:snapToGrid/>
          <w:szCs w:val="22"/>
          <w:lang w:val="hu-HU" w:eastAsia="en-US"/>
        </w:rPr>
        <w:t>z</w:t>
      </w:r>
      <w:r>
        <w:rPr>
          <w:rFonts w:eastAsia="Times New Roman" w:hint="eastAsia"/>
          <w:snapToGrid/>
          <w:szCs w:val="22"/>
          <w:lang w:val="hu-HU" w:eastAsia="en-US"/>
        </w:rPr>
        <w:t>ö</w:t>
      </w:r>
      <w:r>
        <w:rPr>
          <w:rFonts w:eastAsia="Times New Roman"/>
          <w:snapToGrid/>
          <w:szCs w:val="22"/>
          <w:lang w:val="hu-HU" w:eastAsia="en-US"/>
        </w:rPr>
        <w:t>nk</w:t>
      </w:r>
      <w:r>
        <w:rPr>
          <w:rFonts w:eastAsia="Times New Roman" w:hint="eastAsia"/>
          <w:snapToGrid/>
          <w:szCs w:val="22"/>
          <w:lang w:val="hu-HU" w:eastAsia="en-US"/>
        </w:rPr>
        <w:t>é</w:t>
      </w:r>
      <w:r>
        <w:rPr>
          <w:rFonts w:eastAsia="Times New Roman"/>
          <w:snapToGrid/>
          <w:szCs w:val="22"/>
          <w:lang w:val="hu-HU" w:eastAsia="en-US"/>
        </w:rPr>
        <w:t xml:space="preserve">nt </w:t>
      </w:r>
      <w:r>
        <w:rPr>
          <w:rFonts w:eastAsia="Times New Roman" w:hint="eastAsia"/>
          <w:snapToGrid/>
          <w:szCs w:val="22"/>
          <w:lang w:val="hu-HU" w:eastAsia="en-US"/>
        </w:rPr>
        <w:t>é</w:t>
      </w:r>
      <w:r>
        <w:rPr>
          <w:rFonts w:eastAsia="Times New Roman"/>
          <w:snapToGrid/>
          <w:szCs w:val="22"/>
          <w:lang w:val="hu-HU" w:eastAsia="en-US"/>
        </w:rPr>
        <w:t>rt</w:t>
      </w:r>
      <w:r>
        <w:rPr>
          <w:rFonts w:eastAsia="Times New Roman" w:hint="eastAsia"/>
          <w:snapToGrid/>
          <w:szCs w:val="22"/>
          <w:lang w:val="hu-HU" w:eastAsia="en-US"/>
        </w:rPr>
        <w:t>é</w:t>
      </w:r>
      <w:r>
        <w:rPr>
          <w:rFonts w:eastAsia="Times New Roman"/>
          <w:snapToGrid/>
          <w:szCs w:val="22"/>
          <w:lang w:val="hu-HU" w:eastAsia="en-US"/>
        </w:rPr>
        <w:t xml:space="preserve">kelni kell, </w:t>
      </w:r>
      <w:r>
        <w:rPr>
          <w:rFonts w:eastAsia="Times New Roman" w:hint="eastAsia"/>
          <w:snapToGrid/>
          <w:szCs w:val="22"/>
          <w:lang w:val="hu-HU" w:eastAsia="en-US"/>
        </w:rPr>
        <w:t>é</w:t>
      </w:r>
      <w:r>
        <w:rPr>
          <w:rFonts w:eastAsia="Times New Roman"/>
          <w:snapToGrid/>
          <w:szCs w:val="22"/>
          <w:lang w:val="hu-HU" w:eastAsia="en-US"/>
        </w:rPr>
        <w:t>s a kezel</w:t>
      </w:r>
      <w:r>
        <w:rPr>
          <w:rFonts w:eastAsia="Times New Roman" w:hint="eastAsia"/>
          <w:snapToGrid/>
          <w:szCs w:val="22"/>
          <w:lang w:val="hu-HU" w:eastAsia="en-US"/>
        </w:rPr>
        <w:t>é</w:t>
      </w:r>
      <w:r>
        <w:rPr>
          <w:rFonts w:eastAsia="Times New Roman"/>
          <w:snapToGrid/>
          <w:szCs w:val="22"/>
          <w:lang w:val="hu-HU" w:eastAsia="en-US"/>
        </w:rPr>
        <w:t>s folytat</w:t>
      </w:r>
      <w:r>
        <w:rPr>
          <w:rFonts w:eastAsia="Times New Roman" w:hint="eastAsia"/>
          <w:snapToGrid/>
          <w:szCs w:val="22"/>
          <w:lang w:val="hu-HU" w:eastAsia="en-US"/>
        </w:rPr>
        <w:t>á</w:t>
      </w:r>
      <w:r>
        <w:rPr>
          <w:rFonts w:eastAsia="Times New Roman"/>
          <w:snapToGrid/>
          <w:szCs w:val="22"/>
          <w:lang w:val="hu-HU" w:eastAsia="en-US"/>
        </w:rPr>
        <w:t>s</w:t>
      </w:r>
      <w:r>
        <w:rPr>
          <w:rFonts w:eastAsia="Times New Roman" w:hint="eastAsia"/>
          <w:snapToGrid/>
          <w:szCs w:val="22"/>
          <w:lang w:val="hu-HU" w:eastAsia="en-US"/>
        </w:rPr>
        <w:t>á</w:t>
      </w:r>
      <w:r>
        <w:rPr>
          <w:rFonts w:eastAsia="Times New Roman"/>
          <w:snapToGrid/>
          <w:szCs w:val="22"/>
          <w:lang w:val="hu-HU" w:eastAsia="en-US"/>
        </w:rPr>
        <w:t>r</w:t>
      </w:r>
      <w:r>
        <w:rPr>
          <w:rFonts w:eastAsia="Times New Roman" w:hint="eastAsia"/>
          <w:snapToGrid/>
          <w:szCs w:val="22"/>
          <w:lang w:val="hu-HU" w:eastAsia="en-US"/>
        </w:rPr>
        <w:t>ó</w:t>
      </w:r>
      <w:r>
        <w:rPr>
          <w:rFonts w:eastAsia="Times New Roman"/>
          <w:snapToGrid/>
          <w:szCs w:val="22"/>
          <w:lang w:val="hu-HU" w:eastAsia="en-US"/>
        </w:rPr>
        <w:t>l a kezel</w:t>
      </w:r>
      <w:r>
        <w:rPr>
          <w:rFonts w:eastAsia="Times New Roman" w:hint="eastAsia"/>
          <w:snapToGrid/>
          <w:szCs w:val="22"/>
          <w:lang w:val="hu-HU" w:eastAsia="en-US"/>
        </w:rPr>
        <w:t>ő</w:t>
      </w:r>
      <w:r>
        <w:rPr>
          <w:rFonts w:eastAsia="Times New Roman"/>
          <w:snapToGrid/>
          <w:szCs w:val="22"/>
          <w:lang w:val="hu-HU" w:eastAsia="en-US"/>
        </w:rPr>
        <w:t>orvosnak egyedileg kell döntenie. Nem splenectomizált betegeknél ennek ki kell terjednie a lépeltávolítással szembeni értékelésre is. A kezelés felfüggesztése után a thrombocytopenia kiújulhat (lásd 4.4 pont).</w:t>
      </w:r>
    </w:p>
    <w:p w14:paraId="40176908" w14:textId="77777777" w:rsidR="009F5F6A" w:rsidRDefault="009F5F6A">
      <w:pPr>
        <w:autoSpaceDE w:val="0"/>
        <w:autoSpaceDN w:val="0"/>
        <w:adjustRightInd w:val="0"/>
        <w:spacing w:line="240" w:lineRule="auto"/>
        <w:rPr>
          <w:rFonts w:eastAsia="Times New Roman"/>
          <w:snapToGrid/>
          <w:szCs w:val="22"/>
          <w:lang w:val="hu-HU" w:eastAsia="en-US"/>
        </w:rPr>
      </w:pPr>
    </w:p>
    <w:p w14:paraId="5D252634" w14:textId="77777777" w:rsidR="009F5F6A" w:rsidRDefault="00962A10">
      <w:pPr>
        <w:autoSpaceDE w:val="0"/>
        <w:autoSpaceDN w:val="0"/>
        <w:adjustRightInd w:val="0"/>
        <w:spacing w:line="240" w:lineRule="auto"/>
        <w:rPr>
          <w:rFonts w:eastAsia="Times New Roman"/>
          <w:i/>
          <w:iCs/>
          <w:snapToGrid/>
          <w:szCs w:val="22"/>
          <w:u w:val="single"/>
          <w:lang w:val="hu-HU" w:eastAsia="en-US"/>
        </w:rPr>
      </w:pPr>
      <w:r>
        <w:rPr>
          <w:rFonts w:eastAsia="Times New Roman"/>
          <w:i/>
          <w:iCs/>
          <w:snapToGrid/>
          <w:szCs w:val="22"/>
          <w:u w:val="single"/>
          <w:lang w:val="hu-HU" w:eastAsia="en-US"/>
        </w:rPr>
        <w:t>Krónikus hepatitis C-hez (HCV) társuló thrombocytopenia</w:t>
      </w:r>
    </w:p>
    <w:p w14:paraId="753791F9"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Amikor az eltrombopagot antivirális szerekkel kombinálva alkalmazzák, a szóban forgó együtt adott gyógyszerek teljes alkalmaz</w:t>
      </w:r>
      <w:r>
        <w:rPr>
          <w:rFonts w:eastAsia="Times New Roman" w:hint="eastAsia"/>
          <w:snapToGrid/>
          <w:szCs w:val="22"/>
          <w:lang w:val="hu-HU" w:eastAsia="en-US"/>
        </w:rPr>
        <w:t>á</w:t>
      </w:r>
      <w:r>
        <w:rPr>
          <w:rFonts w:eastAsia="Times New Roman"/>
          <w:snapToGrid/>
          <w:szCs w:val="22"/>
          <w:lang w:val="hu-HU" w:eastAsia="en-US"/>
        </w:rPr>
        <w:t>si el</w:t>
      </w:r>
      <w:r>
        <w:rPr>
          <w:rFonts w:eastAsia="Times New Roman" w:hint="eastAsia"/>
          <w:snapToGrid/>
          <w:szCs w:val="22"/>
          <w:lang w:val="hu-HU" w:eastAsia="en-US"/>
        </w:rPr>
        <w:t>őí</w:t>
      </w:r>
      <w:r>
        <w:rPr>
          <w:rFonts w:eastAsia="Times New Roman"/>
          <w:snapToGrid/>
          <w:szCs w:val="22"/>
          <w:lang w:val="hu-HU" w:eastAsia="en-US"/>
        </w:rPr>
        <w:t>r</w:t>
      </w:r>
      <w:r>
        <w:rPr>
          <w:rFonts w:eastAsia="Times New Roman" w:hint="eastAsia"/>
          <w:snapToGrid/>
          <w:szCs w:val="22"/>
          <w:lang w:val="hu-HU" w:eastAsia="en-US"/>
        </w:rPr>
        <w:t>á</w:t>
      </w:r>
      <w:r>
        <w:rPr>
          <w:rFonts w:eastAsia="Times New Roman"/>
          <w:snapToGrid/>
          <w:szCs w:val="22"/>
          <w:lang w:val="hu-HU" w:eastAsia="en-US"/>
        </w:rPr>
        <w:t>sát hivatkozásként figyelembe kell venni, a vonatkozó biztonságossági információk vagy ellenjavallatok minden részletét is beleértve.</w:t>
      </w:r>
    </w:p>
    <w:p w14:paraId="6FE7EBAD" w14:textId="77777777" w:rsidR="009F5F6A" w:rsidRDefault="009F5F6A">
      <w:pPr>
        <w:autoSpaceDE w:val="0"/>
        <w:autoSpaceDN w:val="0"/>
        <w:adjustRightInd w:val="0"/>
        <w:spacing w:line="240" w:lineRule="auto"/>
        <w:rPr>
          <w:rFonts w:eastAsia="Times New Roman"/>
          <w:snapToGrid/>
          <w:szCs w:val="22"/>
          <w:lang w:val="hu-HU" w:eastAsia="en-US"/>
        </w:rPr>
      </w:pPr>
    </w:p>
    <w:p w14:paraId="2F492D2E"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 xml:space="preserve">Klinikai vizsgálatokban a vérlemezkeszám az eltrombopag-kezelés megkezdése után általában 1 héten belül emelkedett. Az eltrombopag-kezelés célja az antivirális terápia megkezdéséhez szükséges minimális vérlemezkeszám elérése </w:t>
      </w:r>
      <w:proofErr w:type="gramStart"/>
      <w:r>
        <w:rPr>
          <w:rFonts w:eastAsia="Times New Roman"/>
          <w:snapToGrid/>
          <w:szCs w:val="22"/>
          <w:lang w:val="hu-HU" w:eastAsia="en-US"/>
        </w:rPr>
        <w:t>kell</w:t>
      </w:r>
      <w:proofErr w:type="gramEnd"/>
      <w:r>
        <w:rPr>
          <w:rFonts w:eastAsia="Times New Roman"/>
          <w:snapToGrid/>
          <w:szCs w:val="22"/>
          <w:lang w:val="hu-HU" w:eastAsia="en-US"/>
        </w:rPr>
        <w:t xml:space="preserve"> legyen, a klinikai gyakorlatban alkalmazott ajánlásokkal összhangban. Az antivirális terápia során a kezelés célja, hogy fenntartható legyen a vérzéses sz</w:t>
      </w:r>
      <w:r>
        <w:rPr>
          <w:rFonts w:eastAsia="Times New Roman" w:hint="eastAsia"/>
          <w:snapToGrid/>
          <w:szCs w:val="22"/>
          <w:lang w:val="hu-HU" w:eastAsia="en-US"/>
        </w:rPr>
        <w:t>ö</w:t>
      </w:r>
      <w:r>
        <w:rPr>
          <w:rFonts w:eastAsia="Times New Roman"/>
          <w:snapToGrid/>
          <w:szCs w:val="22"/>
          <w:lang w:val="hu-HU" w:eastAsia="en-US"/>
        </w:rPr>
        <w:t>v</w:t>
      </w:r>
      <w:r>
        <w:rPr>
          <w:rFonts w:eastAsia="Times New Roman" w:hint="eastAsia"/>
          <w:snapToGrid/>
          <w:szCs w:val="22"/>
          <w:lang w:val="hu-HU" w:eastAsia="en-US"/>
        </w:rPr>
        <w:t>ő</w:t>
      </w:r>
      <w:r>
        <w:rPr>
          <w:rFonts w:eastAsia="Times New Roman"/>
          <w:snapToGrid/>
          <w:szCs w:val="22"/>
          <w:lang w:val="hu-HU" w:eastAsia="en-US"/>
        </w:rPr>
        <w:t>dm</w:t>
      </w:r>
      <w:r>
        <w:rPr>
          <w:rFonts w:eastAsia="Times New Roman" w:hint="eastAsia"/>
          <w:snapToGrid/>
          <w:szCs w:val="22"/>
          <w:lang w:val="hu-HU" w:eastAsia="en-US"/>
        </w:rPr>
        <w:t>é</w:t>
      </w:r>
      <w:r>
        <w:rPr>
          <w:rFonts w:eastAsia="Times New Roman"/>
          <w:snapToGrid/>
          <w:szCs w:val="22"/>
          <w:lang w:val="hu-HU" w:eastAsia="en-US"/>
        </w:rPr>
        <w:t>nyek kockázatának megel</w:t>
      </w:r>
      <w:r>
        <w:rPr>
          <w:rFonts w:eastAsia="Times New Roman" w:hint="eastAsia"/>
          <w:snapToGrid/>
          <w:szCs w:val="22"/>
          <w:lang w:val="hu-HU" w:eastAsia="en-US"/>
        </w:rPr>
        <w:t>ő</w:t>
      </w:r>
      <w:r>
        <w:rPr>
          <w:rFonts w:eastAsia="Times New Roman"/>
          <w:snapToGrid/>
          <w:szCs w:val="22"/>
          <w:lang w:val="hu-HU" w:eastAsia="en-US"/>
        </w:rPr>
        <w:t>z</w:t>
      </w:r>
      <w:r>
        <w:rPr>
          <w:rFonts w:eastAsia="Times New Roman" w:hint="eastAsia"/>
          <w:snapToGrid/>
          <w:szCs w:val="22"/>
          <w:lang w:val="hu-HU" w:eastAsia="en-US"/>
        </w:rPr>
        <w:t>é</w:t>
      </w:r>
      <w:r>
        <w:rPr>
          <w:rFonts w:eastAsia="Times New Roman"/>
          <w:snapToGrid/>
          <w:szCs w:val="22"/>
          <w:lang w:val="hu-HU" w:eastAsia="en-US"/>
        </w:rPr>
        <w:t>s</w:t>
      </w:r>
      <w:r>
        <w:rPr>
          <w:rFonts w:eastAsia="Times New Roman" w:hint="eastAsia"/>
          <w:snapToGrid/>
          <w:szCs w:val="22"/>
          <w:lang w:val="hu-HU" w:eastAsia="en-US"/>
        </w:rPr>
        <w:t>é</w:t>
      </w:r>
      <w:r>
        <w:rPr>
          <w:rFonts w:eastAsia="Times New Roman"/>
          <w:snapToGrid/>
          <w:szCs w:val="22"/>
          <w:lang w:val="hu-HU" w:eastAsia="en-US"/>
        </w:rPr>
        <w:t>hez szükséges vérlemezkeszám, amely általában 50 000-75 000/mikroliter. A 75 000/mikrolitern</w:t>
      </w:r>
      <w:r>
        <w:rPr>
          <w:rFonts w:eastAsia="Times New Roman" w:hint="eastAsia"/>
          <w:snapToGrid/>
          <w:szCs w:val="22"/>
          <w:lang w:val="hu-HU" w:eastAsia="en-US"/>
        </w:rPr>
        <w:t>é</w:t>
      </w:r>
      <w:r>
        <w:rPr>
          <w:rFonts w:eastAsia="Times New Roman"/>
          <w:snapToGrid/>
          <w:szCs w:val="22"/>
          <w:lang w:val="hu-HU" w:eastAsia="en-US"/>
        </w:rPr>
        <w:t>l magasabb v</w:t>
      </w:r>
      <w:r>
        <w:rPr>
          <w:rFonts w:eastAsia="Times New Roman" w:hint="eastAsia"/>
          <w:snapToGrid/>
          <w:szCs w:val="22"/>
          <w:lang w:val="hu-HU" w:eastAsia="en-US"/>
        </w:rPr>
        <w:t>é</w:t>
      </w:r>
      <w:r>
        <w:rPr>
          <w:rFonts w:eastAsia="Times New Roman"/>
          <w:snapToGrid/>
          <w:szCs w:val="22"/>
          <w:lang w:val="hu-HU" w:eastAsia="en-US"/>
        </w:rPr>
        <w:t>rlemezkesz</w:t>
      </w:r>
      <w:r>
        <w:rPr>
          <w:rFonts w:eastAsia="Times New Roman" w:hint="eastAsia"/>
          <w:snapToGrid/>
          <w:szCs w:val="22"/>
          <w:lang w:val="hu-HU" w:eastAsia="en-US"/>
        </w:rPr>
        <w:t>á</w:t>
      </w:r>
      <w:r>
        <w:rPr>
          <w:rFonts w:eastAsia="Times New Roman"/>
          <w:snapToGrid/>
          <w:szCs w:val="22"/>
          <w:lang w:val="hu-HU" w:eastAsia="en-US"/>
        </w:rPr>
        <w:t>m ker</w:t>
      </w:r>
      <w:r>
        <w:rPr>
          <w:rFonts w:eastAsia="Times New Roman" w:hint="eastAsia"/>
          <w:snapToGrid/>
          <w:szCs w:val="22"/>
          <w:lang w:val="hu-HU" w:eastAsia="en-US"/>
        </w:rPr>
        <w:t>ü</w:t>
      </w:r>
      <w:r>
        <w:rPr>
          <w:rFonts w:eastAsia="Times New Roman"/>
          <w:snapToGrid/>
          <w:szCs w:val="22"/>
          <w:lang w:val="hu-HU" w:eastAsia="en-US"/>
        </w:rPr>
        <w:t>lend</w:t>
      </w:r>
      <w:r>
        <w:rPr>
          <w:rFonts w:eastAsia="Times New Roman" w:hint="eastAsia"/>
          <w:snapToGrid/>
          <w:szCs w:val="22"/>
          <w:lang w:val="hu-HU" w:eastAsia="en-US"/>
        </w:rPr>
        <w:t>ő</w:t>
      </w:r>
      <w:r>
        <w:rPr>
          <w:rFonts w:eastAsia="Times New Roman"/>
          <w:snapToGrid/>
          <w:szCs w:val="22"/>
          <w:lang w:val="hu-HU" w:eastAsia="en-US"/>
        </w:rPr>
        <w:t xml:space="preserve">. A terápiás célok eléréséhez szükséges legalacsonyabb eltrombopag-dózist kell alkalmazni. A dózismódosítás a vérlemezkeszám válaszon </w:t>
      </w:r>
      <w:proofErr w:type="gramStart"/>
      <w:r>
        <w:rPr>
          <w:rFonts w:eastAsia="Times New Roman"/>
          <w:snapToGrid/>
          <w:szCs w:val="22"/>
          <w:lang w:val="hu-HU" w:eastAsia="en-US"/>
        </w:rPr>
        <w:t>kell</w:t>
      </w:r>
      <w:proofErr w:type="gramEnd"/>
      <w:r>
        <w:rPr>
          <w:rFonts w:eastAsia="Times New Roman"/>
          <w:snapToGrid/>
          <w:szCs w:val="22"/>
          <w:lang w:val="hu-HU" w:eastAsia="en-US"/>
        </w:rPr>
        <w:t xml:space="preserve"> alapuljon.</w:t>
      </w:r>
    </w:p>
    <w:p w14:paraId="255715C1" w14:textId="77777777" w:rsidR="009F5F6A" w:rsidRDefault="009F5F6A">
      <w:pPr>
        <w:autoSpaceDE w:val="0"/>
        <w:autoSpaceDN w:val="0"/>
        <w:adjustRightInd w:val="0"/>
        <w:spacing w:line="240" w:lineRule="auto"/>
        <w:rPr>
          <w:rFonts w:eastAsia="Times New Roman"/>
          <w:snapToGrid/>
          <w:szCs w:val="22"/>
          <w:lang w:val="hu-HU" w:eastAsia="en-US"/>
        </w:rPr>
      </w:pPr>
    </w:p>
    <w:p w14:paraId="18EA5100"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Bevezető adagolási rend</w:t>
      </w:r>
    </w:p>
    <w:p w14:paraId="70323634"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 kezd</w:t>
      </w:r>
      <w:r>
        <w:rPr>
          <w:rFonts w:eastAsia="Times New Roman" w:hint="eastAsia"/>
          <w:snapToGrid/>
          <w:szCs w:val="22"/>
          <w:lang w:val="hu-HU" w:eastAsia="en-US"/>
        </w:rPr>
        <w:t>ő</w:t>
      </w:r>
      <w:r>
        <w:rPr>
          <w:rFonts w:eastAsia="Times New Roman"/>
          <w:snapToGrid/>
          <w:szCs w:val="22"/>
          <w:lang w:val="hu-HU" w:eastAsia="en-US"/>
        </w:rPr>
        <w:t xml:space="preserve"> d</w:t>
      </w:r>
      <w:r>
        <w:rPr>
          <w:rFonts w:eastAsia="Times New Roman" w:hint="eastAsia"/>
          <w:snapToGrid/>
          <w:szCs w:val="22"/>
          <w:lang w:val="hu-HU" w:eastAsia="en-US"/>
        </w:rPr>
        <w:t>ó</w:t>
      </w:r>
      <w:r>
        <w:rPr>
          <w:rFonts w:eastAsia="Times New Roman"/>
          <w:snapToGrid/>
          <w:szCs w:val="22"/>
          <w:lang w:val="hu-HU" w:eastAsia="en-US"/>
        </w:rPr>
        <w:t xml:space="preserve">zisa napi egyszer 25 mg </w:t>
      </w:r>
      <w:proofErr w:type="gramStart"/>
      <w:r>
        <w:rPr>
          <w:rFonts w:eastAsia="Times New Roman"/>
          <w:snapToGrid/>
          <w:szCs w:val="22"/>
          <w:lang w:val="hu-HU" w:eastAsia="en-US"/>
        </w:rPr>
        <w:t>kell</w:t>
      </w:r>
      <w:proofErr w:type="gramEnd"/>
      <w:r>
        <w:rPr>
          <w:rFonts w:eastAsia="Times New Roman"/>
          <w:snapToGrid/>
          <w:szCs w:val="22"/>
          <w:lang w:val="hu-HU" w:eastAsia="en-US"/>
        </w:rPr>
        <w:t xml:space="preserve"> legyen. Nincs szükség dózismódosításra kelet-/délkelet-ázsiai származású HCV-betegeknél, illetve enyhe m</w:t>
      </w:r>
      <w:r>
        <w:rPr>
          <w:rFonts w:eastAsia="Times New Roman" w:hint="eastAsia"/>
          <w:snapToGrid/>
          <w:szCs w:val="22"/>
          <w:lang w:val="hu-HU" w:eastAsia="en-US"/>
        </w:rPr>
        <w:t>á</w:t>
      </w:r>
      <w:r>
        <w:rPr>
          <w:rFonts w:eastAsia="Times New Roman"/>
          <w:snapToGrid/>
          <w:szCs w:val="22"/>
          <w:lang w:val="hu-HU" w:eastAsia="en-US"/>
        </w:rPr>
        <w:t>jk</w:t>
      </w:r>
      <w:r>
        <w:rPr>
          <w:rFonts w:eastAsia="Times New Roman" w:hint="eastAsia"/>
          <w:snapToGrid/>
          <w:szCs w:val="22"/>
          <w:lang w:val="hu-HU" w:eastAsia="en-US"/>
        </w:rPr>
        <w:t>á</w:t>
      </w:r>
      <w:r>
        <w:rPr>
          <w:rFonts w:eastAsia="Times New Roman"/>
          <w:snapToGrid/>
          <w:szCs w:val="22"/>
          <w:lang w:val="hu-HU" w:eastAsia="en-US"/>
        </w:rPr>
        <w:t>rosod</w:t>
      </w:r>
      <w:r>
        <w:rPr>
          <w:rFonts w:eastAsia="Times New Roman" w:hint="eastAsia"/>
          <w:snapToGrid/>
          <w:szCs w:val="22"/>
          <w:lang w:val="hu-HU" w:eastAsia="en-US"/>
        </w:rPr>
        <w:t>á</w:t>
      </w:r>
      <w:r>
        <w:rPr>
          <w:rFonts w:eastAsia="Times New Roman"/>
          <w:snapToGrid/>
          <w:szCs w:val="22"/>
          <w:lang w:val="hu-HU" w:eastAsia="en-US"/>
        </w:rPr>
        <w:t>sban szenved</w:t>
      </w:r>
      <w:r>
        <w:rPr>
          <w:rFonts w:eastAsia="Times New Roman" w:hint="eastAsia"/>
          <w:snapToGrid/>
          <w:szCs w:val="22"/>
          <w:lang w:val="hu-HU" w:eastAsia="en-US"/>
        </w:rPr>
        <w:t>ő</w:t>
      </w:r>
      <w:r>
        <w:rPr>
          <w:rFonts w:eastAsia="Times New Roman"/>
          <w:snapToGrid/>
          <w:szCs w:val="22"/>
          <w:lang w:val="hu-HU" w:eastAsia="en-US"/>
        </w:rPr>
        <w:t xml:space="preserve"> betegeknél (lásd 5.2 pont).</w:t>
      </w:r>
    </w:p>
    <w:p w14:paraId="5156547D" w14:textId="77777777" w:rsidR="009F5F6A" w:rsidRDefault="009F5F6A">
      <w:pPr>
        <w:autoSpaceDE w:val="0"/>
        <w:autoSpaceDN w:val="0"/>
        <w:adjustRightInd w:val="0"/>
        <w:spacing w:line="240" w:lineRule="auto"/>
        <w:rPr>
          <w:rFonts w:eastAsia="Times New Roman"/>
          <w:snapToGrid/>
          <w:szCs w:val="22"/>
          <w:lang w:val="hu-HU" w:eastAsia="en-US"/>
        </w:rPr>
      </w:pPr>
    </w:p>
    <w:p w14:paraId="77F412F4"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Monitorozás és dózisbeállítás</w:t>
      </w:r>
    </w:p>
    <w:p w14:paraId="698808C8"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 napi dózisát szükség szerint kéthetente, 25 mg-mal kell emelni, az antivirális terápia megkezdéséhez kell</w:t>
      </w:r>
      <w:r>
        <w:rPr>
          <w:rFonts w:eastAsia="Times New Roman" w:hint="eastAsia"/>
          <w:snapToGrid/>
          <w:szCs w:val="22"/>
          <w:lang w:val="hu-HU" w:eastAsia="en-US"/>
        </w:rPr>
        <w:t>ő</w:t>
      </w:r>
      <w:r>
        <w:rPr>
          <w:rFonts w:eastAsia="Times New Roman"/>
          <w:snapToGrid/>
          <w:szCs w:val="22"/>
          <w:lang w:val="hu-HU" w:eastAsia="en-US"/>
        </w:rPr>
        <w:t xml:space="preserve"> vérlemezkeszám elérése érdekében. Az antivir</w:t>
      </w:r>
      <w:r>
        <w:rPr>
          <w:rFonts w:eastAsia="Times New Roman" w:hint="eastAsia"/>
          <w:snapToGrid/>
          <w:szCs w:val="22"/>
          <w:lang w:val="hu-HU" w:eastAsia="en-US"/>
        </w:rPr>
        <w:t>á</w:t>
      </w:r>
      <w:r>
        <w:rPr>
          <w:rFonts w:eastAsia="Times New Roman"/>
          <w:snapToGrid/>
          <w:szCs w:val="22"/>
          <w:lang w:val="hu-HU" w:eastAsia="en-US"/>
        </w:rPr>
        <w:t>lis ter</w:t>
      </w:r>
      <w:r>
        <w:rPr>
          <w:rFonts w:eastAsia="Times New Roman" w:hint="eastAsia"/>
          <w:snapToGrid/>
          <w:szCs w:val="22"/>
          <w:lang w:val="hu-HU" w:eastAsia="en-US"/>
        </w:rPr>
        <w:t>á</w:t>
      </w:r>
      <w:r>
        <w:rPr>
          <w:rFonts w:eastAsia="Times New Roman"/>
          <w:snapToGrid/>
          <w:szCs w:val="22"/>
          <w:lang w:val="hu-HU" w:eastAsia="en-US"/>
        </w:rPr>
        <w:t>pia megkezd</w:t>
      </w:r>
      <w:r>
        <w:rPr>
          <w:rFonts w:eastAsia="Times New Roman" w:hint="eastAsia"/>
          <w:snapToGrid/>
          <w:szCs w:val="22"/>
          <w:lang w:val="hu-HU" w:eastAsia="en-US"/>
        </w:rPr>
        <w:t>é</w:t>
      </w:r>
      <w:r>
        <w:rPr>
          <w:rFonts w:eastAsia="Times New Roman"/>
          <w:snapToGrid/>
          <w:szCs w:val="22"/>
          <w:lang w:val="hu-HU" w:eastAsia="en-US"/>
        </w:rPr>
        <w:t>se el</w:t>
      </w:r>
      <w:r>
        <w:rPr>
          <w:rFonts w:eastAsia="Times New Roman" w:hint="eastAsia"/>
          <w:snapToGrid/>
          <w:szCs w:val="22"/>
          <w:lang w:val="hu-HU" w:eastAsia="en-US"/>
        </w:rPr>
        <w:t>ő</w:t>
      </w:r>
      <w:r>
        <w:rPr>
          <w:rFonts w:eastAsia="Times New Roman"/>
          <w:snapToGrid/>
          <w:szCs w:val="22"/>
          <w:lang w:val="hu-HU" w:eastAsia="en-US"/>
        </w:rPr>
        <w:t>tt hetente vizsgálni kell a vérlemezkeszámot. Az antivirális terápia megkezdésekor a vérlemezkeszám csökkenhet, ezért ekkor az eltrombopag azonnali dózismódosítását el kell kerülni (lásd 2. táblázat).</w:t>
      </w:r>
    </w:p>
    <w:p w14:paraId="22C5E176" w14:textId="77777777" w:rsidR="009F5F6A" w:rsidRDefault="009F5F6A">
      <w:pPr>
        <w:autoSpaceDE w:val="0"/>
        <w:autoSpaceDN w:val="0"/>
        <w:adjustRightInd w:val="0"/>
        <w:spacing w:line="240" w:lineRule="auto"/>
        <w:rPr>
          <w:rFonts w:eastAsia="Times New Roman"/>
          <w:snapToGrid/>
          <w:szCs w:val="22"/>
          <w:lang w:val="hu-HU" w:eastAsia="en-US"/>
        </w:rPr>
      </w:pPr>
    </w:p>
    <w:p w14:paraId="1C672890"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antivirális kezelés során az eltrombopag dózisát szükség szerint úgy kell módosítani, hogy a vérlemezkeszám csökkenése miatt, amely növelheti a vérzés kockázatát a betegeknél, a peginterferon dóziscsökkentése elker</w:t>
      </w:r>
      <w:r>
        <w:rPr>
          <w:rFonts w:eastAsia="Times New Roman" w:hint="eastAsia"/>
          <w:snapToGrid/>
          <w:szCs w:val="22"/>
          <w:lang w:val="hu-HU" w:eastAsia="en-US"/>
        </w:rPr>
        <w:t>ü</w:t>
      </w:r>
      <w:r>
        <w:rPr>
          <w:rFonts w:eastAsia="Times New Roman"/>
          <w:snapToGrid/>
          <w:szCs w:val="22"/>
          <w:lang w:val="hu-HU" w:eastAsia="en-US"/>
        </w:rPr>
        <w:t>lhet</w:t>
      </w:r>
      <w:r>
        <w:rPr>
          <w:rFonts w:eastAsia="Times New Roman" w:hint="eastAsia"/>
          <w:snapToGrid/>
          <w:szCs w:val="22"/>
          <w:lang w:val="hu-HU" w:eastAsia="en-US"/>
        </w:rPr>
        <w:t>ő</w:t>
      </w:r>
      <w:r>
        <w:rPr>
          <w:rFonts w:eastAsia="Times New Roman"/>
          <w:snapToGrid/>
          <w:szCs w:val="22"/>
          <w:lang w:val="hu-HU" w:eastAsia="en-US"/>
        </w:rPr>
        <w:t xml:space="preserve"> legyen (lásd 2. táblázat). Az antivirális terápia alatt a vérlemezkeszámot az általában 50 000-70 000/mikroliter körüli stabil vérlemezkeszám eléréséig hetente ellen</w:t>
      </w:r>
      <w:r>
        <w:rPr>
          <w:rFonts w:eastAsia="Times New Roman" w:hint="eastAsia"/>
          <w:snapToGrid/>
          <w:szCs w:val="22"/>
          <w:lang w:val="hu-HU" w:eastAsia="en-US"/>
        </w:rPr>
        <w:t>ő</w:t>
      </w:r>
      <w:r>
        <w:rPr>
          <w:rFonts w:eastAsia="Times New Roman"/>
          <w:snapToGrid/>
          <w:szCs w:val="22"/>
          <w:lang w:val="hu-HU" w:eastAsia="en-US"/>
        </w:rPr>
        <w:t>rizni kell. Ezt k</w:t>
      </w:r>
      <w:r>
        <w:rPr>
          <w:rFonts w:eastAsia="Times New Roman" w:hint="eastAsia"/>
          <w:snapToGrid/>
          <w:szCs w:val="22"/>
          <w:lang w:val="hu-HU" w:eastAsia="en-US"/>
        </w:rPr>
        <w:t>ö</w:t>
      </w:r>
      <w:r>
        <w:rPr>
          <w:rFonts w:eastAsia="Times New Roman"/>
          <w:snapToGrid/>
          <w:szCs w:val="22"/>
          <w:lang w:val="hu-HU" w:eastAsia="en-US"/>
        </w:rPr>
        <w:t>vet</w:t>
      </w:r>
      <w:r>
        <w:rPr>
          <w:rFonts w:eastAsia="Times New Roman" w:hint="eastAsia"/>
          <w:snapToGrid/>
          <w:szCs w:val="22"/>
          <w:lang w:val="hu-HU" w:eastAsia="en-US"/>
        </w:rPr>
        <w:t>ő</w:t>
      </w:r>
      <w:r>
        <w:rPr>
          <w:rFonts w:eastAsia="Times New Roman"/>
          <w:snapToGrid/>
          <w:szCs w:val="22"/>
          <w:lang w:val="hu-HU" w:eastAsia="en-US"/>
        </w:rPr>
        <w:t>en havonta kell a teljes v</w:t>
      </w:r>
      <w:r>
        <w:rPr>
          <w:rFonts w:eastAsia="Times New Roman" w:hint="eastAsia"/>
          <w:snapToGrid/>
          <w:szCs w:val="22"/>
          <w:lang w:val="hu-HU" w:eastAsia="en-US"/>
        </w:rPr>
        <w:t>é</w:t>
      </w:r>
      <w:r>
        <w:rPr>
          <w:rFonts w:eastAsia="Times New Roman"/>
          <w:snapToGrid/>
          <w:szCs w:val="22"/>
          <w:lang w:val="hu-HU" w:eastAsia="en-US"/>
        </w:rPr>
        <w:t>rk</w:t>
      </w:r>
      <w:r>
        <w:rPr>
          <w:rFonts w:eastAsia="Times New Roman" w:hint="eastAsia"/>
          <w:snapToGrid/>
          <w:szCs w:val="22"/>
          <w:lang w:val="hu-HU" w:eastAsia="en-US"/>
        </w:rPr>
        <w:t>é</w:t>
      </w:r>
      <w:r>
        <w:rPr>
          <w:rFonts w:eastAsia="Times New Roman"/>
          <w:snapToGrid/>
          <w:szCs w:val="22"/>
          <w:lang w:val="hu-HU" w:eastAsia="en-US"/>
        </w:rPr>
        <w:t>pet ellen</w:t>
      </w:r>
      <w:r>
        <w:rPr>
          <w:rFonts w:eastAsia="Times New Roman" w:hint="eastAsia"/>
          <w:snapToGrid/>
          <w:szCs w:val="22"/>
          <w:lang w:val="hu-HU" w:eastAsia="en-US"/>
        </w:rPr>
        <w:t>ő</w:t>
      </w:r>
      <w:r>
        <w:rPr>
          <w:rFonts w:eastAsia="Times New Roman"/>
          <w:snapToGrid/>
          <w:szCs w:val="22"/>
          <w:lang w:val="hu-HU" w:eastAsia="en-US"/>
        </w:rPr>
        <w:t>rizni, bele</w:t>
      </w:r>
      <w:r>
        <w:rPr>
          <w:rFonts w:eastAsia="Times New Roman" w:hint="eastAsia"/>
          <w:snapToGrid/>
          <w:szCs w:val="22"/>
          <w:lang w:val="hu-HU" w:eastAsia="en-US"/>
        </w:rPr>
        <w:t>é</w:t>
      </w:r>
      <w:r>
        <w:rPr>
          <w:rFonts w:eastAsia="Times New Roman"/>
          <w:snapToGrid/>
          <w:szCs w:val="22"/>
          <w:lang w:val="hu-HU" w:eastAsia="en-US"/>
        </w:rPr>
        <w:t>rtve a v</w:t>
      </w:r>
      <w:r>
        <w:rPr>
          <w:rFonts w:eastAsia="Times New Roman" w:hint="eastAsia"/>
          <w:snapToGrid/>
          <w:szCs w:val="22"/>
          <w:lang w:val="hu-HU" w:eastAsia="en-US"/>
        </w:rPr>
        <w:t>é</w:t>
      </w:r>
      <w:r>
        <w:rPr>
          <w:rFonts w:eastAsia="Times New Roman"/>
          <w:snapToGrid/>
          <w:szCs w:val="22"/>
          <w:lang w:val="hu-HU" w:eastAsia="en-US"/>
        </w:rPr>
        <w:t>rlemezkesz</w:t>
      </w:r>
      <w:r>
        <w:rPr>
          <w:rFonts w:eastAsia="Times New Roman" w:hint="eastAsia"/>
          <w:snapToGrid/>
          <w:szCs w:val="22"/>
          <w:lang w:val="hu-HU" w:eastAsia="en-US"/>
        </w:rPr>
        <w:t>á</w:t>
      </w:r>
      <w:r>
        <w:rPr>
          <w:rFonts w:eastAsia="Times New Roman"/>
          <w:snapToGrid/>
          <w:szCs w:val="22"/>
          <w:lang w:val="hu-HU" w:eastAsia="en-US"/>
        </w:rPr>
        <w:t xml:space="preserve">mot </w:t>
      </w:r>
      <w:r>
        <w:rPr>
          <w:rFonts w:eastAsia="Times New Roman" w:hint="eastAsia"/>
          <w:snapToGrid/>
          <w:szCs w:val="22"/>
          <w:lang w:val="hu-HU" w:eastAsia="en-US"/>
        </w:rPr>
        <w:t>é</w:t>
      </w:r>
      <w:r>
        <w:rPr>
          <w:rFonts w:eastAsia="Times New Roman"/>
          <w:snapToGrid/>
          <w:szCs w:val="22"/>
          <w:lang w:val="hu-HU" w:eastAsia="en-US"/>
        </w:rPr>
        <w:t>s a perif</w:t>
      </w:r>
      <w:r>
        <w:rPr>
          <w:rFonts w:eastAsia="Times New Roman" w:hint="eastAsia"/>
          <w:snapToGrid/>
          <w:szCs w:val="22"/>
          <w:lang w:val="hu-HU" w:eastAsia="en-US"/>
        </w:rPr>
        <w:t>é</w:t>
      </w:r>
      <w:r>
        <w:rPr>
          <w:rFonts w:eastAsia="Times New Roman"/>
          <w:snapToGrid/>
          <w:szCs w:val="22"/>
          <w:lang w:val="hu-HU" w:eastAsia="en-US"/>
        </w:rPr>
        <w:t>ri</w:t>
      </w:r>
      <w:r>
        <w:rPr>
          <w:rFonts w:eastAsia="Times New Roman" w:hint="eastAsia"/>
          <w:snapToGrid/>
          <w:szCs w:val="22"/>
          <w:lang w:val="hu-HU" w:eastAsia="en-US"/>
        </w:rPr>
        <w:t>á</w:t>
      </w:r>
      <w:r>
        <w:rPr>
          <w:rFonts w:eastAsia="Times New Roman"/>
          <w:snapToGrid/>
          <w:szCs w:val="22"/>
          <w:lang w:val="hu-HU" w:eastAsia="en-US"/>
        </w:rPr>
        <w:t xml:space="preserve">s vérkenetet is. A napi adag dóziscsökkentése </w:t>
      </w:r>
      <w:r>
        <w:rPr>
          <w:lang w:val="hu-HU" w:eastAsia="en-US"/>
        </w:rPr>
        <w:t>25</w:t>
      </w:r>
      <w:r>
        <w:rPr>
          <w:lang w:val="hu-HU"/>
        </w:rPr>
        <w:t> </w:t>
      </w:r>
      <w:r>
        <w:rPr>
          <w:lang w:val="hu-HU" w:eastAsia="en-US"/>
        </w:rPr>
        <w:t>mg</w:t>
      </w:r>
      <w:r>
        <w:rPr>
          <w:rFonts w:eastAsia="Times New Roman"/>
          <w:snapToGrid/>
          <w:szCs w:val="22"/>
          <w:lang w:val="hu-HU" w:eastAsia="en-US"/>
        </w:rPr>
        <w:t>-mal megfontolandó, ha a vérlemezkeszám meghaladja a kit</w:t>
      </w:r>
      <w:r>
        <w:rPr>
          <w:rFonts w:eastAsia="Times New Roman" w:hint="eastAsia"/>
          <w:snapToGrid/>
          <w:szCs w:val="22"/>
          <w:lang w:val="hu-HU" w:eastAsia="en-US"/>
        </w:rPr>
        <w:t>ű</w:t>
      </w:r>
      <w:r>
        <w:rPr>
          <w:rFonts w:eastAsia="Times New Roman"/>
          <w:snapToGrid/>
          <w:szCs w:val="22"/>
          <w:lang w:val="hu-HU" w:eastAsia="en-US"/>
        </w:rPr>
        <w:t>z</w:t>
      </w:r>
      <w:r>
        <w:rPr>
          <w:rFonts w:eastAsia="Times New Roman" w:hint="eastAsia"/>
          <w:snapToGrid/>
          <w:szCs w:val="22"/>
          <w:lang w:val="hu-HU" w:eastAsia="en-US"/>
        </w:rPr>
        <w:t>ö</w:t>
      </w:r>
      <w:r>
        <w:rPr>
          <w:rFonts w:eastAsia="Times New Roman"/>
          <w:snapToGrid/>
          <w:szCs w:val="22"/>
          <w:lang w:val="hu-HU" w:eastAsia="en-US"/>
        </w:rPr>
        <w:t>tt c</w:t>
      </w:r>
      <w:r>
        <w:rPr>
          <w:rFonts w:eastAsia="Times New Roman" w:hint="eastAsia"/>
          <w:snapToGrid/>
          <w:szCs w:val="22"/>
          <w:lang w:val="hu-HU" w:eastAsia="en-US"/>
        </w:rPr>
        <w:t>é</w:t>
      </w:r>
      <w:r>
        <w:rPr>
          <w:rFonts w:eastAsia="Times New Roman"/>
          <w:snapToGrid/>
          <w:szCs w:val="22"/>
          <w:lang w:val="hu-HU" w:eastAsia="en-US"/>
        </w:rPr>
        <w:t>l</w:t>
      </w:r>
      <w:r>
        <w:rPr>
          <w:rFonts w:eastAsia="Times New Roman" w:hint="eastAsia"/>
          <w:snapToGrid/>
          <w:szCs w:val="22"/>
          <w:lang w:val="hu-HU" w:eastAsia="en-US"/>
        </w:rPr>
        <w:t>é</w:t>
      </w:r>
      <w:r>
        <w:rPr>
          <w:rFonts w:eastAsia="Times New Roman"/>
          <w:snapToGrid/>
          <w:szCs w:val="22"/>
          <w:lang w:val="hu-HU" w:eastAsia="en-US"/>
        </w:rPr>
        <w:t>rt</w:t>
      </w:r>
      <w:r>
        <w:rPr>
          <w:rFonts w:eastAsia="Times New Roman" w:hint="eastAsia"/>
          <w:snapToGrid/>
          <w:szCs w:val="22"/>
          <w:lang w:val="hu-HU" w:eastAsia="en-US"/>
        </w:rPr>
        <w:t>é</w:t>
      </w:r>
      <w:r>
        <w:rPr>
          <w:rFonts w:eastAsia="Times New Roman"/>
          <w:snapToGrid/>
          <w:szCs w:val="22"/>
          <w:lang w:val="hu-HU" w:eastAsia="en-US"/>
        </w:rPr>
        <w:t>ket. Javasolt 2 hétig várni, hogy ennek és valamennyi ezt k</w:t>
      </w:r>
      <w:r>
        <w:rPr>
          <w:rFonts w:eastAsia="Times New Roman" w:hint="eastAsia"/>
          <w:snapToGrid/>
          <w:szCs w:val="22"/>
          <w:lang w:val="hu-HU" w:eastAsia="en-US"/>
        </w:rPr>
        <w:t>ö</w:t>
      </w:r>
      <w:r>
        <w:rPr>
          <w:rFonts w:eastAsia="Times New Roman"/>
          <w:snapToGrid/>
          <w:szCs w:val="22"/>
          <w:lang w:val="hu-HU" w:eastAsia="en-US"/>
        </w:rPr>
        <w:t>vet</w:t>
      </w:r>
      <w:r>
        <w:rPr>
          <w:rFonts w:eastAsia="Times New Roman" w:hint="eastAsia"/>
          <w:snapToGrid/>
          <w:szCs w:val="22"/>
          <w:lang w:val="hu-HU" w:eastAsia="en-US"/>
        </w:rPr>
        <w:t>ő</w:t>
      </w:r>
      <w:r>
        <w:rPr>
          <w:rFonts w:eastAsia="Times New Roman"/>
          <w:snapToGrid/>
          <w:szCs w:val="22"/>
          <w:lang w:val="hu-HU" w:eastAsia="en-US"/>
        </w:rPr>
        <w:t xml:space="preserve"> dózismódosításnak a hatását értékelni lehessen.</w:t>
      </w:r>
    </w:p>
    <w:p w14:paraId="3C8BD4BC" w14:textId="77777777" w:rsidR="009F5F6A" w:rsidRDefault="009F5F6A">
      <w:pPr>
        <w:autoSpaceDE w:val="0"/>
        <w:autoSpaceDN w:val="0"/>
        <w:adjustRightInd w:val="0"/>
        <w:spacing w:line="240" w:lineRule="auto"/>
        <w:rPr>
          <w:rFonts w:eastAsia="Times New Roman"/>
          <w:snapToGrid/>
          <w:szCs w:val="22"/>
          <w:lang w:val="hu-HU" w:eastAsia="en-US"/>
        </w:rPr>
      </w:pPr>
    </w:p>
    <w:p w14:paraId="5B6D0185"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 naponta egyszeri 100 mg-os adagot nem szabad túllépni.</w:t>
      </w:r>
    </w:p>
    <w:p w14:paraId="7FE02141" w14:textId="77777777" w:rsidR="009F5F6A" w:rsidRDefault="009F5F6A">
      <w:pPr>
        <w:autoSpaceDE w:val="0"/>
        <w:autoSpaceDN w:val="0"/>
        <w:adjustRightInd w:val="0"/>
        <w:spacing w:line="240" w:lineRule="auto"/>
        <w:rPr>
          <w:rFonts w:eastAsia="Times New Roman"/>
          <w:snapToGrid/>
          <w:szCs w:val="22"/>
          <w:lang w:val="hu-HU" w:eastAsia="en-US"/>
        </w:rPr>
      </w:pPr>
    </w:p>
    <w:p w14:paraId="5468C7ED" w14:textId="77777777" w:rsidR="009F5F6A" w:rsidRDefault="00962A10">
      <w:pPr>
        <w:tabs>
          <w:tab w:val="clear" w:pos="567"/>
          <w:tab w:val="left" w:pos="993"/>
        </w:tabs>
        <w:ind w:left="1418" w:hanging="1418"/>
        <w:rPr>
          <w:b/>
          <w:szCs w:val="22"/>
          <w:lang w:val="hu-HU"/>
        </w:rPr>
      </w:pPr>
      <w:r>
        <w:rPr>
          <w:b/>
          <w:szCs w:val="22"/>
          <w:lang w:val="hu-HU"/>
        </w:rPr>
        <w:t>2. táblázat</w:t>
      </w:r>
      <w:r>
        <w:rPr>
          <w:b/>
          <w:szCs w:val="22"/>
          <w:lang w:val="hu-HU"/>
        </w:rPr>
        <w:tab/>
      </w:r>
      <w:r>
        <w:rPr>
          <w:b/>
          <w:szCs w:val="22"/>
          <w:lang w:val="hu-HU"/>
        </w:rPr>
        <w:tab/>
        <w:t>Az eltrombopag adagjának módosítása HCV-s betegeknél antivirális terápia mellett</w:t>
      </w:r>
    </w:p>
    <w:p w14:paraId="52CABF1D" w14:textId="77777777" w:rsidR="009F5F6A" w:rsidRDefault="009F5F6A">
      <w:pPr>
        <w:rPr>
          <w:lang w:val="hu-HU"/>
        </w:rPr>
      </w:pPr>
    </w:p>
    <w:tbl>
      <w:tblPr>
        <w:tblW w:w="9109" w:type="dxa"/>
        <w:tblInd w:w="10" w:type="dxa"/>
        <w:tblCellMar>
          <w:top w:w="17" w:type="dxa"/>
          <w:left w:w="107" w:type="dxa"/>
          <w:right w:w="115" w:type="dxa"/>
        </w:tblCellMar>
        <w:tblLook w:val="04A0" w:firstRow="1" w:lastRow="0" w:firstColumn="1" w:lastColumn="0" w:noHBand="0" w:noVBand="1"/>
      </w:tblPr>
      <w:tblGrid>
        <w:gridCol w:w="3962"/>
        <w:gridCol w:w="5147"/>
      </w:tblGrid>
      <w:tr w:rsidR="009F5F6A" w14:paraId="162AC44F" w14:textId="77777777">
        <w:trPr>
          <w:trHeight w:val="272"/>
        </w:trPr>
        <w:tc>
          <w:tcPr>
            <w:tcW w:w="2944" w:type="dxa"/>
            <w:tcBorders>
              <w:top w:val="single" w:sz="8" w:space="0" w:color="000000"/>
              <w:left w:val="single" w:sz="8" w:space="0" w:color="000000"/>
              <w:bottom w:val="single" w:sz="8" w:space="0" w:color="000000"/>
              <w:right w:val="single" w:sz="8" w:space="0" w:color="000000"/>
            </w:tcBorders>
          </w:tcPr>
          <w:p w14:paraId="4712AA94" w14:textId="77777777" w:rsidR="009F5F6A" w:rsidRDefault="00962A10">
            <w:pPr>
              <w:widowControl w:val="0"/>
              <w:rPr>
                <w:iCs/>
                <w:szCs w:val="22"/>
                <w:lang w:eastAsia="en-US"/>
              </w:rPr>
            </w:pPr>
            <w:r>
              <w:rPr>
                <w:iCs/>
                <w:szCs w:val="22"/>
                <w:lang w:eastAsia="en-US"/>
              </w:rPr>
              <w:t>Vérlemezkeszám</w:t>
            </w:r>
          </w:p>
        </w:tc>
        <w:tc>
          <w:tcPr>
            <w:tcW w:w="6165" w:type="dxa"/>
            <w:tcBorders>
              <w:top w:val="single" w:sz="8" w:space="0" w:color="000000"/>
              <w:left w:val="single" w:sz="8" w:space="0" w:color="000000"/>
              <w:bottom w:val="single" w:sz="8" w:space="0" w:color="000000"/>
              <w:right w:val="single" w:sz="8" w:space="0" w:color="000000"/>
            </w:tcBorders>
          </w:tcPr>
          <w:p w14:paraId="3226D0F3" w14:textId="77777777" w:rsidR="009F5F6A" w:rsidRDefault="00962A10">
            <w:pPr>
              <w:widowControl w:val="0"/>
              <w:rPr>
                <w:iCs/>
                <w:szCs w:val="22"/>
                <w:lang w:eastAsia="en-US"/>
              </w:rPr>
            </w:pPr>
            <w:r>
              <w:rPr>
                <w:iCs/>
                <w:szCs w:val="22"/>
                <w:lang w:eastAsia="en-US"/>
              </w:rPr>
              <w:t>Dózismódosítás vagy válasz</w:t>
            </w:r>
          </w:p>
        </w:tc>
      </w:tr>
      <w:tr w:rsidR="009F5F6A" w14:paraId="60D22155" w14:textId="77777777">
        <w:trPr>
          <w:trHeight w:val="526"/>
        </w:trPr>
        <w:tc>
          <w:tcPr>
            <w:tcW w:w="2944" w:type="dxa"/>
            <w:tcBorders>
              <w:top w:val="single" w:sz="8" w:space="0" w:color="000000"/>
              <w:left w:val="single" w:sz="8" w:space="0" w:color="000000"/>
              <w:bottom w:val="single" w:sz="8" w:space="0" w:color="000000"/>
              <w:right w:val="single" w:sz="8" w:space="0" w:color="000000"/>
            </w:tcBorders>
          </w:tcPr>
          <w:p w14:paraId="01B9CFDD" w14:textId="77777777" w:rsidR="009F5F6A" w:rsidRDefault="00962A10">
            <w:pPr>
              <w:widowControl w:val="0"/>
              <w:rPr>
                <w:iCs/>
                <w:szCs w:val="22"/>
                <w:lang w:eastAsia="en-US"/>
              </w:rPr>
            </w:pPr>
            <w:r>
              <w:rPr>
                <w:iCs/>
                <w:szCs w:val="22"/>
                <w:lang w:eastAsia="en-US"/>
              </w:rPr>
              <w:t>&lt;50 000/mikroliter legalább 2 hetes</w:t>
            </w:r>
          </w:p>
          <w:p w14:paraId="5067F77F" w14:textId="77777777" w:rsidR="009F5F6A" w:rsidRDefault="00962A10">
            <w:pPr>
              <w:widowControl w:val="0"/>
              <w:rPr>
                <w:iCs/>
                <w:szCs w:val="22"/>
                <w:lang w:eastAsia="en-US"/>
              </w:rPr>
            </w:pPr>
            <w:r>
              <w:rPr>
                <w:iCs/>
                <w:szCs w:val="22"/>
                <w:lang w:eastAsia="en-US"/>
              </w:rPr>
              <w:t>kezelés után</w:t>
            </w:r>
          </w:p>
        </w:tc>
        <w:tc>
          <w:tcPr>
            <w:tcW w:w="6165" w:type="dxa"/>
            <w:tcBorders>
              <w:top w:val="single" w:sz="8" w:space="0" w:color="000000"/>
              <w:left w:val="single" w:sz="8" w:space="0" w:color="000000"/>
              <w:bottom w:val="single" w:sz="8" w:space="0" w:color="000000"/>
              <w:right w:val="single" w:sz="8" w:space="0" w:color="000000"/>
            </w:tcBorders>
          </w:tcPr>
          <w:p w14:paraId="3F8EB568" w14:textId="77777777" w:rsidR="009F5F6A" w:rsidRDefault="00962A10">
            <w:pPr>
              <w:widowControl w:val="0"/>
              <w:rPr>
                <w:iCs/>
                <w:szCs w:val="22"/>
                <w:lang w:eastAsia="en-US"/>
              </w:rPr>
            </w:pPr>
            <w:r>
              <w:rPr>
                <w:iCs/>
                <w:szCs w:val="22"/>
                <w:lang w:eastAsia="en-US"/>
              </w:rPr>
              <w:t>A napi adagot 25 mg-mal kell emelni, legfeljebb napi 100 mg-ig.</w:t>
            </w:r>
          </w:p>
        </w:tc>
      </w:tr>
      <w:tr w:rsidR="009F5F6A" w14:paraId="56817D6A" w14:textId="77777777">
        <w:trPr>
          <w:trHeight w:val="527"/>
        </w:trPr>
        <w:tc>
          <w:tcPr>
            <w:tcW w:w="2944" w:type="dxa"/>
            <w:tcBorders>
              <w:top w:val="single" w:sz="8" w:space="0" w:color="000000"/>
              <w:left w:val="single" w:sz="8" w:space="0" w:color="000000"/>
              <w:bottom w:val="single" w:sz="8" w:space="0" w:color="000000"/>
              <w:right w:val="single" w:sz="8" w:space="0" w:color="000000"/>
            </w:tcBorders>
          </w:tcPr>
          <w:p w14:paraId="7855AFD0" w14:textId="77777777" w:rsidR="009F5F6A" w:rsidRDefault="00962A10">
            <w:pPr>
              <w:widowControl w:val="0"/>
              <w:rPr>
                <w:iCs/>
                <w:szCs w:val="22"/>
                <w:lang w:eastAsia="en-US"/>
              </w:rPr>
            </w:pPr>
            <w:r>
              <w:rPr>
                <w:iCs/>
                <w:szCs w:val="22"/>
                <w:lang w:eastAsia="en-US"/>
              </w:rPr>
              <w:t>≥50 000/mikroliter - ≤100 000/mikroliter</w:t>
            </w:r>
          </w:p>
        </w:tc>
        <w:tc>
          <w:tcPr>
            <w:tcW w:w="6165" w:type="dxa"/>
            <w:tcBorders>
              <w:top w:val="single" w:sz="8" w:space="0" w:color="000000"/>
              <w:left w:val="single" w:sz="8" w:space="0" w:color="000000"/>
              <w:bottom w:val="single" w:sz="8" w:space="0" w:color="000000"/>
              <w:right w:val="single" w:sz="8" w:space="0" w:color="000000"/>
            </w:tcBorders>
          </w:tcPr>
          <w:p w14:paraId="0A46BB06" w14:textId="77777777" w:rsidR="009F5F6A" w:rsidRDefault="00962A10">
            <w:pPr>
              <w:widowControl w:val="0"/>
              <w:rPr>
                <w:iCs/>
                <w:szCs w:val="22"/>
                <w:lang w:eastAsia="en-US"/>
              </w:rPr>
            </w:pPr>
            <w:r>
              <w:rPr>
                <w:iCs/>
                <w:szCs w:val="22"/>
                <w:lang w:eastAsia="en-US"/>
              </w:rPr>
              <w:t>Az eltrombopag legalacsonyabb szükséges dózisát kell alkalmazni, hogy a peginterferon dóziscsökkentése elkerülhető legyen.</w:t>
            </w:r>
          </w:p>
        </w:tc>
      </w:tr>
      <w:tr w:rsidR="009F5F6A" w14:paraId="4D392877" w14:textId="77777777">
        <w:trPr>
          <w:trHeight w:val="526"/>
        </w:trPr>
        <w:tc>
          <w:tcPr>
            <w:tcW w:w="2944" w:type="dxa"/>
            <w:tcBorders>
              <w:top w:val="single" w:sz="8" w:space="0" w:color="000000"/>
              <w:left w:val="single" w:sz="8" w:space="0" w:color="000000"/>
              <w:bottom w:val="single" w:sz="8" w:space="0" w:color="000000"/>
              <w:right w:val="single" w:sz="8" w:space="0" w:color="000000"/>
            </w:tcBorders>
          </w:tcPr>
          <w:p w14:paraId="40B53A1A" w14:textId="77777777" w:rsidR="009F5F6A" w:rsidRDefault="00962A10">
            <w:pPr>
              <w:widowControl w:val="0"/>
              <w:rPr>
                <w:iCs/>
                <w:szCs w:val="22"/>
                <w:lang w:eastAsia="en-US"/>
              </w:rPr>
            </w:pPr>
            <w:r>
              <w:rPr>
                <w:iCs/>
                <w:szCs w:val="22"/>
                <w:lang w:eastAsia="en-US"/>
              </w:rPr>
              <w:t>&gt;100 000/mikroliter - ≤150 000/mikroliter</w:t>
            </w:r>
          </w:p>
        </w:tc>
        <w:tc>
          <w:tcPr>
            <w:tcW w:w="6165" w:type="dxa"/>
            <w:tcBorders>
              <w:top w:val="single" w:sz="8" w:space="0" w:color="000000"/>
              <w:left w:val="single" w:sz="8" w:space="0" w:color="000000"/>
              <w:bottom w:val="single" w:sz="8" w:space="0" w:color="000000"/>
              <w:right w:val="single" w:sz="8" w:space="0" w:color="000000"/>
            </w:tcBorders>
          </w:tcPr>
          <w:p w14:paraId="0382D52F" w14:textId="77777777" w:rsidR="009F5F6A" w:rsidRDefault="00962A10">
            <w:pPr>
              <w:widowControl w:val="0"/>
              <w:rPr>
                <w:iCs/>
                <w:szCs w:val="22"/>
                <w:lang w:eastAsia="en-US"/>
              </w:rPr>
            </w:pPr>
            <w:r>
              <w:rPr>
                <w:iCs/>
                <w:szCs w:val="22"/>
                <w:lang w:eastAsia="en-US"/>
              </w:rPr>
              <w:t>A napi adagot 25 mg-mal kell csökkenteni. Várni kell 2 hétig, hogy ennek és valamennyi ezt követő dózismódosításnak a hatását értékelni lehessen</w:t>
            </w:r>
            <w:r>
              <w:rPr>
                <w:iCs/>
                <w:szCs w:val="22"/>
                <w:vertAlign w:val="superscript"/>
                <w:lang w:eastAsia="en-US"/>
              </w:rPr>
              <w:t>♦</w:t>
            </w:r>
            <w:r>
              <w:rPr>
                <w:iCs/>
                <w:szCs w:val="22"/>
                <w:lang w:eastAsia="en-US"/>
              </w:rPr>
              <w:t>.</w:t>
            </w:r>
          </w:p>
        </w:tc>
      </w:tr>
      <w:tr w:rsidR="009F5F6A" w14:paraId="34C8D068" w14:textId="77777777">
        <w:trPr>
          <w:trHeight w:val="1284"/>
        </w:trPr>
        <w:tc>
          <w:tcPr>
            <w:tcW w:w="2944" w:type="dxa"/>
            <w:tcBorders>
              <w:top w:val="single" w:sz="8" w:space="0" w:color="000000"/>
              <w:left w:val="single" w:sz="8" w:space="0" w:color="000000"/>
              <w:bottom w:val="single" w:sz="8" w:space="0" w:color="000000"/>
              <w:right w:val="single" w:sz="8" w:space="0" w:color="000000"/>
            </w:tcBorders>
          </w:tcPr>
          <w:p w14:paraId="24D24682" w14:textId="77777777" w:rsidR="009F5F6A" w:rsidRDefault="00962A10">
            <w:pPr>
              <w:widowControl w:val="0"/>
              <w:rPr>
                <w:iCs/>
                <w:szCs w:val="22"/>
                <w:lang w:eastAsia="en-US"/>
              </w:rPr>
            </w:pPr>
            <w:r>
              <w:rPr>
                <w:iCs/>
                <w:szCs w:val="22"/>
                <w:lang w:eastAsia="en-US"/>
              </w:rPr>
              <w:t>&gt;150 000/mikroliter</w:t>
            </w:r>
          </w:p>
        </w:tc>
        <w:tc>
          <w:tcPr>
            <w:tcW w:w="6165" w:type="dxa"/>
            <w:tcBorders>
              <w:top w:val="single" w:sz="8" w:space="0" w:color="000000"/>
              <w:left w:val="single" w:sz="8" w:space="0" w:color="000000"/>
              <w:bottom w:val="single" w:sz="8" w:space="0" w:color="000000"/>
              <w:right w:val="single" w:sz="8" w:space="0" w:color="000000"/>
            </w:tcBorders>
          </w:tcPr>
          <w:p w14:paraId="31E7A492" w14:textId="77777777" w:rsidR="009F5F6A" w:rsidRDefault="00962A10">
            <w:pPr>
              <w:widowControl w:val="0"/>
              <w:rPr>
                <w:iCs/>
                <w:szCs w:val="22"/>
                <w:lang w:eastAsia="en-US"/>
              </w:rPr>
            </w:pPr>
            <w:r>
              <w:rPr>
                <w:iCs/>
                <w:szCs w:val="22"/>
                <w:lang w:eastAsia="en-US"/>
              </w:rPr>
              <w:t>Az eltrombopag adását le kell állítani; a vérlemezkeszámot gyakrabban, hetente kétszer kell monitorozni.</w:t>
            </w:r>
          </w:p>
          <w:p w14:paraId="1EA1497C" w14:textId="77777777" w:rsidR="009F5F6A" w:rsidRDefault="009F5F6A">
            <w:pPr>
              <w:widowControl w:val="0"/>
              <w:rPr>
                <w:iCs/>
                <w:szCs w:val="22"/>
                <w:lang w:eastAsia="en-US"/>
              </w:rPr>
            </w:pPr>
          </w:p>
          <w:p w14:paraId="2C8CE8B9" w14:textId="77777777" w:rsidR="009F5F6A" w:rsidRDefault="00962A10">
            <w:pPr>
              <w:widowControl w:val="0"/>
              <w:rPr>
                <w:iCs/>
                <w:szCs w:val="22"/>
                <w:lang w:eastAsia="en-US"/>
              </w:rPr>
            </w:pPr>
            <w:r>
              <w:rPr>
                <w:iCs/>
                <w:szCs w:val="22"/>
                <w:lang w:eastAsia="en-US"/>
              </w:rPr>
              <w:t>Ha a vérlemezkeszám ≤100 000/mikroliter, 25 mg-mal alacsonyabb napi adaggal újra kell kezdeni a kezelést*.</w:t>
            </w:r>
          </w:p>
        </w:tc>
      </w:tr>
    </w:tbl>
    <w:p w14:paraId="16EFFF66" w14:textId="77777777" w:rsidR="009F5F6A" w:rsidRDefault="00962A10">
      <w:pPr>
        <w:spacing w:after="12" w:line="247" w:lineRule="auto"/>
        <w:ind w:left="553" w:right="14" w:hanging="568"/>
        <w:rPr>
          <w:sz w:val="20"/>
          <w:szCs w:val="22"/>
        </w:rPr>
      </w:pPr>
      <w:r>
        <w:rPr>
          <w:sz w:val="20"/>
          <w:szCs w:val="22"/>
        </w:rPr>
        <w:t>*</w:t>
      </w:r>
      <w:r>
        <w:rPr>
          <w:sz w:val="20"/>
          <w:szCs w:val="22"/>
        </w:rPr>
        <w:tab/>
        <w:t>A naponta egyszer 25 mg-</w:t>
      </w:r>
      <w:proofErr w:type="gramStart"/>
      <w:r>
        <w:rPr>
          <w:sz w:val="20"/>
          <w:szCs w:val="22"/>
        </w:rPr>
        <w:t>ot</w:t>
      </w:r>
      <w:proofErr w:type="gramEnd"/>
      <w:r>
        <w:rPr>
          <w:sz w:val="20"/>
          <w:szCs w:val="22"/>
        </w:rPr>
        <w:t xml:space="preserve"> szedő betegeknél megfontolandó a minden második nap szedett 25 mg adaggal történő újrakezdés.</w:t>
      </w:r>
    </w:p>
    <w:p w14:paraId="1025A8D3" w14:textId="77777777" w:rsidR="009F5F6A" w:rsidRDefault="00962A10">
      <w:pPr>
        <w:spacing w:after="12" w:line="247" w:lineRule="auto"/>
        <w:ind w:left="553" w:right="14" w:hanging="568"/>
        <w:rPr>
          <w:sz w:val="20"/>
          <w:szCs w:val="22"/>
        </w:rPr>
      </w:pPr>
      <w:r>
        <w:rPr>
          <w:sz w:val="20"/>
          <w:szCs w:val="22"/>
          <w:vertAlign w:val="superscript"/>
        </w:rPr>
        <w:t xml:space="preserve">♦ </w:t>
      </w:r>
      <w:r>
        <w:rPr>
          <w:sz w:val="20"/>
          <w:szCs w:val="22"/>
          <w:vertAlign w:val="superscript"/>
        </w:rPr>
        <w:tab/>
      </w:r>
      <w:proofErr w:type="gramStart"/>
      <w:r>
        <w:rPr>
          <w:sz w:val="20"/>
          <w:szCs w:val="22"/>
        </w:rPr>
        <w:t>Az</w:t>
      </w:r>
      <w:proofErr w:type="gramEnd"/>
      <w:r>
        <w:rPr>
          <w:sz w:val="20"/>
          <w:szCs w:val="22"/>
        </w:rPr>
        <w:t xml:space="preserve"> antivirális terápia megkezdésekor a vérlemezkeszám lecsökkenhet, ezért ekkor az eltrombopag azonnali dóziscsökkentését el kell kerülni.</w:t>
      </w:r>
    </w:p>
    <w:p w14:paraId="0FCA660C" w14:textId="77777777" w:rsidR="009F5F6A" w:rsidRDefault="009F5F6A">
      <w:pPr>
        <w:autoSpaceDE w:val="0"/>
        <w:autoSpaceDN w:val="0"/>
        <w:adjustRightInd w:val="0"/>
        <w:spacing w:line="240" w:lineRule="auto"/>
        <w:rPr>
          <w:rFonts w:eastAsia="Times New Roman"/>
          <w:snapToGrid/>
          <w:szCs w:val="22"/>
          <w:lang w:val="hu-HU" w:eastAsia="en-US"/>
        </w:rPr>
      </w:pPr>
    </w:p>
    <w:p w14:paraId="62B98118"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A kezelés leállítása</w:t>
      </w:r>
    </w:p>
    <w:p w14:paraId="019A7267"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eltrombopag-kezelést le kell állítani, ha a vérlemezkeszám 100 mg eltrombopag 2 h</w:t>
      </w:r>
      <w:r>
        <w:rPr>
          <w:rFonts w:eastAsia="Times New Roman" w:hint="eastAsia"/>
          <w:snapToGrid/>
          <w:szCs w:val="22"/>
          <w:lang w:val="hu-HU" w:eastAsia="en-US"/>
        </w:rPr>
        <w:t>é</w:t>
      </w:r>
      <w:r>
        <w:rPr>
          <w:rFonts w:eastAsia="Times New Roman"/>
          <w:snapToGrid/>
          <w:szCs w:val="22"/>
          <w:lang w:val="hu-HU" w:eastAsia="en-US"/>
        </w:rPr>
        <w:t>tig t</w:t>
      </w:r>
      <w:r>
        <w:rPr>
          <w:rFonts w:eastAsia="Times New Roman" w:hint="eastAsia"/>
          <w:snapToGrid/>
          <w:szCs w:val="22"/>
          <w:lang w:val="hu-HU" w:eastAsia="en-US"/>
        </w:rPr>
        <w:t>ö</w:t>
      </w:r>
      <w:r>
        <w:rPr>
          <w:rFonts w:eastAsia="Times New Roman"/>
          <w:snapToGrid/>
          <w:szCs w:val="22"/>
          <w:lang w:val="hu-HU" w:eastAsia="en-US"/>
        </w:rPr>
        <w:t>rt</w:t>
      </w:r>
      <w:r>
        <w:rPr>
          <w:rFonts w:eastAsia="Times New Roman" w:hint="eastAsia"/>
          <w:snapToGrid/>
          <w:szCs w:val="22"/>
          <w:lang w:val="hu-HU" w:eastAsia="en-US"/>
        </w:rPr>
        <w:t>é</w:t>
      </w:r>
      <w:r>
        <w:rPr>
          <w:rFonts w:eastAsia="Times New Roman"/>
          <w:snapToGrid/>
          <w:szCs w:val="22"/>
          <w:lang w:val="hu-HU" w:eastAsia="en-US"/>
        </w:rPr>
        <w:t>n</w:t>
      </w:r>
      <w:r>
        <w:rPr>
          <w:rFonts w:eastAsia="Times New Roman" w:hint="eastAsia"/>
          <w:snapToGrid/>
          <w:szCs w:val="22"/>
          <w:lang w:val="hu-HU" w:eastAsia="en-US"/>
        </w:rPr>
        <w:t>ő</w:t>
      </w:r>
      <w:r>
        <w:rPr>
          <w:rFonts w:eastAsia="Times New Roman"/>
          <w:snapToGrid/>
          <w:szCs w:val="22"/>
          <w:lang w:val="hu-HU" w:eastAsia="en-US"/>
        </w:rPr>
        <w:t xml:space="preserve"> alkalmazása után sem éri el az antivirális terápia megkezdéséhez szükséges szintet.</w:t>
      </w:r>
    </w:p>
    <w:p w14:paraId="1D23967D" w14:textId="77777777" w:rsidR="009F5F6A" w:rsidRDefault="009F5F6A">
      <w:pPr>
        <w:autoSpaceDE w:val="0"/>
        <w:autoSpaceDN w:val="0"/>
        <w:adjustRightInd w:val="0"/>
        <w:spacing w:line="240" w:lineRule="auto"/>
        <w:rPr>
          <w:rFonts w:eastAsia="Times New Roman"/>
          <w:snapToGrid/>
          <w:szCs w:val="22"/>
          <w:lang w:val="hu-HU" w:eastAsia="en-US"/>
        </w:rPr>
      </w:pPr>
    </w:p>
    <w:p w14:paraId="7950EE4F"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 xml:space="preserve">Az eltrombopag-kezelést be kell fejezni, amikor az antivirális terápia leállításra kerül, indokolt eseteket kivéve. Túlzott vérlemezkeszám-válasz vagy a májfunkciókban </w:t>
      </w:r>
      <w:r>
        <w:rPr>
          <w:rFonts w:eastAsia="Times New Roman" w:hint="eastAsia"/>
          <w:snapToGrid/>
          <w:szCs w:val="22"/>
          <w:lang w:val="hu-HU" w:eastAsia="en-US"/>
        </w:rPr>
        <w:t>é</w:t>
      </w:r>
      <w:r>
        <w:rPr>
          <w:rFonts w:eastAsia="Times New Roman"/>
          <w:snapToGrid/>
          <w:szCs w:val="22"/>
          <w:lang w:val="hu-HU" w:eastAsia="en-US"/>
        </w:rPr>
        <w:t>szlelt jelent</w:t>
      </w:r>
      <w:r>
        <w:rPr>
          <w:rFonts w:eastAsia="Times New Roman" w:hint="eastAsia"/>
          <w:snapToGrid/>
          <w:szCs w:val="22"/>
          <w:lang w:val="hu-HU" w:eastAsia="en-US"/>
        </w:rPr>
        <w:t>ő</w:t>
      </w:r>
      <w:r>
        <w:rPr>
          <w:rFonts w:eastAsia="Times New Roman"/>
          <w:snapToGrid/>
          <w:szCs w:val="22"/>
          <w:lang w:val="hu-HU" w:eastAsia="en-US"/>
        </w:rPr>
        <w:t>s rendellenességek szintén szükségessé teszik a kezelés leállítását.</w:t>
      </w:r>
    </w:p>
    <w:p w14:paraId="30D33B2F" w14:textId="77777777" w:rsidR="009F5F6A" w:rsidRDefault="009F5F6A">
      <w:pPr>
        <w:autoSpaceDE w:val="0"/>
        <w:autoSpaceDN w:val="0"/>
        <w:adjustRightInd w:val="0"/>
        <w:spacing w:line="240" w:lineRule="auto"/>
        <w:rPr>
          <w:rFonts w:eastAsia="Times New Roman"/>
          <w:snapToGrid/>
          <w:szCs w:val="22"/>
          <w:lang w:val="hu-HU" w:eastAsia="en-US"/>
        </w:rPr>
      </w:pPr>
    </w:p>
    <w:p w14:paraId="32923A4A" w14:textId="77777777" w:rsidR="009F5F6A" w:rsidRDefault="00962A10">
      <w:pPr>
        <w:autoSpaceDE w:val="0"/>
        <w:autoSpaceDN w:val="0"/>
        <w:adjustRightInd w:val="0"/>
        <w:spacing w:line="240" w:lineRule="auto"/>
        <w:rPr>
          <w:rFonts w:eastAsia="Times New Roman"/>
          <w:i/>
          <w:iCs/>
          <w:snapToGrid/>
          <w:szCs w:val="22"/>
          <w:u w:val="single"/>
          <w:lang w:val="hu-HU" w:eastAsia="en-US"/>
        </w:rPr>
      </w:pPr>
      <w:r>
        <w:rPr>
          <w:rFonts w:eastAsia="Times New Roman"/>
          <w:i/>
          <w:iCs/>
          <w:snapToGrid/>
          <w:szCs w:val="22"/>
          <w:u w:val="single"/>
          <w:lang w:val="hu-HU" w:eastAsia="en-US"/>
        </w:rPr>
        <w:t>Különleges betegcsoportok</w:t>
      </w:r>
    </w:p>
    <w:p w14:paraId="2ED2F5E9" w14:textId="77777777" w:rsidR="009F5F6A" w:rsidRDefault="009F5F6A">
      <w:pPr>
        <w:autoSpaceDE w:val="0"/>
        <w:autoSpaceDN w:val="0"/>
        <w:adjustRightInd w:val="0"/>
        <w:spacing w:line="240" w:lineRule="auto"/>
        <w:rPr>
          <w:rFonts w:eastAsia="Times New Roman"/>
          <w:snapToGrid/>
          <w:szCs w:val="22"/>
          <w:lang w:val="hu-HU" w:eastAsia="en-US"/>
        </w:rPr>
      </w:pPr>
    </w:p>
    <w:p w14:paraId="6E30BAFE"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Vesekárosodás</w:t>
      </w:r>
    </w:p>
    <w:p w14:paraId="5E8289D3"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Vesek</w:t>
      </w:r>
      <w:r>
        <w:rPr>
          <w:rFonts w:eastAsia="Times New Roman" w:hint="eastAsia"/>
          <w:snapToGrid/>
          <w:szCs w:val="22"/>
          <w:lang w:val="hu-HU" w:eastAsia="en-US"/>
        </w:rPr>
        <w:t>á</w:t>
      </w:r>
      <w:r>
        <w:rPr>
          <w:rFonts w:eastAsia="Times New Roman"/>
          <w:snapToGrid/>
          <w:szCs w:val="22"/>
          <w:lang w:val="hu-HU" w:eastAsia="en-US"/>
        </w:rPr>
        <w:t>rosod</w:t>
      </w:r>
      <w:r>
        <w:rPr>
          <w:rFonts w:eastAsia="Times New Roman" w:hint="eastAsia"/>
          <w:snapToGrid/>
          <w:szCs w:val="22"/>
          <w:lang w:val="hu-HU" w:eastAsia="en-US"/>
        </w:rPr>
        <w:t>á</w:t>
      </w:r>
      <w:r>
        <w:rPr>
          <w:rFonts w:eastAsia="Times New Roman"/>
          <w:snapToGrid/>
          <w:szCs w:val="22"/>
          <w:lang w:val="hu-HU" w:eastAsia="en-US"/>
        </w:rPr>
        <w:t>sban szenved</w:t>
      </w:r>
      <w:r>
        <w:rPr>
          <w:rFonts w:eastAsia="Times New Roman" w:hint="eastAsia"/>
          <w:snapToGrid/>
          <w:szCs w:val="22"/>
          <w:lang w:val="hu-HU" w:eastAsia="en-US"/>
        </w:rPr>
        <w:t>ő</w:t>
      </w:r>
      <w:r>
        <w:rPr>
          <w:rFonts w:eastAsia="Times New Roman"/>
          <w:snapToGrid/>
          <w:szCs w:val="22"/>
          <w:lang w:val="hu-HU" w:eastAsia="en-US"/>
        </w:rPr>
        <w:t xml:space="preserve"> betegekn</w:t>
      </w:r>
      <w:r>
        <w:rPr>
          <w:rFonts w:eastAsia="Times New Roman" w:hint="eastAsia"/>
          <w:snapToGrid/>
          <w:szCs w:val="22"/>
          <w:lang w:val="hu-HU" w:eastAsia="en-US"/>
        </w:rPr>
        <w:t>é</w:t>
      </w:r>
      <w:r>
        <w:rPr>
          <w:rFonts w:eastAsia="Times New Roman"/>
          <w:snapToGrid/>
          <w:szCs w:val="22"/>
          <w:lang w:val="hu-HU" w:eastAsia="en-US"/>
        </w:rPr>
        <w:t>l d</w:t>
      </w:r>
      <w:r>
        <w:rPr>
          <w:rFonts w:eastAsia="Times New Roman" w:hint="eastAsia"/>
          <w:snapToGrid/>
          <w:szCs w:val="22"/>
          <w:lang w:val="hu-HU" w:eastAsia="en-US"/>
        </w:rPr>
        <w:t>ó</w:t>
      </w:r>
      <w:r>
        <w:rPr>
          <w:rFonts w:eastAsia="Times New Roman"/>
          <w:snapToGrid/>
          <w:szCs w:val="22"/>
          <w:lang w:val="hu-HU" w:eastAsia="en-US"/>
        </w:rPr>
        <w:t>zism</w:t>
      </w:r>
      <w:r>
        <w:rPr>
          <w:rFonts w:eastAsia="Times New Roman" w:hint="eastAsia"/>
          <w:snapToGrid/>
          <w:szCs w:val="22"/>
          <w:lang w:val="hu-HU" w:eastAsia="en-US"/>
        </w:rPr>
        <w:t>ó</w:t>
      </w:r>
      <w:r>
        <w:rPr>
          <w:rFonts w:eastAsia="Times New Roman"/>
          <w:snapToGrid/>
          <w:szCs w:val="22"/>
          <w:lang w:val="hu-HU" w:eastAsia="en-US"/>
        </w:rPr>
        <w:t>dos</w:t>
      </w:r>
      <w:r>
        <w:rPr>
          <w:rFonts w:eastAsia="Times New Roman" w:hint="eastAsia"/>
          <w:snapToGrid/>
          <w:szCs w:val="22"/>
          <w:lang w:val="hu-HU" w:eastAsia="en-US"/>
        </w:rPr>
        <w:t>í</w:t>
      </w:r>
      <w:r>
        <w:rPr>
          <w:rFonts w:eastAsia="Times New Roman"/>
          <w:snapToGrid/>
          <w:szCs w:val="22"/>
          <w:lang w:val="hu-HU" w:eastAsia="en-US"/>
        </w:rPr>
        <w:t>t</w:t>
      </w:r>
      <w:r>
        <w:rPr>
          <w:rFonts w:eastAsia="Times New Roman" w:hint="eastAsia"/>
          <w:snapToGrid/>
          <w:szCs w:val="22"/>
          <w:lang w:val="hu-HU" w:eastAsia="en-US"/>
        </w:rPr>
        <w:t>á</w:t>
      </w:r>
      <w:r>
        <w:rPr>
          <w:rFonts w:eastAsia="Times New Roman"/>
          <w:snapToGrid/>
          <w:szCs w:val="22"/>
          <w:lang w:val="hu-HU" w:eastAsia="en-US"/>
        </w:rPr>
        <w:t>s nem szükséges. Károsodott vesefunkciójú betegeknél az eltrombopag k</w:t>
      </w:r>
      <w:r>
        <w:rPr>
          <w:rFonts w:eastAsia="Times New Roman" w:hint="eastAsia"/>
          <w:snapToGrid/>
          <w:szCs w:val="22"/>
          <w:lang w:val="hu-HU" w:eastAsia="en-US"/>
        </w:rPr>
        <w:t>ö</w:t>
      </w:r>
      <w:r>
        <w:rPr>
          <w:rFonts w:eastAsia="Times New Roman"/>
          <w:snapToGrid/>
          <w:szCs w:val="22"/>
          <w:lang w:val="hu-HU" w:eastAsia="en-US"/>
        </w:rPr>
        <w:t>r</w:t>
      </w:r>
      <w:r>
        <w:rPr>
          <w:rFonts w:eastAsia="Times New Roman" w:hint="eastAsia"/>
          <w:snapToGrid/>
          <w:szCs w:val="22"/>
          <w:lang w:val="hu-HU" w:eastAsia="en-US"/>
        </w:rPr>
        <w:t>ü</w:t>
      </w:r>
      <w:r>
        <w:rPr>
          <w:rFonts w:eastAsia="Times New Roman"/>
          <w:snapToGrid/>
          <w:szCs w:val="22"/>
          <w:lang w:val="hu-HU" w:eastAsia="en-US"/>
        </w:rPr>
        <w:t>ltekint</w:t>
      </w:r>
      <w:r>
        <w:rPr>
          <w:rFonts w:eastAsia="Times New Roman" w:hint="eastAsia"/>
          <w:snapToGrid/>
          <w:szCs w:val="22"/>
          <w:lang w:val="hu-HU" w:eastAsia="en-US"/>
        </w:rPr>
        <w:t>ő</w:t>
      </w:r>
      <w:r>
        <w:rPr>
          <w:rFonts w:eastAsia="Times New Roman"/>
          <w:snapToGrid/>
          <w:szCs w:val="22"/>
          <w:lang w:val="hu-HU" w:eastAsia="en-US"/>
        </w:rPr>
        <w:t>en alkalmazand</w:t>
      </w:r>
      <w:r>
        <w:rPr>
          <w:rFonts w:eastAsia="Times New Roman" w:hint="eastAsia"/>
          <w:snapToGrid/>
          <w:szCs w:val="22"/>
          <w:lang w:val="hu-HU" w:eastAsia="en-US"/>
        </w:rPr>
        <w:t>ó</w:t>
      </w:r>
      <w:r>
        <w:rPr>
          <w:rFonts w:eastAsia="Times New Roman"/>
          <w:snapToGrid/>
          <w:szCs w:val="22"/>
          <w:lang w:val="hu-HU" w:eastAsia="en-US"/>
        </w:rPr>
        <w:t>, a beteg gondos monitorozás- mellett, pl. a szérum kreatininszintjének mérésével és/vagy vizeletvizsgálattal (lásd 5.2 pont).</w:t>
      </w:r>
    </w:p>
    <w:p w14:paraId="50EE3EB1" w14:textId="77777777" w:rsidR="009F5F6A" w:rsidRDefault="009F5F6A">
      <w:pPr>
        <w:autoSpaceDE w:val="0"/>
        <w:autoSpaceDN w:val="0"/>
        <w:adjustRightInd w:val="0"/>
        <w:spacing w:line="240" w:lineRule="auto"/>
        <w:rPr>
          <w:rFonts w:eastAsia="Times New Roman"/>
          <w:snapToGrid/>
          <w:szCs w:val="22"/>
          <w:lang w:val="hu-HU" w:eastAsia="en-US"/>
        </w:rPr>
      </w:pPr>
    </w:p>
    <w:p w14:paraId="5EE7DA60"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Májkárosodás</w:t>
      </w:r>
    </w:p>
    <w:p w14:paraId="7FB1790D"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 nem alkalmazhat</w:t>
      </w:r>
      <w:r>
        <w:rPr>
          <w:rFonts w:eastAsia="Times New Roman" w:hint="eastAsia"/>
          <w:snapToGrid/>
          <w:szCs w:val="22"/>
          <w:lang w:val="hu-HU" w:eastAsia="en-US"/>
        </w:rPr>
        <w:t>ó</w:t>
      </w:r>
      <w:r>
        <w:rPr>
          <w:rFonts w:eastAsia="Times New Roman"/>
          <w:snapToGrid/>
          <w:szCs w:val="22"/>
          <w:lang w:val="hu-HU" w:eastAsia="en-US"/>
        </w:rPr>
        <w:t xml:space="preserve"> m</w:t>
      </w:r>
      <w:r>
        <w:rPr>
          <w:rFonts w:eastAsia="Times New Roman" w:hint="eastAsia"/>
          <w:snapToGrid/>
          <w:szCs w:val="22"/>
          <w:lang w:val="hu-HU" w:eastAsia="en-US"/>
        </w:rPr>
        <w:t>á</w:t>
      </w:r>
      <w:r>
        <w:rPr>
          <w:rFonts w:eastAsia="Times New Roman"/>
          <w:snapToGrid/>
          <w:szCs w:val="22"/>
          <w:lang w:val="hu-HU" w:eastAsia="en-US"/>
        </w:rPr>
        <w:t>jk</w:t>
      </w:r>
      <w:r>
        <w:rPr>
          <w:rFonts w:eastAsia="Times New Roman" w:hint="eastAsia"/>
          <w:snapToGrid/>
          <w:szCs w:val="22"/>
          <w:lang w:val="hu-HU" w:eastAsia="en-US"/>
        </w:rPr>
        <w:t>á</w:t>
      </w:r>
      <w:r>
        <w:rPr>
          <w:rFonts w:eastAsia="Times New Roman"/>
          <w:snapToGrid/>
          <w:szCs w:val="22"/>
          <w:lang w:val="hu-HU" w:eastAsia="en-US"/>
        </w:rPr>
        <w:t>rosod</w:t>
      </w:r>
      <w:r>
        <w:rPr>
          <w:rFonts w:eastAsia="Times New Roman" w:hint="eastAsia"/>
          <w:snapToGrid/>
          <w:szCs w:val="22"/>
          <w:lang w:val="hu-HU" w:eastAsia="en-US"/>
        </w:rPr>
        <w:t>á</w:t>
      </w:r>
      <w:r>
        <w:rPr>
          <w:rFonts w:eastAsia="Times New Roman"/>
          <w:snapToGrid/>
          <w:szCs w:val="22"/>
          <w:lang w:val="hu-HU" w:eastAsia="en-US"/>
        </w:rPr>
        <w:t>sban szenved</w:t>
      </w:r>
      <w:r>
        <w:rPr>
          <w:rFonts w:eastAsia="Times New Roman" w:hint="eastAsia"/>
          <w:snapToGrid/>
          <w:szCs w:val="22"/>
          <w:lang w:val="hu-HU" w:eastAsia="en-US"/>
        </w:rPr>
        <w:t>ő</w:t>
      </w:r>
      <w:r>
        <w:rPr>
          <w:rFonts w:eastAsia="Times New Roman"/>
          <w:snapToGrid/>
          <w:szCs w:val="22"/>
          <w:lang w:val="hu-HU" w:eastAsia="en-US"/>
        </w:rPr>
        <w:t xml:space="preserve"> ITP-s betegeknél (Child</w:t>
      </w:r>
      <w:r>
        <w:rPr>
          <w:rFonts w:eastAsia="Times New Roman" w:hint="eastAsia"/>
          <w:snapToGrid/>
          <w:szCs w:val="22"/>
          <w:lang w:val="hu-HU" w:eastAsia="en-US"/>
        </w:rPr>
        <w:t>–</w:t>
      </w:r>
      <w:r>
        <w:rPr>
          <w:rFonts w:eastAsia="Times New Roman"/>
          <w:snapToGrid/>
          <w:szCs w:val="22"/>
          <w:lang w:val="hu-HU" w:eastAsia="en-US"/>
        </w:rPr>
        <w:t>Pugh pontsz</w:t>
      </w:r>
      <w:r>
        <w:rPr>
          <w:rFonts w:eastAsia="Times New Roman" w:hint="eastAsia"/>
          <w:snapToGrid/>
          <w:szCs w:val="22"/>
          <w:lang w:val="hu-HU" w:eastAsia="en-US"/>
        </w:rPr>
        <w:t>á</w:t>
      </w:r>
      <w:r>
        <w:rPr>
          <w:rFonts w:eastAsia="Times New Roman"/>
          <w:snapToGrid/>
          <w:szCs w:val="22"/>
          <w:lang w:val="hu-HU" w:eastAsia="en-US"/>
        </w:rPr>
        <w:t xml:space="preserve">m </w:t>
      </w:r>
      <w:r>
        <w:rPr>
          <w:rFonts w:eastAsia="Times New Roman" w:hint="eastAsia"/>
          <w:snapToGrid/>
          <w:szCs w:val="22"/>
          <w:lang w:val="hu-HU" w:eastAsia="en-US"/>
        </w:rPr>
        <w:t>≥</w:t>
      </w:r>
      <w:r>
        <w:rPr>
          <w:rFonts w:eastAsia="Times New Roman"/>
          <w:snapToGrid/>
          <w:szCs w:val="22"/>
          <w:lang w:val="hu-HU" w:eastAsia="en-US"/>
        </w:rPr>
        <w:t>5), kiv</w:t>
      </w:r>
      <w:r>
        <w:rPr>
          <w:rFonts w:eastAsia="Times New Roman" w:hint="eastAsia"/>
          <w:snapToGrid/>
          <w:szCs w:val="22"/>
          <w:lang w:val="hu-HU" w:eastAsia="en-US"/>
        </w:rPr>
        <w:t>é</w:t>
      </w:r>
      <w:r>
        <w:rPr>
          <w:rFonts w:eastAsia="Times New Roman"/>
          <w:snapToGrid/>
          <w:szCs w:val="22"/>
          <w:lang w:val="hu-HU" w:eastAsia="en-US"/>
        </w:rPr>
        <w:t>ve, ha a v</w:t>
      </w:r>
      <w:r>
        <w:rPr>
          <w:rFonts w:eastAsia="Times New Roman" w:hint="eastAsia"/>
          <w:snapToGrid/>
          <w:szCs w:val="22"/>
          <w:lang w:val="hu-HU" w:eastAsia="en-US"/>
        </w:rPr>
        <w:t>á</w:t>
      </w:r>
      <w:r>
        <w:rPr>
          <w:rFonts w:eastAsia="Times New Roman"/>
          <w:snapToGrid/>
          <w:szCs w:val="22"/>
          <w:lang w:val="hu-HU" w:eastAsia="en-US"/>
        </w:rPr>
        <w:t>rhat</w:t>
      </w:r>
      <w:r>
        <w:rPr>
          <w:rFonts w:eastAsia="Times New Roman" w:hint="eastAsia"/>
          <w:snapToGrid/>
          <w:szCs w:val="22"/>
          <w:lang w:val="hu-HU" w:eastAsia="en-US"/>
        </w:rPr>
        <w:t>ó</w:t>
      </w:r>
      <w:r>
        <w:rPr>
          <w:rFonts w:eastAsia="Times New Roman"/>
          <w:snapToGrid/>
          <w:szCs w:val="22"/>
          <w:lang w:val="hu-HU" w:eastAsia="en-US"/>
        </w:rPr>
        <w:t xml:space="preserve"> el</w:t>
      </w:r>
      <w:r>
        <w:rPr>
          <w:rFonts w:eastAsia="Times New Roman" w:hint="eastAsia"/>
          <w:snapToGrid/>
          <w:szCs w:val="22"/>
          <w:lang w:val="hu-HU" w:eastAsia="en-US"/>
        </w:rPr>
        <w:t>ő</w:t>
      </w:r>
      <w:r>
        <w:rPr>
          <w:rFonts w:eastAsia="Times New Roman"/>
          <w:snapToGrid/>
          <w:szCs w:val="22"/>
          <w:lang w:val="hu-HU" w:eastAsia="en-US"/>
        </w:rPr>
        <w:t>ny nagyobb, mint a vena portae thrombosis kimutatott kock</w:t>
      </w:r>
      <w:r>
        <w:rPr>
          <w:rFonts w:eastAsia="Times New Roman" w:hint="eastAsia"/>
          <w:snapToGrid/>
          <w:szCs w:val="22"/>
          <w:lang w:val="hu-HU" w:eastAsia="en-US"/>
        </w:rPr>
        <w:t>á</w:t>
      </w:r>
      <w:r>
        <w:rPr>
          <w:rFonts w:eastAsia="Times New Roman"/>
          <w:snapToGrid/>
          <w:szCs w:val="22"/>
          <w:lang w:val="hu-HU" w:eastAsia="en-US"/>
        </w:rPr>
        <w:t>zata (lásd 4.4 pont).</w:t>
      </w:r>
    </w:p>
    <w:p w14:paraId="567DE24E" w14:textId="77777777" w:rsidR="009F5F6A" w:rsidRDefault="009F5F6A">
      <w:pPr>
        <w:autoSpaceDE w:val="0"/>
        <w:autoSpaceDN w:val="0"/>
        <w:adjustRightInd w:val="0"/>
        <w:spacing w:line="240" w:lineRule="auto"/>
        <w:rPr>
          <w:rFonts w:eastAsia="Times New Roman"/>
          <w:snapToGrid/>
          <w:szCs w:val="22"/>
          <w:lang w:val="hu-HU" w:eastAsia="en-US"/>
        </w:rPr>
      </w:pPr>
    </w:p>
    <w:p w14:paraId="365FAA78"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Amennyiben m</w:t>
      </w:r>
      <w:r>
        <w:rPr>
          <w:rFonts w:eastAsia="Times New Roman" w:hint="eastAsia"/>
          <w:snapToGrid/>
          <w:szCs w:val="22"/>
          <w:lang w:val="hu-HU" w:eastAsia="en-US"/>
        </w:rPr>
        <w:t>á</w:t>
      </w:r>
      <w:r>
        <w:rPr>
          <w:rFonts w:eastAsia="Times New Roman"/>
          <w:snapToGrid/>
          <w:szCs w:val="22"/>
          <w:lang w:val="hu-HU" w:eastAsia="en-US"/>
        </w:rPr>
        <w:t>jk</w:t>
      </w:r>
      <w:r>
        <w:rPr>
          <w:rFonts w:eastAsia="Times New Roman" w:hint="eastAsia"/>
          <w:snapToGrid/>
          <w:szCs w:val="22"/>
          <w:lang w:val="hu-HU" w:eastAsia="en-US"/>
        </w:rPr>
        <w:t>á</w:t>
      </w:r>
      <w:r>
        <w:rPr>
          <w:rFonts w:eastAsia="Times New Roman"/>
          <w:snapToGrid/>
          <w:szCs w:val="22"/>
          <w:lang w:val="hu-HU" w:eastAsia="en-US"/>
        </w:rPr>
        <w:t>rosod</w:t>
      </w:r>
      <w:r>
        <w:rPr>
          <w:rFonts w:eastAsia="Times New Roman" w:hint="eastAsia"/>
          <w:snapToGrid/>
          <w:szCs w:val="22"/>
          <w:lang w:val="hu-HU" w:eastAsia="en-US"/>
        </w:rPr>
        <w:t>á</w:t>
      </w:r>
      <w:r>
        <w:rPr>
          <w:rFonts w:eastAsia="Times New Roman"/>
          <w:snapToGrid/>
          <w:szCs w:val="22"/>
          <w:lang w:val="hu-HU" w:eastAsia="en-US"/>
        </w:rPr>
        <w:t>sban szenved</w:t>
      </w:r>
      <w:r>
        <w:rPr>
          <w:rFonts w:eastAsia="Times New Roman" w:hint="eastAsia"/>
          <w:snapToGrid/>
          <w:szCs w:val="22"/>
          <w:lang w:val="hu-HU" w:eastAsia="en-US"/>
        </w:rPr>
        <w:t>ő</w:t>
      </w:r>
      <w:r>
        <w:rPr>
          <w:rFonts w:eastAsia="Times New Roman"/>
          <w:snapToGrid/>
          <w:szCs w:val="22"/>
          <w:lang w:val="hu-HU" w:eastAsia="en-US"/>
        </w:rPr>
        <w:t xml:space="preserve"> ITP-s betegeknél az eltrombopag alkalmazását szükségesnek </w:t>
      </w:r>
      <w:r>
        <w:rPr>
          <w:rFonts w:eastAsia="Times New Roman" w:hint="eastAsia"/>
          <w:snapToGrid/>
          <w:szCs w:val="22"/>
          <w:lang w:val="hu-HU" w:eastAsia="en-US"/>
        </w:rPr>
        <w:t>í</w:t>
      </w:r>
      <w:r>
        <w:rPr>
          <w:rFonts w:eastAsia="Times New Roman"/>
          <w:snapToGrid/>
          <w:szCs w:val="22"/>
          <w:lang w:val="hu-HU" w:eastAsia="en-US"/>
        </w:rPr>
        <w:t>t</w:t>
      </w:r>
      <w:r>
        <w:rPr>
          <w:rFonts w:eastAsia="Times New Roman" w:hint="eastAsia"/>
          <w:snapToGrid/>
          <w:szCs w:val="22"/>
          <w:lang w:val="hu-HU" w:eastAsia="en-US"/>
        </w:rPr>
        <w:t>é</w:t>
      </w:r>
      <w:r>
        <w:rPr>
          <w:rFonts w:eastAsia="Times New Roman"/>
          <w:snapToGrid/>
          <w:szCs w:val="22"/>
          <w:lang w:val="hu-HU" w:eastAsia="en-US"/>
        </w:rPr>
        <w:t>lik, a kezd</w:t>
      </w:r>
      <w:r>
        <w:rPr>
          <w:rFonts w:eastAsia="Times New Roman" w:hint="eastAsia"/>
          <w:snapToGrid/>
          <w:szCs w:val="22"/>
          <w:lang w:val="hu-HU" w:eastAsia="en-US"/>
        </w:rPr>
        <w:t>ő</w:t>
      </w:r>
      <w:r>
        <w:rPr>
          <w:rFonts w:eastAsia="Times New Roman"/>
          <w:snapToGrid/>
          <w:szCs w:val="22"/>
          <w:lang w:val="hu-HU" w:eastAsia="en-US"/>
        </w:rPr>
        <w:t xml:space="preserve"> dózis naponta egyszer 25 mg kell, hogy legyen. M</w:t>
      </w:r>
      <w:r>
        <w:rPr>
          <w:rFonts w:eastAsia="Times New Roman" w:hint="eastAsia"/>
          <w:snapToGrid/>
          <w:szCs w:val="22"/>
          <w:lang w:val="hu-HU" w:eastAsia="en-US"/>
        </w:rPr>
        <w:t>á</w:t>
      </w:r>
      <w:r>
        <w:rPr>
          <w:rFonts w:eastAsia="Times New Roman"/>
          <w:snapToGrid/>
          <w:szCs w:val="22"/>
          <w:lang w:val="hu-HU" w:eastAsia="en-US"/>
        </w:rPr>
        <w:t>jk</w:t>
      </w:r>
      <w:r>
        <w:rPr>
          <w:rFonts w:eastAsia="Times New Roman" w:hint="eastAsia"/>
          <w:snapToGrid/>
          <w:szCs w:val="22"/>
          <w:lang w:val="hu-HU" w:eastAsia="en-US"/>
        </w:rPr>
        <w:t>á</w:t>
      </w:r>
      <w:r>
        <w:rPr>
          <w:rFonts w:eastAsia="Times New Roman"/>
          <w:snapToGrid/>
          <w:szCs w:val="22"/>
          <w:lang w:val="hu-HU" w:eastAsia="en-US"/>
        </w:rPr>
        <w:t>rosod</w:t>
      </w:r>
      <w:r>
        <w:rPr>
          <w:rFonts w:eastAsia="Times New Roman" w:hint="eastAsia"/>
          <w:snapToGrid/>
          <w:szCs w:val="22"/>
          <w:lang w:val="hu-HU" w:eastAsia="en-US"/>
        </w:rPr>
        <w:t>á</w:t>
      </w:r>
      <w:r>
        <w:rPr>
          <w:rFonts w:eastAsia="Times New Roman"/>
          <w:snapToGrid/>
          <w:szCs w:val="22"/>
          <w:lang w:val="hu-HU" w:eastAsia="en-US"/>
        </w:rPr>
        <w:t>sban szenved</w:t>
      </w:r>
      <w:r>
        <w:rPr>
          <w:rFonts w:eastAsia="Times New Roman" w:hint="eastAsia"/>
          <w:snapToGrid/>
          <w:szCs w:val="22"/>
          <w:lang w:val="hu-HU" w:eastAsia="en-US"/>
        </w:rPr>
        <w:t>ő</w:t>
      </w:r>
      <w:r>
        <w:rPr>
          <w:rFonts w:eastAsia="Times New Roman"/>
          <w:snapToGrid/>
          <w:szCs w:val="22"/>
          <w:lang w:val="hu-HU" w:eastAsia="en-US"/>
        </w:rPr>
        <w:t xml:space="preserve"> betegekn</w:t>
      </w:r>
      <w:r>
        <w:rPr>
          <w:rFonts w:eastAsia="Times New Roman" w:hint="eastAsia"/>
          <w:snapToGrid/>
          <w:szCs w:val="22"/>
          <w:lang w:val="hu-HU" w:eastAsia="en-US"/>
        </w:rPr>
        <w:t>é</w:t>
      </w:r>
      <w:r>
        <w:rPr>
          <w:rFonts w:eastAsia="Times New Roman"/>
          <w:snapToGrid/>
          <w:szCs w:val="22"/>
          <w:lang w:val="hu-HU" w:eastAsia="en-US"/>
        </w:rPr>
        <w:t>l az eltrombopag adagolás</w:t>
      </w:r>
      <w:r>
        <w:rPr>
          <w:rFonts w:eastAsia="Times New Roman" w:hint="eastAsia"/>
          <w:snapToGrid/>
          <w:szCs w:val="22"/>
          <w:lang w:val="hu-HU" w:eastAsia="en-US"/>
        </w:rPr>
        <w:t>á</w:t>
      </w:r>
      <w:r>
        <w:rPr>
          <w:rFonts w:eastAsia="Times New Roman"/>
          <w:snapToGrid/>
          <w:szCs w:val="22"/>
          <w:lang w:val="hu-HU" w:eastAsia="en-US"/>
        </w:rPr>
        <w:t>nak megkezd</w:t>
      </w:r>
      <w:r>
        <w:rPr>
          <w:rFonts w:eastAsia="Times New Roman" w:hint="eastAsia"/>
          <w:snapToGrid/>
          <w:szCs w:val="22"/>
          <w:lang w:val="hu-HU" w:eastAsia="en-US"/>
        </w:rPr>
        <w:t>é</w:t>
      </w:r>
      <w:r>
        <w:rPr>
          <w:rFonts w:eastAsia="Times New Roman"/>
          <w:snapToGrid/>
          <w:szCs w:val="22"/>
          <w:lang w:val="hu-HU" w:eastAsia="en-US"/>
        </w:rPr>
        <w:t>s</w:t>
      </w:r>
      <w:r>
        <w:rPr>
          <w:rFonts w:eastAsia="Times New Roman" w:hint="eastAsia"/>
          <w:snapToGrid/>
          <w:szCs w:val="22"/>
          <w:lang w:val="hu-HU" w:eastAsia="en-US"/>
        </w:rPr>
        <w:t>é</w:t>
      </w:r>
      <w:r>
        <w:rPr>
          <w:rFonts w:eastAsia="Times New Roman"/>
          <w:snapToGrid/>
          <w:szCs w:val="22"/>
          <w:lang w:val="hu-HU" w:eastAsia="en-US"/>
        </w:rPr>
        <w:t>t k</w:t>
      </w:r>
      <w:r>
        <w:rPr>
          <w:rFonts w:eastAsia="Times New Roman" w:hint="eastAsia"/>
          <w:snapToGrid/>
          <w:szCs w:val="22"/>
          <w:lang w:val="hu-HU" w:eastAsia="en-US"/>
        </w:rPr>
        <w:t>ö</w:t>
      </w:r>
      <w:r>
        <w:rPr>
          <w:rFonts w:eastAsia="Times New Roman"/>
          <w:snapToGrid/>
          <w:szCs w:val="22"/>
          <w:lang w:val="hu-HU" w:eastAsia="en-US"/>
        </w:rPr>
        <w:t>vet</w:t>
      </w:r>
      <w:r>
        <w:rPr>
          <w:rFonts w:eastAsia="Times New Roman" w:hint="eastAsia"/>
          <w:snapToGrid/>
          <w:szCs w:val="22"/>
          <w:lang w:val="hu-HU" w:eastAsia="en-US"/>
        </w:rPr>
        <w:t>ő</w:t>
      </w:r>
      <w:r>
        <w:rPr>
          <w:rFonts w:eastAsia="Times New Roman"/>
          <w:snapToGrid/>
          <w:szCs w:val="22"/>
          <w:lang w:val="hu-HU" w:eastAsia="en-US"/>
        </w:rPr>
        <w:t>en h</w:t>
      </w:r>
      <w:r>
        <w:rPr>
          <w:rFonts w:eastAsia="Times New Roman" w:hint="eastAsia"/>
          <w:snapToGrid/>
          <w:szCs w:val="22"/>
          <w:lang w:val="hu-HU" w:eastAsia="en-US"/>
        </w:rPr>
        <w:t>á</w:t>
      </w:r>
      <w:r>
        <w:rPr>
          <w:rFonts w:eastAsia="Times New Roman"/>
          <w:snapToGrid/>
          <w:szCs w:val="22"/>
          <w:lang w:val="hu-HU" w:eastAsia="en-US"/>
        </w:rPr>
        <w:t>rom hétig kell megfigyelés alatt tartani a dózis emelése el</w:t>
      </w:r>
      <w:r>
        <w:rPr>
          <w:rFonts w:eastAsia="Times New Roman" w:hint="eastAsia"/>
          <w:snapToGrid/>
          <w:szCs w:val="22"/>
          <w:lang w:val="hu-HU" w:eastAsia="en-US"/>
        </w:rPr>
        <w:t>ő</w:t>
      </w:r>
      <w:r>
        <w:rPr>
          <w:rFonts w:eastAsia="Times New Roman"/>
          <w:snapToGrid/>
          <w:szCs w:val="22"/>
          <w:lang w:val="hu-HU" w:eastAsia="en-US"/>
        </w:rPr>
        <w:t>tt.</w:t>
      </w:r>
    </w:p>
    <w:p w14:paraId="0F1B9929" w14:textId="77777777" w:rsidR="009F5F6A" w:rsidRDefault="009F5F6A">
      <w:pPr>
        <w:autoSpaceDE w:val="0"/>
        <w:autoSpaceDN w:val="0"/>
        <w:adjustRightInd w:val="0"/>
        <w:spacing w:line="240" w:lineRule="auto"/>
        <w:rPr>
          <w:rFonts w:eastAsia="Times New Roman"/>
          <w:snapToGrid/>
          <w:szCs w:val="22"/>
          <w:lang w:val="hu-HU" w:eastAsia="en-US"/>
        </w:rPr>
      </w:pPr>
    </w:p>
    <w:p w14:paraId="30CF6C06"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Nem szükséges dózismódosítás a krónikus HCV-ben és enyhe májkárosodásban (Child</w:t>
      </w:r>
      <w:r>
        <w:rPr>
          <w:rFonts w:eastAsia="Times New Roman" w:hint="eastAsia"/>
          <w:snapToGrid/>
          <w:szCs w:val="22"/>
          <w:lang w:val="hu-HU" w:eastAsia="en-US"/>
        </w:rPr>
        <w:t>–</w:t>
      </w:r>
      <w:r>
        <w:rPr>
          <w:rFonts w:eastAsia="Times New Roman"/>
          <w:snapToGrid/>
          <w:szCs w:val="22"/>
          <w:lang w:val="hu-HU" w:eastAsia="en-US"/>
        </w:rPr>
        <w:t xml:space="preserve">Pugh pontszám </w:t>
      </w:r>
      <w:r>
        <w:rPr>
          <w:rFonts w:eastAsia="Times New Roman" w:hint="eastAsia"/>
          <w:snapToGrid/>
          <w:szCs w:val="22"/>
          <w:lang w:val="hu-HU" w:eastAsia="en-US"/>
        </w:rPr>
        <w:t>≤</w:t>
      </w:r>
      <w:r>
        <w:rPr>
          <w:rFonts w:eastAsia="Times New Roman"/>
          <w:snapToGrid/>
          <w:szCs w:val="22"/>
          <w:lang w:val="hu-HU" w:eastAsia="en-US"/>
        </w:rPr>
        <w:t>6) szenved</w:t>
      </w:r>
      <w:r>
        <w:rPr>
          <w:rFonts w:eastAsia="Times New Roman" w:hint="eastAsia"/>
          <w:snapToGrid/>
          <w:szCs w:val="22"/>
          <w:lang w:val="hu-HU" w:eastAsia="en-US"/>
        </w:rPr>
        <w:t>ő</w:t>
      </w:r>
      <w:r>
        <w:rPr>
          <w:rFonts w:eastAsia="Times New Roman"/>
          <w:snapToGrid/>
          <w:szCs w:val="22"/>
          <w:lang w:val="hu-HU" w:eastAsia="en-US"/>
        </w:rPr>
        <w:t xml:space="preserve"> betegekn</w:t>
      </w:r>
      <w:r>
        <w:rPr>
          <w:rFonts w:eastAsia="Times New Roman" w:hint="eastAsia"/>
          <w:snapToGrid/>
          <w:szCs w:val="22"/>
          <w:lang w:val="hu-HU" w:eastAsia="en-US"/>
        </w:rPr>
        <w:t>é</w:t>
      </w:r>
      <w:r>
        <w:rPr>
          <w:rFonts w:eastAsia="Times New Roman"/>
          <w:snapToGrid/>
          <w:szCs w:val="22"/>
          <w:lang w:val="hu-HU" w:eastAsia="en-US"/>
        </w:rPr>
        <w:t>l. A krónikus HCV-s, akiknek májkárosodása is van, az eltrombopag-kezelést naponta egyszer 25 mg dózissal kell kezdeni (lásd 5.2 pont). A m</w:t>
      </w:r>
      <w:r>
        <w:rPr>
          <w:rFonts w:eastAsia="Times New Roman" w:hint="eastAsia"/>
          <w:snapToGrid/>
          <w:szCs w:val="22"/>
          <w:lang w:val="hu-HU" w:eastAsia="en-US"/>
        </w:rPr>
        <w:t>á</w:t>
      </w:r>
      <w:r>
        <w:rPr>
          <w:rFonts w:eastAsia="Times New Roman"/>
          <w:snapToGrid/>
          <w:szCs w:val="22"/>
          <w:lang w:val="hu-HU" w:eastAsia="en-US"/>
        </w:rPr>
        <w:t>jk</w:t>
      </w:r>
      <w:r>
        <w:rPr>
          <w:rFonts w:eastAsia="Times New Roman" w:hint="eastAsia"/>
          <w:snapToGrid/>
          <w:szCs w:val="22"/>
          <w:lang w:val="hu-HU" w:eastAsia="en-US"/>
        </w:rPr>
        <w:t>á</w:t>
      </w:r>
      <w:r>
        <w:rPr>
          <w:rFonts w:eastAsia="Times New Roman"/>
          <w:snapToGrid/>
          <w:szCs w:val="22"/>
          <w:lang w:val="hu-HU" w:eastAsia="en-US"/>
        </w:rPr>
        <w:t>rosod</w:t>
      </w:r>
      <w:r>
        <w:rPr>
          <w:rFonts w:eastAsia="Times New Roman" w:hint="eastAsia"/>
          <w:snapToGrid/>
          <w:szCs w:val="22"/>
          <w:lang w:val="hu-HU" w:eastAsia="en-US"/>
        </w:rPr>
        <w:t>á</w:t>
      </w:r>
      <w:r>
        <w:rPr>
          <w:rFonts w:eastAsia="Times New Roman"/>
          <w:snapToGrid/>
          <w:szCs w:val="22"/>
          <w:lang w:val="hu-HU" w:eastAsia="en-US"/>
        </w:rPr>
        <w:t>sban szenved</w:t>
      </w:r>
      <w:r>
        <w:rPr>
          <w:rFonts w:eastAsia="Times New Roman" w:hint="eastAsia"/>
          <w:snapToGrid/>
          <w:szCs w:val="22"/>
          <w:lang w:val="hu-HU" w:eastAsia="en-US"/>
        </w:rPr>
        <w:t>ő</w:t>
      </w:r>
      <w:r>
        <w:rPr>
          <w:rFonts w:eastAsia="Times New Roman"/>
          <w:snapToGrid/>
          <w:szCs w:val="22"/>
          <w:lang w:val="hu-HU" w:eastAsia="en-US"/>
        </w:rPr>
        <w:t xml:space="preserve"> betegekn</w:t>
      </w:r>
      <w:r>
        <w:rPr>
          <w:rFonts w:eastAsia="Times New Roman" w:hint="eastAsia"/>
          <w:snapToGrid/>
          <w:szCs w:val="22"/>
          <w:lang w:val="hu-HU" w:eastAsia="en-US"/>
        </w:rPr>
        <w:t>é</w:t>
      </w:r>
      <w:r>
        <w:rPr>
          <w:rFonts w:eastAsia="Times New Roman"/>
          <w:snapToGrid/>
          <w:szCs w:val="22"/>
          <w:lang w:val="hu-HU" w:eastAsia="en-US"/>
        </w:rPr>
        <w:t>l az eltrombopag-kezelés megkezdése után 2 hétig kell megfigyelés alatt tartani a d</w:t>
      </w:r>
      <w:r>
        <w:rPr>
          <w:rFonts w:eastAsia="Times New Roman" w:hint="eastAsia"/>
          <w:snapToGrid/>
          <w:szCs w:val="22"/>
          <w:lang w:val="hu-HU" w:eastAsia="en-US"/>
        </w:rPr>
        <w:t>ó</w:t>
      </w:r>
      <w:r>
        <w:rPr>
          <w:rFonts w:eastAsia="Times New Roman"/>
          <w:snapToGrid/>
          <w:szCs w:val="22"/>
          <w:lang w:val="hu-HU" w:eastAsia="en-US"/>
        </w:rPr>
        <w:t>zis emel</w:t>
      </w:r>
      <w:r>
        <w:rPr>
          <w:rFonts w:eastAsia="Times New Roman" w:hint="eastAsia"/>
          <w:snapToGrid/>
          <w:szCs w:val="22"/>
          <w:lang w:val="hu-HU" w:eastAsia="en-US"/>
        </w:rPr>
        <w:t>é</w:t>
      </w:r>
      <w:r>
        <w:rPr>
          <w:rFonts w:eastAsia="Times New Roman"/>
          <w:snapToGrid/>
          <w:szCs w:val="22"/>
          <w:lang w:val="hu-HU" w:eastAsia="en-US"/>
        </w:rPr>
        <w:t>se el</w:t>
      </w:r>
      <w:r>
        <w:rPr>
          <w:rFonts w:eastAsia="Times New Roman" w:hint="eastAsia"/>
          <w:snapToGrid/>
          <w:szCs w:val="22"/>
          <w:lang w:val="hu-HU" w:eastAsia="en-US"/>
        </w:rPr>
        <w:t>ő</w:t>
      </w:r>
      <w:r>
        <w:rPr>
          <w:rFonts w:eastAsia="Times New Roman"/>
          <w:snapToGrid/>
          <w:szCs w:val="22"/>
          <w:lang w:val="hu-HU" w:eastAsia="en-US"/>
        </w:rPr>
        <w:t>tt.</w:t>
      </w:r>
    </w:p>
    <w:p w14:paraId="206FE984" w14:textId="77777777" w:rsidR="009F5F6A" w:rsidRDefault="009F5F6A">
      <w:pPr>
        <w:autoSpaceDE w:val="0"/>
        <w:autoSpaceDN w:val="0"/>
        <w:adjustRightInd w:val="0"/>
        <w:spacing w:line="240" w:lineRule="auto"/>
        <w:rPr>
          <w:rFonts w:eastAsia="Times New Roman"/>
          <w:snapToGrid/>
          <w:szCs w:val="22"/>
          <w:lang w:val="hu-HU" w:eastAsia="en-US"/>
        </w:rPr>
      </w:pPr>
    </w:p>
    <w:p w14:paraId="005E1D70"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eltrombopaggal kezelt, el</w:t>
      </w:r>
      <w:r>
        <w:rPr>
          <w:rFonts w:eastAsia="Times New Roman" w:hint="eastAsia"/>
          <w:snapToGrid/>
          <w:szCs w:val="22"/>
          <w:lang w:val="hu-HU" w:eastAsia="en-US"/>
        </w:rPr>
        <w:t>ő</w:t>
      </w:r>
      <w:r>
        <w:rPr>
          <w:rFonts w:eastAsia="Times New Roman"/>
          <w:snapToGrid/>
          <w:szCs w:val="22"/>
          <w:lang w:val="hu-HU" w:eastAsia="en-US"/>
        </w:rPr>
        <w:t>rehaladott kr</w:t>
      </w:r>
      <w:r>
        <w:rPr>
          <w:rFonts w:eastAsia="Times New Roman" w:hint="eastAsia"/>
          <w:snapToGrid/>
          <w:szCs w:val="22"/>
          <w:lang w:val="hu-HU" w:eastAsia="en-US"/>
        </w:rPr>
        <w:t>ó</w:t>
      </w:r>
      <w:r>
        <w:rPr>
          <w:rFonts w:eastAsia="Times New Roman"/>
          <w:snapToGrid/>
          <w:szCs w:val="22"/>
          <w:lang w:val="hu-HU" w:eastAsia="en-US"/>
        </w:rPr>
        <w:t>nikus m</w:t>
      </w:r>
      <w:r>
        <w:rPr>
          <w:rFonts w:eastAsia="Times New Roman" w:hint="eastAsia"/>
          <w:snapToGrid/>
          <w:szCs w:val="22"/>
          <w:lang w:val="hu-HU" w:eastAsia="en-US"/>
        </w:rPr>
        <w:t>á</w:t>
      </w:r>
      <w:r>
        <w:rPr>
          <w:rFonts w:eastAsia="Times New Roman"/>
          <w:snapToGrid/>
          <w:szCs w:val="22"/>
          <w:lang w:val="hu-HU" w:eastAsia="en-US"/>
        </w:rPr>
        <w:t>jbetegs</w:t>
      </w:r>
      <w:r>
        <w:rPr>
          <w:rFonts w:eastAsia="Times New Roman" w:hint="eastAsia"/>
          <w:snapToGrid/>
          <w:szCs w:val="22"/>
          <w:lang w:val="hu-HU" w:eastAsia="en-US"/>
        </w:rPr>
        <w:t>é</w:t>
      </w:r>
      <w:r>
        <w:rPr>
          <w:rFonts w:eastAsia="Times New Roman"/>
          <w:snapToGrid/>
          <w:szCs w:val="22"/>
          <w:lang w:val="hu-HU" w:eastAsia="en-US"/>
        </w:rPr>
        <w:t>gben szenved</w:t>
      </w:r>
      <w:r>
        <w:rPr>
          <w:rFonts w:eastAsia="Times New Roman" w:hint="eastAsia"/>
          <w:snapToGrid/>
          <w:szCs w:val="22"/>
          <w:lang w:val="hu-HU" w:eastAsia="en-US"/>
        </w:rPr>
        <w:t>ő</w:t>
      </w:r>
      <w:r>
        <w:rPr>
          <w:rFonts w:eastAsia="Times New Roman"/>
          <w:snapToGrid/>
          <w:szCs w:val="22"/>
          <w:lang w:val="hu-HU" w:eastAsia="en-US"/>
        </w:rPr>
        <w:t xml:space="preserve"> thrombocytopeni</w:t>
      </w:r>
      <w:r>
        <w:rPr>
          <w:rFonts w:eastAsia="Times New Roman" w:hint="eastAsia"/>
          <w:snapToGrid/>
          <w:szCs w:val="22"/>
          <w:lang w:val="hu-HU" w:eastAsia="en-US"/>
        </w:rPr>
        <w:t>á</w:t>
      </w:r>
      <w:r>
        <w:rPr>
          <w:rFonts w:eastAsia="Times New Roman"/>
          <w:snapToGrid/>
          <w:szCs w:val="22"/>
          <w:lang w:val="hu-HU" w:eastAsia="en-US"/>
        </w:rPr>
        <w:t xml:space="preserve">s betegek esetében fokozott a nemkívánt események kockázata, beleértve a hepaticus dekompenzációt és thromboemboliás eseményeket (TEE-k), </w:t>
      </w:r>
      <w:r>
        <w:rPr>
          <w:rFonts w:eastAsia="Times New Roman" w:hint="eastAsia"/>
          <w:snapToGrid/>
          <w:szCs w:val="22"/>
          <w:lang w:val="hu-HU" w:eastAsia="en-US"/>
        </w:rPr>
        <w:t>ú</w:t>
      </w:r>
      <w:r>
        <w:rPr>
          <w:rFonts w:eastAsia="Times New Roman"/>
          <w:snapToGrid/>
          <w:szCs w:val="22"/>
          <w:lang w:val="hu-HU" w:eastAsia="en-US"/>
        </w:rPr>
        <w:t>gy az invaz</w:t>
      </w:r>
      <w:r>
        <w:rPr>
          <w:rFonts w:eastAsia="Times New Roman" w:hint="eastAsia"/>
          <w:snapToGrid/>
          <w:szCs w:val="22"/>
          <w:lang w:val="hu-HU" w:eastAsia="en-US"/>
        </w:rPr>
        <w:t>í</w:t>
      </w:r>
      <w:r>
        <w:rPr>
          <w:rFonts w:eastAsia="Times New Roman"/>
          <w:snapToGrid/>
          <w:szCs w:val="22"/>
          <w:lang w:val="hu-HU" w:eastAsia="en-US"/>
        </w:rPr>
        <w:t>v beavatkoz</w:t>
      </w:r>
      <w:r>
        <w:rPr>
          <w:rFonts w:eastAsia="Times New Roman" w:hint="eastAsia"/>
          <w:snapToGrid/>
          <w:szCs w:val="22"/>
          <w:lang w:val="hu-HU" w:eastAsia="en-US"/>
        </w:rPr>
        <w:t>á</w:t>
      </w:r>
      <w:r>
        <w:rPr>
          <w:rFonts w:eastAsia="Times New Roman"/>
          <w:snapToGrid/>
          <w:szCs w:val="22"/>
          <w:lang w:val="hu-HU" w:eastAsia="en-US"/>
        </w:rPr>
        <w:t>sok el</w:t>
      </w:r>
      <w:r>
        <w:rPr>
          <w:rFonts w:eastAsia="Times New Roman" w:hint="eastAsia"/>
          <w:snapToGrid/>
          <w:szCs w:val="22"/>
          <w:lang w:val="hu-HU" w:eastAsia="en-US"/>
        </w:rPr>
        <w:t>ő</w:t>
      </w:r>
      <w:r>
        <w:rPr>
          <w:rFonts w:eastAsia="Times New Roman"/>
          <w:snapToGrid/>
          <w:szCs w:val="22"/>
          <w:lang w:val="hu-HU" w:eastAsia="en-US"/>
        </w:rPr>
        <w:t>k</w:t>
      </w:r>
      <w:r>
        <w:rPr>
          <w:rFonts w:eastAsia="Times New Roman" w:hint="eastAsia"/>
          <w:snapToGrid/>
          <w:szCs w:val="22"/>
          <w:lang w:val="hu-HU" w:eastAsia="en-US"/>
        </w:rPr>
        <w:t>é</w:t>
      </w:r>
      <w:r>
        <w:rPr>
          <w:rFonts w:eastAsia="Times New Roman"/>
          <w:snapToGrid/>
          <w:szCs w:val="22"/>
          <w:lang w:val="hu-HU" w:eastAsia="en-US"/>
        </w:rPr>
        <w:t>sz</w:t>
      </w:r>
      <w:r>
        <w:rPr>
          <w:rFonts w:eastAsia="Times New Roman" w:hint="eastAsia"/>
          <w:snapToGrid/>
          <w:szCs w:val="22"/>
          <w:lang w:val="hu-HU" w:eastAsia="en-US"/>
        </w:rPr>
        <w:t>í</w:t>
      </w:r>
      <w:r>
        <w:rPr>
          <w:rFonts w:eastAsia="Times New Roman"/>
          <w:snapToGrid/>
          <w:szCs w:val="22"/>
          <w:lang w:val="hu-HU" w:eastAsia="en-US"/>
        </w:rPr>
        <w:t>t</w:t>
      </w:r>
      <w:r>
        <w:rPr>
          <w:rFonts w:eastAsia="Times New Roman" w:hint="eastAsia"/>
          <w:snapToGrid/>
          <w:szCs w:val="22"/>
          <w:lang w:val="hu-HU" w:eastAsia="en-US"/>
        </w:rPr>
        <w:t>é</w:t>
      </w:r>
      <w:r>
        <w:rPr>
          <w:rFonts w:eastAsia="Times New Roman"/>
          <w:snapToGrid/>
          <w:szCs w:val="22"/>
          <w:lang w:val="hu-HU" w:eastAsia="en-US"/>
        </w:rPr>
        <w:t>se sor</w:t>
      </w:r>
      <w:r>
        <w:rPr>
          <w:rFonts w:eastAsia="Times New Roman" w:hint="eastAsia"/>
          <w:snapToGrid/>
          <w:szCs w:val="22"/>
          <w:lang w:val="hu-HU" w:eastAsia="en-US"/>
        </w:rPr>
        <w:t>á</w:t>
      </w:r>
      <w:r>
        <w:rPr>
          <w:rFonts w:eastAsia="Times New Roman"/>
          <w:snapToGrid/>
          <w:szCs w:val="22"/>
          <w:lang w:val="hu-HU" w:eastAsia="en-US"/>
        </w:rPr>
        <w:t>n, mint antivirális ter</w:t>
      </w:r>
      <w:r>
        <w:rPr>
          <w:rFonts w:eastAsia="Times New Roman" w:hint="eastAsia"/>
          <w:snapToGrid/>
          <w:szCs w:val="22"/>
          <w:lang w:val="hu-HU" w:eastAsia="en-US"/>
        </w:rPr>
        <w:t>á</w:t>
      </w:r>
      <w:r>
        <w:rPr>
          <w:rFonts w:eastAsia="Times New Roman"/>
          <w:snapToGrid/>
          <w:szCs w:val="22"/>
          <w:lang w:val="hu-HU" w:eastAsia="en-US"/>
        </w:rPr>
        <w:t>pi</w:t>
      </w:r>
      <w:r>
        <w:rPr>
          <w:rFonts w:eastAsia="Times New Roman" w:hint="eastAsia"/>
          <w:snapToGrid/>
          <w:szCs w:val="22"/>
          <w:lang w:val="hu-HU" w:eastAsia="en-US"/>
        </w:rPr>
        <w:t>á</w:t>
      </w:r>
      <w:r>
        <w:rPr>
          <w:rFonts w:eastAsia="Times New Roman"/>
          <w:snapToGrid/>
          <w:szCs w:val="22"/>
          <w:lang w:val="hu-HU" w:eastAsia="en-US"/>
        </w:rPr>
        <w:t>ban r</w:t>
      </w:r>
      <w:r>
        <w:rPr>
          <w:rFonts w:eastAsia="Times New Roman" w:hint="eastAsia"/>
          <w:snapToGrid/>
          <w:szCs w:val="22"/>
          <w:lang w:val="hu-HU" w:eastAsia="en-US"/>
        </w:rPr>
        <w:t>é</w:t>
      </w:r>
      <w:r>
        <w:rPr>
          <w:rFonts w:eastAsia="Times New Roman"/>
          <w:snapToGrid/>
          <w:szCs w:val="22"/>
          <w:lang w:val="hu-HU" w:eastAsia="en-US"/>
        </w:rPr>
        <w:t>szes</w:t>
      </w:r>
      <w:r>
        <w:rPr>
          <w:rFonts w:eastAsia="Times New Roman" w:hint="eastAsia"/>
          <w:snapToGrid/>
          <w:szCs w:val="22"/>
          <w:lang w:val="hu-HU" w:eastAsia="en-US"/>
        </w:rPr>
        <w:t>ü</w:t>
      </w:r>
      <w:r>
        <w:rPr>
          <w:rFonts w:eastAsia="Times New Roman"/>
          <w:snapToGrid/>
          <w:szCs w:val="22"/>
          <w:lang w:val="hu-HU" w:eastAsia="en-US"/>
        </w:rPr>
        <w:t>l</w:t>
      </w:r>
      <w:r>
        <w:rPr>
          <w:rFonts w:eastAsia="Times New Roman" w:hint="eastAsia"/>
          <w:snapToGrid/>
          <w:szCs w:val="22"/>
          <w:lang w:val="hu-HU" w:eastAsia="en-US"/>
        </w:rPr>
        <w:t>ő</w:t>
      </w:r>
      <w:r>
        <w:rPr>
          <w:rFonts w:eastAsia="Times New Roman"/>
          <w:snapToGrid/>
          <w:szCs w:val="22"/>
          <w:lang w:val="hu-HU" w:eastAsia="en-US"/>
        </w:rPr>
        <w:t>, HCV-s betegeknél (lásd 4.4 és 4.8 pont).</w:t>
      </w:r>
    </w:p>
    <w:p w14:paraId="359BF2CF" w14:textId="77777777" w:rsidR="009F5F6A" w:rsidRDefault="009F5F6A">
      <w:pPr>
        <w:autoSpaceDE w:val="0"/>
        <w:autoSpaceDN w:val="0"/>
        <w:adjustRightInd w:val="0"/>
        <w:spacing w:line="240" w:lineRule="auto"/>
        <w:rPr>
          <w:rFonts w:eastAsia="Times New Roman"/>
          <w:snapToGrid/>
          <w:szCs w:val="22"/>
          <w:lang w:val="hu-HU" w:eastAsia="en-US"/>
        </w:rPr>
      </w:pPr>
    </w:p>
    <w:p w14:paraId="3ABEAD9E"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Idősek</w:t>
      </w:r>
    </w:p>
    <w:p w14:paraId="40175406"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65 éves és id</w:t>
      </w:r>
      <w:r>
        <w:rPr>
          <w:rFonts w:eastAsia="Times New Roman" w:hint="eastAsia"/>
          <w:snapToGrid/>
          <w:szCs w:val="22"/>
          <w:lang w:val="hu-HU" w:eastAsia="en-US"/>
        </w:rPr>
        <w:t>ő</w:t>
      </w:r>
      <w:r>
        <w:rPr>
          <w:rFonts w:eastAsia="Times New Roman"/>
          <w:snapToGrid/>
          <w:szCs w:val="22"/>
          <w:lang w:val="hu-HU" w:eastAsia="en-US"/>
        </w:rPr>
        <w:t>sebb ITP-s betegek esetében korl</w:t>
      </w:r>
      <w:r>
        <w:rPr>
          <w:rFonts w:eastAsia="Times New Roman" w:hint="eastAsia"/>
          <w:snapToGrid/>
          <w:szCs w:val="22"/>
          <w:lang w:val="hu-HU" w:eastAsia="en-US"/>
        </w:rPr>
        <w:t>á</w:t>
      </w:r>
      <w:r>
        <w:rPr>
          <w:rFonts w:eastAsia="Times New Roman"/>
          <w:snapToGrid/>
          <w:szCs w:val="22"/>
          <w:lang w:val="hu-HU" w:eastAsia="en-US"/>
        </w:rPr>
        <w:t>tozott mennyis</w:t>
      </w:r>
      <w:r>
        <w:rPr>
          <w:rFonts w:eastAsia="Times New Roman" w:hint="eastAsia"/>
          <w:snapToGrid/>
          <w:szCs w:val="22"/>
          <w:lang w:val="hu-HU" w:eastAsia="en-US"/>
        </w:rPr>
        <w:t>é</w:t>
      </w:r>
      <w:r>
        <w:rPr>
          <w:rFonts w:eastAsia="Times New Roman"/>
          <w:snapToGrid/>
          <w:szCs w:val="22"/>
          <w:lang w:val="hu-HU" w:eastAsia="en-US"/>
        </w:rPr>
        <w:t>g</w:t>
      </w:r>
      <w:r>
        <w:rPr>
          <w:rFonts w:eastAsia="Times New Roman" w:hint="eastAsia"/>
          <w:snapToGrid/>
          <w:szCs w:val="22"/>
          <w:lang w:val="hu-HU" w:eastAsia="en-US"/>
        </w:rPr>
        <w:t>ű</w:t>
      </w:r>
      <w:r>
        <w:rPr>
          <w:rFonts w:eastAsia="Times New Roman"/>
          <w:snapToGrid/>
          <w:szCs w:val="22"/>
          <w:lang w:val="hu-HU" w:eastAsia="en-US"/>
        </w:rPr>
        <w:t xml:space="preserve"> adat </w:t>
      </w:r>
      <w:r>
        <w:rPr>
          <w:rFonts w:eastAsia="Times New Roman" w:hint="eastAsia"/>
          <w:snapToGrid/>
          <w:szCs w:val="22"/>
          <w:lang w:val="hu-HU" w:eastAsia="en-US"/>
        </w:rPr>
        <w:t>á</w:t>
      </w:r>
      <w:r>
        <w:rPr>
          <w:rFonts w:eastAsia="Times New Roman"/>
          <w:snapToGrid/>
          <w:szCs w:val="22"/>
          <w:lang w:val="hu-HU" w:eastAsia="en-US"/>
        </w:rPr>
        <w:t>ll rendelkez</w:t>
      </w:r>
      <w:r>
        <w:rPr>
          <w:rFonts w:eastAsia="Times New Roman" w:hint="eastAsia"/>
          <w:snapToGrid/>
          <w:szCs w:val="22"/>
          <w:lang w:val="hu-HU" w:eastAsia="en-US"/>
        </w:rPr>
        <w:t>é</w:t>
      </w:r>
      <w:r>
        <w:rPr>
          <w:rFonts w:eastAsia="Times New Roman"/>
          <w:snapToGrid/>
          <w:szCs w:val="22"/>
          <w:lang w:val="hu-HU" w:eastAsia="en-US"/>
        </w:rPr>
        <w:t>sre az eltrombopag alkalmazásával kapcsolatban, illetve 85 </w:t>
      </w:r>
      <w:r>
        <w:rPr>
          <w:rFonts w:eastAsia="Times New Roman" w:hint="eastAsia"/>
          <w:snapToGrid/>
          <w:szCs w:val="22"/>
          <w:lang w:val="hu-HU" w:eastAsia="en-US"/>
        </w:rPr>
        <w:t>é</w:t>
      </w:r>
      <w:r>
        <w:rPr>
          <w:rFonts w:eastAsia="Times New Roman"/>
          <w:snapToGrid/>
          <w:szCs w:val="22"/>
          <w:lang w:val="hu-HU" w:eastAsia="en-US"/>
        </w:rPr>
        <w:t>vesn</w:t>
      </w:r>
      <w:r>
        <w:rPr>
          <w:rFonts w:eastAsia="Times New Roman" w:hint="eastAsia"/>
          <w:snapToGrid/>
          <w:szCs w:val="22"/>
          <w:lang w:val="hu-HU" w:eastAsia="en-US"/>
        </w:rPr>
        <w:t>é</w:t>
      </w:r>
      <w:r>
        <w:rPr>
          <w:rFonts w:eastAsia="Times New Roman"/>
          <w:snapToGrid/>
          <w:szCs w:val="22"/>
          <w:lang w:val="hu-HU" w:eastAsia="en-US"/>
        </w:rPr>
        <w:t>l id</w:t>
      </w:r>
      <w:r>
        <w:rPr>
          <w:rFonts w:eastAsia="Times New Roman" w:hint="eastAsia"/>
          <w:snapToGrid/>
          <w:szCs w:val="22"/>
          <w:lang w:val="hu-HU" w:eastAsia="en-US"/>
        </w:rPr>
        <w:t>ő</w:t>
      </w:r>
      <w:r>
        <w:rPr>
          <w:rFonts w:eastAsia="Times New Roman"/>
          <w:snapToGrid/>
          <w:szCs w:val="22"/>
          <w:lang w:val="hu-HU" w:eastAsia="en-US"/>
        </w:rPr>
        <w:t>sebbek eset</w:t>
      </w:r>
      <w:r>
        <w:rPr>
          <w:rFonts w:eastAsia="Times New Roman" w:hint="eastAsia"/>
          <w:snapToGrid/>
          <w:szCs w:val="22"/>
          <w:lang w:val="hu-HU" w:eastAsia="en-US"/>
        </w:rPr>
        <w:t>é</w:t>
      </w:r>
      <w:r>
        <w:rPr>
          <w:rFonts w:eastAsia="Times New Roman"/>
          <w:snapToGrid/>
          <w:szCs w:val="22"/>
          <w:lang w:val="hu-HU" w:eastAsia="en-US"/>
        </w:rPr>
        <w:t>n nincs klinikai tapasztalat. Az eltrombopaggal végzett klinikai vizsgálatokban összességében nem tapasztaltak klinikailag jelent</w:t>
      </w:r>
      <w:r>
        <w:rPr>
          <w:rFonts w:eastAsia="Times New Roman" w:hint="eastAsia"/>
          <w:snapToGrid/>
          <w:szCs w:val="22"/>
          <w:lang w:val="hu-HU" w:eastAsia="en-US"/>
        </w:rPr>
        <w:t>ő</w:t>
      </w:r>
      <w:r>
        <w:rPr>
          <w:rFonts w:eastAsia="Times New Roman"/>
          <w:snapToGrid/>
          <w:szCs w:val="22"/>
          <w:lang w:val="hu-HU" w:eastAsia="en-US"/>
        </w:rPr>
        <w:t>s k</w:t>
      </w:r>
      <w:r>
        <w:rPr>
          <w:rFonts w:eastAsia="Times New Roman" w:hint="eastAsia"/>
          <w:snapToGrid/>
          <w:szCs w:val="22"/>
          <w:lang w:val="hu-HU" w:eastAsia="en-US"/>
        </w:rPr>
        <w:t>ü</w:t>
      </w:r>
      <w:r>
        <w:rPr>
          <w:rFonts w:eastAsia="Times New Roman"/>
          <w:snapToGrid/>
          <w:szCs w:val="22"/>
          <w:lang w:val="hu-HU" w:eastAsia="en-US"/>
        </w:rPr>
        <w:t>l</w:t>
      </w:r>
      <w:r>
        <w:rPr>
          <w:rFonts w:eastAsia="Times New Roman" w:hint="eastAsia"/>
          <w:snapToGrid/>
          <w:szCs w:val="22"/>
          <w:lang w:val="hu-HU" w:eastAsia="en-US"/>
        </w:rPr>
        <w:t>ö</w:t>
      </w:r>
      <w:r>
        <w:rPr>
          <w:rFonts w:eastAsia="Times New Roman"/>
          <w:snapToGrid/>
          <w:szCs w:val="22"/>
          <w:lang w:val="hu-HU" w:eastAsia="en-US"/>
        </w:rPr>
        <w:t>nbs</w:t>
      </w:r>
      <w:r>
        <w:rPr>
          <w:rFonts w:eastAsia="Times New Roman" w:hint="eastAsia"/>
          <w:snapToGrid/>
          <w:szCs w:val="22"/>
          <w:lang w:val="hu-HU" w:eastAsia="en-US"/>
        </w:rPr>
        <w:t>é</w:t>
      </w:r>
      <w:r>
        <w:rPr>
          <w:rFonts w:eastAsia="Times New Roman"/>
          <w:snapToGrid/>
          <w:szCs w:val="22"/>
          <w:lang w:val="hu-HU" w:eastAsia="en-US"/>
        </w:rPr>
        <w:t>get az eltrombopag biztons</w:t>
      </w:r>
      <w:r>
        <w:rPr>
          <w:rFonts w:eastAsia="Times New Roman" w:hint="eastAsia"/>
          <w:snapToGrid/>
          <w:szCs w:val="22"/>
          <w:lang w:val="hu-HU" w:eastAsia="en-US"/>
        </w:rPr>
        <w:t>á</w:t>
      </w:r>
      <w:r>
        <w:rPr>
          <w:rFonts w:eastAsia="Times New Roman"/>
          <w:snapToGrid/>
          <w:szCs w:val="22"/>
          <w:lang w:val="hu-HU" w:eastAsia="en-US"/>
        </w:rPr>
        <w:t>goss</w:t>
      </w:r>
      <w:r>
        <w:rPr>
          <w:rFonts w:eastAsia="Times New Roman" w:hint="eastAsia"/>
          <w:snapToGrid/>
          <w:szCs w:val="22"/>
          <w:lang w:val="hu-HU" w:eastAsia="en-US"/>
        </w:rPr>
        <w:t>á</w:t>
      </w:r>
      <w:r>
        <w:rPr>
          <w:rFonts w:eastAsia="Times New Roman"/>
          <w:snapToGrid/>
          <w:szCs w:val="22"/>
          <w:lang w:val="hu-HU" w:eastAsia="en-US"/>
        </w:rPr>
        <w:t>g</w:t>
      </w:r>
      <w:r>
        <w:rPr>
          <w:rFonts w:eastAsia="Times New Roman" w:hint="eastAsia"/>
          <w:snapToGrid/>
          <w:szCs w:val="22"/>
          <w:lang w:val="hu-HU" w:eastAsia="en-US"/>
        </w:rPr>
        <w:t>á</w:t>
      </w:r>
      <w:r>
        <w:rPr>
          <w:rFonts w:eastAsia="Times New Roman"/>
          <w:snapToGrid/>
          <w:szCs w:val="22"/>
          <w:lang w:val="hu-HU" w:eastAsia="en-US"/>
        </w:rPr>
        <w:t>t illet</w:t>
      </w:r>
      <w:r>
        <w:rPr>
          <w:rFonts w:eastAsia="Times New Roman" w:hint="eastAsia"/>
          <w:snapToGrid/>
          <w:szCs w:val="22"/>
          <w:lang w:val="hu-HU" w:eastAsia="en-US"/>
        </w:rPr>
        <w:t>ő</w:t>
      </w:r>
      <w:r>
        <w:rPr>
          <w:rFonts w:eastAsia="Times New Roman"/>
          <w:snapToGrid/>
          <w:szCs w:val="22"/>
          <w:lang w:val="hu-HU" w:eastAsia="en-US"/>
        </w:rPr>
        <w:t>en a legal</w:t>
      </w:r>
      <w:r>
        <w:rPr>
          <w:rFonts w:eastAsia="Times New Roman" w:hint="eastAsia"/>
          <w:snapToGrid/>
          <w:szCs w:val="22"/>
          <w:lang w:val="hu-HU" w:eastAsia="en-US"/>
        </w:rPr>
        <w:t>á</w:t>
      </w:r>
      <w:r>
        <w:rPr>
          <w:rFonts w:eastAsia="Times New Roman"/>
          <w:snapToGrid/>
          <w:szCs w:val="22"/>
          <w:lang w:val="hu-HU" w:eastAsia="en-US"/>
        </w:rPr>
        <w:t>bb 65 éves betegek és a fiatalabb betegek között. Más klinikai beszámolók szerint nem volt különbség a válaszadás terén az id</w:t>
      </w:r>
      <w:r>
        <w:rPr>
          <w:rFonts w:eastAsia="Times New Roman" w:hint="eastAsia"/>
          <w:snapToGrid/>
          <w:szCs w:val="22"/>
          <w:lang w:val="hu-HU" w:eastAsia="en-US"/>
        </w:rPr>
        <w:t>ő</w:t>
      </w:r>
      <w:r>
        <w:rPr>
          <w:rFonts w:eastAsia="Times New Roman"/>
          <w:snapToGrid/>
          <w:szCs w:val="22"/>
          <w:lang w:val="hu-HU" w:eastAsia="en-US"/>
        </w:rPr>
        <w:t xml:space="preserve">sebb </w:t>
      </w:r>
      <w:r>
        <w:rPr>
          <w:rFonts w:eastAsia="Times New Roman" w:hint="eastAsia"/>
          <w:snapToGrid/>
          <w:szCs w:val="22"/>
          <w:lang w:val="hu-HU" w:eastAsia="en-US"/>
        </w:rPr>
        <w:t>é</w:t>
      </w:r>
      <w:r>
        <w:rPr>
          <w:rFonts w:eastAsia="Times New Roman"/>
          <w:snapToGrid/>
          <w:szCs w:val="22"/>
          <w:lang w:val="hu-HU" w:eastAsia="en-US"/>
        </w:rPr>
        <w:t>s a fiatalabb betegek k</w:t>
      </w:r>
      <w:r>
        <w:rPr>
          <w:rFonts w:eastAsia="Times New Roman" w:hint="eastAsia"/>
          <w:snapToGrid/>
          <w:szCs w:val="22"/>
          <w:lang w:val="hu-HU" w:eastAsia="en-US"/>
        </w:rPr>
        <w:t>ö</w:t>
      </w:r>
      <w:r>
        <w:rPr>
          <w:rFonts w:eastAsia="Times New Roman"/>
          <w:snapToGrid/>
          <w:szCs w:val="22"/>
          <w:lang w:val="hu-HU" w:eastAsia="en-US"/>
        </w:rPr>
        <w:t>z</w:t>
      </w:r>
      <w:r>
        <w:rPr>
          <w:rFonts w:eastAsia="Times New Roman" w:hint="eastAsia"/>
          <w:snapToGrid/>
          <w:szCs w:val="22"/>
          <w:lang w:val="hu-HU" w:eastAsia="en-US"/>
        </w:rPr>
        <w:t>ö</w:t>
      </w:r>
      <w:r>
        <w:rPr>
          <w:rFonts w:eastAsia="Times New Roman"/>
          <w:snapToGrid/>
          <w:szCs w:val="22"/>
          <w:lang w:val="hu-HU" w:eastAsia="en-US"/>
        </w:rPr>
        <w:t>tt, de nem z</w:t>
      </w:r>
      <w:r>
        <w:rPr>
          <w:rFonts w:eastAsia="Times New Roman" w:hint="eastAsia"/>
          <w:snapToGrid/>
          <w:szCs w:val="22"/>
          <w:lang w:val="hu-HU" w:eastAsia="en-US"/>
        </w:rPr>
        <w:t>á</w:t>
      </w:r>
      <w:r>
        <w:rPr>
          <w:rFonts w:eastAsia="Times New Roman"/>
          <w:snapToGrid/>
          <w:szCs w:val="22"/>
          <w:lang w:val="hu-HU" w:eastAsia="en-US"/>
        </w:rPr>
        <w:t>rhat</w:t>
      </w:r>
      <w:r>
        <w:rPr>
          <w:rFonts w:eastAsia="Times New Roman" w:hint="eastAsia"/>
          <w:snapToGrid/>
          <w:szCs w:val="22"/>
          <w:lang w:val="hu-HU" w:eastAsia="en-US"/>
        </w:rPr>
        <w:t>ó</w:t>
      </w:r>
      <w:r>
        <w:rPr>
          <w:rFonts w:eastAsia="Times New Roman"/>
          <w:snapToGrid/>
          <w:szCs w:val="22"/>
          <w:lang w:val="hu-HU" w:eastAsia="en-US"/>
        </w:rPr>
        <w:t xml:space="preserve"> ki egyes id</w:t>
      </w:r>
      <w:r>
        <w:rPr>
          <w:rFonts w:eastAsia="Times New Roman" w:hint="eastAsia"/>
          <w:snapToGrid/>
          <w:szCs w:val="22"/>
          <w:lang w:val="hu-HU" w:eastAsia="en-US"/>
        </w:rPr>
        <w:t>ő</w:t>
      </w:r>
      <w:r>
        <w:rPr>
          <w:rFonts w:eastAsia="Times New Roman"/>
          <w:snapToGrid/>
          <w:szCs w:val="22"/>
          <w:lang w:val="hu-HU" w:eastAsia="en-US"/>
        </w:rPr>
        <w:t>sebb betegek fokozott érzékenysége (lásd 5.2 pont).</w:t>
      </w:r>
    </w:p>
    <w:p w14:paraId="59FF4AE9" w14:textId="77777777" w:rsidR="009F5F6A" w:rsidRDefault="009F5F6A">
      <w:pPr>
        <w:autoSpaceDE w:val="0"/>
        <w:autoSpaceDN w:val="0"/>
        <w:adjustRightInd w:val="0"/>
        <w:spacing w:line="240" w:lineRule="auto"/>
        <w:rPr>
          <w:rFonts w:eastAsia="Times New Roman"/>
          <w:snapToGrid/>
          <w:szCs w:val="22"/>
          <w:lang w:val="hu-HU" w:eastAsia="en-US"/>
        </w:rPr>
      </w:pPr>
    </w:p>
    <w:p w14:paraId="31E9B997"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75 </w:t>
      </w:r>
      <w:r>
        <w:rPr>
          <w:rFonts w:eastAsia="Times New Roman" w:hint="eastAsia"/>
          <w:snapToGrid/>
          <w:szCs w:val="22"/>
          <w:lang w:val="hu-HU" w:eastAsia="en-US"/>
        </w:rPr>
        <w:t>é</w:t>
      </w:r>
      <w:r>
        <w:rPr>
          <w:rFonts w:eastAsia="Times New Roman"/>
          <w:snapToGrid/>
          <w:szCs w:val="22"/>
          <w:lang w:val="hu-HU" w:eastAsia="en-US"/>
        </w:rPr>
        <w:t>vesn</w:t>
      </w:r>
      <w:r>
        <w:rPr>
          <w:rFonts w:eastAsia="Times New Roman" w:hint="eastAsia"/>
          <w:snapToGrid/>
          <w:szCs w:val="22"/>
          <w:lang w:val="hu-HU" w:eastAsia="en-US"/>
        </w:rPr>
        <w:t>é</w:t>
      </w:r>
      <w:r>
        <w:rPr>
          <w:rFonts w:eastAsia="Times New Roman"/>
          <w:snapToGrid/>
          <w:szCs w:val="22"/>
          <w:lang w:val="hu-HU" w:eastAsia="en-US"/>
        </w:rPr>
        <w:t>l id</w:t>
      </w:r>
      <w:r>
        <w:rPr>
          <w:rFonts w:eastAsia="Times New Roman" w:hint="eastAsia"/>
          <w:snapToGrid/>
          <w:szCs w:val="22"/>
          <w:lang w:val="hu-HU" w:eastAsia="en-US"/>
        </w:rPr>
        <w:t>ő</w:t>
      </w:r>
      <w:r>
        <w:rPr>
          <w:rFonts w:eastAsia="Times New Roman"/>
          <w:snapToGrid/>
          <w:szCs w:val="22"/>
          <w:lang w:val="hu-HU" w:eastAsia="en-US"/>
        </w:rPr>
        <w:t>sebb, HCV-s betegek esetében korl</w:t>
      </w:r>
      <w:r>
        <w:rPr>
          <w:rFonts w:eastAsia="Times New Roman" w:hint="eastAsia"/>
          <w:snapToGrid/>
          <w:szCs w:val="22"/>
          <w:lang w:val="hu-HU" w:eastAsia="en-US"/>
        </w:rPr>
        <w:t>á</w:t>
      </w:r>
      <w:r>
        <w:rPr>
          <w:rFonts w:eastAsia="Times New Roman"/>
          <w:snapToGrid/>
          <w:szCs w:val="22"/>
          <w:lang w:val="hu-HU" w:eastAsia="en-US"/>
        </w:rPr>
        <w:t>tozott mennyis</w:t>
      </w:r>
      <w:r>
        <w:rPr>
          <w:rFonts w:eastAsia="Times New Roman" w:hint="eastAsia"/>
          <w:snapToGrid/>
          <w:szCs w:val="22"/>
          <w:lang w:val="hu-HU" w:eastAsia="en-US"/>
        </w:rPr>
        <w:t>é</w:t>
      </w:r>
      <w:r>
        <w:rPr>
          <w:rFonts w:eastAsia="Times New Roman"/>
          <w:snapToGrid/>
          <w:szCs w:val="22"/>
          <w:lang w:val="hu-HU" w:eastAsia="en-US"/>
        </w:rPr>
        <w:t>g</w:t>
      </w:r>
      <w:r>
        <w:rPr>
          <w:rFonts w:eastAsia="Times New Roman" w:hint="eastAsia"/>
          <w:snapToGrid/>
          <w:szCs w:val="22"/>
          <w:lang w:val="hu-HU" w:eastAsia="en-US"/>
        </w:rPr>
        <w:t>ű</w:t>
      </w:r>
      <w:r>
        <w:rPr>
          <w:rFonts w:eastAsia="Times New Roman"/>
          <w:snapToGrid/>
          <w:szCs w:val="22"/>
          <w:lang w:val="hu-HU" w:eastAsia="en-US"/>
        </w:rPr>
        <w:t xml:space="preserve"> adat </w:t>
      </w:r>
      <w:r>
        <w:rPr>
          <w:rFonts w:eastAsia="Times New Roman" w:hint="eastAsia"/>
          <w:snapToGrid/>
          <w:szCs w:val="22"/>
          <w:lang w:val="hu-HU" w:eastAsia="en-US"/>
        </w:rPr>
        <w:t>á</w:t>
      </w:r>
      <w:r>
        <w:rPr>
          <w:rFonts w:eastAsia="Times New Roman"/>
          <w:snapToGrid/>
          <w:szCs w:val="22"/>
          <w:lang w:val="hu-HU" w:eastAsia="en-US"/>
        </w:rPr>
        <w:t>ll rendelkez</w:t>
      </w:r>
      <w:r>
        <w:rPr>
          <w:rFonts w:eastAsia="Times New Roman" w:hint="eastAsia"/>
          <w:snapToGrid/>
          <w:szCs w:val="22"/>
          <w:lang w:val="hu-HU" w:eastAsia="en-US"/>
        </w:rPr>
        <w:t>é</w:t>
      </w:r>
      <w:r>
        <w:rPr>
          <w:rFonts w:eastAsia="Times New Roman"/>
          <w:snapToGrid/>
          <w:szCs w:val="22"/>
          <w:lang w:val="hu-HU" w:eastAsia="en-US"/>
        </w:rPr>
        <w:t>sre az eltrombopag alkalmazásával kapcsolatban. Ezeknél a betegeknél el</w:t>
      </w:r>
      <w:r>
        <w:rPr>
          <w:rFonts w:eastAsia="Times New Roman" w:hint="eastAsia"/>
          <w:snapToGrid/>
          <w:szCs w:val="22"/>
          <w:lang w:val="hu-HU" w:eastAsia="en-US"/>
        </w:rPr>
        <w:t>ő</w:t>
      </w:r>
      <w:r>
        <w:rPr>
          <w:rFonts w:eastAsia="Times New Roman"/>
          <w:snapToGrid/>
          <w:szCs w:val="22"/>
          <w:lang w:val="hu-HU" w:eastAsia="en-US"/>
        </w:rPr>
        <w:t>vigy</w:t>
      </w:r>
      <w:r>
        <w:rPr>
          <w:rFonts w:eastAsia="Times New Roman" w:hint="eastAsia"/>
          <w:snapToGrid/>
          <w:szCs w:val="22"/>
          <w:lang w:val="hu-HU" w:eastAsia="en-US"/>
        </w:rPr>
        <w:t>á</w:t>
      </w:r>
      <w:r>
        <w:rPr>
          <w:rFonts w:eastAsia="Times New Roman"/>
          <w:snapToGrid/>
          <w:szCs w:val="22"/>
          <w:lang w:val="hu-HU" w:eastAsia="en-US"/>
        </w:rPr>
        <w:t>zatoss</w:t>
      </w:r>
      <w:r>
        <w:rPr>
          <w:rFonts w:eastAsia="Times New Roman" w:hint="eastAsia"/>
          <w:snapToGrid/>
          <w:szCs w:val="22"/>
          <w:lang w:val="hu-HU" w:eastAsia="en-US"/>
        </w:rPr>
        <w:t>á</w:t>
      </w:r>
      <w:r>
        <w:rPr>
          <w:rFonts w:eastAsia="Times New Roman"/>
          <w:snapToGrid/>
          <w:szCs w:val="22"/>
          <w:lang w:val="hu-HU" w:eastAsia="en-US"/>
        </w:rPr>
        <w:t>g sz</w:t>
      </w:r>
      <w:r>
        <w:rPr>
          <w:rFonts w:eastAsia="Times New Roman" w:hint="eastAsia"/>
          <w:snapToGrid/>
          <w:szCs w:val="22"/>
          <w:lang w:val="hu-HU" w:eastAsia="en-US"/>
        </w:rPr>
        <w:t>ü</w:t>
      </w:r>
      <w:r>
        <w:rPr>
          <w:rFonts w:eastAsia="Times New Roman"/>
          <w:snapToGrid/>
          <w:szCs w:val="22"/>
          <w:lang w:val="hu-HU" w:eastAsia="en-US"/>
        </w:rPr>
        <w:t>ks</w:t>
      </w:r>
      <w:r>
        <w:rPr>
          <w:rFonts w:eastAsia="Times New Roman" w:hint="eastAsia"/>
          <w:snapToGrid/>
          <w:szCs w:val="22"/>
          <w:lang w:val="hu-HU" w:eastAsia="en-US"/>
        </w:rPr>
        <w:t>é</w:t>
      </w:r>
      <w:r>
        <w:rPr>
          <w:rFonts w:eastAsia="Times New Roman"/>
          <w:snapToGrid/>
          <w:szCs w:val="22"/>
          <w:lang w:val="hu-HU" w:eastAsia="en-US"/>
        </w:rPr>
        <w:t>ges (l</w:t>
      </w:r>
      <w:r>
        <w:rPr>
          <w:rFonts w:eastAsia="Times New Roman" w:hint="eastAsia"/>
          <w:snapToGrid/>
          <w:szCs w:val="22"/>
          <w:lang w:val="hu-HU" w:eastAsia="en-US"/>
        </w:rPr>
        <w:t>á</w:t>
      </w:r>
      <w:r>
        <w:rPr>
          <w:rFonts w:eastAsia="Times New Roman"/>
          <w:snapToGrid/>
          <w:szCs w:val="22"/>
          <w:lang w:val="hu-HU" w:eastAsia="en-US"/>
        </w:rPr>
        <w:t>sd 4.4 pont).</w:t>
      </w:r>
    </w:p>
    <w:p w14:paraId="6E81B3BD" w14:textId="77777777" w:rsidR="009F5F6A" w:rsidRDefault="009F5F6A">
      <w:pPr>
        <w:autoSpaceDE w:val="0"/>
        <w:autoSpaceDN w:val="0"/>
        <w:adjustRightInd w:val="0"/>
        <w:spacing w:line="240" w:lineRule="auto"/>
        <w:rPr>
          <w:rFonts w:eastAsia="Times New Roman"/>
          <w:snapToGrid/>
          <w:szCs w:val="22"/>
          <w:lang w:val="hu-HU" w:eastAsia="en-US"/>
        </w:rPr>
      </w:pPr>
    </w:p>
    <w:p w14:paraId="00D94A5B"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Kelet-/délkelet-ázsiai betegek</w:t>
      </w:r>
    </w:p>
    <w:p w14:paraId="2B063FBB"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Kelet-/délkelet-ázsiai származású feln</w:t>
      </w:r>
      <w:r>
        <w:rPr>
          <w:rFonts w:eastAsia="Times New Roman" w:hint="eastAsia"/>
          <w:snapToGrid/>
          <w:szCs w:val="22"/>
          <w:lang w:val="hu-HU" w:eastAsia="en-US"/>
        </w:rPr>
        <w:t>ő</w:t>
      </w:r>
      <w:r>
        <w:rPr>
          <w:rFonts w:eastAsia="Times New Roman"/>
          <w:snapToGrid/>
          <w:szCs w:val="22"/>
          <w:lang w:val="hu-HU" w:eastAsia="en-US"/>
        </w:rPr>
        <w:t xml:space="preserve">tt, valamint gyermek </w:t>
      </w:r>
      <w:r>
        <w:rPr>
          <w:rFonts w:eastAsia="Times New Roman" w:hint="eastAsia"/>
          <w:snapToGrid/>
          <w:szCs w:val="22"/>
          <w:lang w:val="hu-HU" w:eastAsia="en-US"/>
        </w:rPr>
        <w:t>é</w:t>
      </w:r>
      <w:r>
        <w:rPr>
          <w:rFonts w:eastAsia="Times New Roman"/>
          <w:snapToGrid/>
          <w:szCs w:val="22"/>
          <w:lang w:val="hu-HU" w:eastAsia="en-US"/>
        </w:rPr>
        <w:t xml:space="preserve">s </w:t>
      </w:r>
      <w:proofErr w:type="gramStart"/>
      <w:r>
        <w:rPr>
          <w:rFonts w:eastAsia="Times New Roman"/>
          <w:snapToGrid/>
          <w:szCs w:val="22"/>
          <w:lang w:val="hu-HU" w:eastAsia="en-US"/>
        </w:rPr>
        <w:t>serd</w:t>
      </w:r>
      <w:r>
        <w:rPr>
          <w:rFonts w:eastAsia="Times New Roman" w:hint="eastAsia"/>
          <w:snapToGrid/>
          <w:szCs w:val="22"/>
          <w:lang w:val="hu-HU" w:eastAsia="en-US"/>
        </w:rPr>
        <w:t>ü</w:t>
      </w:r>
      <w:r>
        <w:rPr>
          <w:rFonts w:eastAsia="Times New Roman"/>
          <w:snapToGrid/>
          <w:szCs w:val="22"/>
          <w:lang w:val="hu-HU" w:eastAsia="en-US"/>
        </w:rPr>
        <w:t>l</w:t>
      </w:r>
      <w:r>
        <w:rPr>
          <w:rFonts w:eastAsia="Times New Roman" w:hint="eastAsia"/>
          <w:snapToGrid/>
          <w:szCs w:val="22"/>
          <w:lang w:val="hu-HU" w:eastAsia="en-US"/>
        </w:rPr>
        <w:t>ő</w:t>
      </w:r>
      <w:r>
        <w:rPr>
          <w:rFonts w:eastAsia="Times New Roman"/>
          <w:snapToGrid/>
          <w:szCs w:val="22"/>
          <w:lang w:val="hu-HU" w:eastAsia="en-US"/>
        </w:rPr>
        <w:t xml:space="preserve"> kor</w:t>
      </w:r>
      <w:r>
        <w:rPr>
          <w:rFonts w:eastAsia="Times New Roman" w:hint="eastAsia"/>
          <w:snapToGrid/>
          <w:szCs w:val="22"/>
          <w:lang w:val="hu-HU" w:eastAsia="en-US"/>
        </w:rPr>
        <w:t>ú</w:t>
      </w:r>
      <w:proofErr w:type="gramEnd"/>
      <w:r>
        <w:rPr>
          <w:rFonts w:eastAsia="Times New Roman"/>
          <w:snapToGrid/>
          <w:szCs w:val="22"/>
          <w:lang w:val="hu-HU" w:eastAsia="en-US"/>
        </w:rPr>
        <w:t xml:space="preserve"> betegekn</w:t>
      </w:r>
      <w:r>
        <w:rPr>
          <w:rFonts w:eastAsia="Times New Roman" w:hint="eastAsia"/>
          <w:snapToGrid/>
          <w:szCs w:val="22"/>
          <w:lang w:val="hu-HU" w:eastAsia="en-US"/>
        </w:rPr>
        <w:t>é</w:t>
      </w:r>
      <w:r>
        <w:rPr>
          <w:rFonts w:eastAsia="Times New Roman"/>
          <w:snapToGrid/>
          <w:szCs w:val="22"/>
          <w:lang w:val="hu-HU" w:eastAsia="en-US"/>
        </w:rPr>
        <w:t xml:space="preserve">l </w:t>
      </w:r>
      <w:r>
        <w:rPr>
          <w:rFonts w:eastAsia="Times New Roman" w:hint="eastAsia"/>
          <w:snapToGrid/>
          <w:szCs w:val="22"/>
          <w:lang w:val="hu-HU" w:eastAsia="en-US"/>
        </w:rPr>
        <w:t>–</w:t>
      </w:r>
      <w:r>
        <w:rPr>
          <w:rFonts w:eastAsia="Times New Roman"/>
          <w:snapToGrid/>
          <w:szCs w:val="22"/>
          <w:lang w:val="hu-HU" w:eastAsia="en-US"/>
        </w:rPr>
        <w:t xml:space="preserve"> a m</w:t>
      </w:r>
      <w:r>
        <w:rPr>
          <w:rFonts w:eastAsia="Times New Roman" w:hint="eastAsia"/>
          <w:snapToGrid/>
          <w:szCs w:val="22"/>
          <w:lang w:val="hu-HU" w:eastAsia="en-US"/>
        </w:rPr>
        <w:t>á</w:t>
      </w:r>
      <w:r>
        <w:rPr>
          <w:rFonts w:eastAsia="Times New Roman"/>
          <w:snapToGrid/>
          <w:szCs w:val="22"/>
          <w:lang w:val="hu-HU" w:eastAsia="en-US"/>
        </w:rPr>
        <w:t>jk</w:t>
      </w:r>
      <w:r>
        <w:rPr>
          <w:rFonts w:eastAsia="Times New Roman" w:hint="eastAsia"/>
          <w:snapToGrid/>
          <w:szCs w:val="22"/>
          <w:lang w:val="hu-HU" w:eastAsia="en-US"/>
        </w:rPr>
        <w:t>á</w:t>
      </w:r>
      <w:r>
        <w:rPr>
          <w:rFonts w:eastAsia="Times New Roman"/>
          <w:snapToGrid/>
          <w:szCs w:val="22"/>
          <w:lang w:val="hu-HU" w:eastAsia="en-US"/>
        </w:rPr>
        <w:t>rosod</w:t>
      </w:r>
      <w:r>
        <w:rPr>
          <w:rFonts w:eastAsia="Times New Roman" w:hint="eastAsia"/>
          <w:snapToGrid/>
          <w:szCs w:val="22"/>
          <w:lang w:val="hu-HU" w:eastAsia="en-US"/>
        </w:rPr>
        <w:t>á</w:t>
      </w:r>
      <w:r>
        <w:rPr>
          <w:rFonts w:eastAsia="Times New Roman"/>
          <w:snapToGrid/>
          <w:szCs w:val="22"/>
          <w:lang w:val="hu-HU" w:eastAsia="en-US"/>
        </w:rPr>
        <w:t>sban szenved</w:t>
      </w:r>
      <w:r>
        <w:rPr>
          <w:rFonts w:eastAsia="Times New Roman" w:hint="eastAsia"/>
          <w:snapToGrid/>
          <w:szCs w:val="22"/>
          <w:lang w:val="hu-HU" w:eastAsia="en-US"/>
        </w:rPr>
        <w:t>ő</w:t>
      </w:r>
      <w:r>
        <w:rPr>
          <w:rFonts w:eastAsia="Times New Roman"/>
          <w:snapToGrid/>
          <w:szCs w:val="22"/>
          <w:lang w:val="hu-HU" w:eastAsia="en-US"/>
        </w:rPr>
        <w:t xml:space="preserve">ket is beleértve </w:t>
      </w:r>
      <w:r>
        <w:rPr>
          <w:rFonts w:eastAsia="Times New Roman" w:hint="eastAsia"/>
          <w:snapToGrid/>
          <w:szCs w:val="22"/>
          <w:lang w:val="hu-HU" w:eastAsia="en-US"/>
        </w:rPr>
        <w:t>–</w:t>
      </w:r>
      <w:r>
        <w:rPr>
          <w:rFonts w:eastAsia="Times New Roman"/>
          <w:snapToGrid/>
          <w:szCs w:val="22"/>
          <w:lang w:val="hu-HU" w:eastAsia="en-US"/>
        </w:rPr>
        <w:t xml:space="preserve"> az eltrombopagot naponta egyszer 25 mg-os dózissal kell elkezdeni (lásd 5.2 pont).</w:t>
      </w:r>
    </w:p>
    <w:p w14:paraId="29C7A507" w14:textId="77777777" w:rsidR="009F5F6A" w:rsidRDefault="009F5F6A">
      <w:pPr>
        <w:autoSpaceDE w:val="0"/>
        <w:autoSpaceDN w:val="0"/>
        <w:adjustRightInd w:val="0"/>
        <w:spacing w:line="240" w:lineRule="auto"/>
        <w:rPr>
          <w:rFonts w:eastAsia="Times New Roman"/>
          <w:snapToGrid/>
          <w:szCs w:val="22"/>
          <w:lang w:val="hu-HU" w:eastAsia="en-US"/>
        </w:rPr>
      </w:pPr>
    </w:p>
    <w:p w14:paraId="6B12D671"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 betegek v</w:t>
      </w:r>
      <w:r>
        <w:rPr>
          <w:rFonts w:eastAsia="Times New Roman" w:hint="eastAsia"/>
          <w:snapToGrid/>
          <w:szCs w:val="22"/>
          <w:lang w:val="hu-HU" w:eastAsia="en-US"/>
        </w:rPr>
        <w:t>é</w:t>
      </w:r>
      <w:r>
        <w:rPr>
          <w:rFonts w:eastAsia="Times New Roman"/>
          <w:snapToGrid/>
          <w:szCs w:val="22"/>
          <w:lang w:val="hu-HU" w:eastAsia="en-US"/>
        </w:rPr>
        <w:t>rlemezkesz</w:t>
      </w:r>
      <w:r>
        <w:rPr>
          <w:rFonts w:eastAsia="Times New Roman" w:hint="eastAsia"/>
          <w:snapToGrid/>
          <w:szCs w:val="22"/>
          <w:lang w:val="hu-HU" w:eastAsia="en-US"/>
        </w:rPr>
        <w:t>á</w:t>
      </w:r>
      <w:r>
        <w:rPr>
          <w:rFonts w:eastAsia="Times New Roman"/>
          <w:snapToGrid/>
          <w:szCs w:val="22"/>
          <w:lang w:val="hu-HU" w:eastAsia="en-US"/>
        </w:rPr>
        <w:t>m</w:t>
      </w:r>
      <w:r>
        <w:rPr>
          <w:rFonts w:eastAsia="Times New Roman" w:hint="eastAsia"/>
          <w:snapToGrid/>
          <w:szCs w:val="22"/>
          <w:lang w:val="hu-HU" w:eastAsia="en-US"/>
        </w:rPr>
        <w:t>á</w:t>
      </w:r>
      <w:r>
        <w:rPr>
          <w:rFonts w:eastAsia="Times New Roman"/>
          <w:snapToGrid/>
          <w:szCs w:val="22"/>
          <w:lang w:val="hu-HU" w:eastAsia="en-US"/>
        </w:rPr>
        <w:t xml:space="preserve">t folyamatosan monitorozni kell, </w:t>
      </w:r>
      <w:r>
        <w:rPr>
          <w:rFonts w:eastAsia="Times New Roman" w:hint="eastAsia"/>
          <w:snapToGrid/>
          <w:szCs w:val="22"/>
          <w:lang w:val="hu-HU" w:eastAsia="en-US"/>
        </w:rPr>
        <w:t>é</w:t>
      </w:r>
      <w:r>
        <w:rPr>
          <w:rFonts w:eastAsia="Times New Roman"/>
          <w:snapToGrid/>
          <w:szCs w:val="22"/>
          <w:lang w:val="hu-HU" w:eastAsia="en-US"/>
        </w:rPr>
        <w:t>s a további dózismódosítások esetén a vonatkoz</w:t>
      </w:r>
      <w:r>
        <w:rPr>
          <w:rFonts w:eastAsia="Times New Roman" w:hint="eastAsia"/>
          <w:snapToGrid/>
          <w:szCs w:val="22"/>
          <w:lang w:val="hu-HU" w:eastAsia="en-US"/>
        </w:rPr>
        <w:t>ó</w:t>
      </w:r>
      <w:r>
        <w:rPr>
          <w:rFonts w:eastAsia="Times New Roman"/>
          <w:snapToGrid/>
          <w:szCs w:val="22"/>
          <w:lang w:val="hu-HU" w:eastAsia="en-US"/>
        </w:rPr>
        <w:t xml:space="preserve"> standard el</w:t>
      </w:r>
      <w:r>
        <w:rPr>
          <w:rFonts w:eastAsia="Times New Roman" w:hint="eastAsia"/>
          <w:snapToGrid/>
          <w:szCs w:val="22"/>
          <w:lang w:val="hu-HU" w:eastAsia="en-US"/>
        </w:rPr>
        <w:t>őí</w:t>
      </w:r>
      <w:r>
        <w:rPr>
          <w:rFonts w:eastAsia="Times New Roman"/>
          <w:snapToGrid/>
          <w:szCs w:val="22"/>
          <w:lang w:val="hu-HU" w:eastAsia="en-US"/>
        </w:rPr>
        <w:t>r</w:t>
      </w:r>
      <w:r>
        <w:rPr>
          <w:rFonts w:eastAsia="Times New Roman" w:hint="eastAsia"/>
          <w:snapToGrid/>
          <w:szCs w:val="22"/>
          <w:lang w:val="hu-HU" w:eastAsia="en-US"/>
        </w:rPr>
        <w:t>á</w:t>
      </w:r>
      <w:r>
        <w:rPr>
          <w:rFonts w:eastAsia="Times New Roman"/>
          <w:snapToGrid/>
          <w:szCs w:val="22"/>
          <w:lang w:val="hu-HU" w:eastAsia="en-US"/>
        </w:rPr>
        <w:t>sokat kell k</w:t>
      </w:r>
      <w:r>
        <w:rPr>
          <w:rFonts w:eastAsia="Times New Roman" w:hint="eastAsia"/>
          <w:snapToGrid/>
          <w:szCs w:val="22"/>
          <w:lang w:val="hu-HU" w:eastAsia="en-US"/>
        </w:rPr>
        <w:t>ö</w:t>
      </w:r>
      <w:r>
        <w:rPr>
          <w:rFonts w:eastAsia="Times New Roman"/>
          <w:snapToGrid/>
          <w:szCs w:val="22"/>
          <w:lang w:val="hu-HU" w:eastAsia="en-US"/>
        </w:rPr>
        <w:t>vetni.</w:t>
      </w:r>
    </w:p>
    <w:p w14:paraId="4CB9ADE4" w14:textId="77777777" w:rsidR="009F5F6A" w:rsidRDefault="009F5F6A">
      <w:pPr>
        <w:autoSpaceDE w:val="0"/>
        <w:autoSpaceDN w:val="0"/>
        <w:adjustRightInd w:val="0"/>
        <w:spacing w:line="240" w:lineRule="auto"/>
        <w:rPr>
          <w:rFonts w:eastAsia="Times New Roman"/>
          <w:snapToGrid/>
          <w:szCs w:val="22"/>
          <w:lang w:val="hu-HU" w:eastAsia="en-US"/>
        </w:rPr>
      </w:pPr>
    </w:p>
    <w:p w14:paraId="0A50D73A"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Gyermekek és serdülők</w:t>
      </w:r>
    </w:p>
    <w:p w14:paraId="5A5D85EA"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noProof/>
          <w:snapToGrid/>
          <w:szCs w:val="22"/>
          <w:lang w:val="hu-HU" w:eastAsia="en-US"/>
        </w:rPr>
        <w:t>Az Eltrombopag</w:t>
      </w:r>
      <w:r>
        <w:rPr>
          <w:rFonts w:eastAsia="Times New Roman"/>
          <w:snapToGrid/>
          <w:szCs w:val="22"/>
          <w:lang w:val="hu-HU" w:eastAsia="en-US"/>
        </w:rPr>
        <w:t xml:space="preserve"> </w:t>
      </w:r>
      <w:r>
        <w:rPr>
          <w:rFonts w:eastAsia="Times New Roman"/>
          <w:noProof/>
          <w:snapToGrid/>
          <w:szCs w:val="22"/>
          <w:lang w:val="hu-HU" w:eastAsia="en-US"/>
        </w:rPr>
        <w:t xml:space="preserve">Krka </w:t>
      </w:r>
      <w:r>
        <w:rPr>
          <w:rFonts w:eastAsia="Times New Roman"/>
          <w:snapToGrid/>
          <w:szCs w:val="22"/>
          <w:lang w:val="hu-HU" w:eastAsia="en-US"/>
        </w:rPr>
        <w:t>nem javasolt egy éves kor alatti, ITP-s gyermekek számára, mivel nincs elegend</w:t>
      </w:r>
      <w:r>
        <w:rPr>
          <w:rFonts w:eastAsia="Times New Roman" w:hint="eastAsia"/>
          <w:snapToGrid/>
          <w:szCs w:val="22"/>
          <w:lang w:val="hu-HU" w:eastAsia="en-US"/>
        </w:rPr>
        <w:t>ő</w:t>
      </w:r>
      <w:r>
        <w:rPr>
          <w:rFonts w:eastAsia="Times New Roman"/>
          <w:snapToGrid/>
          <w:szCs w:val="22"/>
          <w:lang w:val="hu-HU" w:eastAsia="en-US"/>
        </w:rPr>
        <w:t xml:space="preserve"> adat a biztonságosságra és a hatásosságra vonatkozóan. Az eltrombopag biztonságosságát és hatásosságát gyermekek és (18 év alatti) serd</w:t>
      </w:r>
      <w:r>
        <w:rPr>
          <w:rFonts w:eastAsia="Times New Roman" w:hint="eastAsia"/>
          <w:snapToGrid/>
          <w:szCs w:val="22"/>
          <w:lang w:val="hu-HU" w:eastAsia="en-US"/>
        </w:rPr>
        <w:t>ü</w:t>
      </w:r>
      <w:r>
        <w:rPr>
          <w:rFonts w:eastAsia="Times New Roman"/>
          <w:snapToGrid/>
          <w:szCs w:val="22"/>
          <w:lang w:val="hu-HU" w:eastAsia="en-US"/>
        </w:rPr>
        <w:t>l</w:t>
      </w:r>
      <w:r>
        <w:rPr>
          <w:rFonts w:eastAsia="Times New Roman" w:hint="eastAsia"/>
          <w:snapToGrid/>
          <w:szCs w:val="22"/>
          <w:lang w:val="hu-HU" w:eastAsia="en-US"/>
        </w:rPr>
        <w:t>ő</w:t>
      </w:r>
      <w:r>
        <w:rPr>
          <w:rFonts w:eastAsia="Times New Roman"/>
          <w:snapToGrid/>
          <w:szCs w:val="22"/>
          <w:lang w:val="hu-HU" w:eastAsia="en-US"/>
        </w:rPr>
        <w:t>k eset</w:t>
      </w:r>
      <w:r>
        <w:rPr>
          <w:rFonts w:eastAsia="Times New Roman" w:hint="eastAsia"/>
          <w:snapToGrid/>
          <w:szCs w:val="22"/>
          <w:lang w:val="hu-HU" w:eastAsia="en-US"/>
        </w:rPr>
        <w:t>é</w:t>
      </w:r>
      <w:r>
        <w:rPr>
          <w:rFonts w:eastAsia="Times New Roman"/>
          <w:snapToGrid/>
          <w:szCs w:val="22"/>
          <w:lang w:val="hu-HU" w:eastAsia="en-US"/>
        </w:rPr>
        <w:t xml:space="preserve">ben, krónikus HCV-vel </w:t>
      </w:r>
      <w:r>
        <w:rPr>
          <w:rFonts w:eastAsia="Times New Roman" w:hint="eastAsia"/>
          <w:snapToGrid/>
          <w:szCs w:val="22"/>
          <w:lang w:val="hu-HU" w:eastAsia="en-US"/>
        </w:rPr>
        <w:t>ö</w:t>
      </w:r>
      <w:r>
        <w:rPr>
          <w:rFonts w:eastAsia="Times New Roman"/>
          <w:snapToGrid/>
          <w:szCs w:val="22"/>
          <w:lang w:val="hu-HU" w:eastAsia="en-US"/>
        </w:rPr>
        <w:t>sszef</w:t>
      </w:r>
      <w:r>
        <w:rPr>
          <w:rFonts w:eastAsia="Times New Roman" w:hint="eastAsia"/>
          <w:snapToGrid/>
          <w:szCs w:val="22"/>
          <w:lang w:val="hu-HU" w:eastAsia="en-US"/>
        </w:rPr>
        <w:t>ü</w:t>
      </w:r>
      <w:r>
        <w:rPr>
          <w:rFonts w:eastAsia="Times New Roman"/>
          <w:snapToGrid/>
          <w:szCs w:val="22"/>
          <w:lang w:val="hu-HU" w:eastAsia="en-US"/>
        </w:rPr>
        <w:t>gg</w:t>
      </w:r>
      <w:r>
        <w:rPr>
          <w:rFonts w:eastAsia="Times New Roman" w:hint="eastAsia"/>
          <w:snapToGrid/>
          <w:szCs w:val="22"/>
          <w:lang w:val="hu-HU" w:eastAsia="en-US"/>
        </w:rPr>
        <w:t>ő</w:t>
      </w:r>
      <w:r>
        <w:rPr>
          <w:rFonts w:eastAsia="Times New Roman"/>
          <w:snapToGrid/>
          <w:szCs w:val="22"/>
          <w:lang w:val="hu-HU" w:eastAsia="en-US"/>
        </w:rPr>
        <w:t xml:space="preserve"> thrombocytopeni</w:t>
      </w:r>
      <w:r>
        <w:rPr>
          <w:rFonts w:eastAsia="Times New Roman" w:hint="eastAsia"/>
          <w:snapToGrid/>
          <w:szCs w:val="22"/>
          <w:lang w:val="hu-HU" w:eastAsia="en-US"/>
        </w:rPr>
        <w:t>á</w:t>
      </w:r>
      <w:r>
        <w:rPr>
          <w:rFonts w:eastAsia="Times New Roman"/>
          <w:snapToGrid/>
          <w:szCs w:val="22"/>
          <w:lang w:val="hu-HU" w:eastAsia="en-US"/>
        </w:rPr>
        <w:t>ban nem igazolták. Nincsenek rendelkezésre álló adatok.</w:t>
      </w:r>
    </w:p>
    <w:p w14:paraId="50E7448A" w14:textId="77777777" w:rsidR="009F5F6A" w:rsidRDefault="009F5F6A">
      <w:pPr>
        <w:autoSpaceDE w:val="0"/>
        <w:autoSpaceDN w:val="0"/>
        <w:adjustRightInd w:val="0"/>
        <w:spacing w:line="240" w:lineRule="auto"/>
        <w:rPr>
          <w:rFonts w:eastAsia="Times New Roman"/>
          <w:snapToGrid/>
          <w:szCs w:val="22"/>
          <w:lang w:val="hu-HU" w:eastAsia="en-US"/>
        </w:rPr>
      </w:pPr>
    </w:p>
    <w:p w14:paraId="533D3680" w14:textId="77777777" w:rsidR="009F5F6A" w:rsidRDefault="00962A10">
      <w:pPr>
        <w:keepNext/>
        <w:keepLines/>
        <w:spacing w:line="240" w:lineRule="auto"/>
        <w:rPr>
          <w:rFonts w:eastAsia="Times New Roman"/>
          <w:snapToGrid/>
          <w:szCs w:val="22"/>
          <w:u w:val="single"/>
          <w:lang w:val="hu-HU" w:eastAsia="en-US"/>
        </w:rPr>
      </w:pPr>
      <w:r>
        <w:rPr>
          <w:rFonts w:eastAsia="Times New Roman"/>
          <w:snapToGrid/>
          <w:szCs w:val="22"/>
          <w:u w:val="single"/>
          <w:lang w:val="hu-HU" w:eastAsia="en-US"/>
        </w:rPr>
        <w:t>Az alkalmazás módja</w:t>
      </w:r>
    </w:p>
    <w:p w14:paraId="6E60BA91" w14:textId="77777777" w:rsidR="009F5F6A" w:rsidRDefault="009F5F6A">
      <w:pPr>
        <w:keepNext/>
        <w:keepLines/>
        <w:spacing w:line="240" w:lineRule="auto"/>
        <w:rPr>
          <w:u w:val="single"/>
          <w:lang w:val="hu-HU"/>
        </w:rPr>
      </w:pPr>
    </w:p>
    <w:p w14:paraId="0FE2465D" w14:textId="77777777" w:rsidR="009F5F6A" w:rsidRDefault="00962A10">
      <w:pPr>
        <w:keepNext/>
        <w:keepLines/>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Sz</w:t>
      </w:r>
      <w:r>
        <w:rPr>
          <w:rFonts w:eastAsia="Times New Roman" w:hint="eastAsia"/>
          <w:snapToGrid/>
          <w:szCs w:val="22"/>
          <w:lang w:val="hu-HU" w:eastAsia="en-US"/>
        </w:rPr>
        <w:t>á</w:t>
      </w:r>
      <w:r>
        <w:rPr>
          <w:rFonts w:eastAsia="Times New Roman"/>
          <w:snapToGrid/>
          <w:szCs w:val="22"/>
          <w:lang w:val="hu-HU" w:eastAsia="en-US"/>
        </w:rPr>
        <w:t xml:space="preserve">jon </w:t>
      </w:r>
      <w:r>
        <w:rPr>
          <w:rFonts w:eastAsia="Times New Roman" w:hint="eastAsia"/>
          <w:snapToGrid/>
          <w:szCs w:val="22"/>
          <w:lang w:val="hu-HU" w:eastAsia="en-US"/>
        </w:rPr>
        <w:t>á</w:t>
      </w:r>
      <w:r>
        <w:rPr>
          <w:rFonts w:eastAsia="Times New Roman"/>
          <w:snapToGrid/>
          <w:szCs w:val="22"/>
          <w:lang w:val="hu-HU" w:eastAsia="en-US"/>
        </w:rPr>
        <w:t>t t</w:t>
      </w:r>
      <w:r>
        <w:rPr>
          <w:rFonts w:eastAsia="Times New Roman" w:hint="eastAsia"/>
          <w:snapToGrid/>
          <w:szCs w:val="22"/>
          <w:lang w:val="hu-HU" w:eastAsia="en-US"/>
        </w:rPr>
        <w:t>ö</w:t>
      </w:r>
      <w:r>
        <w:rPr>
          <w:rFonts w:eastAsia="Times New Roman"/>
          <w:snapToGrid/>
          <w:szCs w:val="22"/>
          <w:lang w:val="hu-HU" w:eastAsia="en-US"/>
        </w:rPr>
        <w:t>rt</w:t>
      </w:r>
      <w:r>
        <w:rPr>
          <w:rFonts w:eastAsia="Times New Roman" w:hint="eastAsia"/>
          <w:snapToGrid/>
          <w:szCs w:val="22"/>
          <w:lang w:val="hu-HU" w:eastAsia="en-US"/>
        </w:rPr>
        <w:t>é</w:t>
      </w:r>
      <w:r>
        <w:rPr>
          <w:rFonts w:eastAsia="Times New Roman"/>
          <w:snapToGrid/>
          <w:szCs w:val="22"/>
          <w:lang w:val="hu-HU" w:eastAsia="en-US"/>
        </w:rPr>
        <w:t>n</w:t>
      </w:r>
      <w:r>
        <w:rPr>
          <w:rFonts w:eastAsia="Times New Roman" w:hint="eastAsia"/>
          <w:snapToGrid/>
          <w:szCs w:val="22"/>
          <w:lang w:val="hu-HU" w:eastAsia="en-US"/>
        </w:rPr>
        <w:t>ő</w:t>
      </w:r>
      <w:r>
        <w:rPr>
          <w:rFonts w:eastAsia="Times New Roman"/>
          <w:snapToGrid/>
          <w:szCs w:val="22"/>
          <w:lang w:val="hu-HU" w:eastAsia="en-US"/>
        </w:rPr>
        <w:t xml:space="preserve"> alkalmazásra.</w:t>
      </w:r>
    </w:p>
    <w:p w14:paraId="76B210A9" w14:textId="77777777" w:rsidR="009F5F6A" w:rsidRDefault="00962A10">
      <w:pPr>
        <w:keepNext/>
        <w:keepLines/>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 tablettát egyéb készítmények, például antacidok, tejtermékek (vagy egyéb, kalciumot tartalmazó élelmiszerek) vagy polivalens kationokat tartalmazó ásványianyag-pótló készítmények (pl. vas, kalcium, magn</w:t>
      </w:r>
      <w:r>
        <w:rPr>
          <w:rFonts w:eastAsia="Times New Roman" w:hint="eastAsia"/>
          <w:snapToGrid/>
          <w:szCs w:val="22"/>
          <w:lang w:val="hu-HU" w:eastAsia="en-US"/>
        </w:rPr>
        <w:t>é</w:t>
      </w:r>
      <w:r>
        <w:rPr>
          <w:rFonts w:eastAsia="Times New Roman"/>
          <w:snapToGrid/>
          <w:szCs w:val="22"/>
          <w:lang w:val="hu-HU" w:eastAsia="en-US"/>
        </w:rPr>
        <w:t>zium, alum</w:t>
      </w:r>
      <w:r>
        <w:rPr>
          <w:rFonts w:eastAsia="Times New Roman" w:hint="eastAsia"/>
          <w:snapToGrid/>
          <w:szCs w:val="22"/>
          <w:lang w:val="hu-HU" w:eastAsia="en-US"/>
        </w:rPr>
        <w:t>í</w:t>
      </w:r>
      <w:r>
        <w:rPr>
          <w:rFonts w:eastAsia="Times New Roman"/>
          <w:snapToGrid/>
          <w:szCs w:val="22"/>
          <w:lang w:val="hu-HU" w:eastAsia="en-US"/>
        </w:rPr>
        <w:t>nium, szel</w:t>
      </w:r>
      <w:r>
        <w:rPr>
          <w:rFonts w:eastAsia="Times New Roman" w:hint="eastAsia"/>
          <w:snapToGrid/>
          <w:szCs w:val="22"/>
          <w:lang w:val="hu-HU" w:eastAsia="en-US"/>
        </w:rPr>
        <w:t>é</w:t>
      </w:r>
      <w:r>
        <w:rPr>
          <w:rFonts w:eastAsia="Times New Roman"/>
          <w:snapToGrid/>
          <w:szCs w:val="22"/>
          <w:lang w:val="hu-HU" w:eastAsia="en-US"/>
        </w:rPr>
        <w:t xml:space="preserve">n </w:t>
      </w:r>
      <w:r>
        <w:rPr>
          <w:rFonts w:eastAsia="Times New Roman" w:hint="eastAsia"/>
          <w:snapToGrid/>
          <w:szCs w:val="22"/>
          <w:lang w:val="hu-HU" w:eastAsia="en-US"/>
        </w:rPr>
        <w:t>é</w:t>
      </w:r>
      <w:r>
        <w:rPr>
          <w:rFonts w:eastAsia="Times New Roman"/>
          <w:snapToGrid/>
          <w:szCs w:val="22"/>
          <w:lang w:val="hu-HU" w:eastAsia="en-US"/>
        </w:rPr>
        <w:t>s cink) el</w:t>
      </w:r>
      <w:r>
        <w:rPr>
          <w:rFonts w:eastAsia="Times New Roman" w:hint="eastAsia"/>
          <w:snapToGrid/>
          <w:szCs w:val="22"/>
          <w:lang w:val="hu-HU" w:eastAsia="en-US"/>
        </w:rPr>
        <w:t>ő</w:t>
      </w:r>
      <w:r>
        <w:rPr>
          <w:rFonts w:eastAsia="Times New Roman"/>
          <w:snapToGrid/>
          <w:szCs w:val="22"/>
          <w:lang w:val="hu-HU" w:eastAsia="en-US"/>
        </w:rPr>
        <w:t>tt legalább két órával vagy ezek után legalább négy órával kell bevenni (lásd 4.5 és 5.2 pont).</w:t>
      </w:r>
    </w:p>
    <w:p w14:paraId="28360A0C" w14:textId="77777777" w:rsidR="009F5F6A" w:rsidRDefault="009F5F6A">
      <w:pPr>
        <w:autoSpaceDE w:val="0"/>
        <w:autoSpaceDN w:val="0"/>
        <w:adjustRightInd w:val="0"/>
        <w:spacing w:line="240" w:lineRule="auto"/>
        <w:rPr>
          <w:rFonts w:eastAsia="Times New Roman"/>
          <w:snapToGrid/>
          <w:szCs w:val="22"/>
          <w:lang w:val="hu-HU" w:eastAsia="en-US"/>
        </w:rPr>
      </w:pPr>
    </w:p>
    <w:p w14:paraId="3C2C4281"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4.3</w:t>
      </w:r>
      <w:r>
        <w:rPr>
          <w:rFonts w:eastAsia="Times New Roman"/>
          <w:b/>
          <w:noProof/>
          <w:snapToGrid/>
          <w:szCs w:val="22"/>
          <w:lang w:val="hu-HU" w:eastAsia="en-US"/>
        </w:rPr>
        <w:tab/>
        <w:t>Ellenjavallatok</w:t>
      </w:r>
    </w:p>
    <w:p w14:paraId="09002808" w14:textId="77777777" w:rsidR="009F5F6A" w:rsidRDefault="009F5F6A">
      <w:pPr>
        <w:spacing w:line="240" w:lineRule="auto"/>
        <w:rPr>
          <w:rFonts w:eastAsia="Times New Roman"/>
          <w:noProof/>
          <w:snapToGrid/>
          <w:szCs w:val="22"/>
          <w:lang w:val="hu-HU" w:eastAsia="en-US"/>
        </w:rPr>
      </w:pPr>
    </w:p>
    <w:p w14:paraId="660C7439" w14:textId="77777777"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Az eltrombopaggal vagy a 6.1 pontban felsorolt bármely segédanyaggal szembeni túlérzékenység.</w:t>
      </w:r>
    </w:p>
    <w:p w14:paraId="06D3AD31" w14:textId="77777777" w:rsidR="009F5F6A" w:rsidRDefault="009F5F6A">
      <w:pPr>
        <w:spacing w:line="240" w:lineRule="auto"/>
        <w:rPr>
          <w:rFonts w:eastAsia="Times New Roman"/>
          <w:noProof/>
          <w:snapToGrid/>
          <w:szCs w:val="22"/>
          <w:lang w:val="hu-HU" w:eastAsia="en-US"/>
        </w:rPr>
      </w:pPr>
    </w:p>
    <w:p w14:paraId="01A7D54C"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4.4</w:t>
      </w:r>
      <w:r>
        <w:rPr>
          <w:rFonts w:eastAsia="Times New Roman"/>
          <w:b/>
          <w:noProof/>
          <w:snapToGrid/>
          <w:szCs w:val="22"/>
          <w:lang w:val="hu-HU" w:eastAsia="en-US"/>
        </w:rPr>
        <w:tab/>
        <w:t>Különleges figyelmeztetések és az alkalmazással kapcsolatos óvintézkedések</w:t>
      </w:r>
    </w:p>
    <w:p w14:paraId="1EAE6355" w14:textId="77777777" w:rsidR="009F5F6A" w:rsidRDefault="009F5F6A">
      <w:pPr>
        <w:spacing w:line="240" w:lineRule="auto"/>
        <w:rPr>
          <w:lang w:val="hu-HU"/>
        </w:rPr>
      </w:pPr>
    </w:p>
    <w:p w14:paraId="2325797E" w14:textId="77777777" w:rsidR="009F5F6A" w:rsidRDefault="00962A10">
      <w:pPr>
        <w:pBdr>
          <w:top w:val="single" w:sz="4" w:space="1" w:color="auto"/>
          <w:left w:val="single" w:sz="4" w:space="4" w:color="auto"/>
          <w:bottom w:val="single" w:sz="4" w:space="1" w:color="auto"/>
          <w:right w:val="single" w:sz="4" w:space="4" w:color="auto"/>
        </w:pBdr>
        <w:spacing w:line="240" w:lineRule="auto"/>
        <w:rPr>
          <w:rFonts w:eastAsia="Times New Roman"/>
          <w:noProof/>
          <w:snapToGrid/>
          <w:szCs w:val="22"/>
          <w:lang w:val="hu-HU" w:eastAsia="en-US"/>
        </w:rPr>
      </w:pPr>
      <w:r>
        <w:rPr>
          <w:rFonts w:eastAsia="Times New Roman"/>
          <w:noProof/>
          <w:snapToGrid/>
          <w:szCs w:val="22"/>
          <w:lang w:val="hu-HU" w:eastAsia="en-US"/>
        </w:rPr>
        <w:t>Azoknál az el</w:t>
      </w:r>
      <w:r>
        <w:rPr>
          <w:rFonts w:eastAsia="Times New Roman" w:hint="eastAsia"/>
          <w:noProof/>
          <w:snapToGrid/>
          <w:szCs w:val="22"/>
          <w:lang w:val="hu-HU" w:eastAsia="en-US"/>
        </w:rPr>
        <w:t>ő</w:t>
      </w:r>
      <w:r>
        <w:rPr>
          <w:rFonts w:eastAsia="Times New Roman"/>
          <w:noProof/>
          <w:snapToGrid/>
          <w:szCs w:val="22"/>
          <w:lang w:val="hu-HU" w:eastAsia="en-US"/>
        </w:rPr>
        <w:t>rehaladott kr</w:t>
      </w:r>
      <w:r>
        <w:rPr>
          <w:rFonts w:eastAsia="Times New Roman" w:hint="eastAsia"/>
          <w:noProof/>
          <w:snapToGrid/>
          <w:szCs w:val="22"/>
          <w:lang w:val="hu-HU" w:eastAsia="en-US"/>
        </w:rPr>
        <w:t>ó</w:t>
      </w:r>
      <w:r>
        <w:rPr>
          <w:rFonts w:eastAsia="Times New Roman"/>
          <w:noProof/>
          <w:snapToGrid/>
          <w:szCs w:val="22"/>
          <w:lang w:val="hu-HU" w:eastAsia="en-US"/>
        </w:rPr>
        <w:t>nikus m</w:t>
      </w:r>
      <w:r>
        <w:rPr>
          <w:rFonts w:eastAsia="Times New Roman" w:hint="eastAsia"/>
          <w:noProof/>
          <w:snapToGrid/>
          <w:szCs w:val="22"/>
          <w:lang w:val="hu-HU" w:eastAsia="en-US"/>
        </w:rPr>
        <w:t>á</w:t>
      </w:r>
      <w:r>
        <w:rPr>
          <w:rFonts w:eastAsia="Times New Roman"/>
          <w:noProof/>
          <w:snapToGrid/>
          <w:szCs w:val="22"/>
          <w:lang w:val="hu-HU" w:eastAsia="en-US"/>
        </w:rPr>
        <w:t>jbetegs</w:t>
      </w:r>
      <w:r>
        <w:rPr>
          <w:rFonts w:eastAsia="Times New Roman" w:hint="eastAsia"/>
          <w:noProof/>
          <w:snapToGrid/>
          <w:szCs w:val="22"/>
          <w:lang w:val="hu-HU" w:eastAsia="en-US"/>
        </w:rPr>
        <w:t>é</w:t>
      </w:r>
      <w:r>
        <w:rPr>
          <w:rFonts w:eastAsia="Times New Roman"/>
          <w:noProof/>
          <w:snapToGrid/>
          <w:szCs w:val="22"/>
          <w:lang w:val="hu-HU" w:eastAsia="en-US"/>
        </w:rPr>
        <w:t>gben és thrombocytopeniás HCV-s betegeknél (defin</w:t>
      </w:r>
      <w:r>
        <w:rPr>
          <w:rFonts w:eastAsia="Times New Roman" w:hint="eastAsia"/>
          <w:noProof/>
          <w:snapToGrid/>
          <w:szCs w:val="22"/>
          <w:lang w:val="hu-HU" w:eastAsia="en-US"/>
        </w:rPr>
        <w:t>í</w:t>
      </w:r>
      <w:r>
        <w:rPr>
          <w:rFonts w:eastAsia="Times New Roman"/>
          <w:noProof/>
          <w:snapToGrid/>
          <w:szCs w:val="22"/>
          <w:lang w:val="hu-HU" w:eastAsia="en-US"/>
        </w:rPr>
        <w:t>ci</w:t>
      </w:r>
      <w:r>
        <w:rPr>
          <w:rFonts w:eastAsia="Times New Roman" w:hint="eastAsia"/>
          <w:noProof/>
          <w:snapToGrid/>
          <w:szCs w:val="22"/>
          <w:lang w:val="hu-HU" w:eastAsia="en-US"/>
        </w:rPr>
        <w:t>ó</w:t>
      </w:r>
      <w:r>
        <w:rPr>
          <w:rFonts w:eastAsia="Times New Roman"/>
          <w:noProof/>
          <w:snapToGrid/>
          <w:szCs w:val="22"/>
          <w:lang w:val="hu-HU" w:eastAsia="en-US"/>
        </w:rPr>
        <w:t xml:space="preserve">ja: </w:t>
      </w:r>
      <w:r>
        <w:rPr>
          <w:rFonts w:eastAsia="Times New Roman" w:hint="eastAsia"/>
          <w:noProof/>
          <w:snapToGrid/>
          <w:szCs w:val="22"/>
          <w:lang w:val="hu-HU" w:eastAsia="en-US"/>
        </w:rPr>
        <w:t>≤</w:t>
      </w:r>
      <w:r>
        <w:rPr>
          <w:rFonts w:eastAsia="Times New Roman"/>
          <w:noProof/>
          <w:snapToGrid/>
          <w:szCs w:val="22"/>
          <w:lang w:val="hu-HU" w:eastAsia="en-US"/>
        </w:rPr>
        <w:t>35 g/l-n</w:t>
      </w:r>
      <w:r>
        <w:rPr>
          <w:rFonts w:eastAsia="Times New Roman" w:hint="eastAsia"/>
          <w:noProof/>
          <w:snapToGrid/>
          <w:szCs w:val="22"/>
          <w:lang w:val="hu-HU" w:eastAsia="en-US"/>
        </w:rPr>
        <w:t>é</w:t>
      </w:r>
      <w:r>
        <w:rPr>
          <w:rFonts w:eastAsia="Times New Roman"/>
          <w:noProof/>
          <w:snapToGrid/>
          <w:szCs w:val="22"/>
          <w:lang w:val="hu-HU" w:eastAsia="en-US"/>
        </w:rPr>
        <w:t xml:space="preserve">l alacsonyabb albuminszint vagy </w:t>
      </w:r>
      <w:r>
        <w:rPr>
          <w:rFonts w:eastAsia="Times New Roman" w:hint="eastAsia"/>
          <w:noProof/>
          <w:snapToGrid/>
          <w:szCs w:val="22"/>
          <w:lang w:val="hu-HU" w:eastAsia="en-US"/>
        </w:rPr>
        <w:t>≥</w:t>
      </w:r>
      <w:r>
        <w:rPr>
          <w:rFonts w:eastAsia="Times New Roman"/>
          <w:noProof/>
          <w:snapToGrid/>
          <w:szCs w:val="22"/>
          <w:lang w:val="hu-HU" w:eastAsia="en-US"/>
        </w:rPr>
        <w:t>10 MELD- (Model for End Stage Liver Disease) pontszám), akik eltrombopag-kezelésben részesülnek interferon alapú terápiával kombinációban, fokozott a mellékhatások kockázata, beleértve a potenciálisan halálos hepaticus dekompenzációt és thromboemboliás eseményeket is. Emellett ezeknél a betegeknél a kezelés m</w:t>
      </w:r>
      <w:r>
        <w:rPr>
          <w:rFonts w:eastAsia="Times New Roman" w:hint="eastAsia"/>
          <w:noProof/>
          <w:snapToGrid/>
          <w:szCs w:val="22"/>
          <w:lang w:val="hu-HU" w:eastAsia="en-US"/>
        </w:rPr>
        <w:t>é</w:t>
      </w:r>
      <w:r>
        <w:rPr>
          <w:rFonts w:eastAsia="Times New Roman"/>
          <w:noProof/>
          <w:snapToGrid/>
          <w:szCs w:val="22"/>
          <w:lang w:val="hu-HU" w:eastAsia="en-US"/>
        </w:rPr>
        <w:t>rs</w:t>
      </w:r>
      <w:r>
        <w:rPr>
          <w:rFonts w:eastAsia="Times New Roman" w:hint="eastAsia"/>
          <w:noProof/>
          <w:snapToGrid/>
          <w:szCs w:val="22"/>
          <w:lang w:val="hu-HU" w:eastAsia="en-US"/>
        </w:rPr>
        <w:t>é</w:t>
      </w:r>
      <w:r>
        <w:rPr>
          <w:rFonts w:eastAsia="Times New Roman"/>
          <w:noProof/>
          <w:snapToGrid/>
          <w:szCs w:val="22"/>
          <w:lang w:val="hu-HU" w:eastAsia="en-US"/>
        </w:rPr>
        <w:t>kelt el</w:t>
      </w:r>
      <w:r>
        <w:rPr>
          <w:rFonts w:eastAsia="Times New Roman" w:hint="eastAsia"/>
          <w:noProof/>
          <w:snapToGrid/>
          <w:szCs w:val="22"/>
          <w:lang w:val="hu-HU" w:eastAsia="en-US"/>
        </w:rPr>
        <w:t>ő</w:t>
      </w:r>
      <w:r>
        <w:rPr>
          <w:rFonts w:eastAsia="Times New Roman"/>
          <w:noProof/>
          <w:snapToGrid/>
          <w:szCs w:val="22"/>
          <w:lang w:val="hu-HU" w:eastAsia="en-US"/>
        </w:rPr>
        <w:t>nnyel j</w:t>
      </w:r>
      <w:r>
        <w:rPr>
          <w:rFonts w:eastAsia="Times New Roman" w:hint="eastAsia"/>
          <w:noProof/>
          <w:snapToGrid/>
          <w:szCs w:val="22"/>
          <w:lang w:val="hu-HU" w:eastAsia="en-US"/>
        </w:rPr>
        <w:t>á</w:t>
      </w:r>
      <w:r>
        <w:rPr>
          <w:rFonts w:eastAsia="Times New Roman"/>
          <w:noProof/>
          <w:snapToGrid/>
          <w:szCs w:val="22"/>
          <w:lang w:val="hu-HU" w:eastAsia="en-US"/>
        </w:rPr>
        <w:t>rt a tart</w:t>
      </w:r>
      <w:r>
        <w:rPr>
          <w:rFonts w:eastAsia="Times New Roman" w:hint="eastAsia"/>
          <w:noProof/>
          <w:snapToGrid/>
          <w:szCs w:val="22"/>
          <w:lang w:val="hu-HU" w:eastAsia="en-US"/>
        </w:rPr>
        <w:t>ó</w:t>
      </w:r>
      <w:r>
        <w:rPr>
          <w:rFonts w:eastAsia="Times New Roman"/>
          <w:noProof/>
          <w:snapToGrid/>
          <w:szCs w:val="22"/>
          <w:lang w:val="hu-HU" w:eastAsia="en-US"/>
        </w:rPr>
        <w:t>s virol</w:t>
      </w:r>
      <w:r>
        <w:rPr>
          <w:rFonts w:eastAsia="Times New Roman" w:hint="eastAsia"/>
          <w:noProof/>
          <w:snapToGrid/>
          <w:szCs w:val="22"/>
          <w:lang w:val="hu-HU" w:eastAsia="en-US"/>
        </w:rPr>
        <w:t>ó</w:t>
      </w:r>
      <w:r>
        <w:rPr>
          <w:rFonts w:eastAsia="Times New Roman"/>
          <w:noProof/>
          <w:snapToGrid/>
          <w:szCs w:val="22"/>
          <w:lang w:val="hu-HU" w:eastAsia="en-US"/>
        </w:rPr>
        <w:t>giai v</w:t>
      </w:r>
      <w:r>
        <w:rPr>
          <w:rFonts w:eastAsia="Times New Roman" w:hint="eastAsia"/>
          <w:noProof/>
          <w:snapToGrid/>
          <w:szCs w:val="22"/>
          <w:lang w:val="hu-HU" w:eastAsia="en-US"/>
        </w:rPr>
        <w:t>á</w:t>
      </w:r>
      <w:r>
        <w:rPr>
          <w:rFonts w:eastAsia="Times New Roman"/>
          <w:noProof/>
          <w:snapToGrid/>
          <w:szCs w:val="22"/>
          <w:lang w:val="hu-HU" w:eastAsia="en-US"/>
        </w:rPr>
        <w:t>laszt (SVR) el</w:t>
      </w:r>
      <w:r>
        <w:rPr>
          <w:rFonts w:eastAsia="Times New Roman" w:hint="eastAsia"/>
          <w:noProof/>
          <w:snapToGrid/>
          <w:szCs w:val="22"/>
          <w:lang w:val="hu-HU" w:eastAsia="en-US"/>
        </w:rPr>
        <w:t>é</w:t>
      </w:r>
      <w:r>
        <w:rPr>
          <w:rFonts w:eastAsia="Times New Roman"/>
          <w:noProof/>
          <w:snapToGrid/>
          <w:szCs w:val="22"/>
          <w:lang w:val="hu-HU" w:eastAsia="en-US"/>
        </w:rPr>
        <w:t>r</w:t>
      </w:r>
      <w:r>
        <w:rPr>
          <w:rFonts w:eastAsia="Times New Roman" w:hint="eastAsia"/>
          <w:noProof/>
          <w:snapToGrid/>
          <w:szCs w:val="22"/>
          <w:lang w:val="hu-HU" w:eastAsia="en-US"/>
        </w:rPr>
        <w:t>ő</w:t>
      </w:r>
      <w:r>
        <w:rPr>
          <w:rFonts w:eastAsia="Times New Roman"/>
          <w:noProof/>
          <w:snapToGrid/>
          <w:szCs w:val="22"/>
          <w:lang w:val="hu-HU" w:eastAsia="en-US"/>
        </w:rPr>
        <w:t>k placeb</w:t>
      </w:r>
      <w:r>
        <w:rPr>
          <w:rFonts w:eastAsia="Times New Roman" w:hint="eastAsia"/>
          <w:noProof/>
          <w:snapToGrid/>
          <w:szCs w:val="22"/>
          <w:lang w:val="hu-HU" w:eastAsia="en-US"/>
        </w:rPr>
        <w:t>ó</w:t>
      </w:r>
      <w:r>
        <w:rPr>
          <w:rFonts w:eastAsia="Times New Roman"/>
          <w:noProof/>
          <w:snapToGrid/>
          <w:szCs w:val="22"/>
          <w:lang w:val="hu-HU" w:eastAsia="en-US"/>
        </w:rPr>
        <w:t>hoz viszony</w:t>
      </w:r>
      <w:r>
        <w:rPr>
          <w:rFonts w:eastAsia="Times New Roman" w:hint="eastAsia"/>
          <w:noProof/>
          <w:snapToGrid/>
          <w:szCs w:val="22"/>
          <w:lang w:val="hu-HU" w:eastAsia="en-US"/>
        </w:rPr>
        <w:t>í</w:t>
      </w:r>
      <w:r>
        <w:rPr>
          <w:rFonts w:eastAsia="Times New Roman"/>
          <w:noProof/>
          <w:snapToGrid/>
          <w:szCs w:val="22"/>
          <w:lang w:val="hu-HU" w:eastAsia="en-US"/>
        </w:rPr>
        <w:t>tott ar</w:t>
      </w:r>
      <w:r>
        <w:rPr>
          <w:rFonts w:eastAsia="Times New Roman" w:hint="eastAsia"/>
          <w:noProof/>
          <w:snapToGrid/>
          <w:szCs w:val="22"/>
          <w:lang w:val="hu-HU" w:eastAsia="en-US"/>
        </w:rPr>
        <w:t>á</w:t>
      </w:r>
      <w:r>
        <w:rPr>
          <w:rFonts w:eastAsia="Times New Roman"/>
          <w:noProof/>
          <w:snapToGrid/>
          <w:szCs w:val="22"/>
          <w:lang w:val="hu-HU" w:eastAsia="en-US"/>
        </w:rPr>
        <w:t>ny</w:t>
      </w:r>
      <w:r>
        <w:rPr>
          <w:rFonts w:eastAsia="Times New Roman" w:hint="eastAsia"/>
          <w:noProof/>
          <w:snapToGrid/>
          <w:szCs w:val="22"/>
          <w:lang w:val="hu-HU" w:eastAsia="en-US"/>
        </w:rPr>
        <w:t>á</w:t>
      </w:r>
      <w:r>
        <w:rPr>
          <w:rFonts w:eastAsia="Times New Roman"/>
          <w:noProof/>
          <w:snapToGrid/>
          <w:szCs w:val="22"/>
          <w:lang w:val="hu-HU" w:eastAsia="en-US"/>
        </w:rPr>
        <w:t>nak tekintetében (k</w:t>
      </w:r>
      <w:r>
        <w:rPr>
          <w:rFonts w:eastAsia="Times New Roman" w:hint="eastAsia"/>
          <w:noProof/>
          <w:snapToGrid/>
          <w:szCs w:val="22"/>
          <w:lang w:val="hu-HU" w:eastAsia="en-US"/>
        </w:rPr>
        <w:t>ü</w:t>
      </w:r>
      <w:r>
        <w:rPr>
          <w:rFonts w:eastAsia="Times New Roman"/>
          <w:noProof/>
          <w:snapToGrid/>
          <w:szCs w:val="22"/>
          <w:lang w:val="hu-HU" w:eastAsia="en-US"/>
        </w:rPr>
        <w:t>l</w:t>
      </w:r>
      <w:r>
        <w:rPr>
          <w:rFonts w:eastAsia="Times New Roman" w:hint="eastAsia"/>
          <w:noProof/>
          <w:snapToGrid/>
          <w:szCs w:val="22"/>
          <w:lang w:val="hu-HU" w:eastAsia="en-US"/>
        </w:rPr>
        <w:t>ö</w:t>
      </w:r>
      <w:r>
        <w:rPr>
          <w:rFonts w:eastAsia="Times New Roman"/>
          <w:noProof/>
          <w:snapToGrid/>
          <w:szCs w:val="22"/>
          <w:lang w:val="hu-HU" w:eastAsia="en-US"/>
        </w:rPr>
        <w:t>n</w:t>
      </w:r>
      <w:r>
        <w:rPr>
          <w:rFonts w:eastAsia="Times New Roman" w:hint="eastAsia"/>
          <w:noProof/>
          <w:snapToGrid/>
          <w:szCs w:val="22"/>
          <w:lang w:val="hu-HU" w:eastAsia="en-US"/>
        </w:rPr>
        <w:t>ö</w:t>
      </w:r>
      <w:r>
        <w:rPr>
          <w:rFonts w:eastAsia="Times New Roman"/>
          <w:noProof/>
          <w:snapToGrid/>
          <w:szCs w:val="22"/>
          <w:lang w:val="hu-HU" w:eastAsia="en-US"/>
        </w:rPr>
        <w:t>sen, akikn</w:t>
      </w:r>
      <w:r>
        <w:rPr>
          <w:rFonts w:eastAsia="Times New Roman" w:hint="eastAsia"/>
          <w:noProof/>
          <w:snapToGrid/>
          <w:szCs w:val="22"/>
          <w:lang w:val="hu-HU" w:eastAsia="en-US"/>
        </w:rPr>
        <w:t>é</w:t>
      </w:r>
      <w:r>
        <w:rPr>
          <w:rFonts w:eastAsia="Times New Roman"/>
          <w:noProof/>
          <w:snapToGrid/>
          <w:szCs w:val="22"/>
          <w:lang w:val="hu-HU" w:eastAsia="en-US"/>
        </w:rPr>
        <w:t>l a kiindul</w:t>
      </w:r>
      <w:r>
        <w:rPr>
          <w:rFonts w:eastAsia="Times New Roman" w:hint="eastAsia"/>
          <w:noProof/>
          <w:snapToGrid/>
          <w:szCs w:val="22"/>
          <w:lang w:val="hu-HU" w:eastAsia="en-US"/>
        </w:rPr>
        <w:t>á</w:t>
      </w:r>
      <w:r>
        <w:rPr>
          <w:rFonts w:eastAsia="Times New Roman"/>
          <w:noProof/>
          <w:snapToGrid/>
          <w:szCs w:val="22"/>
          <w:lang w:val="hu-HU" w:eastAsia="en-US"/>
        </w:rPr>
        <w:t xml:space="preserve">si albuminszint </w:t>
      </w:r>
      <w:r>
        <w:rPr>
          <w:rFonts w:eastAsia="Times New Roman" w:hint="eastAsia"/>
          <w:noProof/>
          <w:snapToGrid/>
          <w:szCs w:val="22"/>
          <w:lang w:val="hu-HU" w:eastAsia="en-US"/>
        </w:rPr>
        <w:t>≤</w:t>
      </w:r>
      <w:r>
        <w:rPr>
          <w:rFonts w:eastAsia="Times New Roman"/>
          <w:noProof/>
          <w:snapToGrid/>
          <w:szCs w:val="22"/>
          <w:lang w:val="hu-HU" w:eastAsia="en-US"/>
        </w:rPr>
        <w:t>35 g/l), a teljes vizsgálati csoporttal összehasonlítva. Ezeknél a betegeknél az eltrombopag-kezel</w:t>
      </w:r>
      <w:r>
        <w:rPr>
          <w:rFonts w:eastAsia="Times New Roman" w:hint="eastAsia"/>
          <w:noProof/>
          <w:snapToGrid/>
          <w:szCs w:val="22"/>
          <w:lang w:val="hu-HU" w:eastAsia="en-US"/>
        </w:rPr>
        <w:t>é</w:t>
      </w:r>
      <w:r>
        <w:rPr>
          <w:rFonts w:eastAsia="Times New Roman"/>
          <w:noProof/>
          <w:snapToGrid/>
          <w:szCs w:val="22"/>
          <w:lang w:val="hu-HU" w:eastAsia="en-US"/>
        </w:rPr>
        <w:t>st csak az el</w:t>
      </w:r>
      <w:r>
        <w:rPr>
          <w:rFonts w:eastAsia="Times New Roman" w:hint="eastAsia"/>
          <w:noProof/>
          <w:snapToGrid/>
          <w:szCs w:val="22"/>
          <w:lang w:val="hu-HU" w:eastAsia="en-US"/>
        </w:rPr>
        <w:t>ő</w:t>
      </w:r>
      <w:r>
        <w:rPr>
          <w:rFonts w:eastAsia="Times New Roman"/>
          <w:noProof/>
          <w:snapToGrid/>
          <w:szCs w:val="22"/>
          <w:lang w:val="hu-HU" w:eastAsia="en-US"/>
        </w:rPr>
        <w:t>rehaladott HCV kezelésében tapasztalt szakorvosnak szabad elkezdenie, és csak abban az esetben, ha a thrombocytopenia kockázatai vagy az antivirális terápia felfüggesztése elkerülhetetlenné teszi a beavatkozást. Ha a kezelést klinikailag indokoltnak tartják, akkor ezeknek a betegeknek a szoros monitorozása szükséges.</w:t>
      </w:r>
    </w:p>
    <w:p w14:paraId="6FB28BEF" w14:textId="77777777" w:rsidR="009F5F6A" w:rsidRDefault="009F5F6A">
      <w:pPr>
        <w:spacing w:line="240" w:lineRule="auto"/>
        <w:rPr>
          <w:lang w:val="hu-HU"/>
        </w:rPr>
      </w:pPr>
    </w:p>
    <w:p w14:paraId="2FAF3803" w14:textId="77777777" w:rsidR="009F5F6A" w:rsidRDefault="00962A10">
      <w:pPr>
        <w:spacing w:line="240" w:lineRule="auto"/>
        <w:rPr>
          <w:u w:val="single"/>
          <w:lang w:val="hu-HU"/>
        </w:rPr>
      </w:pPr>
      <w:r>
        <w:rPr>
          <w:u w:val="single"/>
          <w:lang w:val="hu-HU"/>
        </w:rPr>
        <w:t>Kombináció direkt hatással rendelkező antivirális szerekkel</w:t>
      </w:r>
    </w:p>
    <w:p w14:paraId="7004A7C6" w14:textId="77777777" w:rsidR="009F5F6A" w:rsidRDefault="009F5F6A">
      <w:pPr>
        <w:spacing w:line="240" w:lineRule="auto"/>
        <w:rPr>
          <w:u w:val="single"/>
          <w:lang w:val="hu-HU"/>
        </w:rPr>
      </w:pPr>
    </w:p>
    <w:p w14:paraId="7DA54B37" w14:textId="77777777" w:rsidR="009F5F6A" w:rsidRDefault="00962A10">
      <w:pPr>
        <w:spacing w:line="240" w:lineRule="auto"/>
        <w:rPr>
          <w:lang w:val="hu-HU"/>
        </w:rPr>
      </w:pPr>
      <w:r>
        <w:rPr>
          <w:lang w:val="hu-HU"/>
        </w:rPr>
        <w:t>A krónikus hepatitis C-fertőzés kezelésére engedélyezett direkt hatással rendelkező antivirális szerekkel történő kombinációk biztonságosságát és hatásosságát nem vizsgálták.</w:t>
      </w:r>
    </w:p>
    <w:p w14:paraId="49437996" w14:textId="77777777" w:rsidR="009F5F6A" w:rsidRDefault="009F5F6A">
      <w:pPr>
        <w:spacing w:line="240" w:lineRule="auto"/>
        <w:rPr>
          <w:lang w:val="hu-HU"/>
        </w:rPr>
      </w:pPr>
    </w:p>
    <w:p w14:paraId="3C9C4C07" w14:textId="77777777" w:rsidR="009F5F6A" w:rsidRDefault="00962A10">
      <w:pPr>
        <w:spacing w:line="240" w:lineRule="auto"/>
        <w:rPr>
          <w:u w:val="single"/>
          <w:lang w:val="hu-HU"/>
        </w:rPr>
      </w:pPr>
      <w:r>
        <w:rPr>
          <w:u w:val="single"/>
          <w:lang w:val="hu-HU"/>
        </w:rPr>
        <w:t>A hepatotoxicitás kockázata</w:t>
      </w:r>
    </w:p>
    <w:p w14:paraId="531D8EE5" w14:textId="77777777" w:rsidR="009F5F6A" w:rsidRDefault="009F5F6A">
      <w:pPr>
        <w:spacing w:line="240" w:lineRule="auto"/>
        <w:rPr>
          <w:lang w:val="hu-HU"/>
        </w:rPr>
      </w:pPr>
    </w:p>
    <w:p w14:paraId="2FFFC5AD" w14:textId="77777777" w:rsidR="009F5F6A" w:rsidRDefault="00962A10">
      <w:pPr>
        <w:spacing w:line="240" w:lineRule="auto"/>
        <w:rPr>
          <w:lang w:val="hu-HU"/>
        </w:rPr>
      </w:pPr>
      <w:r>
        <w:rPr>
          <w:lang w:val="hu-HU"/>
        </w:rPr>
        <w:t>Az eltrombopag adása májfunkciós zavart és súlyos hepatotoxicitást okozhat, amely akár életveszélyes is lehet (lásd 4.8 pont).</w:t>
      </w:r>
    </w:p>
    <w:p w14:paraId="024F5990" w14:textId="77777777" w:rsidR="009F5F6A" w:rsidRDefault="009F5F6A">
      <w:pPr>
        <w:spacing w:line="240" w:lineRule="auto"/>
        <w:rPr>
          <w:lang w:val="hu-HU"/>
        </w:rPr>
      </w:pPr>
    </w:p>
    <w:p w14:paraId="392BA960" w14:textId="77777777" w:rsidR="009F5F6A" w:rsidRDefault="00962A10">
      <w:pPr>
        <w:spacing w:line="240" w:lineRule="auto"/>
        <w:rPr>
          <w:lang w:val="hu-HU"/>
        </w:rPr>
      </w:pPr>
      <w:r>
        <w:rPr>
          <w:lang w:val="hu-HU"/>
        </w:rPr>
        <w:t>Ellenőrizni kell a szérum glutamát-piruvát-transzamináz- (GPT), glutamát-oxálacetáttranszamináz- (GOT) és bilirubinszintjét az eltrombopag-kezelés megkezdése előtt, majd a dózisbeállítás időszakában 2 hetente, majd a stabil dózis megállapítása után havonta. Az eltrombopag gátolja az UGT1A1 és OATP1B1-et, amely indirekt hyperbilirubinaemiát eredményezhet. Emelkedett bilirubinszint esetén frakcionálást kell végezni. Az eltérést mutató májfunkciós teszteket 3-5 naponta megismételt vizsgálat alapján kell értékelni. Ha a kóros értékeket megerősítették, a májfunkciós értékeket mindaddig monitorozni kell, ameddig a rendellenesség megszűnik, az értékek stabilizálódnak vagy visszatérnek a kiindulási szintre. Abba kell hagyni az eltrombopag alkalmazását, ha az GPT-szint megemelkedik (a normálérték felső határának 3-szorosára vagy annál magasabbra normális májfunkciójú betegeknél, vagy a kiindulási szint legalább 3-szorosára, vagy a normálérték felső határának 5-szörösére, a kettő közül az alacsonyabbat figyelembe véve, olyan betegeknél, akiknél a kezelés előtt emelkedett transzamináz szintek állnak fenn), és ha az emelkedés:</w:t>
      </w:r>
    </w:p>
    <w:p w14:paraId="5B0DAD54" w14:textId="77777777" w:rsidR="009F5F6A" w:rsidRDefault="00962A10">
      <w:pPr>
        <w:pStyle w:val="Listaszerbekezds"/>
        <w:numPr>
          <w:ilvl w:val="0"/>
          <w:numId w:val="45"/>
        </w:numPr>
        <w:tabs>
          <w:tab w:val="clear" w:pos="567"/>
        </w:tabs>
        <w:spacing w:line="240" w:lineRule="auto"/>
        <w:ind w:left="567" w:hanging="567"/>
        <w:rPr>
          <w:lang w:val="hu-HU"/>
        </w:rPr>
      </w:pPr>
      <w:r>
        <w:rPr>
          <w:lang w:val="hu-HU"/>
        </w:rPr>
        <w:t>progresszív, vagy</w:t>
      </w:r>
    </w:p>
    <w:p w14:paraId="36BF5E1C" w14:textId="77777777" w:rsidR="009F5F6A" w:rsidRDefault="00962A10">
      <w:pPr>
        <w:pStyle w:val="Listaszerbekezds"/>
        <w:numPr>
          <w:ilvl w:val="0"/>
          <w:numId w:val="45"/>
        </w:numPr>
        <w:tabs>
          <w:tab w:val="clear" w:pos="567"/>
        </w:tabs>
        <w:spacing w:line="240" w:lineRule="auto"/>
        <w:ind w:left="567" w:hanging="567"/>
        <w:rPr>
          <w:lang w:val="hu-HU"/>
        </w:rPr>
      </w:pPr>
      <w:r>
        <w:rPr>
          <w:lang w:val="hu-HU"/>
        </w:rPr>
        <w:t>4 hétig vagy tovább fennáll, vagy</w:t>
      </w:r>
    </w:p>
    <w:p w14:paraId="668A35E8" w14:textId="77777777" w:rsidR="009F5F6A" w:rsidRDefault="00962A10">
      <w:pPr>
        <w:pStyle w:val="Listaszerbekezds"/>
        <w:numPr>
          <w:ilvl w:val="0"/>
          <w:numId w:val="45"/>
        </w:numPr>
        <w:tabs>
          <w:tab w:val="clear" w:pos="567"/>
        </w:tabs>
        <w:spacing w:line="240" w:lineRule="auto"/>
        <w:ind w:left="567" w:hanging="567"/>
        <w:rPr>
          <w:lang w:val="hu-HU"/>
        </w:rPr>
      </w:pPr>
      <w:r>
        <w:rPr>
          <w:lang w:val="hu-HU"/>
        </w:rPr>
        <w:t>a direkt bilirubin emelkedésével jár együtt, vagy</w:t>
      </w:r>
    </w:p>
    <w:p w14:paraId="5F42E809" w14:textId="77777777" w:rsidR="009F5F6A" w:rsidRDefault="00962A10">
      <w:pPr>
        <w:pStyle w:val="Listaszerbekezds"/>
        <w:numPr>
          <w:ilvl w:val="0"/>
          <w:numId w:val="45"/>
        </w:numPr>
        <w:tabs>
          <w:tab w:val="clear" w:pos="567"/>
        </w:tabs>
        <w:spacing w:line="240" w:lineRule="auto"/>
        <w:ind w:left="567" w:hanging="567"/>
        <w:rPr>
          <w:lang w:val="hu-HU"/>
        </w:rPr>
      </w:pPr>
      <w:r>
        <w:rPr>
          <w:lang w:val="hu-HU"/>
        </w:rPr>
        <w:t>a májkárosodás klinikai tünetei vagy a hepaticus-dekompenzáció nyilvánvaló jelei kísérik.</w:t>
      </w:r>
    </w:p>
    <w:p w14:paraId="24CC8A8C" w14:textId="77777777" w:rsidR="009F5F6A" w:rsidRDefault="009F5F6A">
      <w:pPr>
        <w:spacing w:line="240" w:lineRule="auto"/>
        <w:rPr>
          <w:lang w:val="hu-HU"/>
        </w:rPr>
      </w:pPr>
    </w:p>
    <w:p w14:paraId="55EBD834" w14:textId="77777777" w:rsidR="009F5F6A" w:rsidRDefault="00962A10">
      <w:pPr>
        <w:spacing w:line="240" w:lineRule="auto"/>
        <w:rPr>
          <w:lang w:val="hu-HU"/>
        </w:rPr>
      </w:pPr>
      <w:r>
        <w:rPr>
          <w:lang w:val="hu-HU"/>
        </w:rPr>
        <w:t>Óvatosan kell eljárni, ha az eltrombopagot májbetegeknél alkalmazzák. Májkárosodásban szenvedő ITP-s és szerzett aplasticus anaemiás (SAA-s) betegeknél eltrombopag alkalmazásakor alacsonyabb kezdő dózis alkalmazandó. A májkárosodásban szenvedő betegek szoros monitorozása szükséges eltrombopag alkalmazásakor (lásd 4.2 pont).</w:t>
      </w:r>
    </w:p>
    <w:p w14:paraId="53D21755" w14:textId="77777777" w:rsidR="009F5F6A" w:rsidRDefault="009F5F6A">
      <w:pPr>
        <w:spacing w:line="240" w:lineRule="auto"/>
        <w:rPr>
          <w:lang w:val="hu-HU"/>
        </w:rPr>
      </w:pPr>
    </w:p>
    <w:p w14:paraId="3DD60CEB" w14:textId="77777777" w:rsidR="009F5F6A" w:rsidRDefault="00962A10">
      <w:pPr>
        <w:spacing w:line="240" w:lineRule="auto"/>
        <w:rPr>
          <w:u w:val="single"/>
          <w:lang w:val="hu-HU"/>
        </w:rPr>
      </w:pPr>
      <w:r>
        <w:rPr>
          <w:u w:val="single"/>
          <w:lang w:val="hu-HU"/>
        </w:rPr>
        <w:t>Hepaticus dekompenzáció (interferonnal történő alkalmazás)</w:t>
      </w:r>
    </w:p>
    <w:p w14:paraId="57BA6292" w14:textId="77777777" w:rsidR="009F5F6A" w:rsidRDefault="009F5F6A">
      <w:pPr>
        <w:spacing w:line="240" w:lineRule="auto"/>
        <w:rPr>
          <w:lang w:val="hu-HU"/>
        </w:rPr>
      </w:pPr>
    </w:p>
    <w:p w14:paraId="246454A8" w14:textId="77777777" w:rsidR="009F5F6A" w:rsidRDefault="00962A10">
      <w:pPr>
        <w:tabs>
          <w:tab w:val="clear" w:pos="567"/>
        </w:tabs>
        <w:autoSpaceDE w:val="0"/>
        <w:autoSpaceDN w:val="0"/>
        <w:adjustRightInd w:val="0"/>
        <w:spacing w:line="240" w:lineRule="auto"/>
        <w:rPr>
          <w:lang w:val="hu-HU"/>
        </w:rPr>
      </w:pPr>
      <w:r>
        <w:rPr>
          <w:lang w:val="hu-HU"/>
        </w:rPr>
        <w:t>Hepaticus dekompenzáció krónikus hepatitis C-ben szenvedő betegeknél: monitorozni kell</w:t>
      </w:r>
      <w:r>
        <w:rPr>
          <w:rFonts w:eastAsia="TimesNewRomanPSMT"/>
          <w:snapToGrid/>
          <w:szCs w:val="22"/>
          <w:lang w:val="hu-HU" w:eastAsia="en-GB"/>
        </w:rPr>
        <w:t xml:space="preserve"> azokat a betegeket, akiknél alacsony albuminszint (≤</w:t>
      </w:r>
      <w:r>
        <w:rPr>
          <w:snapToGrid/>
          <w:szCs w:val="22"/>
          <w:lang w:val="hu-HU" w:eastAsia="en-GB"/>
        </w:rPr>
        <w:t>35 </w:t>
      </w:r>
      <w:r>
        <w:rPr>
          <w:rFonts w:eastAsia="TimesNewRomanPSMT"/>
          <w:snapToGrid/>
          <w:szCs w:val="22"/>
          <w:lang w:val="hu-HU" w:eastAsia="en-GB"/>
        </w:rPr>
        <w:t>g/l) vagy ≥ </w:t>
      </w:r>
      <w:r>
        <w:rPr>
          <w:snapToGrid/>
          <w:szCs w:val="22"/>
          <w:lang w:val="hu-HU" w:eastAsia="en-GB"/>
        </w:rPr>
        <w:t>10 kiindulási MELD-pontszám áll fenn.</w:t>
      </w:r>
    </w:p>
    <w:p w14:paraId="38106DCD" w14:textId="77777777" w:rsidR="009F5F6A" w:rsidRDefault="009F5F6A">
      <w:pPr>
        <w:spacing w:line="240" w:lineRule="auto"/>
        <w:rPr>
          <w:lang w:val="hu-HU"/>
        </w:rPr>
      </w:pPr>
    </w:p>
    <w:p w14:paraId="695110DC"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A máj</w:t>
      </w:r>
      <w:r>
        <w:rPr>
          <w:rFonts w:eastAsia="TimesNewRomanPSMT"/>
          <w:snapToGrid/>
          <w:szCs w:val="22"/>
          <w:lang w:val="hu-HU" w:eastAsia="en-GB"/>
        </w:rPr>
        <w:t xml:space="preserve">cirrhosisban szenvedő </w:t>
      </w:r>
      <w:r>
        <w:rPr>
          <w:snapToGrid/>
          <w:szCs w:val="22"/>
          <w:lang w:val="hu-HU" w:eastAsia="en-GB"/>
        </w:rPr>
        <w:t xml:space="preserve">krónikus HCV-betegeknél alfa interferon-kezelés esetén fokozott a hepaticus dekompenzáció kockázata. Két, thrombocytopeniás HCV-betegek bevonásával végzett klinikai vizsgálatban nagyobb gyakorisággal </w:t>
      </w:r>
      <w:r>
        <w:rPr>
          <w:rFonts w:eastAsia="TimesNewRomanPSMT"/>
          <w:snapToGrid/>
          <w:szCs w:val="22"/>
          <w:lang w:val="hu-HU" w:eastAsia="en-GB"/>
        </w:rPr>
        <w:t xml:space="preserve">fordult elő </w:t>
      </w:r>
      <w:r>
        <w:rPr>
          <w:snapToGrid/>
          <w:szCs w:val="22"/>
          <w:lang w:val="hu-HU" w:eastAsia="en-GB"/>
        </w:rPr>
        <w:t>hepaticus dekompenzációt (ascites, hepaticus encephalopathia, varix vérzés, spontán bakteriális peritonitis) az eltrombopag-karon (11%), mint a pl</w:t>
      </w:r>
      <w:r>
        <w:rPr>
          <w:rFonts w:eastAsia="TimesNewRomanPSMT"/>
          <w:snapToGrid/>
          <w:szCs w:val="22"/>
          <w:lang w:val="hu-HU" w:eastAsia="en-GB"/>
        </w:rPr>
        <w:t>acebokaron (6%). Azoknál a betegeknél, akiknél alacsony albuminszint (≤</w:t>
      </w:r>
      <w:r>
        <w:rPr>
          <w:snapToGrid/>
          <w:szCs w:val="22"/>
          <w:lang w:val="hu-HU" w:eastAsia="en-GB"/>
        </w:rPr>
        <w:t xml:space="preserve">35 g/l) vagy </w:t>
      </w:r>
      <w:r>
        <w:rPr>
          <w:rFonts w:eastAsia="TimesNewRomanPSMT"/>
          <w:snapToGrid/>
          <w:szCs w:val="22"/>
          <w:lang w:val="hu-HU" w:eastAsia="en-GB"/>
        </w:rPr>
        <w:t>≥</w:t>
      </w:r>
      <w:r>
        <w:rPr>
          <w:snapToGrid/>
          <w:szCs w:val="22"/>
          <w:lang w:val="hu-HU" w:eastAsia="en-GB"/>
        </w:rPr>
        <w:t xml:space="preserve">10 kiindulási MELD- (Model for End Stage Liver Disease) pontszám állt fenn, 3-szor nagyobb volt a hepaticus </w:t>
      </w:r>
      <w:r>
        <w:rPr>
          <w:rFonts w:eastAsia="TimesNewRomanPSMT"/>
          <w:snapToGrid/>
          <w:szCs w:val="22"/>
          <w:lang w:val="hu-HU" w:eastAsia="en-GB"/>
        </w:rPr>
        <w:t xml:space="preserve">dekompenzáció kockázata, és emelkedett a halálos kimenetelű nemkívánt események kockázata a kevésbé előrehaladott májbetegségben szenvedő betegekhez viszonyítva. </w:t>
      </w:r>
      <w:r>
        <w:rPr>
          <w:snapToGrid/>
          <w:szCs w:val="22"/>
          <w:lang w:val="hu-HU" w:eastAsia="en-GB"/>
        </w:rPr>
        <w:t>Emellett ezeknél a betegeknél a kezelés mérsékelt el</w:t>
      </w:r>
      <w:r>
        <w:rPr>
          <w:rFonts w:eastAsia="TimesNewRomanPSMT"/>
          <w:snapToGrid/>
          <w:szCs w:val="22"/>
          <w:lang w:val="hu-HU" w:eastAsia="en-GB"/>
        </w:rPr>
        <w:t>őnnyel járt a tartós virológiai választ (SVR) elérők placebóhoz viszonyított arányát tekintetében (különösen, akiknél a kiindulási albuminszint ≤</w:t>
      </w:r>
      <w:r>
        <w:rPr>
          <w:snapToGrid/>
          <w:szCs w:val="22"/>
          <w:lang w:val="hu-HU" w:eastAsia="en-GB"/>
        </w:rPr>
        <w:t xml:space="preserve">35g/l), a teljes csoporttal összehasonlítva. Ezeknél a betegeknél az eltrombopag csak a várható </w:t>
      </w:r>
      <w:r>
        <w:rPr>
          <w:rFonts w:eastAsia="TimesNewRomanPSMT"/>
          <w:snapToGrid/>
          <w:szCs w:val="22"/>
          <w:lang w:val="hu-HU" w:eastAsia="en-GB"/>
        </w:rPr>
        <w:t xml:space="preserve">előnyök és kockázatok körültekintő mérlegelése után alkalmazható. Az ezekkel a jellemzőkkel bíró </w:t>
      </w:r>
      <w:r>
        <w:rPr>
          <w:snapToGrid/>
          <w:szCs w:val="22"/>
          <w:lang w:val="hu-HU" w:eastAsia="en-GB"/>
        </w:rPr>
        <w:t xml:space="preserve">betegeknél gondosan vizsgálni kell a hepaticus dekompenzációra utaló jeleket és tüneteket. </w:t>
      </w:r>
      <w:r>
        <w:rPr>
          <w:rFonts w:eastAsia="TimesNewRomanPSMT"/>
          <w:snapToGrid/>
          <w:szCs w:val="22"/>
          <w:lang w:val="hu-HU" w:eastAsia="en-GB"/>
        </w:rPr>
        <w:t xml:space="preserve">Figyelembe kell venni az adott interferon alkalmazási előírásában szereplő, a kezelés leállítására </w:t>
      </w:r>
      <w:r>
        <w:rPr>
          <w:snapToGrid/>
          <w:szCs w:val="22"/>
          <w:lang w:val="hu-HU" w:eastAsia="en-GB"/>
        </w:rPr>
        <w:t>vonatkozó kritériumokat. Az eltrombopag-kezelést be kell fejezni, amennyiben hepaticus dekompenzáció miatt az antivirális terápia leállításra kerül.</w:t>
      </w:r>
    </w:p>
    <w:p w14:paraId="6600BB62" w14:textId="77777777" w:rsidR="009F5F6A" w:rsidRDefault="009F5F6A">
      <w:pPr>
        <w:spacing w:line="240" w:lineRule="auto"/>
        <w:rPr>
          <w:lang w:val="hu-HU"/>
        </w:rPr>
      </w:pPr>
    </w:p>
    <w:p w14:paraId="45219B48" w14:textId="77777777" w:rsidR="009F5F6A" w:rsidRDefault="00962A10">
      <w:pPr>
        <w:tabs>
          <w:tab w:val="clear" w:pos="567"/>
        </w:tabs>
        <w:autoSpaceDE w:val="0"/>
        <w:autoSpaceDN w:val="0"/>
        <w:adjustRightInd w:val="0"/>
        <w:spacing w:line="240" w:lineRule="auto"/>
        <w:rPr>
          <w:rFonts w:eastAsia="TimesNewRomanPSMT"/>
          <w:snapToGrid/>
          <w:szCs w:val="22"/>
          <w:u w:val="single"/>
          <w:lang w:val="hu-HU" w:eastAsia="en-GB"/>
        </w:rPr>
      </w:pPr>
      <w:r>
        <w:rPr>
          <w:snapToGrid/>
          <w:szCs w:val="22"/>
          <w:u w:val="single"/>
          <w:lang w:val="hu-HU" w:eastAsia="en-GB"/>
        </w:rPr>
        <w:t>Thrombotic</w:t>
      </w:r>
      <w:r>
        <w:rPr>
          <w:rFonts w:eastAsia="TimesNewRomanPSMT"/>
          <w:snapToGrid/>
          <w:szCs w:val="22"/>
          <w:u w:val="single"/>
          <w:lang w:val="hu-HU" w:eastAsia="en-GB"/>
        </w:rPr>
        <w:t>us/thromboemboliás szövődmények</w:t>
      </w:r>
    </w:p>
    <w:p w14:paraId="354EFC96" w14:textId="77777777" w:rsidR="009F5F6A" w:rsidRDefault="009F5F6A">
      <w:pPr>
        <w:tabs>
          <w:tab w:val="clear" w:pos="567"/>
        </w:tabs>
        <w:autoSpaceDE w:val="0"/>
        <w:autoSpaceDN w:val="0"/>
        <w:adjustRightInd w:val="0"/>
        <w:spacing w:line="240" w:lineRule="auto"/>
        <w:rPr>
          <w:rFonts w:eastAsia="TimesNewRomanPSMT"/>
          <w:snapToGrid/>
          <w:szCs w:val="22"/>
          <w:u w:val="single"/>
          <w:lang w:val="hu-HU" w:eastAsia="en-GB"/>
        </w:rPr>
      </w:pPr>
    </w:p>
    <w:p w14:paraId="323CE1C2"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Interferon alapú </w:t>
      </w:r>
      <w:r>
        <w:rPr>
          <w:rFonts w:eastAsia="TimesNewRomanPSMT"/>
          <w:snapToGrid/>
          <w:szCs w:val="22"/>
          <w:lang w:val="hu-HU" w:eastAsia="en-GB"/>
        </w:rPr>
        <w:t>kezelésben részesülő, thrombocytopeniás HCV</w:t>
      </w:r>
      <w:r>
        <w:rPr>
          <w:snapToGrid/>
          <w:szCs w:val="22"/>
          <w:lang w:val="hu-HU" w:eastAsia="en-GB"/>
        </w:rPr>
        <w:t>-betegekkel végzett kontrollos vizsgálatokban (n = 1439), 955, eltrombopaggal kezelt beteg közül 38-nál (4%), illetve 484, placebóval kezelt beteg közül 6-</w:t>
      </w:r>
      <w:r>
        <w:rPr>
          <w:rFonts w:eastAsia="TimesNewRomanPSMT"/>
          <w:snapToGrid/>
          <w:szCs w:val="22"/>
          <w:lang w:val="hu-HU" w:eastAsia="en-GB"/>
        </w:rPr>
        <w:t>nál (1%) fordult elő TEE. A jelentett thromboticus/thrombo</w:t>
      </w:r>
      <w:r>
        <w:rPr>
          <w:snapToGrid/>
          <w:szCs w:val="22"/>
          <w:lang w:val="hu-HU" w:eastAsia="en-GB"/>
        </w:rPr>
        <w:t xml:space="preserve">emboliás </w:t>
      </w:r>
      <w:r>
        <w:rPr>
          <w:rFonts w:eastAsia="TimesNewRomanPSMT"/>
          <w:snapToGrid/>
          <w:szCs w:val="22"/>
          <w:lang w:val="hu-HU" w:eastAsia="en-GB"/>
        </w:rPr>
        <w:t>szövődmények között vénás és artériás események egyaránt voltak. A thromboemboliás események többsége nem volt súlyos, és a vizsgálat végére rendeződtek. Mindkét kezelési csoportban a v</w:t>
      </w:r>
      <w:r>
        <w:rPr>
          <w:snapToGrid/>
          <w:szCs w:val="22"/>
          <w:lang w:val="hu-HU" w:eastAsia="en-GB"/>
        </w:rPr>
        <w:t xml:space="preserve">ena portae thrombosis volt a leggyakoribb TEE (2% az eltrombopaggal kezelt csoportban versus &lt;1% a </w:t>
      </w:r>
      <w:r>
        <w:rPr>
          <w:rFonts w:eastAsia="TimesNewRomanPSMT"/>
          <w:snapToGrid/>
          <w:szCs w:val="22"/>
          <w:lang w:val="hu-HU" w:eastAsia="en-GB"/>
        </w:rPr>
        <w:t xml:space="preserve">placebocsoportban). Nem figyeltek meg időbeli összefüggést a kezelés kezdete és a thromboemboliás </w:t>
      </w:r>
      <w:r>
        <w:rPr>
          <w:snapToGrid/>
          <w:szCs w:val="22"/>
          <w:lang w:val="hu-HU" w:eastAsia="en-GB"/>
        </w:rPr>
        <w:t>esemény között. Az alacsony albuminszinttel (</w:t>
      </w:r>
      <w:r>
        <w:rPr>
          <w:rFonts w:eastAsia="TimesNewRomanPSMT"/>
          <w:snapToGrid/>
          <w:szCs w:val="22"/>
          <w:lang w:val="hu-HU" w:eastAsia="en-GB"/>
        </w:rPr>
        <w:t>≤</w:t>
      </w:r>
      <w:r>
        <w:rPr>
          <w:snapToGrid/>
          <w:szCs w:val="22"/>
          <w:lang w:val="hu-HU" w:eastAsia="en-GB"/>
        </w:rPr>
        <w:t xml:space="preserve">35 g/l) vagy </w:t>
      </w:r>
      <w:r>
        <w:rPr>
          <w:rFonts w:eastAsia="TimesNewRomanPSMT"/>
          <w:snapToGrid/>
          <w:szCs w:val="22"/>
          <w:lang w:val="hu-HU" w:eastAsia="en-GB"/>
        </w:rPr>
        <w:t>≥ </w:t>
      </w:r>
      <w:r>
        <w:rPr>
          <w:snapToGrid/>
          <w:szCs w:val="22"/>
          <w:lang w:val="hu-HU" w:eastAsia="en-GB"/>
        </w:rPr>
        <w:t>10 MELD-pontszám</w:t>
      </w:r>
      <w:r>
        <w:rPr>
          <w:rFonts w:eastAsia="TimesNewRomanPSMT"/>
          <w:snapToGrid/>
          <w:szCs w:val="22"/>
          <w:lang w:val="hu-HU" w:eastAsia="en-GB"/>
        </w:rPr>
        <w:t xml:space="preserve">mal rendelkező </w:t>
      </w:r>
      <w:r>
        <w:rPr>
          <w:snapToGrid/>
          <w:szCs w:val="22"/>
          <w:lang w:val="hu-HU" w:eastAsia="en-GB"/>
        </w:rPr>
        <w:t>betegeknél 2-</w:t>
      </w:r>
      <w:r>
        <w:rPr>
          <w:rFonts w:eastAsia="TimesNewRomanPSMT"/>
          <w:snapToGrid/>
          <w:szCs w:val="22"/>
          <w:lang w:val="hu-HU" w:eastAsia="en-GB"/>
        </w:rPr>
        <w:t xml:space="preserve">szeres mértékű volt a TEE kockázata a magasabb albmuniszinttel rendelkezőkhöz </w:t>
      </w:r>
      <w:r>
        <w:rPr>
          <w:snapToGrid/>
          <w:szCs w:val="22"/>
          <w:lang w:val="hu-HU" w:eastAsia="en-GB"/>
        </w:rPr>
        <w:t>viszonyítva, illetve a 60 </w:t>
      </w:r>
      <w:r>
        <w:rPr>
          <w:rFonts w:eastAsia="TimesNewRomanPSMT"/>
          <w:snapToGrid/>
          <w:szCs w:val="22"/>
          <w:lang w:val="hu-HU" w:eastAsia="en-GB"/>
        </w:rPr>
        <w:t xml:space="preserve">éves vagy </w:t>
      </w:r>
      <w:proofErr w:type="gramStart"/>
      <w:r>
        <w:rPr>
          <w:rFonts w:eastAsia="TimesNewRomanPSMT"/>
          <w:snapToGrid/>
          <w:szCs w:val="22"/>
          <w:lang w:val="hu-HU" w:eastAsia="en-GB"/>
        </w:rPr>
        <w:t>annál</w:t>
      </w:r>
      <w:proofErr w:type="gramEnd"/>
      <w:r>
        <w:rPr>
          <w:rFonts w:eastAsia="TimesNewRomanPSMT"/>
          <w:snapToGrid/>
          <w:szCs w:val="22"/>
          <w:lang w:val="hu-HU" w:eastAsia="en-GB"/>
        </w:rPr>
        <w:t xml:space="preserve"> idősebbeknél kétszeres volt a TEE</w:t>
      </w:r>
      <w:r>
        <w:rPr>
          <w:snapToGrid/>
          <w:szCs w:val="22"/>
          <w:lang w:val="hu-HU" w:eastAsia="en-GB"/>
        </w:rPr>
        <w:t xml:space="preserve">-k kockázata, mint a </w:t>
      </w:r>
      <w:r>
        <w:rPr>
          <w:rFonts w:eastAsia="TimesNewRomanPSMT"/>
          <w:snapToGrid/>
          <w:szCs w:val="22"/>
          <w:lang w:val="hu-HU" w:eastAsia="en-GB"/>
        </w:rPr>
        <w:t xml:space="preserve">fiatalabb betegeknél. Ezeknél a betegeknél az eltrombopag csak a várható előnyök és kockázatok </w:t>
      </w:r>
      <w:r>
        <w:rPr>
          <w:snapToGrid/>
          <w:szCs w:val="22"/>
          <w:lang w:val="hu-HU" w:eastAsia="en-GB"/>
        </w:rPr>
        <w:t>k</w:t>
      </w:r>
      <w:r>
        <w:rPr>
          <w:rFonts w:eastAsia="TimesNewRomanPSMT"/>
          <w:snapToGrid/>
          <w:szCs w:val="22"/>
          <w:lang w:val="hu-HU" w:eastAsia="en-GB"/>
        </w:rPr>
        <w:t>örültekintő mérlegelése után alkalmazható A betegeknél gondosan monitorozni kell a TEE</w:t>
      </w:r>
      <w:r>
        <w:rPr>
          <w:snapToGrid/>
          <w:szCs w:val="22"/>
          <w:lang w:val="hu-HU" w:eastAsia="en-GB"/>
        </w:rPr>
        <w:t>-re utaló jeleket és tüneteket.</w:t>
      </w:r>
    </w:p>
    <w:p w14:paraId="64AD8C17" w14:textId="77777777" w:rsidR="009F5F6A" w:rsidRDefault="009F5F6A">
      <w:pPr>
        <w:spacing w:line="240" w:lineRule="auto"/>
        <w:rPr>
          <w:lang w:val="hu-HU"/>
        </w:rPr>
      </w:pPr>
    </w:p>
    <w:p w14:paraId="70E44C88"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A thromboemboliás események kockázatának fokozódását észlelték azoknál a krónikus </w:t>
      </w:r>
      <w:r>
        <w:rPr>
          <w:rFonts w:eastAsia="TimesNewRomanPSMT"/>
          <w:snapToGrid/>
          <w:szCs w:val="22"/>
          <w:lang w:val="hu-HU" w:eastAsia="en-GB"/>
        </w:rPr>
        <w:t>májbetegségben szenvedő betegeknél</w:t>
      </w:r>
      <w:r>
        <w:rPr>
          <w:snapToGrid/>
          <w:szCs w:val="22"/>
          <w:lang w:val="hu-HU" w:eastAsia="en-GB"/>
        </w:rPr>
        <w:t>, akiket invazív bea</w:t>
      </w:r>
      <w:r>
        <w:rPr>
          <w:rFonts w:eastAsia="TimesNewRomanPSMT"/>
          <w:snapToGrid/>
          <w:szCs w:val="22"/>
          <w:lang w:val="hu-HU" w:eastAsia="en-GB"/>
        </w:rPr>
        <w:t xml:space="preserve">vatkozás előkészítése során </w:t>
      </w:r>
      <w:r>
        <w:rPr>
          <w:snapToGrid/>
          <w:szCs w:val="22"/>
          <w:lang w:val="hu-HU" w:eastAsia="en-GB"/>
        </w:rPr>
        <w:t xml:space="preserve">2 hétig napi egyszeri 75 mg </w:t>
      </w:r>
      <w:r>
        <w:rPr>
          <w:rFonts w:eastAsia="TimesNewRomanPSMT"/>
          <w:snapToGrid/>
          <w:szCs w:val="22"/>
          <w:lang w:val="hu-HU" w:eastAsia="en-GB"/>
        </w:rPr>
        <w:t xml:space="preserve">eltrombopaggal kezeltek. A krónikus májbetegségben szenvedő, eltrombopaggal </w:t>
      </w:r>
      <w:r>
        <w:rPr>
          <w:snapToGrid/>
          <w:szCs w:val="22"/>
          <w:lang w:val="hu-HU" w:eastAsia="en-GB"/>
        </w:rPr>
        <w:t>kezelt 143 </w:t>
      </w:r>
      <w:r>
        <w:rPr>
          <w:rFonts w:eastAsia="TimesNewRomanPSMT"/>
          <w:snapToGrid/>
          <w:szCs w:val="22"/>
          <w:lang w:val="hu-HU" w:eastAsia="en-GB"/>
        </w:rPr>
        <w:t xml:space="preserve">felnőtt beteg közül hatnál (4%) tapasztaltak </w:t>
      </w:r>
      <w:r>
        <w:rPr>
          <w:snapToGrid/>
          <w:szCs w:val="22"/>
          <w:lang w:val="hu-HU" w:eastAsia="en-GB"/>
        </w:rPr>
        <w:t xml:space="preserve">thromboemboliás eseményt (valamennyi a portalis rendszert érintette), míg a placebocsoportban a 145 beteg közül </w:t>
      </w:r>
      <w:r>
        <w:rPr>
          <w:rFonts w:eastAsia="TimesNewRomanPSMT"/>
          <w:snapToGrid/>
          <w:szCs w:val="22"/>
          <w:lang w:val="hu-HU" w:eastAsia="en-GB"/>
        </w:rPr>
        <w:t>kettő</w:t>
      </w:r>
      <w:r>
        <w:rPr>
          <w:snapToGrid/>
          <w:szCs w:val="22"/>
          <w:lang w:val="hu-HU" w:eastAsia="en-GB"/>
        </w:rPr>
        <w:t xml:space="preserve">nél (1%) tapasztaltak thromboemboliás eseményt (egy a portalis vénás rendszerben és egy myocardialis infarctus). A hat eltrombopaggal kezelt beteg közül ötnél alakult ki thromboticus </w:t>
      </w:r>
      <w:proofErr w:type="gramStart"/>
      <w:r>
        <w:rPr>
          <w:rFonts w:eastAsia="TimesNewRomanPSMT"/>
          <w:snapToGrid/>
          <w:szCs w:val="22"/>
          <w:lang w:val="hu-HU" w:eastAsia="en-GB"/>
        </w:rPr>
        <w:t>szövődmény &gt;</w:t>
      </w:r>
      <w:r>
        <w:rPr>
          <w:snapToGrid/>
          <w:szCs w:val="22"/>
          <w:lang w:val="hu-HU" w:eastAsia="en-GB"/>
        </w:rPr>
        <w:t>200</w:t>
      </w:r>
      <w:proofErr w:type="gramEnd"/>
      <w:r>
        <w:rPr>
          <w:snapToGrid/>
          <w:szCs w:val="22"/>
          <w:lang w:val="hu-HU" w:eastAsia="en-GB"/>
        </w:rPr>
        <w:t xml:space="preserve"> 000/mikroliter vérlemezkeszámnál és az eltrombopag utolsó adagjától számított 30 napon belül. Az eltrombopag nem javasolt </w:t>
      </w:r>
      <w:r>
        <w:rPr>
          <w:rFonts w:eastAsia="TimesNewRomanPSMT"/>
          <w:snapToGrid/>
          <w:szCs w:val="22"/>
          <w:lang w:val="hu-HU" w:eastAsia="en-GB"/>
        </w:rPr>
        <w:t>krónikus májbetegségben szenvedő betegek thrombocytopeniájának kezelésére, invazív beavatkozások előkészítése során.</w:t>
      </w:r>
    </w:p>
    <w:p w14:paraId="0158F91E" w14:textId="77777777" w:rsidR="009F5F6A" w:rsidRDefault="009F5F6A">
      <w:pPr>
        <w:spacing w:line="240" w:lineRule="auto"/>
        <w:rPr>
          <w:lang w:val="hu-HU"/>
        </w:rPr>
      </w:pPr>
    </w:p>
    <w:p w14:paraId="4D59A32D"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ITP-s betegek bevonásával eltrombopaggal végzett klinikai vizsgálatokban thromboemboliás </w:t>
      </w:r>
      <w:r>
        <w:rPr>
          <w:rFonts w:eastAsia="TimesNewRomanPSMT"/>
          <w:snapToGrid/>
          <w:szCs w:val="22"/>
          <w:lang w:val="hu-HU" w:eastAsia="en-GB"/>
        </w:rPr>
        <w:t xml:space="preserve">eseményeket figyeltek meg alacsony és normál vérlemezkeszám mellett. Elővigyázatosság szükséges, amikor az eltrombopagot olyan betegeknél alkalmazzák, akiknél ismerten előfordulnak thromboembolára hajlamosító kockázati tényezők, beleértve, de nem kizárólagosan, az öröklött (pl. </w:t>
      </w:r>
      <w:r>
        <w:rPr>
          <w:snapToGrid/>
          <w:szCs w:val="22"/>
          <w:lang w:val="hu-HU" w:eastAsia="en-GB"/>
        </w:rPr>
        <w:t>V. vagy Leiden faktor) vagy szerzett (pl. ATIII-</w:t>
      </w:r>
      <w:r>
        <w:rPr>
          <w:rFonts w:eastAsia="TimesNewRomanPSMT"/>
          <w:snapToGrid/>
          <w:szCs w:val="22"/>
          <w:lang w:val="hu-HU" w:eastAsia="en-GB"/>
        </w:rPr>
        <w:t>hiány, antifoszfolipid szindróma), előrehaladott életkor, hosszabb időszakokon át mozgásukban korlátozott bete</w:t>
      </w:r>
      <w:r>
        <w:rPr>
          <w:snapToGrid/>
          <w:szCs w:val="22"/>
          <w:lang w:val="hu-HU" w:eastAsia="en-GB"/>
        </w:rPr>
        <w:t xml:space="preserve">gek, malignitások, fogamzásgátlók és </w:t>
      </w:r>
      <w:r>
        <w:rPr>
          <w:rFonts w:eastAsia="TimesNewRomanPSMT"/>
          <w:snapToGrid/>
          <w:szCs w:val="22"/>
          <w:lang w:val="hu-HU" w:eastAsia="en-GB"/>
        </w:rPr>
        <w:t xml:space="preserve">hormonpótló kezelések, műtét/trauma, elhízás és dohányzás. A vérlemezkeszámot gondosan monitorozni kell, és amennyiben a vérlemezkeszám meghaladja a kitűzött célértéket, fontolóra kell </w:t>
      </w:r>
      <w:r>
        <w:rPr>
          <w:snapToGrid/>
          <w:szCs w:val="22"/>
          <w:lang w:val="hu-HU" w:eastAsia="en-GB"/>
        </w:rPr>
        <w:t xml:space="preserve">venni az eltrombopag dózisának csökkentését vagy az eltrombopag-kezelés leállítását (lásd 4.2 pont). </w:t>
      </w:r>
      <w:r>
        <w:rPr>
          <w:rFonts w:eastAsia="TimesNewRomanPSMT"/>
          <w:snapToGrid/>
          <w:szCs w:val="22"/>
          <w:lang w:val="hu-HU" w:eastAsia="en-GB"/>
        </w:rPr>
        <w:t>Az előny/kockázat</w:t>
      </w:r>
      <w:r>
        <w:rPr>
          <w:snapToGrid/>
          <w:szCs w:val="22"/>
          <w:lang w:val="hu-HU" w:eastAsia="en-GB"/>
        </w:rPr>
        <w:t>-</w:t>
      </w:r>
      <w:r>
        <w:rPr>
          <w:rFonts w:eastAsia="TimesNewRomanPSMT"/>
          <w:snapToGrid/>
          <w:szCs w:val="22"/>
          <w:lang w:val="hu-HU" w:eastAsia="en-GB"/>
        </w:rPr>
        <w:t xml:space="preserve">arányt mérlegelni kell azoknál a betegeknél, akiknél bármilyen eredetű </w:t>
      </w:r>
      <w:r>
        <w:rPr>
          <w:snapToGrid/>
          <w:szCs w:val="22"/>
          <w:lang w:val="hu-HU" w:eastAsia="en-GB"/>
        </w:rPr>
        <w:t>TEE kockázata fennáll.</w:t>
      </w:r>
    </w:p>
    <w:p w14:paraId="02D5E6CB" w14:textId="77777777" w:rsidR="009F5F6A" w:rsidRDefault="009F5F6A">
      <w:pPr>
        <w:spacing w:line="240" w:lineRule="auto"/>
        <w:rPr>
          <w:lang w:val="hu-HU"/>
        </w:rPr>
      </w:pPr>
    </w:p>
    <w:p w14:paraId="6303B8D5"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Egy SAA-s betegek bevonásával végzett klinikai vizsgálatban nem azonosítottak TEE esetet, azonban ezeknek az eseményeknek a kockázata nem zárható ki ebben a betegcsoportban, mivel a vizsgált betegszám alacsony volt. Mivel a SAA-s betegek számára a gyógyszer az engedélyezett legnagyobb dózisban javasolt (150 mg/nap), valamint a rea</w:t>
      </w:r>
      <w:r>
        <w:rPr>
          <w:rFonts w:eastAsia="TimesNewRomanPSMT"/>
          <w:snapToGrid/>
          <w:szCs w:val="22"/>
          <w:lang w:val="hu-HU" w:eastAsia="en-GB"/>
        </w:rPr>
        <w:t xml:space="preserve">kció természetéből is adódóan, ebben a betegcsoportban </w:t>
      </w:r>
      <w:r>
        <w:rPr>
          <w:snapToGrid/>
          <w:szCs w:val="22"/>
          <w:lang w:val="hu-HU" w:eastAsia="en-GB"/>
        </w:rPr>
        <w:t>TEE bekövetkezhet.</w:t>
      </w:r>
    </w:p>
    <w:p w14:paraId="20D6C157" w14:textId="77777777" w:rsidR="009F5F6A" w:rsidRDefault="009F5F6A">
      <w:pPr>
        <w:spacing w:line="240" w:lineRule="auto"/>
        <w:rPr>
          <w:lang w:val="hu-HU"/>
        </w:rPr>
      </w:pPr>
    </w:p>
    <w:p w14:paraId="69C3D7AE" w14:textId="77777777" w:rsidR="009F5F6A" w:rsidRDefault="00962A10">
      <w:pPr>
        <w:tabs>
          <w:tab w:val="clear" w:pos="567"/>
        </w:tabs>
        <w:autoSpaceDE w:val="0"/>
        <w:autoSpaceDN w:val="0"/>
        <w:adjustRightInd w:val="0"/>
        <w:spacing w:line="240" w:lineRule="auto"/>
        <w:rPr>
          <w:lang w:val="hu-HU"/>
        </w:rPr>
      </w:pPr>
      <w:r>
        <w:rPr>
          <w:rFonts w:eastAsia="TimesNewRomanPSMT"/>
          <w:snapToGrid/>
          <w:szCs w:val="22"/>
          <w:lang w:val="hu-HU" w:eastAsia="en-GB"/>
        </w:rPr>
        <w:t>Az eltrombopag nem alkalmazható májkárosodásban szenvedő (Child–Pugh pontszám ≥5) ITP-s betegeknél, kivéve, ha a várható előny meghaladja a vena portae thrombosis ismert kockázatát. Ha a kezelést előnyösnek értékelik, májkárosodásban szenvedő betegeknél az eltrombopag adásakor elővigyázatosság szükséges (lásd 4.2 és 4.8 pont).</w:t>
      </w:r>
    </w:p>
    <w:p w14:paraId="19362D71" w14:textId="77777777" w:rsidR="009F5F6A" w:rsidRDefault="009F5F6A">
      <w:pPr>
        <w:spacing w:line="240" w:lineRule="auto"/>
        <w:rPr>
          <w:lang w:val="hu-HU"/>
        </w:rPr>
      </w:pPr>
    </w:p>
    <w:p w14:paraId="4E7A0BDC"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Vérzés az eltrombopag leállítása után</w:t>
      </w:r>
    </w:p>
    <w:p w14:paraId="3B25DF86" w14:textId="77777777" w:rsidR="009F5F6A" w:rsidRDefault="009F5F6A">
      <w:pPr>
        <w:tabs>
          <w:tab w:val="clear" w:pos="567"/>
        </w:tabs>
        <w:autoSpaceDE w:val="0"/>
        <w:autoSpaceDN w:val="0"/>
        <w:adjustRightInd w:val="0"/>
        <w:spacing w:line="240" w:lineRule="auto"/>
        <w:rPr>
          <w:snapToGrid/>
          <w:szCs w:val="22"/>
          <w:lang w:val="hu-HU" w:eastAsia="en-GB"/>
        </w:rPr>
      </w:pPr>
    </w:p>
    <w:p w14:paraId="36FCE109"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Az eltrombopag-</w:t>
      </w:r>
      <w:r>
        <w:rPr>
          <w:rFonts w:eastAsia="TimesNewRomanPSMT"/>
          <w:snapToGrid/>
          <w:szCs w:val="22"/>
          <w:lang w:val="hu-HU" w:eastAsia="en-GB"/>
        </w:rPr>
        <w:t xml:space="preserve">kezelés befejezése után valószínű a </w:t>
      </w:r>
      <w:r>
        <w:rPr>
          <w:snapToGrid/>
          <w:szCs w:val="22"/>
          <w:lang w:val="hu-HU" w:eastAsia="en-GB"/>
        </w:rPr>
        <w:t xml:space="preserve">thrombocytopenia kiújulása. Az eltrombopag </w:t>
      </w:r>
      <w:r>
        <w:rPr>
          <w:rFonts w:eastAsia="TimesNewRomanPSMT"/>
          <w:snapToGrid/>
          <w:szCs w:val="22"/>
          <w:lang w:val="hu-HU" w:eastAsia="en-GB"/>
        </w:rPr>
        <w:t>leállítását követően a vérlemezkeszám a betegek többségénél 2 </w:t>
      </w:r>
      <w:r>
        <w:rPr>
          <w:snapToGrid/>
          <w:szCs w:val="22"/>
          <w:lang w:val="hu-HU" w:eastAsia="en-GB"/>
        </w:rPr>
        <w:t xml:space="preserve">hét alatt visszatér a kiindulási szintre, </w:t>
      </w:r>
      <w:r>
        <w:rPr>
          <w:rFonts w:eastAsia="TimesNewRomanPSMT"/>
          <w:snapToGrid/>
          <w:szCs w:val="22"/>
          <w:lang w:val="hu-HU" w:eastAsia="en-GB"/>
        </w:rPr>
        <w:t xml:space="preserve">ami növeli a vérzés kockázatát, sőt bizonyos esetekben vérzést okozhat. </w:t>
      </w:r>
      <w:r>
        <w:rPr>
          <w:snapToGrid/>
          <w:szCs w:val="22"/>
          <w:lang w:val="hu-HU" w:eastAsia="en-GB"/>
        </w:rPr>
        <w:t>Ez a kockázat fokozódik, ha az eltrombopag-kezelést véralvadásgátlók vagy thrombocyta-aggregációt gátló szerek adása mellett hagyják abba. Az eltrombopag-</w:t>
      </w:r>
      <w:r>
        <w:rPr>
          <w:rFonts w:eastAsia="TimesNewRomanPSMT"/>
          <w:snapToGrid/>
          <w:szCs w:val="22"/>
          <w:lang w:val="hu-HU" w:eastAsia="en-GB"/>
        </w:rPr>
        <w:t xml:space="preserve">kezelés leállítása esetén javasolt az ITP kezelésének az érvényben lévő </w:t>
      </w:r>
      <w:r>
        <w:rPr>
          <w:snapToGrid/>
          <w:szCs w:val="22"/>
          <w:lang w:val="hu-HU" w:eastAsia="en-GB"/>
        </w:rPr>
        <w:t>terápiás protokollok szerinti újraindítása. További kezelésként szükséges lehet még az antikoaguláns és/vagy a thrombocytagátló szerek leállítása, a véralvadásgátlás felfüggesztése vagy a thrombocyta pótlás. Az eltrombopag leállítása után a vérlemezkeszámot 4 hétig hetente monitorozni kell.</w:t>
      </w:r>
    </w:p>
    <w:p w14:paraId="1E51E971" w14:textId="77777777" w:rsidR="009F5F6A" w:rsidRDefault="009F5F6A">
      <w:pPr>
        <w:tabs>
          <w:tab w:val="clear" w:pos="567"/>
        </w:tabs>
        <w:autoSpaceDE w:val="0"/>
        <w:autoSpaceDN w:val="0"/>
        <w:adjustRightInd w:val="0"/>
        <w:spacing w:line="240" w:lineRule="auto"/>
        <w:rPr>
          <w:snapToGrid/>
          <w:szCs w:val="22"/>
          <w:lang w:val="hu-HU" w:eastAsia="en-GB"/>
        </w:rPr>
      </w:pPr>
    </w:p>
    <w:p w14:paraId="47755F5B"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HCV klinikai vizsgálatokban peginterferon, ribavirin és eltrombopag leállítása után nagyobb gyakorisággal jelentettek gastrointestinalis vérzést, beleértve a súlyos és halálos eseteket is. A kezelés leállítása után, a betegeknél gondosan monitoroznié kell a gastrointestinalis vérzésre utaló jeleket és tüneteket.</w:t>
      </w:r>
    </w:p>
    <w:p w14:paraId="7CD7EE96" w14:textId="77777777" w:rsidR="009F5F6A" w:rsidRDefault="009F5F6A">
      <w:pPr>
        <w:spacing w:line="240" w:lineRule="auto"/>
        <w:rPr>
          <w:lang w:val="hu-HU"/>
        </w:rPr>
      </w:pPr>
    </w:p>
    <w:p w14:paraId="02E8EA1B" w14:textId="77777777" w:rsidR="009F5F6A" w:rsidRDefault="00962A10">
      <w:pPr>
        <w:tabs>
          <w:tab w:val="clear" w:pos="567"/>
        </w:tabs>
        <w:autoSpaceDE w:val="0"/>
        <w:autoSpaceDN w:val="0"/>
        <w:adjustRightInd w:val="0"/>
        <w:spacing w:line="240" w:lineRule="auto"/>
        <w:rPr>
          <w:rFonts w:eastAsia="TimesNewRomanPSMT"/>
          <w:snapToGrid/>
          <w:szCs w:val="22"/>
          <w:u w:val="single"/>
          <w:lang w:val="hu-HU" w:eastAsia="en-GB"/>
        </w:rPr>
      </w:pPr>
      <w:r>
        <w:rPr>
          <w:rFonts w:eastAsia="TimesNewRomanPSMT"/>
          <w:snapToGrid/>
          <w:szCs w:val="22"/>
          <w:u w:val="single"/>
          <w:lang w:val="hu-HU" w:eastAsia="en-GB"/>
        </w:rPr>
        <w:t>Retikulinképződés a csontvelőben és a csontvelőfibrózis kockázata</w:t>
      </w:r>
    </w:p>
    <w:p w14:paraId="3C69B9CB" w14:textId="77777777" w:rsidR="009F5F6A" w:rsidRDefault="009F5F6A">
      <w:pPr>
        <w:tabs>
          <w:tab w:val="clear" w:pos="567"/>
        </w:tabs>
        <w:autoSpaceDE w:val="0"/>
        <w:autoSpaceDN w:val="0"/>
        <w:adjustRightInd w:val="0"/>
        <w:spacing w:line="240" w:lineRule="auto"/>
        <w:rPr>
          <w:rFonts w:eastAsia="TimesNewRomanPSMT"/>
          <w:snapToGrid/>
          <w:szCs w:val="22"/>
          <w:u w:val="single"/>
          <w:lang w:val="hu-HU" w:eastAsia="en-GB"/>
        </w:rPr>
      </w:pPr>
    </w:p>
    <w:p w14:paraId="3F096C20"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rFonts w:eastAsia="TimesNewRomanPSMT"/>
          <w:snapToGrid/>
          <w:szCs w:val="22"/>
          <w:lang w:val="hu-HU" w:eastAsia="en-GB"/>
        </w:rPr>
        <w:t>Az eltrombopag fokozhatja a csontvelőben a retikulinrostok képződésének vagy azok progressziójának a kockázatát. Ennek jelentőségét, más thrombopoietin-receptor- (TPO-R) agonistákhoz hasonlóan, még nem határozták meg.</w:t>
      </w:r>
    </w:p>
    <w:p w14:paraId="6785EE20"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180D2E0D" w14:textId="77777777" w:rsidR="009F5F6A" w:rsidRDefault="00962A10">
      <w:pPr>
        <w:tabs>
          <w:tab w:val="clear" w:pos="567"/>
        </w:tabs>
        <w:autoSpaceDE w:val="0"/>
        <w:autoSpaceDN w:val="0"/>
        <w:adjustRightInd w:val="0"/>
        <w:spacing w:line="240" w:lineRule="auto"/>
        <w:rPr>
          <w:lang w:val="hu-HU"/>
        </w:rPr>
      </w:pPr>
      <w:r>
        <w:rPr>
          <w:rFonts w:eastAsia="TimesNewRomanPSMT"/>
          <w:snapToGrid/>
          <w:szCs w:val="22"/>
          <w:lang w:val="hu-HU" w:eastAsia="en-GB"/>
        </w:rPr>
        <w:t>Az eltrombopag-kezelés elkezdése előtt a kóros sejtmorfológiai eltérések ellenőrzése érdekében figyelmesen meg kell vizsgálni a perifériás vérkenetet. A stabil eltrombopag-dózis elérése után havonta el kell végezni a teljes vérkép vizsgálatot, a fehérvérsejtszám minőségi összetételének meghatározásával. Ha éretlen vagy dysplasiás sejtek láthatók, meg kell vizsgálni a perifériás vérkenetet az új vagy súlyosbodó kóros morfológiai eltérések (pl. könnycsepp alakú és magot tartalmazó vörösvérsejtek, éretlen fehérvérsejtek), vagy a cytopenia/cytopeniák szempontjából. Ha a betegnél új, vagy súlyosbodó kóros morfológiai eltérések, vagy cytopenia/cytopeniák alakulnak ki, le kell állítani az eltrombopag-kezelést, és meg kell fontolni a csontvelő biopsziát csontvelőfestéssel a fibrosis kimutatására.</w:t>
      </w:r>
    </w:p>
    <w:p w14:paraId="4CAC55D4" w14:textId="77777777" w:rsidR="009F5F6A" w:rsidRDefault="009F5F6A">
      <w:pPr>
        <w:spacing w:line="240" w:lineRule="auto"/>
        <w:rPr>
          <w:lang w:val="hu-HU"/>
        </w:rPr>
      </w:pPr>
    </w:p>
    <w:p w14:paraId="0A658D32"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Fennálló myelodysplasiás szindróma (MDS) progressziója</w:t>
      </w:r>
    </w:p>
    <w:p w14:paraId="74E66F35" w14:textId="77777777" w:rsidR="009F5F6A" w:rsidRDefault="009F5F6A">
      <w:pPr>
        <w:tabs>
          <w:tab w:val="clear" w:pos="567"/>
        </w:tabs>
        <w:autoSpaceDE w:val="0"/>
        <w:autoSpaceDN w:val="0"/>
        <w:adjustRightInd w:val="0"/>
        <w:spacing w:line="240" w:lineRule="auto"/>
        <w:rPr>
          <w:snapToGrid/>
          <w:szCs w:val="22"/>
          <w:lang w:val="hu-HU" w:eastAsia="en-GB"/>
        </w:rPr>
      </w:pPr>
    </w:p>
    <w:p w14:paraId="47453F5C"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Elméleti megfontolások alapján a TPO-R-agonisták fokozhatják a már fennálló, rosszindulatú hematológiai betegségek, pl. az MDS progresszióját. A TPO-R-agonisták növekedési faktorok, melyek a thrombopoietikus progenitor sejtek expanziójához, differenciálódásához és vérlemezke </w:t>
      </w:r>
      <w:r>
        <w:rPr>
          <w:rFonts w:eastAsia="TimesNewRomanPSMT"/>
          <w:snapToGrid/>
          <w:szCs w:val="22"/>
          <w:lang w:val="hu-HU" w:eastAsia="en-GB"/>
        </w:rPr>
        <w:t>termelődéséhez vezetnek. A TPO</w:t>
      </w:r>
      <w:r>
        <w:rPr>
          <w:snapToGrid/>
          <w:szCs w:val="22"/>
          <w:lang w:val="hu-HU" w:eastAsia="en-GB"/>
        </w:rPr>
        <w:t>-</w:t>
      </w:r>
      <w:r>
        <w:rPr>
          <w:rFonts w:eastAsia="TimesNewRomanPSMT"/>
          <w:snapToGrid/>
          <w:szCs w:val="22"/>
          <w:lang w:val="hu-HU" w:eastAsia="en-GB"/>
        </w:rPr>
        <w:t>R főként a myeloid sejtvonal sejtjeinek felszínén expresszálódik.</w:t>
      </w:r>
    </w:p>
    <w:p w14:paraId="469C970B" w14:textId="77777777" w:rsidR="009F5F6A" w:rsidRDefault="009F5F6A">
      <w:pPr>
        <w:spacing w:line="240" w:lineRule="auto"/>
        <w:rPr>
          <w:lang w:val="hu-HU"/>
        </w:rPr>
      </w:pPr>
    </w:p>
    <w:p w14:paraId="005B6D0C"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TPO-R-agonistákkal MDS-</w:t>
      </w:r>
      <w:r>
        <w:rPr>
          <w:rFonts w:eastAsia="TimesNewRomanPSMT"/>
          <w:snapToGrid/>
          <w:szCs w:val="22"/>
          <w:lang w:val="hu-HU" w:eastAsia="en-GB"/>
        </w:rPr>
        <w:t xml:space="preserve">ben szenvedő betegekkel végzett klinikai </w:t>
      </w:r>
      <w:r>
        <w:rPr>
          <w:snapToGrid/>
          <w:szCs w:val="22"/>
          <w:lang w:val="hu-HU" w:eastAsia="en-GB"/>
        </w:rPr>
        <w:t xml:space="preserve">vizsgálatokban a blaszt-sejtek számának átmeneti emelkedését figyelték meg, és az MDS betegség akut myeloid leukaemiává (AML) </w:t>
      </w:r>
      <w:r>
        <w:rPr>
          <w:rFonts w:eastAsia="TimesNewRomanPSMT"/>
          <w:snapToGrid/>
          <w:szCs w:val="22"/>
          <w:lang w:val="hu-HU" w:eastAsia="en-GB"/>
        </w:rPr>
        <w:t>történő progressziójával járó eseteket is jelentettek.</w:t>
      </w:r>
    </w:p>
    <w:p w14:paraId="4E7315FD"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301F6055" w14:textId="77777777" w:rsidR="009F5F6A" w:rsidRDefault="00962A10">
      <w:pPr>
        <w:tabs>
          <w:tab w:val="clear" w:pos="567"/>
        </w:tabs>
        <w:autoSpaceDE w:val="0"/>
        <w:autoSpaceDN w:val="0"/>
        <w:adjustRightInd w:val="0"/>
        <w:spacing w:line="240" w:lineRule="auto"/>
        <w:rPr>
          <w:snapToGrid/>
          <w:szCs w:val="22"/>
          <w:lang w:val="hu-HU" w:eastAsia="en-GB"/>
        </w:rPr>
      </w:pPr>
      <w:r>
        <w:rPr>
          <w:rFonts w:eastAsia="TimesNewRomanPSMT"/>
          <w:snapToGrid/>
          <w:szCs w:val="22"/>
          <w:lang w:val="hu-HU" w:eastAsia="en-GB"/>
        </w:rPr>
        <w:t xml:space="preserve">Az ITP, illetve az SSA diagnózisát felnőtt és </w:t>
      </w:r>
      <w:proofErr w:type="gramStart"/>
      <w:r>
        <w:rPr>
          <w:rFonts w:eastAsia="TimesNewRomanPSMT"/>
          <w:snapToGrid/>
          <w:szCs w:val="22"/>
          <w:lang w:val="hu-HU" w:eastAsia="en-GB"/>
        </w:rPr>
        <w:t xml:space="preserve">idős </w:t>
      </w:r>
      <w:r>
        <w:rPr>
          <w:snapToGrid/>
          <w:szCs w:val="22"/>
          <w:lang w:val="hu-HU" w:eastAsia="en-GB"/>
        </w:rPr>
        <w:t>korú</w:t>
      </w:r>
      <w:proofErr w:type="gramEnd"/>
      <w:r>
        <w:rPr>
          <w:snapToGrid/>
          <w:szCs w:val="22"/>
          <w:lang w:val="hu-HU" w:eastAsia="en-GB"/>
        </w:rPr>
        <w:t xml:space="preserve"> betegeknél a thrombocytopeniával járó egyéb </w:t>
      </w:r>
      <w:r>
        <w:rPr>
          <w:rFonts w:eastAsia="TimesNewRomanPSMT"/>
          <w:snapToGrid/>
          <w:szCs w:val="22"/>
          <w:lang w:val="hu-HU" w:eastAsia="en-GB"/>
        </w:rPr>
        <w:t xml:space="preserve">klinikai kórképek kizárásával meg kell erősíteni, különösen az MDS diagnózisát kell kizárni. A betegség lefolyása és a kezelés során mérlegelni kell a csontvelő aspiráció és a biopszia elvégzését, </w:t>
      </w:r>
      <w:r>
        <w:rPr>
          <w:snapToGrid/>
          <w:szCs w:val="22"/>
          <w:lang w:val="hu-HU" w:eastAsia="en-GB"/>
        </w:rPr>
        <w:t>különösen 60 év feletti betegeknél, azoknál, akiknél szisztémás tünetek, illetve kóros jelek állnak fenn, pl. a perifériás blasztok számának emelkedése.</w:t>
      </w:r>
    </w:p>
    <w:p w14:paraId="3EBF6170" w14:textId="77777777" w:rsidR="009F5F6A" w:rsidRDefault="009F5F6A">
      <w:pPr>
        <w:tabs>
          <w:tab w:val="clear" w:pos="567"/>
        </w:tabs>
        <w:autoSpaceDE w:val="0"/>
        <w:autoSpaceDN w:val="0"/>
        <w:adjustRightInd w:val="0"/>
        <w:spacing w:line="240" w:lineRule="auto"/>
        <w:rPr>
          <w:snapToGrid/>
          <w:szCs w:val="22"/>
          <w:lang w:val="hu-HU" w:eastAsia="en-GB"/>
        </w:rPr>
      </w:pPr>
    </w:p>
    <w:p w14:paraId="4F09E73E"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Az eltrombopag hatásosságát és biztonságosságát az MDS miatt kialakult thrombocytopenia kezelésében nem igazolták. </w:t>
      </w:r>
      <w:r>
        <w:rPr>
          <w:rFonts w:eastAsia="Times New Roman"/>
          <w:noProof/>
          <w:snapToGrid/>
          <w:szCs w:val="22"/>
          <w:lang w:val="hu-HU" w:eastAsia="en-US"/>
        </w:rPr>
        <w:t>Az Eltrombopag</w:t>
      </w:r>
      <w:r>
        <w:rPr>
          <w:snapToGrid/>
          <w:szCs w:val="22"/>
          <w:lang w:val="hu-HU" w:eastAsia="en-GB"/>
        </w:rPr>
        <w:t xml:space="preserve"> </w:t>
      </w:r>
      <w:r>
        <w:rPr>
          <w:rFonts w:eastAsia="Times New Roman"/>
          <w:noProof/>
          <w:snapToGrid/>
          <w:szCs w:val="22"/>
          <w:lang w:val="hu-HU" w:eastAsia="en-US"/>
        </w:rPr>
        <w:t xml:space="preserve">Krka </w:t>
      </w:r>
      <w:r>
        <w:rPr>
          <w:snapToGrid/>
          <w:szCs w:val="22"/>
          <w:lang w:val="hu-HU" w:eastAsia="en-GB"/>
        </w:rPr>
        <w:t>a klinikai vizsgálatokon kívül nem alkalmazható az MDS miatt kialakuló thrombocytopeniában.</w:t>
      </w:r>
    </w:p>
    <w:p w14:paraId="49F92265" w14:textId="77777777" w:rsidR="009F5F6A" w:rsidRDefault="009F5F6A">
      <w:pPr>
        <w:spacing w:line="240" w:lineRule="auto"/>
        <w:rPr>
          <w:lang w:val="hu-HU"/>
        </w:rPr>
      </w:pPr>
    </w:p>
    <w:p w14:paraId="75A9539B"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SAA-s betegek cytogenetikai rendellenességei és MDS/AML-be való progressziója</w:t>
      </w:r>
    </w:p>
    <w:p w14:paraId="7BF9561E" w14:textId="77777777" w:rsidR="009F5F6A" w:rsidRDefault="009F5F6A">
      <w:pPr>
        <w:tabs>
          <w:tab w:val="clear" w:pos="567"/>
        </w:tabs>
        <w:autoSpaceDE w:val="0"/>
        <w:autoSpaceDN w:val="0"/>
        <w:adjustRightInd w:val="0"/>
        <w:spacing w:line="240" w:lineRule="auto"/>
        <w:rPr>
          <w:snapToGrid/>
          <w:szCs w:val="22"/>
          <w:lang w:val="hu-HU" w:eastAsia="en-GB"/>
        </w:rPr>
      </w:pPr>
    </w:p>
    <w:p w14:paraId="2769C3FF"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Ismeretes, hogy SAA-s </w:t>
      </w:r>
      <w:r>
        <w:rPr>
          <w:rFonts w:eastAsia="TimesNewRomanPSMT"/>
          <w:snapToGrid/>
          <w:szCs w:val="22"/>
          <w:lang w:val="hu-HU" w:eastAsia="en-GB"/>
        </w:rPr>
        <w:t>betegeknél elő</w:t>
      </w:r>
      <w:r>
        <w:rPr>
          <w:snapToGrid/>
          <w:szCs w:val="22"/>
          <w:lang w:val="hu-HU" w:eastAsia="en-GB"/>
        </w:rPr>
        <w:t xml:space="preserve">fordulnak cytogenetikai rendellenességek. Nem ismert, hogy az eltrombopag fokozza-e a cytogenetikai rendellenességek kockázatát SAA-s betegeknél. Az 50 mg/nap </w:t>
      </w:r>
      <w:r>
        <w:rPr>
          <w:rFonts w:eastAsia="TimesNewRomanPSMT"/>
          <w:snapToGrid/>
          <w:szCs w:val="22"/>
          <w:lang w:val="hu-HU" w:eastAsia="en-GB"/>
        </w:rPr>
        <w:t>eltrombopag kezdő dózissal (amelyet 2 </w:t>
      </w:r>
      <w:r>
        <w:rPr>
          <w:snapToGrid/>
          <w:szCs w:val="22"/>
          <w:lang w:val="hu-HU" w:eastAsia="en-GB"/>
        </w:rPr>
        <w:t>hetente növeltek maximum 150 mg/nap dózisra) végzett II. fázisú, refrakter SAA klinikai vizsgálatban (ELT112523) az új cytogenetikai rendellenességek incidenciája 17,1% volt (7/41 </w:t>
      </w:r>
      <w:r>
        <w:rPr>
          <w:rFonts w:eastAsia="TimesNewRomanPSMT"/>
          <w:snapToGrid/>
          <w:szCs w:val="22"/>
          <w:lang w:val="hu-HU" w:eastAsia="en-GB"/>
        </w:rPr>
        <w:t xml:space="preserve">felnőtt </w:t>
      </w:r>
      <w:r>
        <w:rPr>
          <w:snapToGrid/>
          <w:szCs w:val="22"/>
          <w:lang w:val="hu-HU" w:eastAsia="en-GB"/>
        </w:rPr>
        <w:t>beteg, akik közül 4-nél 7-es kromoszómaelváltozás állt fenn). A cy</w:t>
      </w:r>
      <w:r>
        <w:rPr>
          <w:rFonts w:eastAsia="TimesNewRomanPSMT"/>
          <w:snapToGrid/>
          <w:szCs w:val="22"/>
          <w:lang w:val="hu-HU" w:eastAsia="en-GB"/>
        </w:rPr>
        <w:t>togenetikai rendellenesség kialakulásáig eltelt idő</w:t>
      </w:r>
      <w:r>
        <w:rPr>
          <w:snapToGrid/>
          <w:szCs w:val="22"/>
          <w:lang w:val="hu-HU" w:eastAsia="en-GB"/>
        </w:rPr>
        <w:t>tartam medián értéke a vizsgálatban 2,9 hónap volt.</w:t>
      </w:r>
    </w:p>
    <w:p w14:paraId="1F90D44C" w14:textId="77777777" w:rsidR="009F5F6A" w:rsidRDefault="009F5F6A">
      <w:pPr>
        <w:tabs>
          <w:tab w:val="clear" w:pos="567"/>
        </w:tabs>
        <w:autoSpaceDE w:val="0"/>
        <w:autoSpaceDN w:val="0"/>
        <w:adjustRightInd w:val="0"/>
        <w:spacing w:line="240" w:lineRule="auto"/>
        <w:rPr>
          <w:snapToGrid/>
          <w:szCs w:val="22"/>
          <w:lang w:val="hu-HU" w:eastAsia="en-GB"/>
        </w:rPr>
      </w:pPr>
    </w:p>
    <w:p w14:paraId="122D261A"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A 150 mg/nap eltrombopag-dózissal (figyelembe véve az etnikai hovatartozás és az életkor alapján szükséges módosításokat) végzett II. fázisú, refrakter SAA klinikai vizsgálatban (ELT116826) az új </w:t>
      </w:r>
      <w:r>
        <w:rPr>
          <w:rFonts w:eastAsia="TimesNewRomanPSMT"/>
          <w:snapToGrid/>
          <w:szCs w:val="22"/>
          <w:lang w:val="hu-HU" w:eastAsia="en-GB"/>
        </w:rPr>
        <w:t>cytogenetikai rendellenességek incidenciája 22,6% volt (7/31 felnőtt beteg, akik közül 3</w:t>
      </w:r>
      <w:r>
        <w:rPr>
          <w:snapToGrid/>
          <w:szCs w:val="22"/>
          <w:lang w:val="hu-HU" w:eastAsia="en-GB"/>
        </w:rPr>
        <w:t>-nál 7-es kromoszómaelváltozás állt fenn). Mind a 7 betegnél normál cytogenetikai eredmények voltak a vizsgálat megkezdésekor</w:t>
      </w:r>
      <w:r>
        <w:rPr>
          <w:rFonts w:eastAsia="TimesNewRomanPSMT"/>
          <w:snapToGrid/>
          <w:szCs w:val="22"/>
          <w:lang w:val="hu-HU" w:eastAsia="en-GB"/>
        </w:rPr>
        <w:t>. Hat betegnél fordult elő cytogenetikai rendellenesség az eltrombopag</w:t>
      </w:r>
      <w:r>
        <w:rPr>
          <w:snapToGrid/>
          <w:szCs w:val="22"/>
          <w:lang w:val="hu-HU" w:eastAsia="en-GB"/>
        </w:rPr>
        <w:t>terápia 3. hónapjában, egy betegnél pedig a 6. hónapban.</w:t>
      </w:r>
    </w:p>
    <w:p w14:paraId="691B79A7" w14:textId="77777777" w:rsidR="009F5F6A" w:rsidRDefault="009F5F6A">
      <w:pPr>
        <w:tabs>
          <w:tab w:val="clear" w:pos="567"/>
        </w:tabs>
        <w:autoSpaceDE w:val="0"/>
        <w:autoSpaceDN w:val="0"/>
        <w:adjustRightInd w:val="0"/>
        <w:spacing w:line="240" w:lineRule="auto"/>
        <w:rPr>
          <w:snapToGrid/>
          <w:szCs w:val="22"/>
          <w:lang w:val="hu-HU" w:eastAsia="en-GB"/>
        </w:rPr>
      </w:pPr>
    </w:p>
    <w:p w14:paraId="5E16DD13"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Az SAA-ban végzett eltrombopag-kezelés klinikai vizsgálataiban a betegek 4%-ánál (5/133) diagnosztizáltak MDS-t. Az eltrombopag-</w:t>
      </w:r>
      <w:r>
        <w:rPr>
          <w:rFonts w:eastAsia="TimesNewRomanPSMT"/>
          <w:snapToGrid/>
          <w:szCs w:val="22"/>
          <w:lang w:val="hu-HU" w:eastAsia="en-GB"/>
        </w:rPr>
        <w:t xml:space="preserve">kezelés megkezdésétől a diagnózisig eltelt időtartam medián </w:t>
      </w:r>
      <w:r>
        <w:rPr>
          <w:snapToGrid/>
          <w:szCs w:val="22"/>
          <w:lang w:val="hu-HU" w:eastAsia="en-GB"/>
        </w:rPr>
        <w:t>értéke 3 hónap volt.</w:t>
      </w:r>
    </w:p>
    <w:p w14:paraId="2E2C00D7" w14:textId="77777777" w:rsidR="009F5F6A" w:rsidRDefault="009F5F6A">
      <w:pPr>
        <w:tabs>
          <w:tab w:val="clear" w:pos="567"/>
        </w:tabs>
        <w:autoSpaceDE w:val="0"/>
        <w:autoSpaceDN w:val="0"/>
        <w:adjustRightInd w:val="0"/>
        <w:spacing w:line="240" w:lineRule="auto"/>
        <w:rPr>
          <w:snapToGrid/>
          <w:szCs w:val="22"/>
          <w:lang w:val="hu-HU" w:eastAsia="en-GB"/>
        </w:rPr>
      </w:pPr>
    </w:p>
    <w:p w14:paraId="6928F0E6"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Azoknál az SAA-s betegeknél, akik refrakterek a korábbi immunszuppresszív terápiára, vagy </w:t>
      </w:r>
      <w:r>
        <w:rPr>
          <w:rFonts w:eastAsia="TimesNewRomanPSMT"/>
          <w:snapToGrid/>
          <w:szCs w:val="22"/>
          <w:lang w:val="hu-HU" w:eastAsia="en-GB"/>
        </w:rPr>
        <w:t xml:space="preserve">jelentős </w:t>
      </w:r>
      <w:r>
        <w:rPr>
          <w:snapToGrid/>
          <w:szCs w:val="22"/>
          <w:lang w:val="hu-HU" w:eastAsia="en-GB"/>
        </w:rPr>
        <w:t xml:space="preserve">immunszuppresszív </w:t>
      </w:r>
      <w:r>
        <w:rPr>
          <w:rFonts w:eastAsia="TimesNewRomanPSMT"/>
          <w:snapToGrid/>
          <w:szCs w:val="22"/>
          <w:lang w:val="hu-HU" w:eastAsia="en-GB"/>
        </w:rPr>
        <w:t>előkezelésben részesültek, ajánlott csontvelő aspirációval c</w:t>
      </w:r>
      <w:r>
        <w:rPr>
          <w:snapToGrid/>
          <w:szCs w:val="22"/>
          <w:lang w:val="hu-HU" w:eastAsia="en-GB"/>
        </w:rPr>
        <w:t>ytogenetikai vizsgálatot végezni az eltrombopag-kezelés megkezdésekor, majd a kezelés 3. és 6. hónapjában. Új cytogenetikai rendellenesség észlelése esetén értékelni kell, hogy helyes-e az eltrombopag-kezelés folytatása.</w:t>
      </w:r>
    </w:p>
    <w:p w14:paraId="62AE9B9E" w14:textId="77777777" w:rsidR="009F5F6A" w:rsidRDefault="009F5F6A">
      <w:pPr>
        <w:spacing w:line="240" w:lineRule="auto"/>
        <w:rPr>
          <w:lang w:val="hu-HU"/>
        </w:rPr>
      </w:pPr>
    </w:p>
    <w:p w14:paraId="5F94E419"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Szemészeti elváltozások</w:t>
      </w:r>
    </w:p>
    <w:p w14:paraId="6DFF7BE7" w14:textId="77777777" w:rsidR="009F5F6A" w:rsidRDefault="009F5F6A">
      <w:pPr>
        <w:tabs>
          <w:tab w:val="clear" w:pos="567"/>
        </w:tabs>
        <w:autoSpaceDE w:val="0"/>
        <w:autoSpaceDN w:val="0"/>
        <w:adjustRightInd w:val="0"/>
        <w:spacing w:line="240" w:lineRule="auto"/>
        <w:rPr>
          <w:snapToGrid/>
          <w:szCs w:val="22"/>
          <w:lang w:val="hu-HU" w:eastAsia="en-GB"/>
        </w:rPr>
      </w:pPr>
    </w:p>
    <w:p w14:paraId="7D41518A"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Toxikológiai vizsgálatokban az eltrombopag rágcsálóknál szürkehályogot okozott (lásd 5.3 pont). </w:t>
      </w:r>
      <w:r>
        <w:rPr>
          <w:rFonts w:eastAsia="TimesNewRomanPSMT"/>
          <w:snapToGrid/>
          <w:szCs w:val="22"/>
          <w:lang w:val="hu-HU" w:eastAsia="en-GB"/>
        </w:rPr>
        <w:t xml:space="preserve">Interferon alapú kezelésben részesülő, </w:t>
      </w:r>
      <w:r>
        <w:rPr>
          <w:snapToGrid/>
          <w:szCs w:val="22"/>
          <w:lang w:val="hu-HU" w:eastAsia="en-GB"/>
        </w:rPr>
        <w:t>thrombocytopeniás HCV-s betegekkel végzett kontrollos vizsgálatokban (n = 1439), az eltrombopaggal kezelt csoportba tartozók 8%-ánál, illetve a placebóval kezelt csoportba tartozók 5%-</w:t>
      </w:r>
      <w:r>
        <w:rPr>
          <w:rFonts w:eastAsia="TimesNewRomanPSMT"/>
          <w:snapToGrid/>
          <w:szCs w:val="22"/>
          <w:lang w:val="hu-HU" w:eastAsia="en-GB"/>
        </w:rPr>
        <w:t xml:space="preserve">ánál jelentették a meglévő szürkehályog progresszióját vagy </w:t>
      </w:r>
      <w:r>
        <w:rPr>
          <w:snapToGrid/>
          <w:szCs w:val="22"/>
          <w:lang w:val="hu-HU" w:eastAsia="en-GB"/>
        </w:rPr>
        <w:t>következményes szürkehályogot. Retina bevérzéseket, többségében 1-es vagy 2-es fokozatúakat, jelentettek interferont, ribavirint és eltrombopagot kapó HCV-betegek esetén (2% az eltrombopag-csoportban és 2% a placebo</w:t>
      </w:r>
      <w:r>
        <w:rPr>
          <w:rFonts w:eastAsia="TimesNewRomanPSMT"/>
          <w:snapToGrid/>
          <w:szCs w:val="22"/>
          <w:lang w:val="hu-HU" w:eastAsia="en-GB"/>
        </w:rPr>
        <w:t xml:space="preserve">csoportban). Előfordultak vérzések a retina felületén </w:t>
      </w:r>
      <w:r>
        <w:rPr>
          <w:snapToGrid/>
          <w:szCs w:val="22"/>
          <w:lang w:val="hu-HU" w:eastAsia="en-GB"/>
        </w:rPr>
        <w:t xml:space="preserve">(preretinálisan), a retina alatt (subretinalisan) vagy a retina szövetén belül. Ajánlott a betegek </w:t>
      </w:r>
      <w:r>
        <w:rPr>
          <w:rFonts w:eastAsia="TimesNewRomanPSMT"/>
          <w:snapToGrid/>
          <w:szCs w:val="22"/>
          <w:lang w:val="hu-HU" w:eastAsia="en-GB"/>
        </w:rPr>
        <w:t xml:space="preserve">rutinszerű </w:t>
      </w:r>
      <w:r>
        <w:rPr>
          <w:snapToGrid/>
          <w:szCs w:val="22"/>
          <w:lang w:val="hu-HU" w:eastAsia="en-GB"/>
        </w:rPr>
        <w:t xml:space="preserve">szemészeti </w:t>
      </w:r>
      <w:r>
        <w:rPr>
          <w:rFonts w:eastAsia="TimesNewRomanPSMT"/>
          <w:snapToGrid/>
          <w:szCs w:val="22"/>
          <w:lang w:val="hu-HU" w:eastAsia="en-GB"/>
        </w:rPr>
        <w:t>szű</w:t>
      </w:r>
      <w:r>
        <w:rPr>
          <w:snapToGrid/>
          <w:szCs w:val="22"/>
          <w:lang w:val="hu-HU" w:eastAsia="en-GB"/>
        </w:rPr>
        <w:t>rése.</w:t>
      </w:r>
    </w:p>
    <w:p w14:paraId="4DE20874" w14:textId="77777777" w:rsidR="009F5F6A" w:rsidRDefault="009F5F6A">
      <w:pPr>
        <w:spacing w:line="240" w:lineRule="auto"/>
        <w:rPr>
          <w:lang w:val="hu-HU"/>
        </w:rPr>
      </w:pPr>
    </w:p>
    <w:p w14:paraId="736B2494" w14:textId="77777777" w:rsidR="009F5F6A" w:rsidRDefault="00962A10">
      <w:pPr>
        <w:keepNext/>
        <w:keepLines/>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QT/QTc-megnyúlás</w:t>
      </w:r>
    </w:p>
    <w:p w14:paraId="706724D1" w14:textId="77777777" w:rsidR="009F5F6A" w:rsidRDefault="009F5F6A">
      <w:pPr>
        <w:keepNext/>
        <w:keepLines/>
        <w:tabs>
          <w:tab w:val="clear" w:pos="567"/>
        </w:tabs>
        <w:autoSpaceDE w:val="0"/>
        <w:autoSpaceDN w:val="0"/>
        <w:adjustRightInd w:val="0"/>
        <w:spacing w:line="240" w:lineRule="auto"/>
        <w:rPr>
          <w:snapToGrid/>
          <w:szCs w:val="22"/>
          <w:lang w:val="hu-HU" w:eastAsia="en-GB"/>
        </w:rPr>
      </w:pPr>
    </w:p>
    <w:p w14:paraId="3FFC6B39" w14:textId="77777777" w:rsidR="009F5F6A" w:rsidRDefault="00962A10">
      <w:pPr>
        <w:keepNext/>
        <w:keepLines/>
        <w:tabs>
          <w:tab w:val="clear" w:pos="567"/>
        </w:tabs>
        <w:autoSpaceDE w:val="0"/>
        <w:autoSpaceDN w:val="0"/>
        <w:adjustRightInd w:val="0"/>
        <w:spacing w:line="240" w:lineRule="auto"/>
        <w:rPr>
          <w:lang w:val="hu-HU"/>
        </w:rPr>
      </w:pPr>
      <w:r>
        <w:rPr>
          <w:snapToGrid/>
          <w:szCs w:val="22"/>
          <w:lang w:val="hu-HU" w:eastAsia="en-GB"/>
        </w:rPr>
        <w:t xml:space="preserve">Egy egészséges önkénteseket bevonó QTc-vizsgálat, amelyben napi 150 mg eltrombopagot adagoltak, </w:t>
      </w:r>
      <w:r>
        <w:rPr>
          <w:rFonts w:eastAsia="TimesNewRomanPSMT"/>
          <w:snapToGrid/>
          <w:szCs w:val="22"/>
          <w:lang w:val="hu-HU" w:eastAsia="en-GB"/>
        </w:rPr>
        <w:t>nem mutatott a cardialis repolarisatióra gyakorolt, klinikailag számottevő hatást. A QT</w:t>
      </w:r>
      <w:r>
        <w:rPr>
          <w:snapToGrid/>
          <w:szCs w:val="22"/>
          <w:lang w:val="hu-HU" w:eastAsia="en-GB"/>
        </w:rPr>
        <w:t xml:space="preserve">c-menyúlásáról számoltak be ITP-s és thrombocytopeniás HCV-betegekkel végzett klinikai vizsgálatok során. Ezen QTc-megnyúlások </w:t>
      </w:r>
      <w:r>
        <w:rPr>
          <w:rFonts w:eastAsia="TimesNewRomanPSMT"/>
          <w:snapToGrid/>
          <w:szCs w:val="22"/>
          <w:lang w:val="hu-HU" w:eastAsia="en-GB"/>
        </w:rPr>
        <w:t>klinikai jelentősége nem ismert.</w:t>
      </w:r>
    </w:p>
    <w:p w14:paraId="51AA48F1" w14:textId="77777777" w:rsidR="009F5F6A" w:rsidRDefault="009F5F6A">
      <w:pPr>
        <w:spacing w:line="240" w:lineRule="auto"/>
        <w:rPr>
          <w:lang w:val="hu-HU"/>
        </w:rPr>
      </w:pPr>
    </w:p>
    <w:p w14:paraId="0CBD1A39" w14:textId="77777777" w:rsidR="009F5F6A" w:rsidRDefault="00962A10">
      <w:pPr>
        <w:tabs>
          <w:tab w:val="clear" w:pos="567"/>
        </w:tabs>
        <w:autoSpaceDE w:val="0"/>
        <w:autoSpaceDN w:val="0"/>
        <w:adjustRightInd w:val="0"/>
        <w:spacing w:line="240" w:lineRule="auto"/>
        <w:rPr>
          <w:rFonts w:eastAsia="TimesNewRomanPSMT"/>
          <w:snapToGrid/>
          <w:szCs w:val="22"/>
          <w:u w:val="single"/>
          <w:lang w:val="hu-HU" w:eastAsia="en-GB"/>
        </w:rPr>
      </w:pPr>
      <w:r>
        <w:rPr>
          <w:snapToGrid/>
          <w:szCs w:val="22"/>
          <w:u w:val="single"/>
          <w:lang w:val="hu-HU" w:eastAsia="en-GB"/>
        </w:rPr>
        <w:t xml:space="preserve">Az eltrombopagra adott terápiás válasz </w:t>
      </w:r>
      <w:r>
        <w:rPr>
          <w:rFonts w:eastAsia="TimesNewRomanPSMT"/>
          <w:snapToGrid/>
          <w:szCs w:val="22"/>
          <w:u w:val="single"/>
          <w:lang w:val="hu-HU" w:eastAsia="en-GB"/>
        </w:rPr>
        <w:t>megszűnése</w:t>
      </w:r>
    </w:p>
    <w:p w14:paraId="4DA3B9EC" w14:textId="77777777" w:rsidR="009F5F6A" w:rsidRDefault="009F5F6A">
      <w:pPr>
        <w:tabs>
          <w:tab w:val="clear" w:pos="567"/>
        </w:tabs>
        <w:autoSpaceDE w:val="0"/>
        <w:autoSpaceDN w:val="0"/>
        <w:adjustRightInd w:val="0"/>
        <w:spacing w:line="240" w:lineRule="auto"/>
        <w:rPr>
          <w:snapToGrid/>
          <w:szCs w:val="22"/>
          <w:lang w:val="hu-HU" w:eastAsia="en-GB"/>
        </w:rPr>
      </w:pPr>
    </w:p>
    <w:p w14:paraId="1D207BF0"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Ha </w:t>
      </w:r>
      <w:r>
        <w:rPr>
          <w:rFonts w:eastAsia="TimesNewRomanPSMT"/>
          <w:snapToGrid/>
          <w:szCs w:val="22"/>
          <w:lang w:val="hu-HU" w:eastAsia="en-GB"/>
        </w:rPr>
        <w:t xml:space="preserve">megszűnik a </w:t>
      </w:r>
      <w:r>
        <w:rPr>
          <w:snapToGrid/>
          <w:szCs w:val="22"/>
          <w:lang w:val="hu-HU" w:eastAsia="en-GB"/>
        </w:rPr>
        <w:t xml:space="preserve">terápiás válasz, vagy nem sikerül a vérlemezkeszámot az eltrombopag-kezeléssel az ajánlott dózistartományban tartani, </w:t>
      </w:r>
      <w:r>
        <w:rPr>
          <w:rFonts w:eastAsia="TimesNewRomanPSMT"/>
          <w:snapToGrid/>
          <w:szCs w:val="22"/>
          <w:lang w:val="hu-HU" w:eastAsia="en-GB"/>
        </w:rPr>
        <w:t xml:space="preserve">mielőbb </w:t>
      </w:r>
      <w:r>
        <w:rPr>
          <w:snapToGrid/>
          <w:szCs w:val="22"/>
          <w:lang w:val="hu-HU" w:eastAsia="en-GB"/>
        </w:rPr>
        <w:t xml:space="preserve">meg kell keresni a </w:t>
      </w:r>
      <w:r>
        <w:rPr>
          <w:rFonts w:eastAsia="TimesNewRomanPSMT"/>
          <w:snapToGrid/>
          <w:szCs w:val="22"/>
          <w:lang w:val="hu-HU" w:eastAsia="en-GB"/>
        </w:rPr>
        <w:t xml:space="preserve">kiváltó tényezőket, beleértve </w:t>
      </w:r>
      <w:r>
        <w:rPr>
          <w:snapToGrid/>
          <w:szCs w:val="22"/>
          <w:lang w:val="hu-HU" w:eastAsia="en-GB"/>
        </w:rPr>
        <w:t xml:space="preserve">a retikulin </w:t>
      </w:r>
      <w:r>
        <w:rPr>
          <w:rFonts w:eastAsia="TimesNewRomanPSMT"/>
          <w:snapToGrid/>
          <w:szCs w:val="22"/>
          <w:lang w:val="hu-HU" w:eastAsia="en-GB"/>
        </w:rPr>
        <w:t>felszaporodását a csontvelőben</w:t>
      </w:r>
      <w:r>
        <w:rPr>
          <w:snapToGrid/>
          <w:szCs w:val="22"/>
          <w:lang w:val="hu-HU" w:eastAsia="en-GB"/>
        </w:rPr>
        <w:t>.</w:t>
      </w:r>
    </w:p>
    <w:p w14:paraId="023F5A91" w14:textId="77777777" w:rsidR="009F5F6A" w:rsidRDefault="009F5F6A">
      <w:pPr>
        <w:spacing w:line="240" w:lineRule="auto"/>
        <w:rPr>
          <w:lang w:val="hu-HU"/>
        </w:rPr>
      </w:pPr>
    </w:p>
    <w:p w14:paraId="53821EE0" w14:textId="77777777" w:rsidR="009F5F6A" w:rsidRDefault="00962A10">
      <w:pPr>
        <w:spacing w:line="240" w:lineRule="auto"/>
        <w:rPr>
          <w:u w:val="single"/>
          <w:lang w:val="hu-HU"/>
        </w:rPr>
      </w:pPr>
      <w:r>
        <w:rPr>
          <w:u w:val="single"/>
          <w:lang w:val="hu-HU"/>
        </w:rPr>
        <w:t>Gyermekek és serdülők</w:t>
      </w:r>
    </w:p>
    <w:p w14:paraId="41E76C0A" w14:textId="77777777" w:rsidR="009F5F6A" w:rsidRDefault="009F5F6A">
      <w:pPr>
        <w:spacing w:line="240" w:lineRule="auto"/>
        <w:rPr>
          <w:lang w:val="hu-HU"/>
        </w:rPr>
      </w:pPr>
    </w:p>
    <w:p w14:paraId="6628A55B" w14:textId="77777777" w:rsidR="009F5F6A" w:rsidRDefault="00962A10">
      <w:pPr>
        <w:spacing w:line="240" w:lineRule="auto"/>
        <w:rPr>
          <w:snapToGrid/>
          <w:szCs w:val="22"/>
          <w:lang w:val="hu-HU" w:eastAsia="en-GB"/>
        </w:rPr>
      </w:pPr>
      <w:r>
        <w:rPr>
          <w:snapToGrid/>
          <w:szCs w:val="22"/>
          <w:lang w:val="hu-HU" w:eastAsia="en-GB"/>
        </w:rPr>
        <w:t>Az ITP-vel kapcsolatos fenti figyelmeztetések és óvintézkedések érvényesek gyermekek esetében is.</w:t>
      </w:r>
    </w:p>
    <w:p w14:paraId="405C7936" w14:textId="77777777" w:rsidR="009F5F6A" w:rsidRDefault="009F5F6A">
      <w:pPr>
        <w:spacing w:line="240" w:lineRule="auto"/>
        <w:rPr>
          <w:snapToGrid/>
          <w:szCs w:val="22"/>
          <w:lang w:val="hu-HU" w:eastAsia="en-GB"/>
        </w:rPr>
      </w:pPr>
    </w:p>
    <w:p w14:paraId="36A2EEB3"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Laboratóriumi vizsgálatokra gyakorolt hatás</w:t>
      </w:r>
    </w:p>
    <w:p w14:paraId="23AC19F4"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1C6C5FB6" w14:textId="77777777" w:rsidR="009F5F6A" w:rsidRDefault="00962A10">
      <w:pPr>
        <w:tabs>
          <w:tab w:val="clear" w:pos="567"/>
        </w:tabs>
        <w:autoSpaceDE w:val="0"/>
        <w:autoSpaceDN w:val="0"/>
        <w:adjustRightInd w:val="0"/>
        <w:spacing w:line="240" w:lineRule="auto"/>
        <w:rPr>
          <w:snapToGrid/>
          <w:szCs w:val="22"/>
          <w:lang w:val="hu-HU" w:eastAsia="en-GB"/>
        </w:rPr>
      </w:pPr>
      <w:r>
        <w:rPr>
          <w:rFonts w:eastAsia="TimesNewRomanPSMT"/>
          <w:snapToGrid/>
          <w:szCs w:val="22"/>
          <w:lang w:val="hu-HU" w:eastAsia="en-GB"/>
        </w:rPr>
        <w:t>Az eltrombopag erőteljes</w:t>
      </w:r>
      <w:r>
        <w:rPr>
          <w:snapToGrid/>
          <w:szCs w:val="22"/>
          <w:lang w:val="hu-HU" w:eastAsia="en-GB"/>
        </w:rPr>
        <w:t>en színezett, így várható, hogy bizonyos laboratóriumi vizsgálatokra hatással lehet. Eltrombopagot</w:t>
      </w:r>
      <w:r>
        <w:rPr>
          <w:rFonts w:eastAsia="TimesNewRomanPSMT"/>
          <w:snapToGrid/>
          <w:szCs w:val="22"/>
          <w:lang w:val="hu-HU" w:eastAsia="en-GB"/>
        </w:rPr>
        <w:t xml:space="preserve"> szedő betegeknél </w:t>
      </w:r>
      <w:r>
        <w:rPr>
          <w:snapToGrid/>
          <w:szCs w:val="22"/>
          <w:lang w:val="hu-HU" w:eastAsia="en-GB"/>
        </w:rPr>
        <w:t xml:space="preserve">arról számoltak be, hogy a </w:t>
      </w:r>
      <w:r>
        <w:rPr>
          <w:rFonts w:eastAsia="TimesNewRomanPSMT"/>
          <w:snapToGrid/>
          <w:szCs w:val="22"/>
          <w:lang w:val="hu-HU" w:eastAsia="en-GB"/>
        </w:rPr>
        <w:t xml:space="preserve">gyógyszer a szérum elszíneződését </w:t>
      </w:r>
      <w:r>
        <w:rPr>
          <w:snapToGrid/>
          <w:szCs w:val="22"/>
          <w:lang w:val="hu-HU" w:eastAsia="en-GB"/>
        </w:rPr>
        <w:t xml:space="preserve">okozhatja, és zavarhatja az összbilirubin-, illetve a szérum kreatinin vizsgálatokat. Amennyiben a laboratóriumi eredmények és a klinikai megfigyelések inkonzisztensek, egy ismételt vizsgálat más </w:t>
      </w:r>
      <w:r>
        <w:rPr>
          <w:rFonts w:eastAsia="TimesNewRomanPSMT"/>
          <w:snapToGrid/>
          <w:szCs w:val="22"/>
          <w:lang w:val="hu-HU" w:eastAsia="en-GB"/>
        </w:rPr>
        <w:t xml:space="preserve">módszerrel történő </w:t>
      </w:r>
      <w:r>
        <w:rPr>
          <w:snapToGrid/>
          <w:szCs w:val="22"/>
          <w:lang w:val="hu-HU" w:eastAsia="en-GB"/>
        </w:rPr>
        <w:t>elvégzése segíthet meghatározni az eredmény validitását.</w:t>
      </w:r>
    </w:p>
    <w:p w14:paraId="04A09A32" w14:textId="77777777" w:rsidR="009F5F6A" w:rsidRDefault="009F5F6A">
      <w:pPr>
        <w:spacing w:line="240" w:lineRule="auto"/>
        <w:rPr>
          <w:lang w:val="hu-HU"/>
        </w:rPr>
      </w:pPr>
    </w:p>
    <w:p w14:paraId="204811CF"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Nátriumtartalom</w:t>
      </w:r>
    </w:p>
    <w:p w14:paraId="07DFFB09" w14:textId="77777777" w:rsidR="009F5F6A" w:rsidRDefault="009F5F6A">
      <w:pPr>
        <w:tabs>
          <w:tab w:val="clear" w:pos="567"/>
        </w:tabs>
        <w:autoSpaceDE w:val="0"/>
        <w:autoSpaceDN w:val="0"/>
        <w:adjustRightInd w:val="0"/>
        <w:spacing w:line="240" w:lineRule="auto"/>
        <w:rPr>
          <w:snapToGrid/>
          <w:szCs w:val="22"/>
          <w:lang w:val="hu-HU" w:eastAsia="en-GB"/>
        </w:rPr>
      </w:pPr>
    </w:p>
    <w:p w14:paraId="36AE2AAA"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A készítmény </w:t>
      </w:r>
      <w:proofErr w:type="gramStart"/>
      <w:r>
        <w:rPr>
          <w:snapToGrid/>
          <w:szCs w:val="22"/>
          <w:lang w:val="hu-HU" w:eastAsia="en-GB"/>
        </w:rPr>
        <w:t>kevesebb</w:t>
      </w:r>
      <w:proofErr w:type="gramEnd"/>
      <w:r>
        <w:rPr>
          <w:snapToGrid/>
          <w:szCs w:val="22"/>
          <w:lang w:val="hu-HU" w:eastAsia="en-GB"/>
        </w:rPr>
        <w:t xml:space="preserve"> mint 1 mmol (23 mg) nátriumot tartalmaz filmtablettánként, azaz </w:t>
      </w:r>
      <w:r>
        <w:rPr>
          <w:rFonts w:eastAsia="TimesNewRomanPSMT"/>
          <w:snapToGrid/>
          <w:szCs w:val="22"/>
          <w:lang w:val="hu-HU" w:eastAsia="en-GB"/>
        </w:rPr>
        <w:t>gyakorlatilag „nátriummentes”.</w:t>
      </w:r>
    </w:p>
    <w:p w14:paraId="52A77D8B" w14:textId="77777777" w:rsidR="009F5F6A" w:rsidRDefault="009F5F6A">
      <w:pPr>
        <w:spacing w:line="240" w:lineRule="auto"/>
        <w:rPr>
          <w:lang w:val="hu-HU"/>
        </w:rPr>
      </w:pPr>
    </w:p>
    <w:p w14:paraId="7E8829C4"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4.5</w:t>
      </w:r>
      <w:r>
        <w:rPr>
          <w:rFonts w:eastAsia="Times New Roman"/>
          <w:b/>
          <w:noProof/>
          <w:snapToGrid/>
          <w:szCs w:val="22"/>
          <w:lang w:val="hu-HU" w:eastAsia="en-US"/>
        </w:rPr>
        <w:tab/>
        <w:t>Gyógyszerkölcsönhatások és egyéb interakciók</w:t>
      </w:r>
    </w:p>
    <w:p w14:paraId="48B7301A" w14:textId="77777777" w:rsidR="009F5F6A" w:rsidRDefault="009F5F6A">
      <w:pPr>
        <w:spacing w:line="240" w:lineRule="auto"/>
        <w:rPr>
          <w:rFonts w:eastAsia="Times New Roman"/>
          <w:noProof/>
          <w:snapToGrid/>
          <w:szCs w:val="22"/>
          <w:lang w:val="hu-HU" w:eastAsia="en-US"/>
        </w:rPr>
      </w:pPr>
    </w:p>
    <w:p w14:paraId="36BD1E80"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Az eltrombopag hatása más gyógyszerekre</w:t>
      </w:r>
    </w:p>
    <w:p w14:paraId="1047F22A" w14:textId="77777777" w:rsidR="009F5F6A" w:rsidRDefault="009F5F6A">
      <w:pPr>
        <w:tabs>
          <w:tab w:val="clear" w:pos="567"/>
        </w:tabs>
        <w:autoSpaceDE w:val="0"/>
        <w:autoSpaceDN w:val="0"/>
        <w:adjustRightInd w:val="0"/>
        <w:spacing w:line="240" w:lineRule="auto"/>
        <w:rPr>
          <w:i/>
          <w:iCs/>
          <w:snapToGrid/>
          <w:szCs w:val="22"/>
          <w:lang w:val="hu-HU" w:eastAsia="en-GB"/>
        </w:rPr>
      </w:pPr>
    </w:p>
    <w:p w14:paraId="3321EAAF"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HMG CoA-reduktázgátlók</w:t>
      </w:r>
    </w:p>
    <w:p w14:paraId="3735029B" w14:textId="77777777" w:rsidR="009F5F6A" w:rsidRDefault="009F5F6A">
      <w:pPr>
        <w:tabs>
          <w:tab w:val="clear" w:pos="567"/>
        </w:tabs>
        <w:autoSpaceDE w:val="0"/>
        <w:autoSpaceDN w:val="0"/>
        <w:adjustRightInd w:val="0"/>
        <w:spacing w:line="240" w:lineRule="auto"/>
        <w:rPr>
          <w:snapToGrid/>
          <w:szCs w:val="22"/>
          <w:lang w:val="hu-HU" w:eastAsia="en-GB"/>
        </w:rPr>
      </w:pPr>
    </w:p>
    <w:p w14:paraId="07B1D5A5"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Napi egyszeri 75 mg eltrombopag az OATP1B1 és BCRP-szubsztrát rozuvasztatin egyszeri 10 mg adagjával együtt adva 5 napon át 39 egészséges </w:t>
      </w:r>
      <w:r>
        <w:rPr>
          <w:rFonts w:eastAsia="TimesNewRomanPSMT"/>
          <w:snapToGrid/>
          <w:szCs w:val="22"/>
          <w:lang w:val="hu-HU" w:eastAsia="en-GB"/>
        </w:rPr>
        <w:t xml:space="preserve">felnőttnek, </w:t>
      </w:r>
      <w:r>
        <w:rPr>
          <w:snapToGrid/>
          <w:szCs w:val="22"/>
          <w:lang w:val="hu-HU" w:eastAsia="en-GB"/>
        </w:rPr>
        <w:t>103%-kal növelte a plazma rozuvasztatin C</w:t>
      </w:r>
      <w:r>
        <w:rPr>
          <w:snapToGrid/>
          <w:sz w:val="14"/>
          <w:szCs w:val="14"/>
          <w:lang w:val="hu-HU" w:eastAsia="en-GB"/>
        </w:rPr>
        <w:t>max</w:t>
      </w:r>
      <w:r>
        <w:rPr>
          <w:snapToGrid/>
          <w:szCs w:val="22"/>
          <w:lang w:val="hu-HU" w:eastAsia="en-GB"/>
        </w:rPr>
        <w:t>-értékét (90%-os CI: 82%, 126%) és 55%-kal az AUC</w:t>
      </w:r>
      <w:r>
        <w:rPr>
          <w:snapToGrid/>
          <w:sz w:val="14"/>
          <w:szCs w:val="14"/>
          <w:lang w:val="hu-HU" w:eastAsia="en-GB"/>
        </w:rPr>
        <w:t>0-∞</w:t>
      </w:r>
      <w:r>
        <w:rPr>
          <w:snapToGrid/>
          <w:szCs w:val="22"/>
          <w:lang w:val="hu-HU" w:eastAsia="en-GB"/>
        </w:rPr>
        <w:t xml:space="preserve">-értékét (90%-os konfidencia intervallum [CI]: 42%, 69%). Kölcsönhatásokra számítani lehet más HMG-CoA-reduktázgátlókkal is, beleértve az atorvasztatint, fluvasztatint, lovasztatint, pravasztatint és a szimvasztatint. Eltrombopaggal </w:t>
      </w:r>
      <w:r>
        <w:rPr>
          <w:rFonts w:eastAsia="TimesNewRomanPSMT"/>
          <w:snapToGrid/>
          <w:szCs w:val="22"/>
          <w:lang w:val="hu-HU" w:eastAsia="en-GB"/>
        </w:rPr>
        <w:t xml:space="preserve">történő egyidejű </w:t>
      </w:r>
      <w:r>
        <w:rPr>
          <w:snapToGrid/>
          <w:szCs w:val="22"/>
          <w:lang w:val="hu-HU" w:eastAsia="en-GB"/>
        </w:rPr>
        <w:t>alkalmazás esetén mérlegelni kell a sztatinok dózisának csökkentését, és gondosan monotorozni kell azok mellékhatásait (lásd 5.2 pont).</w:t>
      </w:r>
    </w:p>
    <w:p w14:paraId="4C5DCC8B"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457CD3C7"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OATP1B1 és BCRP-szubsztrátok</w:t>
      </w:r>
    </w:p>
    <w:p w14:paraId="60D5469E" w14:textId="77777777" w:rsidR="009F5F6A" w:rsidRDefault="009F5F6A">
      <w:pPr>
        <w:tabs>
          <w:tab w:val="clear" w:pos="567"/>
        </w:tabs>
        <w:autoSpaceDE w:val="0"/>
        <w:autoSpaceDN w:val="0"/>
        <w:adjustRightInd w:val="0"/>
        <w:spacing w:line="240" w:lineRule="auto"/>
        <w:rPr>
          <w:snapToGrid/>
          <w:szCs w:val="22"/>
          <w:lang w:val="hu-HU" w:eastAsia="en-GB"/>
        </w:rPr>
      </w:pPr>
    </w:p>
    <w:p w14:paraId="7103069E"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Eltrombopag és OATP1B1 (pl. metotrexát), valamint BCRP- (pl. topotekán és metotrexát) szubsztrát</w:t>
      </w:r>
      <w:r>
        <w:rPr>
          <w:rFonts w:eastAsia="TimesNewRomanPSMT"/>
          <w:snapToGrid/>
          <w:szCs w:val="22"/>
          <w:lang w:val="hu-HU" w:eastAsia="en-GB"/>
        </w:rPr>
        <w:t xml:space="preserve">ok együttes alkalmazásakor körültekintően kell eljárni </w:t>
      </w:r>
      <w:r>
        <w:rPr>
          <w:snapToGrid/>
          <w:szCs w:val="22"/>
          <w:lang w:val="hu-HU" w:eastAsia="en-GB"/>
        </w:rPr>
        <w:t>(lásd 5.2 pont).</w:t>
      </w:r>
    </w:p>
    <w:p w14:paraId="1C21D8D5"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5988198D"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Citokróm P450-szubsztrátok</w:t>
      </w:r>
    </w:p>
    <w:p w14:paraId="55491C93" w14:textId="77777777" w:rsidR="009F5F6A" w:rsidRDefault="009F5F6A">
      <w:pPr>
        <w:tabs>
          <w:tab w:val="clear" w:pos="567"/>
        </w:tabs>
        <w:autoSpaceDE w:val="0"/>
        <w:autoSpaceDN w:val="0"/>
        <w:adjustRightInd w:val="0"/>
        <w:spacing w:line="240" w:lineRule="auto"/>
        <w:rPr>
          <w:snapToGrid/>
          <w:szCs w:val="22"/>
          <w:lang w:val="hu-HU" w:eastAsia="en-GB"/>
        </w:rPr>
      </w:pPr>
    </w:p>
    <w:p w14:paraId="70DA11E2"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Emberi májmikroszómákkal végzett vizsgálatokban az eltrombopag (100 </w:t>
      </w:r>
      <w:r>
        <w:rPr>
          <w:iCs/>
          <w:szCs w:val="22"/>
          <w:lang w:val="hu-HU" w:eastAsia="en-US"/>
        </w:rPr>
        <w:t>µ</w:t>
      </w:r>
      <w:r>
        <w:rPr>
          <w:snapToGrid/>
          <w:szCs w:val="22"/>
          <w:lang w:val="hu-HU" w:eastAsia="en-GB"/>
        </w:rPr>
        <w:t xml:space="preserve">M-ig) </w:t>
      </w:r>
      <w:r>
        <w:rPr>
          <w:i/>
          <w:iCs/>
          <w:snapToGrid/>
          <w:szCs w:val="22"/>
          <w:lang w:val="hu-HU" w:eastAsia="en-GB"/>
        </w:rPr>
        <w:t xml:space="preserve">in vitro </w:t>
      </w:r>
      <w:r>
        <w:rPr>
          <w:snapToGrid/>
          <w:szCs w:val="22"/>
          <w:lang w:val="hu-HU" w:eastAsia="en-GB"/>
        </w:rPr>
        <w:t xml:space="preserve">nem gátolta az 1A2, 2A6, 2C19, 2D6, 2E1, 3A4/5, és 4A9/11 CYP450 enzimeket, továbbá paklitaxel és diklofenak teszt szubsztrátumok használata esetén a CYP2C8 és CYP2C9 inhibitora volt. 7 napon át, naponta egyszeri 75 mg eltrombopag, 24 egészséges férfi önkéntesnek adva, nem gátolta és nem is indukálta az 1A2 (koffein), a 2C19 (omeprazol), a 2C9 (flurbiprofen) vagy a 3A4 (midazolam) próbaszubtrátjainak metabolizmusát embernél. Az eltrombopag és a CYP450-szubsztrátjainak </w:t>
      </w:r>
      <w:r>
        <w:rPr>
          <w:rFonts w:eastAsia="TimesNewRomanPSMT"/>
          <w:snapToGrid/>
          <w:szCs w:val="22"/>
          <w:lang w:val="hu-HU" w:eastAsia="en-GB"/>
        </w:rPr>
        <w:t xml:space="preserve">egyidejű alkalmazása esetén nem várható klinikailag jelentős kölcsönhatás </w:t>
      </w:r>
      <w:r>
        <w:rPr>
          <w:snapToGrid/>
          <w:szCs w:val="22"/>
          <w:lang w:val="hu-HU" w:eastAsia="en-GB"/>
        </w:rPr>
        <w:t>(lásd 5.2 pont).</w:t>
      </w:r>
    </w:p>
    <w:p w14:paraId="78ED0D2D"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391F5DC6" w14:textId="77777777" w:rsidR="009F5F6A" w:rsidRDefault="00962A10">
      <w:pPr>
        <w:keepNext/>
        <w:keepLines/>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HCV-proteázgátlók</w:t>
      </w:r>
    </w:p>
    <w:p w14:paraId="035D5A76" w14:textId="77777777" w:rsidR="009F5F6A" w:rsidRDefault="009F5F6A">
      <w:pPr>
        <w:keepNext/>
        <w:keepLines/>
        <w:tabs>
          <w:tab w:val="clear" w:pos="567"/>
        </w:tabs>
        <w:autoSpaceDE w:val="0"/>
        <w:autoSpaceDN w:val="0"/>
        <w:adjustRightInd w:val="0"/>
        <w:spacing w:line="240" w:lineRule="auto"/>
        <w:rPr>
          <w:snapToGrid/>
          <w:szCs w:val="22"/>
          <w:lang w:val="hu-HU" w:eastAsia="en-GB"/>
        </w:rPr>
      </w:pPr>
    </w:p>
    <w:p w14:paraId="2F641911" w14:textId="77777777" w:rsidR="009F5F6A" w:rsidRDefault="00962A10">
      <w:pPr>
        <w:keepNext/>
        <w:keepLines/>
        <w:tabs>
          <w:tab w:val="clear" w:pos="567"/>
        </w:tabs>
        <w:autoSpaceDE w:val="0"/>
        <w:autoSpaceDN w:val="0"/>
        <w:adjustRightInd w:val="0"/>
        <w:spacing w:line="240" w:lineRule="auto"/>
        <w:rPr>
          <w:snapToGrid/>
          <w:szCs w:val="22"/>
          <w:lang w:val="hu-HU" w:eastAsia="en-GB"/>
        </w:rPr>
      </w:pPr>
      <w:r>
        <w:rPr>
          <w:snapToGrid/>
          <w:szCs w:val="22"/>
          <w:lang w:val="hu-HU" w:eastAsia="en-GB"/>
        </w:rPr>
        <w:t>Nincs szükség dózismódosításra, ha az eltrombopagot telaprevirrel vagy boceprevirrel adják együtt. Egyszeri 200 mg eltrombopag 8 óránként ismételt 750 mg telapre</w:t>
      </w:r>
      <w:r>
        <w:rPr>
          <w:rFonts w:eastAsia="TimesNewRomanPSMT"/>
          <w:snapToGrid/>
          <w:szCs w:val="22"/>
          <w:lang w:val="hu-HU" w:eastAsia="en-GB"/>
        </w:rPr>
        <w:t xml:space="preserve">virrel való egyidejű alkalmazása nem </w:t>
      </w:r>
      <w:r>
        <w:rPr>
          <w:snapToGrid/>
          <w:szCs w:val="22"/>
          <w:lang w:val="hu-HU" w:eastAsia="en-GB"/>
        </w:rPr>
        <w:t>változtatta meg a telaprevir plazma expozícióját.</w:t>
      </w:r>
    </w:p>
    <w:p w14:paraId="2E225D7F" w14:textId="77777777" w:rsidR="009F5F6A" w:rsidRDefault="009F5F6A">
      <w:pPr>
        <w:tabs>
          <w:tab w:val="clear" w:pos="567"/>
        </w:tabs>
        <w:autoSpaceDE w:val="0"/>
        <w:autoSpaceDN w:val="0"/>
        <w:adjustRightInd w:val="0"/>
        <w:spacing w:line="240" w:lineRule="auto"/>
        <w:rPr>
          <w:snapToGrid/>
          <w:szCs w:val="22"/>
          <w:lang w:val="hu-HU" w:eastAsia="en-GB"/>
        </w:rPr>
      </w:pPr>
    </w:p>
    <w:p w14:paraId="77698D14"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Egyszeri 200 mg eltrombopag 8 óránként ismételt 800 </w:t>
      </w:r>
      <w:r>
        <w:rPr>
          <w:rFonts w:eastAsia="TimesNewRomanPSMT"/>
          <w:snapToGrid/>
          <w:szCs w:val="22"/>
          <w:lang w:val="hu-HU" w:eastAsia="en-GB"/>
        </w:rPr>
        <w:t xml:space="preserve">mg boceprevirrel való egyidejű alkalmazása </w:t>
      </w:r>
      <w:r>
        <w:rPr>
          <w:snapToGrid/>
          <w:szCs w:val="22"/>
          <w:lang w:val="hu-HU" w:eastAsia="en-GB"/>
        </w:rPr>
        <w:t xml:space="preserve">nem változtatta meg a boceprevir </w:t>
      </w:r>
      <w:proofErr w:type="gramStart"/>
      <w:r>
        <w:rPr>
          <w:snapToGrid/>
          <w:szCs w:val="22"/>
          <w:lang w:val="hu-HU" w:eastAsia="en-GB"/>
        </w:rPr>
        <w:t>AUC</w:t>
      </w:r>
      <w:r>
        <w:rPr>
          <w:snapToGrid/>
          <w:sz w:val="14"/>
          <w:szCs w:val="14"/>
          <w:lang w:val="hu-HU" w:eastAsia="en-GB"/>
        </w:rPr>
        <w:t>(</w:t>
      </w:r>
      <w:proofErr w:type="gramEnd"/>
      <w:r>
        <w:rPr>
          <w:snapToGrid/>
          <w:sz w:val="14"/>
          <w:szCs w:val="14"/>
          <w:lang w:val="hu-HU" w:eastAsia="en-GB"/>
        </w:rPr>
        <w:t>0-τ)</w:t>
      </w:r>
      <w:r>
        <w:rPr>
          <w:snapToGrid/>
          <w:szCs w:val="22"/>
          <w:lang w:val="hu-HU" w:eastAsia="en-GB"/>
        </w:rPr>
        <w:t>-értékét, azonban a C</w:t>
      </w:r>
      <w:r>
        <w:rPr>
          <w:snapToGrid/>
          <w:sz w:val="14"/>
          <w:szCs w:val="14"/>
          <w:lang w:val="hu-HU" w:eastAsia="en-GB"/>
        </w:rPr>
        <w:t>max</w:t>
      </w:r>
      <w:r>
        <w:rPr>
          <w:snapToGrid/>
          <w:szCs w:val="22"/>
          <w:lang w:val="hu-HU" w:eastAsia="en-GB"/>
        </w:rPr>
        <w:t>-ot 20%-kal növelte, míg a C</w:t>
      </w:r>
      <w:r>
        <w:rPr>
          <w:snapToGrid/>
          <w:sz w:val="14"/>
          <w:szCs w:val="14"/>
          <w:lang w:val="hu-HU" w:eastAsia="en-GB"/>
        </w:rPr>
        <w:t>min</w:t>
      </w:r>
      <w:r>
        <w:rPr>
          <w:snapToGrid/>
          <w:szCs w:val="22"/>
          <w:lang w:val="hu-HU" w:eastAsia="en-GB"/>
        </w:rPr>
        <w:t>-t 32%-kal csökkentette. A C</w:t>
      </w:r>
      <w:r>
        <w:rPr>
          <w:snapToGrid/>
          <w:sz w:val="14"/>
          <w:szCs w:val="14"/>
          <w:lang w:val="hu-HU" w:eastAsia="en-GB"/>
        </w:rPr>
        <w:t xml:space="preserve">min </w:t>
      </w:r>
      <w:r>
        <w:rPr>
          <w:rFonts w:eastAsia="TimesNewRomanPSMT"/>
          <w:snapToGrid/>
          <w:szCs w:val="22"/>
          <w:lang w:val="hu-HU" w:eastAsia="en-GB"/>
        </w:rPr>
        <w:t xml:space="preserve">csökkenésének klinikai jelentőségét nem igazolták. A </w:t>
      </w:r>
      <w:r>
        <w:rPr>
          <w:snapToGrid/>
          <w:szCs w:val="22"/>
          <w:lang w:val="hu-HU" w:eastAsia="en-GB"/>
        </w:rPr>
        <w:t>HCV-</w:t>
      </w:r>
      <w:r>
        <w:rPr>
          <w:rFonts w:eastAsia="TimesNewRomanPSMT"/>
          <w:snapToGrid/>
          <w:szCs w:val="22"/>
          <w:lang w:val="hu-HU" w:eastAsia="en-GB"/>
        </w:rPr>
        <w:t>szuppresszió fokozott klinikai és laboratóriumi ellenőrzése javasolt.</w:t>
      </w:r>
    </w:p>
    <w:p w14:paraId="27561E18"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2DCD52DD"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Egyéb gyógyszerek hatása az eltrombopagra</w:t>
      </w:r>
    </w:p>
    <w:p w14:paraId="38F0C173" w14:textId="77777777" w:rsidR="009F5F6A" w:rsidRDefault="009F5F6A">
      <w:pPr>
        <w:tabs>
          <w:tab w:val="clear" w:pos="567"/>
        </w:tabs>
        <w:autoSpaceDE w:val="0"/>
        <w:autoSpaceDN w:val="0"/>
        <w:adjustRightInd w:val="0"/>
        <w:spacing w:line="240" w:lineRule="auto"/>
        <w:rPr>
          <w:i/>
          <w:iCs/>
          <w:snapToGrid/>
          <w:szCs w:val="22"/>
          <w:lang w:val="hu-HU" w:eastAsia="en-GB"/>
        </w:rPr>
      </w:pPr>
    </w:p>
    <w:p w14:paraId="073A3877"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Ciklosporin</w:t>
      </w:r>
    </w:p>
    <w:p w14:paraId="5F94DEFB" w14:textId="77777777" w:rsidR="009F5F6A" w:rsidRDefault="009F5F6A">
      <w:pPr>
        <w:tabs>
          <w:tab w:val="clear" w:pos="567"/>
        </w:tabs>
        <w:autoSpaceDE w:val="0"/>
        <w:autoSpaceDN w:val="0"/>
        <w:adjustRightInd w:val="0"/>
        <w:spacing w:line="240" w:lineRule="auto"/>
        <w:rPr>
          <w:snapToGrid/>
          <w:szCs w:val="22"/>
          <w:lang w:val="hu-HU" w:eastAsia="en-GB"/>
        </w:rPr>
      </w:pPr>
    </w:p>
    <w:p w14:paraId="6D3B3466"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200 mg és 600 mg ciklosporin (BCRP inhibitor), illetve eltrombopag együttes adása során az eltrombopag expozíciójának csökkenését észlelték. A 200 mg ciklosporin együttes alkalmazása 25%-kal csökkentette az eltrombopag C</w:t>
      </w:r>
      <w:r>
        <w:rPr>
          <w:snapToGrid/>
          <w:sz w:val="14"/>
          <w:szCs w:val="14"/>
          <w:lang w:val="hu-HU" w:eastAsia="en-GB"/>
        </w:rPr>
        <w:t>max</w:t>
      </w:r>
      <w:r>
        <w:rPr>
          <w:snapToGrid/>
          <w:szCs w:val="22"/>
          <w:lang w:val="hu-HU" w:eastAsia="en-GB"/>
        </w:rPr>
        <w:t>- és 18%-kal az AUC</w:t>
      </w:r>
      <w:r>
        <w:rPr>
          <w:snapToGrid/>
          <w:sz w:val="14"/>
          <w:szCs w:val="14"/>
          <w:lang w:val="hu-HU" w:eastAsia="en-GB"/>
        </w:rPr>
        <w:t>0-∞</w:t>
      </w:r>
      <w:r>
        <w:rPr>
          <w:snapToGrid/>
          <w:szCs w:val="22"/>
          <w:lang w:val="hu-HU" w:eastAsia="en-GB"/>
        </w:rPr>
        <w:t>-értékét. A 600 mg ciklosporin együttes alkalmazása 39%-kal csökkentette az eltrombopag C</w:t>
      </w:r>
      <w:r>
        <w:rPr>
          <w:snapToGrid/>
          <w:sz w:val="14"/>
          <w:szCs w:val="14"/>
          <w:lang w:val="hu-HU" w:eastAsia="en-GB"/>
        </w:rPr>
        <w:t>max</w:t>
      </w:r>
      <w:r>
        <w:rPr>
          <w:snapToGrid/>
          <w:szCs w:val="22"/>
          <w:lang w:val="hu-HU" w:eastAsia="en-GB"/>
        </w:rPr>
        <w:t>- és 24%-kal az AUC</w:t>
      </w:r>
      <w:r>
        <w:rPr>
          <w:snapToGrid/>
          <w:sz w:val="14"/>
          <w:szCs w:val="14"/>
          <w:lang w:val="hu-HU" w:eastAsia="en-GB"/>
        </w:rPr>
        <w:t>0-∞</w:t>
      </w:r>
      <w:r>
        <w:rPr>
          <w:snapToGrid/>
          <w:szCs w:val="22"/>
          <w:lang w:val="hu-HU" w:eastAsia="en-GB"/>
        </w:rPr>
        <w:t xml:space="preserve">-értékét. A kezelés során az eltrombopag dózismódosítása a beteg vérlemezkeszáma alapján engedélyezett (lásd 4.2 pont). Ha az eltrombopagot ciklsoporinnal együttesen alkalmazzák, a vérlemezkeszámot 2-3 héten </w:t>
      </w:r>
      <w:r>
        <w:rPr>
          <w:rFonts w:eastAsia="TimesNewRomanPSMT"/>
          <w:snapToGrid/>
          <w:szCs w:val="22"/>
          <w:lang w:val="hu-HU" w:eastAsia="en-GB"/>
        </w:rPr>
        <w:t xml:space="preserve">keresztül legalább hetente kell ellenőrizni. A vérlemezkeszám alapján szükségessé válhat az </w:t>
      </w:r>
      <w:r>
        <w:rPr>
          <w:snapToGrid/>
          <w:szCs w:val="22"/>
          <w:lang w:val="hu-HU" w:eastAsia="en-GB"/>
        </w:rPr>
        <w:t>eltrombopag dózisának növelése.</w:t>
      </w:r>
    </w:p>
    <w:p w14:paraId="13561881"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68F6D29F"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Polivalens kationok (kelátképzés)</w:t>
      </w:r>
    </w:p>
    <w:p w14:paraId="5FFAFBB8" w14:textId="77777777" w:rsidR="009F5F6A" w:rsidRDefault="009F5F6A">
      <w:pPr>
        <w:tabs>
          <w:tab w:val="clear" w:pos="567"/>
        </w:tabs>
        <w:autoSpaceDE w:val="0"/>
        <w:autoSpaceDN w:val="0"/>
        <w:adjustRightInd w:val="0"/>
        <w:spacing w:line="240" w:lineRule="auto"/>
        <w:rPr>
          <w:snapToGrid/>
          <w:szCs w:val="22"/>
          <w:u w:val="single"/>
          <w:lang w:val="hu-HU" w:eastAsia="en-GB"/>
        </w:rPr>
      </w:pPr>
    </w:p>
    <w:p w14:paraId="3A97B981"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Az eltrombopag kelátot képez a polivalens kationokkal, így a vassal, a kalciummal, a magnéziummal, az alumíniummal, a szelénnel és a cinkkel. Egyetlen 75 mg-os eltrombopag adag és egy polivalens kationt tartalmazó antacid (1524 mg alumínium-hidroxid és 1425 mg magnézium-karbonát) együttes adásakor 70%-kal csökkent a plazma-eltrombopag-AUC</w:t>
      </w:r>
      <w:r>
        <w:rPr>
          <w:snapToGrid/>
          <w:sz w:val="14"/>
          <w:szCs w:val="14"/>
          <w:lang w:val="hu-HU" w:eastAsia="en-GB"/>
        </w:rPr>
        <w:t>0-∞</w:t>
      </w:r>
      <w:r>
        <w:rPr>
          <w:snapToGrid/>
          <w:szCs w:val="22"/>
          <w:lang w:val="hu-HU" w:eastAsia="en-GB"/>
        </w:rPr>
        <w:t>-értéke (90%-os CI: 64%, 76%), és 70%-kal a C</w:t>
      </w:r>
      <w:r>
        <w:rPr>
          <w:snapToGrid/>
          <w:sz w:val="14"/>
          <w:szCs w:val="14"/>
          <w:lang w:val="hu-HU" w:eastAsia="en-GB"/>
        </w:rPr>
        <w:t>max</w:t>
      </w:r>
      <w:r>
        <w:rPr>
          <w:snapToGrid/>
          <w:szCs w:val="22"/>
          <w:lang w:val="hu-HU" w:eastAsia="en-GB"/>
        </w:rPr>
        <w:t xml:space="preserve">-értéke (90%-os CI: 62%, 76%). </w:t>
      </w:r>
      <w:r>
        <w:rPr>
          <w:rFonts w:eastAsia="TimesNewRomanPSMT"/>
          <w:snapToGrid/>
          <w:szCs w:val="22"/>
          <w:lang w:val="hu-HU" w:eastAsia="en-GB"/>
        </w:rPr>
        <w:t xml:space="preserve">Az eltrombopagot legalább két órával előbb vagy négy órával később kell bevenni, mint bármilyen más készítményt, mint például </w:t>
      </w:r>
      <w:r>
        <w:rPr>
          <w:snapToGrid/>
          <w:szCs w:val="22"/>
          <w:lang w:val="hu-HU" w:eastAsia="en-GB"/>
        </w:rPr>
        <w:t>az antacidákat, a tejtermékeket vagy polivalens kationokat tartalmazó sópótlókat, hogy az eltrombopag felszívódása ne csökkenjen j</w:t>
      </w:r>
      <w:r>
        <w:rPr>
          <w:rFonts w:eastAsia="TimesNewRomanPSMT"/>
          <w:snapToGrid/>
          <w:szCs w:val="22"/>
          <w:lang w:val="hu-HU" w:eastAsia="en-GB"/>
        </w:rPr>
        <w:t>elentős mértékben a kelátképzés miatt (lásd 4.2 és 5.2 </w:t>
      </w:r>
      <w:r>
        <w:rPr>
          <w:snapToGrid/>
          <w:szCs w:val="22"/>
          <w:lang w:val="hu-HU" w:eastAsia="en-GB"/>
        </w:rPr>
        <w:t>pont).</w:t>
      </w:r>
    </w:p>
    <w:p w14:paraId="69B466C6"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48D79CC3"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Lopinavir/ritonavir</w:t>
      </w:r>
    </w:p>
    <w:p w14:paraId="12A5AEB9" w14:textId="77777777" w:rsidR="009F5F6A" w:rsidRDefault="009F5F6A">
      <w:pPr>
        <w:tabs>
          <w:tab w:val="clear" w:pos="567"/>
        </w:tabs>
        <w:autoSpaceDE w:val="0"/>
        <w:autoSpaceDN w:val="0"/>
        <w:adjustRightInd w:val="0"/>
        <w:spacing w:line="240" w:lineRule="auto"/>
        <w:rPr>
          <w:snapToGrid/>
          <w:szCs w:val="22"/>
          <w:lang w:val="hu-HU" w:eastAsia="en-GB"/>
        </w:rPr>
      </w:pPr>
    </w:p>
    <w:p w14:paraId="792CA66D"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Eltrombopag és lopinavir/ritonavir együttadása esetén csökkenhet az eltrombopag koncentrációja. Egy vizsgálat, melybe 40 egészséges önkéntest vontak be, azt mutatta, hogy egyszeri 100 mg-os eltrombopag-dózis együttadása ismételten adott lopinavirral/ritonavirral (naponta kétszer 400/100 mg) az eltrombopag plazma AUC</w:t>
      </w:r>
      <w:r>
        <w:rPr>
          <w:snapToGrid/>
          <w:sz w:val="14"/>
          <w:szCs w:val="14"/>
          <w:lang w:val="hu-HU" w:eastAsia="en-GB"/>
        </w:rPr>
        <w:t>0-∞</w:t>
      </w:r>
      <w:r>
        <w:rPr>
          <w:snapToGrid/>
          <w:szCs w:val="22"/>
          <w:lang w:val="hu-HU" w:eastAsia="en-GB"/>
        </w:rPr>
        <w:t xml:space="preserve">-értékének 17%-os csökkenését eredményezte (90%-os CI: 6,6%, 26,6%). Ezért eltrombopag és lopinavir/ritonavir </w:t>
      </w:r>
      <w:r>
        <w:rPr>
          <w:rFonts w:eastAsia="TimesNewRomanPSMT"/>
          <w:snapToGrid/>
          <w:szCs w:val="22"/>
          <w:lang w:val="hu-HU" w:eastAsia="en-GB"/>
        </w:rPr>
        <w:t>együttadása esetén elővigyázatosság szükséges. A vérlemezkeszámot gondosan monitorozni kell a lopinavir/ritonavir</w:t>
      </w:r>
      <w:r>
        <w:rPr>
          <w:snapToGrid/>
          <w:szCs w:val="22"/>
          <w:lang w:val="hu-HU" w:eastAsia="en-GB"/>
        </w:rPr>
        <w:t>-kezelés megkezdése, vagy abbahagyása esetén, hogy az orvos az eltrombopag adagját helyesen tudja meghatározni.</w:t>
      </w:r>
    </w:p>
    <w:p w14:paraId="40F99EC8"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434D29CF"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CYP1A2- és CYP2C8-gátlók és -induktorok</w:t>
      </w:r>
    </w:p>
    <w:p w14:paraId="0249CB29" w14:textId="77777777" w:rsidR="009F5F6A" w:rsidRDefault="009F5F6A">
      <w:pPr>
        <w:tabs>
          <w:tab w:val="clear" w:pos="567"/>
        </w:tabs>
        <w:autoSpaceDE w:val="0"/>
        <w:autoSpaceDN w:val="0"/>
        <w:adjustRightInd w:val="0"/>
        <w:spacing w:line="240" w:lineRule="auto"/>
        <w:rPr>
          <w:snapToGrid/>
          <w:szCs w:val="22"/>
          <w:lang w:val="hu-HU" w:eastAsia="en-GB"/>
        </w:rPr>
      </w:pPr>
    </w:p>
    <w:p w14:paraId="64039904"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 xml:space="preserve">Az eltrombopag többféle úton metabolizálódik, beleértve a CYP1A2, CYP2C8, UGT1A1 és UGT1A3 enzimeket (lásd 5.2 pont). Azok a gyógyszerek, amelyek egyetlen enzimet gátolnak vagy indukálnak, </w:t>
      </w:r>
      <w:r>
        <w:rPr>
          <w:rFonts w:eastAsia="TimesNewRomanPSMT"/>
          <w:snapToGrid/>
          <w:szCs w:val="22"/>
          <w:lang w:val="hu-HU" w:eastAsia="en-GB"/>
        </w:rPr>
        <w:t>nem valószínű, hogy jelentős mértékben befolyásolják az eltrombopag plazmakocentrációját</w:t>
      </w:r>
      <w:r>
        <w:rPr>
          <w:snapToGrid/>
          <w:szCs w:val="22"/>
          <w:lang w:val="hu-HU" w:eastAsia="en-GB"/>
        </w:rPr>
        <w:t>; míg azok a gyógyszerek, amelyek több enzimet is gátolnak vagy indukálnak, képesek az eltrombopag koncentrációját növelni (pl. fluvoxamin) vagy csökkenteni (pl. rifampicin).</w:t>
      </w:r>
    </w:p>
    <w:p w14:paraId="79122656"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4855BA10" w14:textId="77777777" w:rsidR="009F5F6A" w:rsidRDefault="00962A10">
      <w:pPr>
        <w:keepNext/>
        <w:keepLines/>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HCV-proteázgátlók</w:t>
      </w:r>
    </w:p>
    <w:p w14:paraId="1BCFC55E" w14:textId="77777777" w:rsidR="009F5F6A" w:rsidRDefault="009F5F6A">
      <w:pPr>
        <w:keepNext/>
        <w:keepLines/>
        <w:tabs>
          <w:tab w:val="clear" w:pos="567"/>
        </w:tabs>
        <w:autoSpaceDE w:val="0"/>
        <w:autoSpaceDN w:val="0"/>
        <w:adjustRightInd w:val="0"/>
        <w:spacing w:line="240" w:lineRule="auto"/>
        <w:rPr>
          <w:snapToGrid/>
          <w:szCs w:val="22"/>
          <w:lang w:val="hu-HU" w:eastAsia="en-GB"/>
        </w:rPr>
      </w:pPr>
    </w:p>
    <w:p w14:paraId="0CD35A8D" w14:textId="77777777" w:rsidR="009F5F6A" w:rsidRDefault="00962A10">
      <w:pPr>
        <w:keepNext/>
        <w:keepLines/>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 xml:space="preserve">Egy gyógyszer-gyógyszer farmakokinetikai interakció vizsgálat eredményei alapján a 8 óránként ismételten adagolt 800 mg boceprevir vagy 8 óránként ismételten adagolt 750 mg telaprevir 200 mg </w:t>
      </w:r>
      <w:r>
        <w:rPr>
          <w:rFonts w:eastAsia="TimesNewRomanPSMT"/>
          <w:snapToGrid/>
          <w:szCs w:val="22"/>
          <w:lang w:val="hu-HU" w:eastAsia="en-GB"/>
        </w:rPr>
        <w:t xml:space="preserve">egyszeri dózisú eltrombopaggal történő együttadása nem befolyásolta jelentős mértékben az </w:t>
      </w:r>
      <w:r>
        <w:rPr>
          <w:snapToGrid/>
          <w:szCs w:val="22"/>
          <w:lang w:val="hu-HU" w:eastAsia="en-GB"/>
        </w:rPr>
        <w:t>eltrombopag plazma expozícióját.</w:t>
      </w:r>
    </w:p>
    <w:p w14:paraId="23459DEE"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40C86A9C"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ITP kezelésére használt gyógyszerek</w:t>
      </w:r>
    </w:p>
    <w:p w14:paraId="63AEB085" w14:textId="77777777" w:rsidR="009F5F6A" w:rsidRDefault="009F5F6A">
      <w:pPr>
        <w:tabs>
          <w:tab w:val="clear" w:pos="567"/>
        </w:tabs>
        <w:autoSpaceDE w:val="0"/>
        <w:autoSpaceDN w:val="0"/>
        <w:adjustRightInd w:val="0"/>
        <w:spacing w:line="240" w:lineRule="auto"/>
        <w:rPr>
          <w:snapToGrid/>
          <w:szCs w:val="22"/>
          <w:lang w:val="hu-HU" w:eastAsia="en-GB"/>
        </w:rPr>
      </w:pPr>
    </w:p>
    <w:p w14:paraId="3FB6D3F4"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 xml:space="preserve">Klinikai vizsgálatokban az eltrombopagot az ITP </w:t>
      </w:r>
      <w:r>
        <w:rPr>
          <w:rFonts w:eastAsia="TimesNewRomanPSMT"/>
          <w:snapToGrid/>
          <w:szCs w:val="22"/>
          <w:lang w:val="hu-HU" w:eastAsia="en-GB"/>
        </w:rPr>
        <w:t xml:space="preserve">kezelésére alkalmazott következő </w:t>
      </w:r>
      <w:r>
        <w:rPr>
          <w:snapToGrid/>
          <w:szCs w:val="22"/>
          <w:lang w:val="hu-HU" w:eastAsia="en-GB"/>
        </w:rPr>
        <w:t xml:space="preserve">gyógyszerekkel adták együtt: kortikoszteroidok, danazol és/vagy azatioprin, intravénás immunglobulin (IVIG), és anti-D immunglobulin. Az eltrombopag és az ITP-re adott más gyógyszerek </w:t>
      </w:r>
      <w:r>
        <w:rPr>
          <w:rFonts w:eastAsia="TimesNewRomanPSMT"/>
          <w:snapToGrid/>
          <w:szCs w:val="22"/>
          <w:lang w:val="hu-HU" w:eastAsia="en-GB"/>
        </w:rPr>
        <w:t xml:space="preserve">kombinációban történő </w:t>
      </w:r>
      <w:r>
        <w:rPr>
          <w:snapToGrid/>
          <w:szCs w:val="22"/>
          <w:lang w:val="hu-HU" w:eastAsia="en-GB"/>
        </w:rPr>
        <w:t>alkalmazása esetén a vérlemezkeszám monitorozása szükséges, a javasolt vérlemezkeszám határértékek túllépésének elkerülése céljából (lásd 4.2 pont).</w:t>
      </w:r>
    </w:p>
    <w:p w14:paraId="63EE1839"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402421B7"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Kölcsönhatás élelmiszerekkel</w:t>
      </w:r>
    </w:p>
    <w:p w14:paraId="452E4F9C"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1CB0DD41" w14:textId="77777777" w:rsidR="009F5F6A" w:rsidRDefault="00962A10">
      <w:pPr>
        <w:tabs>
          <w:tab w:val="clear" w:pos="567"/>
        </w:tabs>
        <w:autoSpaceDE w:val="0"/>
        <w:autoSpaceDN w:val="0"/>
        <w:adjustRightInd w:val="0"/>
        <w:spacing w:line="240" w:lineRule="auto"/>
        <w:rPr>
          <w:snapToGrid/>
          <w:szCs w:val="22"/>
          <w:lang w:val="hu-HU" w:eastAsia="en-GB"/>
        </w:rPr>
      </w:pPr>
      <w:r>
        <w:rPr>
          <w:rFonts w:eastAsia="TimesNewRomanPSMT"/>
          <w:snapToGrid/>
          <w:szCs w:val="22"/>
          <w:lang w:val="hu-HU" w:eastAsia="en-GB"/>
        </w:rPr>
        <w:t>Az eltrombopag tabletta vagy por belsőleges szuszpenzióhoz magas kalciumtartalmú étellel (pl. tejtermékeket tartalmazó étkezés) történő adása jelentősen csökkent</w:t>
      </w:r>
      <w:r>
        <w:rPr>
          <w:snapToGrid/>
          <w:szCs w:val="22"/>
          <w:lang w:val="hu-HU" w:eastAsia="en-GB"/>
        </w:rPr>
        <w:t>ette az eltrombopag AUC</w:t>
      </w:r>
      <w:r>
        <w:rPr>
          <w:snapToGrid/>
          <w:szCs w:val="22"/>
          <w:vertAlign w:val="subscript"/>
          <w:lang w:val="hu-HU" w:eastAsia="en-GB"/>
        </w:rPr>
        <w:t>0-</w:t>
      </w:r>
      <w:r>
        <w:rPr>
          <w:rFonts w:eastAsia="TimesNewRomanPSMT"/>
          <w:snapToGrid/>
          <w:szCs w:val="22"/>
          <w:vertAlign w:val="subscript"/>
          <w:lang w:val="hu-HU" w:eastAsia="en-GB"/>
        </w:rPr>
        <w:t>∞</w:t>
      </w:r>
      <w:r>
        <w:rPr>
          <w:snapToGrid/>
          <w:szCs w:val="22"/>
          <w:lang w:val="hu-HU" w:eastAsia="en-GB"/>
        </w:rPr>
        <w:t>-t és C</w:t>
      </w:r>
      <w:r>
        <w:rPr>
          <w:snapToGrid/>
          <w:szCs w:val="22"/>
          <w:vertAlign w:val="subscript"/>
          <w:lang w:val="hu-HU" w:eastAsia="en-GB"/>
        </w:rPr>
        <w:t>max</w:t>
      </w:r>
      <w:r>
        <w:rPr>
          <w:snapToGrid/>
          <w:szCs w:val="22"/>
          <w:lang w:val="hu-HU" w:eastAsia="en-GB"/>
        </w:rPr>
        <w:t>-ot. Ezzel szemben az eltrombopagnak 2 </w:t>
      </w:r>
      <w:r>
        <w:rPr>
          <w:rFonts w:eastAsia="TimesNewRomanPSMT"/>
          <w:snapToGrid/>
          <w:szCs w:val="22"/>
          <w:lang w:val="hu-HU" w:eastAsia="en-GB"/>
        </w:rPr>
        <w:t>órával a magas kalciumtartalmú étel előtt vagy 4 </w:t>
      </w:r>
      <w:r>
        <w:rPr>
          <w:snapToGrid/>
          <w:szCs w:val="22"/>
          <w:lang w:val="hu-HU" w:eastAsia="en-GB"/>
        </w:rPr>
        <w:t xml:space="preserve">órával </w:t>
      </w:r>
      <w:r>
        <w:rPr>
          <w:rFonts w:eastAsia="TimesNewRomanPSMT"/>
          <w:snapToGrid/>
          <w:szCs w:val="22"/>
          <w:lang w:val="hu-HU" w:eastAsia="en-GB"/>
        </w:rPr>
        <w:t>azután történő, vagy alacsony kalciumtartalmú étellel [&lt;</w:t>
      </w:r>
      <w:r>
        <w:rPr>
          <w:snapToGrid/>
          <w:szCs w:val="22"/>
          <w:lang w:val="hu-HU" w:eastAsia="en-GB"/>
        </w:rPr>
        <w:t>50 </w:t>
      </w:r>
      <w:r>
        <w:rPr>
          <w:rFonts w:eastAsia="TimesNewRomanPSMT"/>
          <w:snapToGrid/>
          <w:szCs w:val="22"/>
          <w:lang w:val="hu-HU" w:eastAsia="en-GB"/>
        </w:rPr>
        <w:t xml:space="preserve">mg kalcium] történő együtt adása nem </w:t>
      </w:r>
      <w:r>
        <w:rPr>
          <w:snapToGrid/>
          <w:szCs w:val="22"/>
          <w:lang w:val="hu-HU" w:eastAsia="en-GB"/>
        </w:rPr>
        <w:t xml:space="preserve">változtatta meg klinikailag </w:t>
      </w:r>
      <w:r>
        <w:rPr>
          <w:rFonts w:eastAsia="TimesNewRomanPSMT"/>
          <w:snapToGrid/>
          <w:szCs w:val="22"/>
          <w:lang w:val="hu-HU" w:eastAsia="en-GB"/>
        </w:rPr>
        <w:t>jelentős mértékben a plazma eltrombopag</w:t>
      </w:r>
      <w:r>
        <w:rPr>
          <w:snapToGrid/>
          <w:szCs w:val="22"/>
          <w:lang w:val="hu-HU" w:eastAsia="en-GB"/>
        </w:rPr>
        <w:t>-expozíciót (lásd 4.2 pont).</w:t>
      </w:r>
    </w:p>
    <w:p w14:paraId="4824C853" w14:textId="77777777" w:rsidR="009F5F6A" w:rsidRDefault="009F5F6A">
      <w:pPr>
        <w:tabs>
          <w:tab w:val="clear" w:pos="567"/>
        </w:tabs>
        <w:autoSpaceDE w:val="0"/>
        <w:autoSpaceDN w:val="0"/>
        <w:adjustRightInd w:val="0"/>
        <w:spacing w:line="240" w:lineRule="auto"/>
        <w:rPr>
          <w:snapToGrid/>
          <w:szCs w:val="22"/>
          <w:lang w:val="hu-HU" w:eastAsia="en-GB"/>
        </w:rPr>
      </w:pPr>
    </w:p>
    <w:p w14:paraId="4625FD75"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Standard, magas kalóriájú, magas zsírtartalmú, tejtermékeket is tartalmazó reggeli mellett tabletta formájában adott egyetlen 50 mg-os eltrombopag-dózis az átlagos plazma-eltrombopag-AUC</w:t>
      </w:r>
      <w:r>
        <w:rPr>
          <w:snapToGrid/>
          <w:szCs w:val="22"/>
          <w:vertAlign w:val="subscript"/>
          <w:lang w:val="hu-HU" w:eastAsia="en-GB"/>
        </w:rPr>
        <w:t>0-</w:t>
      </w:r>
      <w:r>
        <w:rPr>
          <w:rFonts w:eastAsia="TimesNewRomanPSMT"/>
          <w:snapToGrid/>
          <w:szCs w:val="22"/>
          <w:vertAlign w:val="subscript"/>
          <w:lang w:val="hu-HU" w:eastAsia="en-GB"/>
        </w:rPr>
        <w:t>∞</w:t>
      </w:r>
      <w:r>
        <w:rPr>
          <w:snapToGrid/>
          <w:szCs w:val="22"/>
          <w:lang w:val="hu-HU" w:eastAsia="en-GB"/>
        </w:rPr>
        <w:t>-t 59%-kal, és az átlagos C</w:t>
      </w:r>
      <w:r>
        <w:rPr>
          <w:snapToGrid/>
          <w:szCs w:val="22"/>
          <w:vertAlign w:val="subscript"/>
          <w:lang w:val="hu-HU" w:eastAsia="en-GB"/>
        </w:rPr>
        <w:t>max</w:t>
      </w:r>
      <w:r>
        <w:rPr>
          <w:snapToGrid/>
          <w:szCs w:val="22"/>
          <w:lang w:val="hu-HU" w:eastAsia="en-GB"/>
        </w:rPr>
        <w:t>-ot 65%-kal csökkentette.</w:t>
      </w:r>
    </w:p>
    <w:p w14:paraId="3A793B29" w14:textId="77777777" w:rsidR="009F5F6A" w:rsidRDefault="009F5F6A">
      <w:pPr>
        <w:tabs>
          <w:tab w:val="clear" w:pos="567"/>
        </w:tabs>
        <w:autoSpaceDE w:val="0"/>
        <w:autoSpaceDN w:val="0"/>
        <w:adjustRightInd w:val="0"/>
        <w:spacing w:line="240" w:lineRule="auto"/>
        <w:rPr>
          <w:snapToGrid/>
          <w:szCs w:val="22"/>
          <w:lang w:val="hu-HU" w:eastAsia="en-GB"/>
        </w:rPr>
      </w:pPr>
    </w:p>
    <w:p w14:paraId="57DF5C93"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Egyszeri 25 mg-</w:t>
      </w:r>
      <w:r>
        <w:rPr>
          <w:rFonts w:eastAsia="TimesNewRomanPSMT"/>
          <w:snapToGrid/>
          <w:szCs w:val="22"/>
          <w:lang w:val="hu-HU" w:eastAsia="en-GB"/>
        </w:rPr>
        <w:t xml:space="preserve">os dózis eltrombopag por belsőleges szuszpenzióhoz alkalmazása magas </w:t>
      </w:r>
      <w:r>
        <w:rPr>
          <w:snapToGrid/>
          <w:szCs w:val="22"/>
          <w:lang w:val="hu-HU" w:eastAsia="en-GB"/>
        </w:rPr>
        <w:t>kalciumtartalmú, mérsékelt zsír- és mérsékelt kalóriatartalmú étel fogyasztása mellett az átlagos AUC</w:t>
      </w:r>
      <w:r>
        <w:rPr>
          <w:snapToGrid/>
          <w:szCs w:val="22"/>
          <w:vertAlign w:val="subscript"/>
          <w:lang w:val="hu-HU" w:eastAsia="en-GB"/>
        </w:rPr>
        <w:t>0-</w:t>
      </w:r>
      <w:r>
        <w:rPr>
          <w:rFonts w:eastAsia="TimesNewRomanPSMT"/>
          <w:snapToGrid/>
          <w:szCs w:val="22"/>
          <w:vertAlign w:val="subscript"/>
          <w:lang w:val="hu-HU" w:eastAsia="en-GB"/>
        </w:rPr>
        <w:t>∞</w:t>
      </w:r>
      <w:r>
        <w:rPr>
          <w:rFonts w:eastAsia="TimesNewRomanPSMT"/>
          <w:snapToGrid/>
          <w:szCs w:val="22"/>
          <w:lang w:val="hu-HU" w:eastAsia="en-GB"/>
        </w:rPr>
        <w:t xml:space="preserve"> </w:t>
      </w:r>
      <w:r>
        <w:rPr>
          <w:snapToGrid/>
          <w:szCs w:val="22"/>
          <w:lang w:val="hu-HU" w:eastAsia="en-GB"/>
        </w:rPr>
        <w:t>75%-kal, és az átlagos C</w:t>
      </w:r>
      <w:r>
        <w:rPr>
          <w:snapToGrid/>
          <w:szCs w:val="22"/>
          <w:vertAlign w:val="subscript"/>
          <w:lang w:val="hu-HU" w:eastAsia="en-GB"/>
        </w:rPr>
        <w:t>max</w:t>
      </w:r>
      <w:r>
        <w:rPr>
          <w:snapToGrid/>
          <w:szCs w:val="22"/>
          <w:lang w:val="hu-HU" w:eastAsia="en-GB"/>
        </w:rPr>
        <w:t xml:space="preserve"> 79%-kal csökkent. </w:t>
      </w:r>
      <w:r>
        <w:rPr>
          <w:rFonts w:eastAsia="TimesNewRomanPSMT"/>
          <w:snapToGrid/>
          <w:szCs w:val="22"/>
          <w:lang w:val="hu-HU" w:eastAsia="en-GB"/>
        </w:rPr>
        <w:t xml:space="preserve">Ez a csökkenés azonban mérséklődött, ha az </w:t>
      </w:r>
      <w:r>
        <w:rPr>
          <w:snapToGrid/>
          <w:szCs w:val="22"/>
          <w:lang w:val="hu-HU" w:eastAsia="en-GB"/>
        </w:rPr>
        <w:t>egyszeri 25 mg-</w:t>
      </w:r>
      <w:r>
        <w:rPr>
          <w:rFonts w:eastAsia="TimesNewRomanPSMT"/>
          <w:snapToGrid/>
          <w:szCs w:val="22"/>
          <w:lang w:val="hu-HU" w:eastAsia="en-GB"/>
        </w:rPr>
        <w:t>os adag eltrombopag por belsőleges szuszpenzióhoz alkalmazása 2 </w:t>
      </w:r>
      <w:r>
        <w:rPr>
          <w:snapToGrid/>
          <w:szCs w:val="22"/>
          <w:lang w:val="hu-HU" w:eastAsia="en-GB"/>
        </w:rPr>
        <w:t xml:space="preserve">órával a magas </w:t>
      </w:r>
      <w:r>
        <w:rPr>
          <w:rFonts w:eastAsia="TimesNewRomanPSMT"/>
          <w:snapToGrid/>
          <w:szCs w:val="22"/>
          <w:lang w:val="hu-HU" w:eastAsia="en-GB"/>
        </w:rPr>
        <w:t>kalciumtartalmú étel fogyasztása előtt történt (az átlagos AUC</w:t>
      </w:r>
      <w:r>
        <w:rPr>
          <w:snapToGrid/>
          <w:szCs w:val="22"/>
          <w:vertAlign w:val="subscript"/>
          <w:lang w:val="hu-HU" w:eastAsia="en-GB"/>
        </w:rPr>
        <w:t>0-</w:t>
      </w:r>
      <w:r>
        <w:rPr>
          <w:rFonts w:eastAsia="TimesNewRomanPSMT"/>
          <w:snapToGrid/>
          <w:szCs w:val="22"/>
          <w:vertAlign w:val="subscript"/>
          <w:lang w:val="hu-HU" w:eastAsia="en-GB"/>
        </w:rPr>
        <w:t>∞</w:t>
      </w:r>
      <w:r>
        <w:rPr>
          <w:rFonts w:eastAsia="TimesNewRomanPSMT"/>
          <w:snapToGrid/>
          <w:szCs w:val="22"/>
          <w:lang w:val="hu-HU" w:eastAsia="en-GB"/>
        </w:rPr>
        <w:t xml:space="preserve"> </w:t>
      </w:r>
      <w:r>
        <w:rPr>
          <w:snapToGrid/>
          <w:szCs w:val="22"/>
          <w:lang w:val="hu-HU" w:eastAsia="en-GB"/>
        </w:rPr>
        <w:t>20%-kal és az átlagos C</w:t>
      </w:r>
      <w:r>
        <w:rPr>
          <w:snapToGrid/>
          <w:szCs w:val="22"/>
          <w:vertAlign w:val="subscript"/>
          <w:lang w:val="hu-HU" w:eastAsia="en-GB"/>
        </w:rPr>
        <w:t>max</w:t>
      </w:r>
      <w:r>
        <w:rPr>
          <w:snapToGrid/>
          <w:szCs w:val="22"/>
          <w:lang w:val="hu-HU" w:eastAsia="en-GB"/>
        </w:rPr>
        <w:t xml:space="preserve"> 14%-kal csökkent).</w:t>
      </w:r>
    </w:p>
    <w:p w14:paraId="2EEF5496" w14:textId="77777777" w:rsidR="009F5F6A" w:rsidRDefault="009F5F6A">
      <w:pPr>
        <w:tabs>
          <w:tab w:val="clear" w:pos="567"/>
        </w:tabs>
        <w:autoSpaceDE w:val="0"/>
        <w:autoSpaceDN w:val="0"/>
        <w:adjustRightInd w:val="0"/>
        <w:spacing w:line="240" w:lineRule="auto"/>
        <w:rPr>
          <w:snapToGrid/>
          <w:szCs w:val="22"/>
          <w:lang w:val="hu-HU" w:eastAsia="en-GB"/>
        </w:rPr>
      </w:pPr>
    </w:p>
    <w:p w14:paraId="2E8CC886"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 xml:space="preserve">Kalória- és zsírtartalomától függetlenül az alacsony kalciumtartalmú étel (&lt;50 mg kalcium), beleértve a gyümölcsöt, sovány sonkát, marhahúst és természetes (hozzáadott kalciumot, magnéziumot vagy vasat nem tartalmazó) gyümölcslevet, természetes szójatejet és természetes gabonát, nem befolyásolta </w:t>
      </w:r>
      <w:r>
        <w:rPr>
          <w:rFonts w:eastAsia="TimesNewRomanPSMT"/>
          <w:snapToGrid/>
          <w:szCs w:val="22"/>
          <w:lang w:val="hu-HU" w:eastAsia="en-GB"/>
        </w:rPr>
        <w:t>jelentősen a plazma eltrombopag</w:t>
      </w:r>
      <w:r>
        <w:rPr>
          <w:snapToGrid/>
          <w:szCs w:val="22"/>
          <w:lang w:val="hu-HU" w:eastAsia="en-GB"/>
        </w:rPr>
        <w:t>-expozíciót (lásd 4.2 és 4.5 pont).</w:t>
      </w:r>
    </w:p>
    <w:p w14:paraId="69F581D6" w14:textId="77777777" w:rsidR="009F5F6A" w:rsidRDefault="009F5F6A">
      <w:pPr>
        <w:spacing w:line="240" w:lineRule="auto"/>
        <w:ind w:left="567" w:hanging="567"/>
        <w:outlineLvl w:val="0"/>
        <w:rPr>
          <w:rFonts w:eastAsia="Times New Roman"/>
          <w:b/>
          <w:noProof/>
          <w:snapToGrid/>
          <w:szCs w:val="22"/>
          <w:lang w:val="hu-HU" w:eastAsia="en-US"/>
        </w:rPr>
      </w:pPr>
    </w:p>
    <w:p w14:paraId="0A82E1B0"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4.6</w:t>
      </w:r>
      <w:r>
        <w:rPr>
          <w:rFonts w:eastAsia="Times New Roman"/>
          <w:b/>
          <w:noProof/>
          <w:snapToGrid/>
          <w:szCs w:val="22"/>
          <w:lang w:val="hu-HU" w:eastAsia="en-US"/>
        </w:rPr>
        <w:tab/>
        <w:t>Termékenység, terhesség és szoptatás</w:t>
      </w:r>
    </w:p>
    <w:p w14:paraId="5A18C27A" w14:textId="77777777" w:rsidR="009F5F6A" w:rsidRDefault="009F5F6A">
      <w:pPr>
        <w:spacing w:line="240" w:lineRule="auto"/>
        <w:rPr>
          <w:i/>
          <w:lang w:val="hu-HU"/>
        </w:rPr>
      </w:pPr>
    </w:p>
    <w:p w14:paraId="02E99C3D" w14:textId="77777777" w:rsidR="009F5F6A" w:rsidRDefault="00962A10">
      <w:pPr>
        <w:spacing w:line="240" w:lineRule="auto"/>
        <w:rPr>
          <w:u w:val="single"/>
          <w:lang w:val="hu-HU"/>
        </w:rPr>
      </w:pPr>
      <w:r>
        <w:rPr>
          <w:u w:val="single"/>
          <w:lang w:val="hu-HU"/>
        </w:rPr>
        <w:t>Terhesség</w:t>
      </w:r>
    </w:p>
    <w:p w14:paraId="571B8270" w14:textId="77777777" w:rsidR="009F5F6A" w:rsidRDefault="009F5F6A">
      <w:pPr>
        <w:spacing w:line="240" w:lineRule="auto"/>
        <w:rPr>
          <w:u w:val="single"/>
          <w:lang w:val="hu-HU"/>
        </w:rPr>
      </w:pPr>
    </w:p>
    <w:p w14:paraId="5567D7F5"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Az eltrombopag t</w:t>
      </w:r>
      <w:r>
        <w:rPr>
          <w:rFonts w:eastAsia="TimesNewRomanPSMT"/>
          <w:snapToGrid/>
          <w:szCs w:val="22"/>
          <w:lang w:val="hu-HU" w:eastAsia="en-GB"/>
        </w:rPr>
        <w:t>erhes nők</w:t>
      </w:r>
      <w:r>
        <w:rPr>
          <w:snapToGrid/>
          <w:szCs w:val="22"/>
          <w:lang w:val="hu-HU" w:eastAsia="en-GB"/>
        </w:rPr>
        <w:t xml:space="preserve">nél </w:t>
      </w:r>
      <w:r>
        <w:rPr>
          <w:rFonts w:eastAsia="TimesNewRomanPSMT"/>
          <w:snapToGrid/>
          <w:szCs w:val="22"/>
          <w:lang w:val="hu-HU" w:eastAsia="en-GB"/>
        </w:rPr>
        <w:t>történő alkalmaz</w:t>
      </w:r>
      <w:r>
        <w:rPr>
          <w:snapToGrid/>
          <w:szCs w:val="22"/>
          <w:lang w:val="hu-HU" w:eastAsia="en-GB"/>
        </w:rPr>
        <w:t xml:space="preserve">ására vonatkozón nincs, vagy csak korlátozott </w:t>
      </w:r>
      <w:r>
        <w:rPr>
          <w:rFonts w:eastAsia="TimesNewRomanPSMT"/>
          <w:snapToGrid/>
          <w:szCs w:val="22"/>
          <w:lang w:val="hu-HU" w:eastAsia="en-GB"/>
        </w:rPr>
        <w:t xml:space="preserve">mennyiségű </w:t>
      </w:r>
      <w:r>
        <w:rPr>
          <w:snapToGrid/>
          <w:szCs w:val="22"/>
          <w:lang w:val="hu-HU" w:eastAsia="en-GB"/>
        </w:rPr>
        <w:t>adat áll rendelkezésre. Az állatokkal végzett kísérletek reprodukciós toxicitást mutattak (lásd 5.3 pont). Potenciális humán kockázat nem ismert.</w:t>
      </w:r>
    </w:p>
    <w:p w14:paraId="0BD4B79C" w14:textId="77777777" w:rsidR="009F5F6A" w:rsidRDefault="009F5F6A">
      <w:pPr>
        <w:tabs>
          <w:tab w:val="clear" w:pos="567"/>
        </w:tabs>
        <w:autoSpaceDE w:val="0"/>
        <w:autoSpaceDN w:val="0"/>
        <w:adjustRightInd w:val="0"/>
        <w:spacing w:line="240" w:lineRule="auto"/>
        <w:rPr>
          <w:snapToGrid/>
          <w:szCs w:val="22"/>
          <w:lang w:val="hu-HU" w:eastAsia="en-GB"/>
        </w:rPr>
      </w:pPr>
    </w:p>
    <w:p w14:paraId="7A949AD5" w14:textId="77777777" w:rsidR="009F5F6A" w:rsidRDefault="00962A10">
      <w:pPr>
        <w:spacing w:line="240" w:lineRule="auto"/>
        <w:rPr>
          <w:u w:val="single"/>
          <w:lang w:val="hu-HU"/>
        </w:rPr>
      </w:pPr>
      <w:r>
        <w:rPr>
          <w:rFonts w:eastAsia="Times New Roman"/>
          <w:noProof/>
          <w:snapToGrid/>
          <w:szCs w:val="22"/>
          <w:lang w:val="hu-HU" w:eastAsia="en-US"/>
        </w:rPr>
        <w:t>Az Eltrombopag</w:t>
      </w:r>
      <w:r>
        <w:rPr>
          <w:snapToGrid/>
          <w:szCs w:val="22"/>
          <w:lang w:val="hu-HU" w:eastAsia="en-GB"/>
        </w:rPr>
        <w:t xml:space="preserve"> </w:t>
      </w:r>
      <w:r>
        <w:rPr>
          <w:rFonts w:eastAsia="Times New Roman"/>
          <w:noProof/>
          <w:snapToGrid/>
          <w:szCs w:val="22"/>
          <w:lang w:val="hu-HU" w:eastAsia="en-US"/>
        </w:rPr>
        <w:t xml:space="preserve">Krka </w:t>
      </w:r>
      <w:r>
        <w:rPr>
          <w:snapToGrid/>
          <w:szCs w:val="22"/>
          <w:lang w:val="hu-HU" w:eastAsia="en-GB"/>
        </w:rPr>
        <w:t>nem javasolt terhesség alatt.</w:t>
      </w:r>
    </w:p>
    <w:p w14:paraId="3204E24E" w14:textId="77777777" w:rsidR="009F5F6A" w:rsidRDefault="009F5F6A">
      <w:pPr>
        <w:spacing w:line="240" w:lineRule="auto"/>
        <w:rPr>
          <w:u w:val="single"/>
          <w:lang w:val="hu-HU"/>
        </w:rPr>
      </w:pPr>
    </w:p>
    <w:p w14:paraId="006A86CF"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Fogamzóképes nők / fogamzásgátlás férfiaknál és nőknél</w:t>
      </w:r>
    </w:p>
    <w:p w14:paraId="11C256B8" w14:textId="77777777" w:rsidR="009F5F6A" w:rsidRDefault="009F5F6A">
      <w:pPr>
        <w:spacing w:line="240" w:lineRule="auto"/>
        <w:rPr>
          <w:snapToGrid/>
          <w:szCs w:val="22"/>
          <w:lang w:val="hu-HU" w:eastAsia="en-GB"/>
        </w:rPr>
      </w:pPr>
    </w:p>
    <w:p w14:paraId="67858811" w14:textId="77777777" w:rsidR="009F5F6A" w:rsidRDefault="00962A10">
      <w:pPr>
        <w:spacing w:line="240" w:lineRule="auto"/>
        <w:rPr>
          <w:u w:val="single"/>
          <w:lang w:val="hu-HU"/>
        </w:rPr>
      </w:pPr>
      <w:r>
        <w:rPr>
          <w:rFonts w:eastAsia="Times New Roman"/>
          <w:noProof/>
          <w:snapToGrid/>
          <w:szCs w:val="22"/>
          <w:lang w:val="hu-HU" w:eastAsia="en-US"/>
        </w:rPr>
        <w:t>Az Eltrombopag</w:t>
      </w:r>
      <w:r>
        <w:rPr>
          <w:snapToGrid/>
          <w:szCs w:val="22"/>
          <w:lang w:val="hu-HU" w:eastAsia="en-GB"/>
        </w:rPr>
        <w:t xml:space="preserve"> </w:t>
      </w:r>
      <w:r>
        <w:rPr>
          <w:rFonts w:eastAsia="Times New Roman"/>
          <w:noProof/>
          <w:snapToGrid/>
          <w:szCs w:val="22"/>
          <w:lang w:val="hu-HU" w:eastAsia="en-US"/>
        </w:rPr>
        <w:t xml:space="preserve">Krka </w:t>
      </w:r>
      <w:r>
        <w:rPr>
          <w:snapToGrid/>
          <w:szCs w:val="22"/>
          <w:lang w:val="hu-HU" w:eastAsia="en-GB"/>
        </w:rPr>
        <w:t xml:space="preserve">nem javasolt fogamzásgátlást nem alkalmazó, </w:t>
      </w:r>
      <w:r>
        <w:rPr>
          <w:rFonts w:eastAsia="TimesNewRomanPSMT"/>
          <w:snapToGrid/>
          <w:szCs w:val="22"/>
          <w:lang w:val="hu-HU" w:eastAsia="en-GB"/>
        </w:rPr>
        <w:t>fogamzóképes nőknek.</w:t>
      </w:r>
    </w:p>
    <w:p w14:paraId="08C1D480" w14:textId="77777777" w:rsidR="009F5F6A" w:rsidRDefault="009F5F6A">
      <w:pPr>
        <w:spacing w:line="240" w:lineRule="auto"/>
        <w:rPr>
          <w:u w:val="single"/>
          <w:lang w:val="hu-HU"/>
        </w:rPr>
      </w:pPr>
    </w:p>
    <w:p w14:paraId="0F01E5E7" w14:textId="77777777" w:rsidR="009F5F6A" w:rsidRDefault="00962A10">
      <w:pPr>
        <w:spacing w:line="240" w:lineRule="auto"/>
        <w:rPr>
          <w:u w:val="single"/>
          <w:lang w:val="hu-HU"/>
        </w:rPr>
      </w:pPr>
      <w:r>
        <w:rPr>
          <w:u w:val="single"/>
          <w:lang w:val="hu-HU"/>
        </w:rPr>
        <w:t>Szoptatás</w:t>
      </w:r>
    </w:p>
    <w:p w14:paraId="56DD999F" w14:textId="77777777" w:rsidR="009F5F6A" w:rsidRDefault="009F5F6A">
      <w:pPr>
        <w:spacing w:line="240" w:lineRule="auto"/>
        <w:rPr>
          <w:u w:val="single"/>
          <w:lang w:val="hu-HU"/>
        </w:rPr>
      </w:pPr>
    </w:p>
    <w:p w14:paraId="0E5B4647" w14:textId="77777777" w:rsidR="009F5F6A" w:rsidRDefault="00962A10">
      <w:pPr>
        <w:rPr>
          <w:rFonts w:eastAsia="Times New Roman"/>
          <w:noProof/>
          <w:snapToGrid/>
          <w:szCs w:val="22"/>
          <w:lang w:val="hu-HU" w:eastAsia="el-GR"/>
        </w:rPr>
      </w:pPr>
      <w:r>
        <w:rPr>
          <w:snapToGrid/>
          <w:szCs w:val="22"/>
          <w:lang w:val="hu-HU" w:eastAsia="en-GB"/>
        </w:rPr>
        <w:t xml:space="preserve">Nem ismert, hogy az eltrombopag ill. metabolitjai kiválasztódnak-e emberi anyatejbe. Az állatokkal végzett kísérletek arra utalnak, hogy az eltrombopag </w:t>
      </w:r>
      <w:r>
        <w:rPr>
          <w:rFonts w:eastAsia="TimesNewRomanPSMT"/>
          <w:snapToGrid/>
          <w:szCs w:val="22"/>
          <w:lang w:val="hu-HU" w:eastAsia="en-GB"/>
        </w:rPr>
        <w:t xml:space="preserve">valószínűleg kiválasztódik </w:t>
      </w:r>
      <w:r>
        <w:rPr>
          <w:snapToGrid/>
          <w:szCs w:val="22"/>
          <w:lang w:val="hu-HU" w:eastAsia="en-GB"/>
        </w:rPr>
        <w:t xml:space="preserve">az anyatejbe (lásd 5.3 pont); ezért a szoptatott </w:t>
      </w:r>
      <w:r>
        <w:rPr>
          <w:rFonts w:eastAsia="TimesNewRomanPSMT"/>
          <w:snapToGrid/>
          <w:szCs w:val="22"/>
          <w:lang w:val="hu-HU" w:eastAsia="en-GB"/>
        </w:rPr>
        <w:t>csecsemő</w:t>
      </w:r>
      <w:r>
        <w:rPr>
          <w:snapToGrid/>
          <w:szCs w:val="22"/>
          <w:lang w:val="hu-HU" w:eastAsia="en-GB"/>
        </w:rPr>
        <w:t xml:space="preserve">re vonatkozó kockázat nem zárható ki. </w:t>
      </w:r>
      <w:r>
        <w:rPr>
          <w:rFonts w:eastAsia="Times New Roman"/>
          <w:noProof/>
          <w:snapToGrid/>
          <w:szCs w:val="22"/>
          <w:lang w:val="hu-HU" w:eastAsia="el-GR"/>
        </w:rPr>
        <w:t xml:space="preserve">Az Eltrombopag Krka alkalmazása előtt el kell dönteni, hogy a szoptatást függesztik fel, vagy </w:t>
      </w:r>
      <w:r>
        <w:rPr>
          <w:snapToGrid/>
          <w:color w:val="000000"/>
          <w:szCs w:val="22"/>
          <w:lang w:val="hu-HU"/>
        </w:rPr>
        <w:t xml:space="preserve">a kezelést szakítják meg /halasztják el – </w:t>
      </w:r>
      <w:r>
        <w:rPr>
          <w:rFonts w:eastAsia="Times New Roman"/>
          <w:noProof/>
          <w:snapToGrid/>
          <w:szCs w:val="22"/>
          <w:lang w:val="hu-HU" w:eastAsia="el-GR"/>
        </w:rPr>
        <w:t>figyelembe véve a szoptatás előnyét a gyermek, illetve a kezelés előnyét az anya szempontjából.</w:t>
      </w:r>
    </w:p>
    <w:p w14:paraId="5EA3B947" w14:textId="77777777" w:rsidR="009F5F6A" w:rsidRDefault="009F5F6A">
      <w:pPr>
        <w:tabs>
          <w:tab w:val="clear" w:pos="567"/>
        </w:tabs>
        <w:autoSpaceDE w:val="0"/>
        <w:autoSpaceDN w:val="0"/>
        <w:adjustRightInd w:val="0"/>
        <w:spacing w:line="240" w:lineRule="auto"/>
        <w:rPr>
          <w:u w:val="single"/>
          <w:lang w:val="hu-HU"/>
        </w:rPr>
      </w:pPr>
    </w:p>
    <w:p w14:paraId="4A07CE6E" w14:textId="77777777" w:rsidR="009F5F6A" w:rsidRDefault="009F5F6A">
      <w:pPr>
        <w:spacing w:line="240" w:lineRule="auto"/>
        <w:rPr>
          <w:u w:val="single"/>
          <w:lang w:val="hu-HU"/>
        </w:rPr>
      </w:pPr>
    </w:p>
    <w:p w14:paraId="2887328C" w14:textId="77777777" w:rsidR="009F5F6A" w:rsidRDefault="00962A10">
      <w:pPr>
        <w:spacing w:line="240" w:lineRule="auto"/>
        <w:rPr>
          <w:u w:val="single"/>
          <w:lang w:val="hu-HU"/>
        </w:rPr>
      </w:pPr>
      <w:r>
        <w:rPr>
          <w:u w:val="single"/>
          <w:lang w:val="hu-HU"/>
        </w:rPr>
        <w:t>Termékenység</w:t>
      </w:r>
    </w:p>
    <w:p w14:paraId="65AADD81" w14:textId="77777777" w:rsidR="009F5F6A" w:rsidRDefault="009F5F6A">
      <w:pPr>
        <w:spacing w:line="240" w:lineRule="auto"/>
        <w:rPr>
          <w:lang w:val="hu-HU"/>
        </w:rPr>
      </w:pPr>
    </w:p>
    <w:p w14:paraId="670083FD" w14:textId="77777777" w:rsidR="009F5F6A" w:rsidRDefault="00962A10">
      <w:pPr>
        <w:tabs>
          <w:tab w:val="clear" w:pos="567"/>
        </w:tabs>
        <w:autoSpaceDE w:val="0"/>
        <w:autoSpaceDN w:val="0"/>
        <w:adjustRightInd w:val="0"/>
        <w:spacing w:line="240" w:lineRule="auto"/>
        <w:rPr>
          <w:lang w:val="hu-HU"/>
        </w:rPr>
      </w:pPr>
      <w:r>
        <w:rPr>
          <w:rFonts w:eastAsia="TimesNewRomanPSMT"/>
          <w:snapToGrid/>
          <w:szCs w:val="22"/>
          <w:lang w:val="hu-HU" w:eastAsia="en-GB"/>
        </w:rPr>
        <w:t>A humán alkalmazással összevethető mértékű expozíciók mellett nem tapasztaltak a hím vagy nőstény patkányok termékenységére gyakorolt hatást. Mindamellett az emberekre gyakorolt kockázat nem zárható ki (lásd 5.3 pont).</w:t>
      </w:r>
    </w:p>
    <w:p w14:paraId="19D470DB" w14:textId="77777777" w:rsidR="009F5F6A" w:rsidRDefault="009F5F6A">
      <w:pPr>
        <w:spacing w:line="240" w:lineRule="auto"/>
        <w:rPr>
          <w:lang w:val="hu-HU"/>
        </w:rPr>
      </w:pPr>
    </w:p>
    <w:p w14:paraId="05FA4346"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4.7</w:t>
      </w:r>
      <w:r>
        <w:rPr>
          <w:rFonts w:eastAsia="Times New Roman"/>
          <w:b/>
          <w:noProof/>
          <w:snapToGrid/>
          <w:szCs w:val="22"/>
          <w:lang w:val="hu-HU" w:eastAsia="en-US"/>
        </w:rPr>
        <w:tab/>
        <w:t>A készítmény hatásai a gépjárművezetéshez és a gépek kezeléséhez szükséges képességekre</w:t>
      </w:r>
    </w:p>
    <w:p w14:paraId="6CF3935E" w14:textId="77777777" w:rsidR="009F5F6A" w:rsidRDefault="009F5F6A">
      <w:pPr>
        <w:spacing w:line="240" w:lineRule="auto"/>
        <w:ind w:left="567" w:hanging="567"/>
        <w:outlineLvl w:val="0"/>
        <w:rPr>
          <w:b/>
          <w:lang w:val="hu-HU"/>
        </w:rPr>
      </w:pPr>
    </w:p>
    <w:p w14:paraId="57696D2A"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rFonts w:eastAsia="Times New Roman"/>
          <w:noProof/>
          <w:snapToGrid/>
          <w:szCs w:val="22"/>
          <w:lang w:val="hu-HU" w:eastAsia="en-US"/>
        </w:rPr>
        <w:t>Az eltrombopag elhanyagolható mértékben befolyásolja a gépjárművezetéshez és a gépek kezeléséhez szükséges képességeket.</w:t>
      </w:r>
      <w:r>
        <w:rPr>
          <w:rFonts w:eastAsia="TimesNewRomanPSMT"/>
          <w:snapToGrid/>
          <w:szCs w:val="22"/>
          <w:lang w:val="hu-HU" w:eastAsia="en-GB"/>
        </w:rPr>
        <w:t xml:space="preserve"> A beteg ítélőképességét, motorikus és kognitív képességeit igénylő tevékenységek elvégzésének megítélésekor figyelembe kell venni a beteg klinikai állapotát és az eltrombopag mellékhatás-profilját.</w:t>
      </w:r>
    </w:p>
    <w:p w14:paraId="028DD361" w14:textId="77777777" w:rsidR="009F5F6A" w:rsidRDefault="009F5F6A">
      <w:pPr>
        <w:spacing w:line="240" w:lineRule="auto"/>
        <w:ind w:left="567" w:hanging="567"/>
        <w:outlineLvl w:val="0"/>
        <w:rPr>
          <w:rFonts w:eastAsia="Times New Roman"/>
          <w:b/>
          <w:noProof/>
          <w:snapToGrid/>
          <w:szCs w:val="22"/>
          <w:lang w:val="hu-HU" w:eastAsia="en-US"/>
        </w:rPr>
      </w:pPr>
    </w:p>
    <w:p w14:paraId="15F2F207"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4.8</w:t>
      </w:r>
      <w:r>
        <w:rPr>
          <w:rFonts w:eastAsia="Times New Roman"/>
          <w:b/>
          <w:noProof/>
          <w:snapToGrid/>
          <w:szCs w:val="22"/>
          <w:lang w:val="hu-HU" w:eastAsia="en-US"/>
        </w:rPr>
        <w:tab/>
        <w:t>Nemkívánatos hatások, mellékhatások</w:t>
      </w:r>
    </w:p>
    <w:p w14:paraId="243BBC75" w14:textId="77777777" w:rsidR="009F5F6A" w:rsidRDefault="009F5F6A">
      <w:pPr>
        <w:spacing w:line="240" w:lineRule="auto"/>
        <w:rPr>
          <w:i/>
          <w:lang w:val="hu-HU"/>
        </w:rPr>
      </w:pPr>
    </w:p>
    <w:p w14:paraId="22B98AAE" w14:textId="77777777" w:rsidR="009F5F6A" w:rsidRDefault="00962A10">
      <w:pPr>
        <w:tabs>
          <w:tab w:val="clear" w:pos="567"/>
        </w:tabs>
        <w:autoSpaceDE w:val="0"/>
        <w:autoSpaceDN w:val="0"/>
        <w:adjustRightInd w:val="0"/>
        <w:spacing w:line="240" w:lineRule="auto"/>
        <w:rPr>
          <w:rFonts w:eastAsia="TimesNewRomanPSMT"/>
          <w:snapToGrid/>
          <w:szCs w:val="22"/>
          <w:u w:val="single"/>
          <w:lang w:val="hu-HU" w:eastAsia="en-GB"/>
        </w:rPr>
      </w:pPr>
      <w:r>
        <w:rPr>
          <w:rFonts w:eastAsia="TimesNewRomanPSMT"/>
          <w:snapToGrid/>
          <w:szCs w:val="22"/>
          <w:u w:val="single"/>
          <w:lang w:val="hu-HU" w:eastAsia="en-GB"/>
        </w:rPr>
        <w:t>A biztonságossági profil összefoglalása</w:t>
      </w:r>
    </w:p>
    <w:p w14:paraId="4309F533"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70108402" w14:textId="77777777" w:rsidR="009F5F6A" w:rsidRDefault="00962A10">
      <w:pPr>
        <w:tabs>
          <w:tab w:val="clear" w:pos="567"/>
        </w:tabs>
        <w:autoSpaceDE w:val="0"/>
        <w:autoSpaceDN w:val="0"/>
        <w:adjustRightInd w:val="0"/>
        <w:spacing w:line="240" w:lineRule="auto"/>
        <w:rPr>
          <w:rFonts w:eastAsia="TimesNewRomanPSMT"/>
          <w:i/>
          <w:iCs/>
          <w:snapToGrid/>
          <w:szCs w:val="22"/>
          <w:u w:val="single"/>
          <w:lang w:val="hu-HU" w:eastAsia="en-GB"/>
        </w:rPr>
      </w:pPr>
      <w:r>
        <w:rPr>
          <w:rFonts w:eastAsia="TimesNewRomanPSMT"/>
          <w:i/>
          <w:iCs/>
          <w:snapToGrid/>
          <w:szCs w:val="22"/>
          <w:u w:val="single"/>
          <w:lang w:val="hu-HU" w:eastAsia="en-GB"/>
        </w:rPr>
        <w:t>Immunológiai eredetű thrombocytopenia felnőtteknél, illetve gyermekeknél és serdülőknél</w:t>
      </w:r>
    </w:p>
    <w:p w14:paraId="44A542CD"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130098E7"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rFonts w:eastAsia="TimesNewRomanPSMT"/>
          <w:snapToGrid/>
          <w:szCs w:val="22"/>
          <w:lang w:val="hu-HU" w:eastAsia="en-GB"/>
        </w:rPr>
        <w:t>A ny</w:t>
      </w:r>
      <w:r>
        <w:rPr>
          <w:rFonts w:eastAsia="TimesNewRomanPSMT" w:hint="eastAsia"/>
          <w:snapToGrid/>
          <w:szCs w:val="22"/>
          <w:lang w:val="hu-HU" w:eastAsia="en-GB"/>
        </w:rPr>
        <w:t>í</w:t>
      </w:r>
      <w:r>
        <w:rPr>
          <w:rFonts w:eastAsia="TimesNewRomanPSMT"/>
          <w:snapToGrid/>
          <w:szCs w:val="22"/>
          <w:lang w:val="hu-HU" w:eastAsia="en-GB"/>
        </w:rPr>
        <w:t>lt elrendez</w:t>
      </w:r>
      <w:r>
        <w:rPr>
          <w:rFonts w:eastAsia="TimesNewRomanPSMT" w:hint="eastAsia"/>
          <w:snapToGrid/>
          <w:szCs w:val="22"/>
          <w:lang w:val="hu-HU" w:eastAsia="en-GB"/>
        </w:rPr>
        <w:t>é</w:t>
      </w:r>
      <w:r>
        <w:rPr>
          <w:rFonts w:eastAsia="TimesNewRomanPSMT"/>
          <w:snapToGrid/>
          <w:szCs w:val="22"/>
          <w:lang w:val="hu-HU" w:eastAsia="en-GB"/>
        </w:rPr>
        <w:t>s</w:t>
      </w:r>
      <w:r>
        <w:rPr>
          <w:rFonts w:eastAsia="TimesNewRomanPSMT" w:hint="eastAsia"/>
          <w:snapToGrid/>
          <w:szCs w:val="22"/>
          <w:lang w:val="hu-HU" w:eastAsia="en-GB"/>
        </w:rPr>
        <w:t>ű</w:t>
      </w:r>
      <w:r>
        <w:rPr>
          <w:rFonts w:eastAsia="TimesNewRomanPSMT"/>
          <w:snapToGrid/>
          <w:szCs w:val="22"/>
          <w:lang w:val="hu-HU" w:eastAsia="en-GB"/>
        </w:rPr>
        <w:t xml:space="preserve">, befejezett TRA108057 (REPEAT), TRA105325 (EXTEND) és TRA112940 vizsgálatokból (n = 360) származó adatok mellett, az </w:t>
      </w:r>
      <w:r>
        <w:rPr>
          <w:rFonts w:eastAsia="Times New Roman"/>
          <w:noProof/>
          <w:snapToGrid/>
          <w:szCs w:val="22"/>
          <w:lang w:val="hu-HU" w:eastAsia="en-US"/>
        </w:rPr>
        <w:t xml:space="preserve">eltrombopag </w:t>
      </w:r>
      <w:r>
        <w:rPr>
          <w:rFonts w:eastAsia="TimesNewRomanPSMT"/>
          <w:snapToGrid/>
          <w:szCs w:val="22"/>
          <w:lang w:val="hu-HU" w:eastAsia="en-GB"/>
        </w:rPr>
        <w:t>biztonságosságát feln</w:t>
      </w:r>
      <w:r>
        <w:rPr>
          <w:rFonts w:eastAsia="TimesNewRomanPSMT" w:hint="eastAsia"/>
          <w:snapToGrid/>
          <w:szCs w:val="22"/>
          <w:lang w:val="hu-HU" w:eastAsia="en-GB"/>
        </w:rPr>
        <w:t>ő</w:t>
      </w:r>
      <w:r>
        <w:rPr>
          <w:rFonts w:eastAsia="TimesNewRomanPSMT"/>
          <w:snapToGrid/>
          <w:szCs w:val="22"/>
          <w:lang w:val="hu-HU" w:eastAsia="en-GB"/>
        </w:rPr>
        <w:t>tt betegekn</w:t>
      </w:r>
      <w:r>
        <w:rPr>
          <w:rFonts w:eastAsia="TimesNewRomanPSMT" w:hint="eastAsia"/>
          <w:snapToGrid/>
          <w:szCs w:val="22"/>
          <w:lang w:val="hu-HU" w:eastAsia="en-GB"/>
        </w:rPr>
        <w:t>é</w:t>
      </w:r>
      <w:r>
        <w:rPr>
          <w:rFonts w:eastAsia="TimesNewRomanPSMT"/>
          <w:snapToGrid/>
          <w:szCs w:val="22"/>
          <w:lang w:val="hu-HU" w:eastAsia="en-GB"/>
        </w:rPr>
        <w:t xml:space="preserve">l (n = 763) az </w:t>
      </w:r>
      <w:r>
        <w:rPr>
          <w:rFonts w:eastAsia="TimesNewRomanPSMT" w:hint="eastAsia"/>
          <w:snapToGrid/>
          <w:szCs w:val="22"/>
          <w:lang w:val="hu-HU" w:eastAsia="en-GB"/>
        </w:rPr>
        <w:t>ö</w:t>
      </w:r>
      <w:r>
        <w:rPr>
          <w:rFonts w:eastAsia="TimesNewRomanPSMT"/>
          <w:snapToGrid/>
          <w:szCs w:val="22"/>
          <w:lang w:val="hu-HU" w:eastAsia="en-GB"/>
        </w:rPr>
        <w:t>sszes</w:t>
      </w:r>
      <w:r>
        <w:rPr>
          <w:rFonts w:eastAsia="TimesNewRomanPSMT" w:hint="eastAsia"/>
          <w:snapToGrid/>
          <w:szCs w:val="22"/>
          <w:lang w:val="hu-HU" w:eastAsia="en-GB"/>
        </w:rPr>
        <w:t>í</w:t>
      </w:r>
      <w:r>
        <w:rPr>
          <w:rFonts w:eastAsia="TimesNewRomanPSMT"/>
          <w:snapToGrid/>
          <w:szCs w:val="22"/>
          <w:lang w:val="hu-HU" w:eastAsia="en-GB"/>
        </w:rPr>
        <w:t>tett, kett</w:t>
      </w:r>
      <w:r>
        <w:rPr>
          <w:rFonts w:eastAsia="TimesNewRomanPSMT" w:hint="eastAsia"/>
          <w:snapToGrid/>
          <w:szCs w:val="22"/>
          <w:lang w:val="hu-HU" w:eastAsia="en-GB"/>
        </w:rPr>
        <w:t>ő</w:t>
      </w:r>
      <w:r>
        <w:rPr>
          <w:rFonts w:eastAsia="TimesNewRomanPSMT"/>
          <w:snapToGrid/>
          <w:szCs w:val="22"/>
          <w:lang w:val="hu-HU" w:eastAsia="en-GB"/>
        </w:rPr>
        <w:t xml:space="preserve">s vak, placebokontrollos TRA100773A </w:t>
      </w:r>
      <w:r>
        <w:rPr>
          <w:rFonts w:eastAsia="TimesNewRomanPSMT" w:hint="eastAsia"/>
          <w:snapToGrid/>
          <w:szCs w:val="22"/>
          <w:lang w:val="hu-HU" w:eastAsia="en-GB"/>
        </w:rPr>
        <w:t>é</w:t>
      </w:r>
      <w:r>
        <w:rPr>
          <w:rFonts w:eastAsia="TimesNewRomanPSMT"/>
          <w:snapToGrid/>
          <w:szCs w:val="22"/>
          <w:lang w:val="hu-HU" w:eastAsia="en-GB"/>
        </w:rPr>
        <w:t xml:space="preserve">s B, TRA102537 (RAISE) </w:t>
      </w:r>
      <w:r>
        <w:rPr>
          <w:rFonts w:eastAsia="TimesNewRomanPSMT" w:hint="eastAsia"/>
          <w:snapToGrid/>
          <w:szCs w:val="22"/>
          <w:lang w:val="hu-HU" w:eastAsia="en-GB"/>
        </w:rPr>
        <w:t>é</w:t>
      </w:r>
      <w:r>
        <w:rPr>
          <w:rFonts w:eastAsia="TimesNewRomanPSMT"/>
          <w:snapToGrid/>
          <w:szCs w:val="22"/>
          <w:lang w:val="hu-HU" w:eastAsia="en-GB"/>
        </w:rPr>
        <w:t xml:space="preserve">s TRA113765 vizsgálatok alapján értékelték, amelyekben 403 beteg kapott </w:t>
      </w:r>
      <w:r>
        <w:rPr>
          <w:rFonts w:eastAsia="Times New Roman"/>
          <w:noProof/>
          <w:snapToGrid/>
          <w:szCs w:val="22"/>
          <w:lang w:val="hu-HU" w:eastAsia="en-US"/>
        </w:rPr>
        <w:t>eltrombopag</w:t>
      </w:r>
      <w:r>
        <w:rPr>
          <w:rFonts w:eastAsia="TimesNewRomanPSMT"/>
          <w:snapToGrid/>
          <w:szCs w:val="22"/>
          <w:lang w:val="hu-HU" w:eastAsia="en-GB"/>
        </w:rPr>
        <w:t>ot, 179 pedig placebót (lásd 5.1 pont). A betegek legtovább 8 évig kapták a vizsgálati készítményt (az EXTEND vizsgálatban). A legjelent</w:t>
      </w:r>
      <w:r>
        <w:rPr>
          <w:rFonts w:eastAsia="TimesNewRomanPSMT" w:hint="eastAsia"/>
          <w:snapToGrid/>
          <w:szCs w:val="22"/>
          <w:lang w:val="hu-HU" w:eastAsia="en-GB"/>
        </w:rPr>
        <w:t>ő</w:t>
      </w:r>
      <w:r>
        <w:rPr>
          <w:rFonts w:eastAsia="TimesNewRomanPSMT"/>
          <w:snapToGrid/>
          <w:szCs w:val="22"/>
          <w:lang w:val="hu-HU" w:eastAsia="en-GB"/>
        </w:rPr>
        <w:t>sebb s</w:t>
      </w:r>
      <w:r>
        <w:rPr>
          <w:rFonts w:eastAsia="TimesNewRomanPSMT" w:hint="eastAsia"/>
          <w:snapToGrid/>
          <w:szCs w:val="22"/>
          <w:lang w:val="hu-HU" w:eastAsia="en-GB"/>
        </w:rPr>
        <w:t>ú</w:t>
      </w:r>
      <w:r>
        <w:rPr>
          <w:rFonts w:eastAsia="TimesNewRomanPSMT"/>
          <w:snapToGrid/>
          <w:szCs w:val="22"/>
          <w:lang w:val="hu-HU" w:eastAsia="en-GB"/>
        </w:rPr>
        <w:t>lyos mellékhatások a hepatotoxicitás, illetve a thromboticus/thromboemboliás események voltak. A leggyakoribb (a betegek legalább 10%-ánál el</w:t>
      </w:r>
      <w:r>
        <w:rPr>
          <w:rFonts w:eastAsia="TimesNewRomanPSMT" w:hint="eastAsia"/>
          <w:snapToGrid/>
          <w:szCs w:val="22"/>
          <w:lang w:val="hu-HU" w:eastAsia="en-GB"/>
        </w:rPr>
        <w:t>ő</w:t>
      </w:r>
      <w:r>
        <w:rPr>
          <w:rFonts w:eastAsia="TimesNewRomanPSMT"/>
          <w:snapToGrid/>
          <w:szCs w:val="22"/>
          <w:lang w:val="hu-HU" w:eastAsia="en-GB"/>
        </w:rPr>
        <w:t>fordul</w:t>
      </w:r>
      <w:r>
        <w:rPr>
          <w:rFonts w:eastAsia="TimesNewRomanPSMT" w:hint="eastAsia"/>
          <w:snapToGrid/>
          <w:szCs w:val="22"/>
          <w:lang w:val="hu-HU" w:eastAsia="en-GB"/>
        </w:rPr>
        <w:t>ó</w:t>
      </w:r>
      <w:r>
        <w:rPr>
          <w:rFonts w:eastAsia="TimesNewRomanPSMT"/>
          <w:snapToGrid/>
          <w:szCs w:val="22"/>
          <w:lang w:val="hu-HU" w:eastAsia="en-GB"/>
        </w:rPr>
        <w:t>) mellékhatások a hányinger, hasmenés, emelkedett glutamát-piruvát-transzamináz (GPT) más néven alanin-amino-transzferáz-szint és hátfájás voltak.</w:t>
      </w:r>
    </w:p>
    <w:p w14:paraId="18F69503"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46BF4551"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rFonts w:eastAsia="Times New Roman"/>
          <w:noProof/>
          <w:snapToGrid/>
          <w:szCs w:val="22"/>
          <w:lang w:val="hu-HU" w:eastAsia="en-US"/>
        </w:rPr>
        <w:t>Az eltrombopag</w:t>
      </w:r>
      <w:r>
        <w:rPr>
          <w:rFonts w:eastAsia="TimesNewRomanPSMT"/>
          <w:snapToGrid/>
          <w:szCs w:val="22"/>
          <w:lang w:val="hu-HU" w:eastAsia="en-GB"/>
        </w:rPr>
        <w:t xml:space="preserve"> biztonságosságát előzőleg ITP miatt már kezelt gyermekeknél és serdülőknél (1 - 18 éves) két vizsgálatban igazolták (n = 171) (lásd 5.1 pont). A PETIT2 (TRA115450) egy két részes, kettős vak és nyílt rendezésű, randomizált, placebokontrollos vizsgálat volt. A betegeket 2:1 arányban randomizálták e</w:t>
      </w:r>
      <w:r>
        <w:rPr>
          <w:rFonts w:eastAsia="Times New Roman"/>
          <w:noProof/>
          <w:snapToGrid/>
          <w:szCs w:val="22"/>
          <w:lang w:val="hu-HU" w:eastAsia="en-US"/>
        </w:rPr>
        <w:t>ltrombopag</w:t>
      </w:r>
      <w:r>
        <w:rPr>
          <w:rFonts w:eastAsia="TimesNewRomanPSMT"/>
          <w:snapToGrid/>
          <w:szCs w:val="22"/>
          <w:lang w:val="hu-HU" w:eastAsia="en-GB"/>
        </w:rPr>
        <w:t xml:space="preserve"> (n = 63) vagy placebo (n = 29) készítménnyel történő 13 hetes kezelésre a vizsgálat randomizált időszakában. A PETIT (TRA108062) egy három részes, többszakaszos, nyílt és kettős vak elrendezésű, randomizált, placebokontrollos vizsgálat volt. A betegeket 2:1 arányban randomizálták e</w:t>
      </w:r>
      <w:r>
        <w:rPr>
          <w:rFonts w:eastAsia="Times New Roman"/>
          <w:noProof/>
          <w:snapToGrid/>
          <w:szCs w:val="22"/>
          <w:lang w:val="hu-HU" w:eastAsia="en-US"/>
        </w:rPr>
        <w:t>ltrombopag</w:t>
      </w:r>
      <w:r>
        <w:rPr>
          <w:rFonts w:eastAsia="TimesNewRomanPSMT"/>
          <w:snapToGrid/>
          <w:szCs w:val="22"/>
          <w:lang w:val="hu-HU" w:eastAsia="en-GB"/>
        </w:rPr>
        <w:t xml:space="preserve"> (n = 44) vagy placebo- (n = 21) készítménnyel történő 7 hetes kezelésre. A mellékhatások jellege a felnőtteknél tapasztaltakkal összevethető volt, néhány további mellékhatással kiegészülve, amelyek az alábbi táblázatban ♦ jelzéssel szerepelnek. Az 1 éves vagy annál idősebb, ITP-s gyermekkorú betegek körében a leggyakoribb mellékhatások (legalább 3%, és magasabb, mint a placebo esetén) a felső légúti fertőzés, nasopharyngitis, köhögés, láz, hasi fájdalom, a száj-garat fájdalma, fogfájás, illetve orrfolyás voltak.</w:t>
      </w:r>
    </w:p>
    <w:p w14:paraId="32D31B3B"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67C86200"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Thrombocytopenia HCV-fertőzéssel felnőtt betegeknél</w:t>
      </w:r>
    </w:p>
    <w:p w14:paraId="0D64835A" w14:textId="77777777" w:rsidR="009F5F6A" w:rsidRDefault="009F5F6A">
      <w:pPr>
        <w:tabs>
          <w:tab w:val="clear" w:pos="567"/>
        </w:tabs>
        <w:autoSpaceDE w:val="0"/>
        <w:autoSpaceDN w:val="0"/>
        <w:adjustRightInd w:val="0"/>
        <w:spacing w:line="240" w:lineRule="auto"/>
        <w:rPr>
          <w:snapToGrid/>
          <w:szCs w:val="22"/>
          <w:lang w:val="hu-HU" w:eastAsia="en-GB"/>
        </w:rPr>
      </w:pPr>
    </w:p>
    <w:p w14:paraId="640FD601"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Az ENABLE 1 (TPL103922 n = 716, 715 </w:t>
      </w:r>
      <w:r>
        <w:rPr>
          <w:rFonts w:eastAsia="TimesNewRomanPSMT"/>
          <w:snapToGrid/>
          <w:szCs w:val="22"/>
          <w:lang w:val="hu-HU" w:eastAsia="en-GB"/>
        </w:rPr>
        <w:t>főt kezeltek eltrombopaggal</w:t>
      </w:r>
      <w:r>
        <w:rPr>
          <w:snapToGrid/>
          <w:szCs w:val="22"/>
          <w:lang w:val="hu-HU" w:eastAsia="en-GB"/>
        </w:rPr>
        <w:t>) és az ENABLE 2 (TPL108390 n = </w:t>
      </w:r>
      <w:r>
        <w:rPr>
          <w:rFonts w:eastAsia="TimesNewRomanPSMT"/>
          <w:snapToGrid/>
          <w:szCs w:val="22"/>
          <w:lang w:val="hu-HU" w:eastAsia="en-GB"/>
        </w:rPr>
        <w:t>805) randomizált, kettős vak, placebokontrollos, multicentrikus vizsgálatok voltak, az e</w:t>
      </w:r>
      <w:r>
        <w:rPr>
          <w:rFonts w:eastAsia="Times New Roman"/>
          <w:noProof/>
          <w:snapToGrid/>
          <w:szCs w:val="22"/>
          <w:lang w:val="hu-HU" w:eastAsia="en-US"/>
        </w:rPr>
        <w:t>ltrombopag</w:t>
      </w:r>
      <w:r>
        <w:rPr>
          <w:rFonts w:eastAsia="TimesNewRomanPSMT"/>
          <w:snapToGrid/>
          <w:szCs w:val="22"/>
          <w:lang w:val="hu-HU" w:eastAsia="en-GB"/>
        </w:rPr>
        <w:t xml:space="preserve"> </w:t>
      </w:r>
      <w:r>
        <w:rPr>
          <w:snapToGrid/>
          <w:szCs w:val="22"/>
          <w:lang w:val="hu-HU" w:eastAsia="en-GB"/>
        </w:rPr>
        <w:t>hatásosságának és biztonságosságának értékelésére, HCV-</w:t>
      </w:r>
      <w:r>
        <w:rPr>
          <w:rFonts w:eastAsia="TimesNewRomanPSMT"/>
          <w:snapToGrid/>
          <w:szCs w:val="22"/>
          <w:lang w:val="hu-HU" w:eastAsia="en-GB"/>
        </w:rPr>
        <w:t xml:space="preserve">fertőzésben szenvedő thrombocytopeniás </w:t>
      </w:r>
      <w:r>
        <w:rPr>
          <w:snapToGrid/>
          <w:szCs w:val="22"/>
          <w:lang w:val="hu-HU" w:eastAsia="en-GB"/>
        </w:rPr>
        <w:t>betegeknél, akik egyébként alkalmasak az antivirális terápia megkezdésére. A HCV-vizsgálatokban a biztonságossági populáció magában foglalt minden olyan beteget, aki az ENABLE 1 vizsgálat 2. részében (</w:t>
      </w:r>
      <w:r>
        <w:rPr>
          <w:rFonts w:eastAsia="Times New Roman"/>
          <w:noProof/>
          <w:snapToGrid/>
          <w:szCs w:val="22"/>
          <w:lang w:val="hu-HU" w:eastAsia="en-US"/>
        </w:rPr>
        <w:t>eltrombopag</w:t>
      </w:r>
      <w:r>
        <w:rPr>
          <w:snapToGrid/>
          <w:szCs w:val="22"/>
          <w:lang w:val="hu-HU" w:eastAsia="en-GB"/>
        </w:rPr>
        <w:t>-kezelés n = 450, placebokezelés n = 232) és az ENABLE 2 (</w:t>
      </w:r>
      <w:r>
        <w:rPr>
          <w:rFonts w:eastAsia="Times New Roman"/>
          <w:noProof/>
          <w:snapToGrid/>
          <w:szCs w:val="22"/>
          <w:lang w:val="hu-HU" w:eastAsia="en-US"/>
        </w:rPr>
        <w:t>eltrombopag</w:t>
      </w:r>
      <w:r>
        <w:rPr>
          <w:snapToGrid/>
          <w:szCs w:val="22"/>
          <w:lang w:val="hu-HU" w:eastAsia="en-GB"/>
        </w:rPr>
        <w:t>-kezelés n = 506, placebokezelés n = 252</w:t>
      </w:r>
      <w:r>
        <w:rPr>
          <w:rFonts w:eastAsia="TimesNewRomanPSMT"/>
          <w:snapToGrid/>
          <w:szCs w:val="22"/>
          <w:lang w:val="hu-HU" w:eastAsia="en-GB"/>
        </w:rPr>
        <w:t xml:space="preserve">) vizsgálat során kettős vak elrendezésben vizsgálati készítményt </w:t>
      </w:r>
      <w:r>
        <w:rPr>
          <w:snapToGrid/>
          <w:szCs w:val="22"/>
          <w:lang w:val="hu-HU" w:eastAsia="en-GB"/>
        </w:rPr>
        <w:t xml:space="preserve">kaptak. A betegeket a kapott kezelés szerint elemezték </w:t>
      </w:r>
      <w:r>
        <w:rPr>
          <w:rFonts w:eastAsia="TimesNewRomanPSMT"/>
          <w:snapToGrid/>
          <w:szCs w:val="22"/>
          <w:lang w:val="hu-HU" w:eastAsia="en-GB"/>
        </w:rPr>
        <w:t xml:space="preserve">(teljes biztonságossági kettős vak populáció, </w:t>
      </w:r>
      <w:r>
        <w:rPr>
          <w:rFonts w:eastAsia="Times New Roman"/>
          <w:noProof/>
          <w:snapToGrid/>
          <w:szCs w:val="22"/>
          <w:lang w:val="hu-HU" w:eastAsia="en-US"/>
        </w:rPr>
        <w:t>eltrombopag</w:t>
      </w:r>
      <w:r>
        <w:rPr>
          <w:snapToGrid/>
          <w:szCs w:val="22"/>
          <w:lang w:val="hu-HU" w:eastAsia="en-GB"/>
        </w:rPr>
        <w:t xml:space="preserve"> n = 955 és placebo n = 484). </w:t>
      </w:r>
      <w:r>
        <w:rPr>
          <w:rFonts w:eastAsia="TimesNewRomanPSMT"/>
          <w:snapToGrid/>
          <w:szCs w:val="22"/>
          <w:lang w:val="hu-HU" w:eastAsia="en-GB"/>
        </w:rPr>
        <w:t xml:space="preserve">A legjelentősebb súlyos </w:t>
      </w:r>
      <w:r>
        <w:rPr>
          <w:snapToGrid/>
          <w:szCs w:val="22"/>
          <w:lang w:val="hu-HU" w:eastAsia="en-GB"/>
        </w:rPr>
        <w:t>mellékhatások a hepatotoxicitás, illetve a thromboticus/thromboemboliás események voltak. A leggyakoribb (a betegek legalább 10%-</w:t>
      </w:r>
      <w:r>
        <w:rPr>
          <w:rFonts w:eastAsia="TimesNewRomanPSMT"/>
          <w:snapToGrid/>
          <w:szCs w:val="22"/>
          <w:lang w:val="hu-HU" w:eastAsia="en-GB"/>
        </w:rPr>
        <w:t>ánál előforduló</w:t>
      </w:r>
      <w:r>
        <w:rPr>
          <w:snapToGrid/>
          <w:szCs w:val="22"/>
          <w:lang w:val="hu-HU" w:eastAsia="en-GB"/>
        </w:rPr>
        <w:t xml:space="preserve">) mellékhatások a fejfájás, anaemia, étvágycsökkenés, köhögés, hányinger, hasmenés, hyperbilirubinaemia, </w:t>
      </w:r>
      <w:r>
        <w:rPr>
          <w:rFonts w:eastAsia="TimesNewRomanPSMT"/>
          <w:snapToGrid/>
          <w:szCs w:val="22"/>
          <w:lang w:val="hu-HU" w:eastAsia="en-GB"/>
        </w:rPr>
        <w:t xml:space="preserve">alopecia, viszketés, izomfájdalom, láz, fáradtság, influenzaszerű </w:t>
      </w:r>
      <w:r>
        <w:rPr>
          <w:snapToGrid/>
          <w:szCs w:val="22"/>
          <w:lang w:val="hu-HU" w:eastAsia="en-GB"/>
        </w:rPr>
        <w:t>megbetegedés, gyengeség, hidegrázás és oedema voltak.</w:t>
      </w:r>
    </w:p>
    <w:p w14:paraId="4E91DB0D"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4C8D50C6"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Súlyos aplasticus anaemia felnőtt betegeknél</w:t>
      </w:r>
    </w:p>
    <w:p w14:paraId="6460879B" w14:textId="77777777" w:rsidR="009F5F6A" w:rsidRDefault="009F5F6A">
      <w:pPr>
        <w:tabs>
          <w:tab w:val="clear" w:pos="567"/>
        </w:tabs>
        <w:autoSpaceDE w:val="0"/>
        <w:autoSpaceDN w:val="0"/>
        <w:adjustRightInd w:val="0"/>
        <w:spacing w:line="240" w:lineRule="auto"/>
        <w:rPr>
          <w:snapToGrid/>
          <w:szCs w:val="22"/>
          <w:lang w:val="hu-HU" w:eastAsia="en-GB"/>
        </w:rPr>
      </w:pPr>
    </w:p>
    <w:p w14:paraId="663F30AE"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Az e</w:t>
      </w:r>
      <w:r>
        <w:rPr>
          <w:rFonts w:eastAsia="Times New Roman"/>
          <w:noProof/>
          <w:snapToGrid/>
          <w:szCs w:val="22"/>
          <w:lang w:val="hu-HU" w:eastAsia="en-US"/>
        </w:rPr>
        <w:t>ltrombopag</w:t>
      </w:r>
      <w:r>
        <w:rPr>
          <w:rFonts w:eastAsia="TimesNewRomanPSMT"/>
          <w:snapToGrid/>
          <w:szCs w:val="22"/>
          <w:lang w:val="hu-HU" w:eastAsia="en-GB"/>
        </w:rPr>
        <w:t xml:space="preserve"> </w:t>
      </w:r>
      <w:r>
        <w:rPr>
          <w:snapToGrid/>
          <w:szCs w:val="22"/>
          <w:lang w:val="hu-HU" w:eastAsia="en-GB"/>
        </w:rPr>
        <w:t>biztonságosságát súlyos aplasticus anaemiában egy egykaros, nyílt elrendezésű vizsgálatban értékelték (n = 43), amelyben 11 beteget (26%) kezeltek 6 hónapnál, és 7 beteget (16%) egy évnél tovább (lásd 5.1 pont). A leggyakoribb (a betegek legalább 10%-ánál előforduló) mellékhatások a fejfájás, szédülés, köhögés, szájgarat-fájdalom, orrfolyás, hányinger, hasmenés, hasi fájdalom, emelkedett transzamináz-szint, ízületi fájdalom, végtagfájdalom, izomgörcsök, fáradtság, illetve láz voltak.</w:t>
      </w:r>
    </w:p>
    <w:p w14:paraId="213B6837"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7F19DA1F"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A mellékhatások felsorolása</w:t>
      </w:r>
    </w:p>
    <w:p w14:paraId="1DD1D6CB" w14:textId="77777777" w:rsidR="009F5F6A" w:rsidRDefault="009F5F6A">
      <w:pPr>
        <w:tabs>
          <w:tab w:val="clear" w:pos="567"/>
        </w:tabs>
        <w:autoSpaceDE w:val="0"/>
        <w:autoSpaceDN w:val="0"/>
        <w:adjustRightInd w:val="0"/>
        <w:spacing w:line="240" w:lineRule="auto"/>
        <w:rPr>
          <w:snapToGrid/>
          <w:szCs w:val="22"/>
          <w:lang w:val="hu-HU" w:eastAsia="en-GB"/>
        </w:rPr>
      </w:pPr>
    </w:p>
    <w:p w14:paraId="1629E338"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Az ITP-s felnőttekkel végzett (n = 763), az ITP-s gyermekekkel és serdülőkkel végzett (n = 171), valamint a HCV- (n = 1520) és az SAA-vizsgálatok (N = 43) során, továbbá a forgalombahozatalt követő jelentésekben előforduló mellékhatások az alábbiakban a MedDRA szervrendszer szerinti osztályozásban és gyakoriság szerint kerülnek felsorolásra. Az egyes szervrendszerenkénti csoportokban a mellékhatások gyakoriság szerinti sorrendben szerepelnek úgy, hogy a leggyakoribb mellékhatás szerepel először. </w:t>
      </w:r>
      <w:proofErr w:type="gramStart"/>
      <w:r>
        <w:rPr>
          <w:snapToGrid/>
          <w:szCs w:val="22"/>
          <w:lang w:val="hu-HU" w:eastAsia="en-GB"/>
        </w:rPr>
        <w:t>Az egyes mellékhatások megfelelő gyakorisági kategóriája a következő megegyezésen alapul (CIOMS III): nagyon gyakori (≥ 1/10); gyakori (≥ 1/100 – &lt; 1/10); nem gyakori (≥ 1/1000 – &lt; 1/100); ritka (≥ 1/10 000 – &lt; 1/1000); nem ismert (a gyakoriság a rendelkezésre álló adatokból nem állapítható meg).</w:t>
      </w:r>
      <w:proofErr w:type="gramEnd"/>
    </w:p>
    <w:p w14:paraId="5FFE9B08" w14:textId="77777777" w:rsidR="009F5F6A" w:rsidRDefault="009F5F6A">
      <w:pPr>
        <w:tabs>
          <w:tab w:val="clear" w:pos="567"/>
        </w:tabs>
        <w:autoSpaceDE w:val="0"/>
        <w:autoSpaceDN w:val="0"/>
        <w:adjustRightInd w:val="0"/>
        <w:spacing w:line="240" w:lineRule="auto"/>
        <w:rPr>
          <w:snapToGrid/>
          <w:szCs w:val="22"/>
          <w:lang w:val="hu-HU" w:eastAsia="en-GB"/>
        </w:rPr>
      </w:pPr>
    </w:p>
    <w:p w14:paraId="458E6AE1"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b/>
          <w:bCs/>
          <w:snapToGrid/>
          <w:szCs w:val="22"/>
          <w:lang w:val="hu-HU" w:eastAsia="en-GB"/>
        </w:rPr>
        <w:t>ITP vizsgálati csoport</w:t>
      </w:r>
    </w:p>
    <w:p w14:paraId="03A725F0"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tbl>
      <w:tblPr>
        <w:tblW w:w="9210" w:type="dxa"/>
        <w:tblInd w:w="5" w:type="dxa"/>
        <w:tblCellMar>
          <w:top w:w="13" w:type="dxa"/>
          <w:left w:w="107" w:type="dxa"/>
          <w:right w:w="53" w:type="dxa"/>
        </w:tblCellMar>
        <w:tblLook w:val="04A0" w:firstRow="1" w:lastRow="0" w:firstColumn="1" w:lastColumn="0" w:noHBand="0" w:noVBand="1"/>
      </w:tblPr>
      <w:tblGrid>
        <w:gridCol w:w="2810"/>
        <w:gridCol w:w="1255"/>
        <w:gridCol w:w="5145"/>
      </w:tblGrid>
      <w:tr w:rsidR="009F5F6A" w14:paraId="4909F3EE" w14:textId="77777777">
        <w:trPr>
          <w:trHeight w:val="264"/>
        </w:trPr>
        <w:tc>
          <w:tcPr>
            <w:tcW w:w="2810" w:type="dxa"/>
            <w:tcBorders>
              <w:top w:val="single" w:sz="4" w:space="0" w:color="000000"/>
              <w:left w:val="single" w:sz="4" w:space="0" w:color="000000"/>
              <w:bottom w:val="single" w:sz="4" w:space="0" w:color="000000"/>
              <w:right w:val="single" w:sz="4" w:space="0" w:color="000000"/>
            </w:tcBorders>
          </w:tcPr>
          <w:p w14:paraId="3E6726C1" w14:textId="77777777" w:rsidR="009F5F6A" w:rsidRDefault="00962A10">
            <w:pPr>
              <w:tabs>
                <w:tab w:val="clear" w:pos="567"/>
              </w:tabs>
              <w:autoSpaceDE w:val="0"/>
              <w:autoSpaceDN w:val="0"/>
              <w:adjustRightInd w:val="0"/>
              <w:spacing w:line="240" w:lineRule="auto"/>
              <w:rPr>
                <w:szCs w:val="22"/>
                <w:lang w:eastAsia="en-US"/>
              </w:rPr>
            </w:pPr>
            <w:r>
              <w:rPr>
                <w:b/>
                <w:bCs/>
                <w:snapToGrid/>
                <w:szCs w:val="22"/>
                <w:lang w:val="hu-HU" w:eastAsia="en-GB"/>
              </w:rPr>
              <w:t>Szervrendszeri kategória</w:t>
            </w:r>
          </w:p>
        </w:tc>
        <w:tc>
          <w:tcPr>
            <w:tcW w:w="1255" w:type="dxa"/>
            <w:tcBorders>
              <w:top w:val="single" w:sz="4" w:space="0" w:color="000000"/>
              <w:left w:val="single" w:sz="4" w:space="0" w:color="000000"/>
              <w:bottom w:val="single" w:sz="4" w:space="0" w:color="000000"/>
              <w:right w:val="single" w:sz="4" w:space="0" w:color="000000"/>
            </w:tcBorders>
          </w:tcPr>
          <w:p w14:paraId="1646874B" w14:textId="77777777" w:rsidR="009F5F6A" w:rsidRDefault="00962A10">
            <w:pPr>
              <w:widowControl w:val="0"/>
              <w:rPr>
                <w:szCs w:val="22"/>
                <w:lang w:eastAsia="en-US"/>
              </w:rPr>
            </w:pPr>
            <w:r>
              <w:rPr>
                <w:b/>
                <w:bCs/>
                <w:snapToGrid/>
                <w:szCs w:val="22"/>
                <w:lang w:val="hu-HU" w:eastAsia="en-GB"/>
              </w:rPr>
              <w:t>Gyakoriság</w:t>
            </w:r>
          </w:p>
        </w:tc>
        <w:tc>
          <w:tcPr>
            <w:tcW w:w="5145" w:type="dxa"/>
            <w:tcBorders>
              <w:top w:val="single" w:sz="4" w:space="0" w:color="000000"/>
              <w:left w:val="single" w:sz="4" w:space="0" w:color="000000"/>
              <w:bottom w:val="single" w:sz="4" w:space="0" w:color="000000"/>
              <w:right w:val="single" w:sz="4" w:space="0" w:color="000000"/>
            </w:tcBorders>
          </w:tcPr>
          <w:p w14:paraId="2AC0FF2C" w14:textId="77777777" w:rsidR="009F5F6A" w:rsidRDefault="00962A10">
            <w:pPr>
              <w:widowControl w:val="0"/>
              <w:rPr>
                <w:szCs w:val="22"/>
                <w:lang w:eastAsia="en-US"/>
              </w:rPr>
            </w:pPr>
            <w:r>
              <w:rPr>
                <w:b/>
                <w:bCs/>
                <w:snapToGrid/>
                <w:szCs w:val="22"/>
                <w:lang w:val="hu-HU" w:eastAsia="en-GB"/>
              </w:rPr>
              <w:t>Mellékhatás</w:t>
            </w:r>
          </w:p>
        </w:tc>
      </w:tr>
      <w:tr w:rsidR="009F5F6A" w14:paraId="3DFEE0F9" w14:textId="77777777">
        <w:trPr>
          <w:trHeight w:val="521"/>
        </w:trPr>
        <w:tc>
          <w:tcPr>
            <w:tcW w:w="2810" w:type="dxa"/>
            <w:vMerge w:val="restart"/>
            <w:tcBorders>
              <w:top w:val="single" w:sz="4" w:space="0" w:color="000000"/>
              <w:left w:val="single" w:sz="4" w:space="0" w:color="000000"/>
              <w:bottom w:val="single" w:sz="4" w:space="0" w:color="000000"/>
              <w:right w:val="single" w:sz="4" w:space="0" w:color="000000"/>
            </w:tcBorders>
          </w:tcPr>
          <w:p w14:paraId="1DDFCD1A" w14:textId="77777777" w:rsidR="009F5F6A" w:rsidRDefault="00962A10">
            <w:pPr>
              <w:widowControl w:val="0"/>
              <w:rPr>
                <w:szCs w:val="22"/>
                <w:lang w:eastAsia="en-US"/>
              </w:rPr>
            </w:pPr>
            <w:r>
              <w:rPr>
                <w:szCs w:val="22"/>
                <w:lang w:eastAsia="en-US"/>
              </w:rPr>
              <w:t>Fertőző betegségek és parazitafertőzések</w:t>
            </w:r>
          </w:p>
        </w:tc>
        <w:tc>
          <w:tcPr>
            <w:tcW w:w="1255" w:type="dxa"/>
            <w:tcBorders>
              <w:top w:val="single" w:sz="4" w:space="0" w:color="000000"/>
              <w:left w:val="single" w:sz="4" w:space="0" w:color="000000"/>
              <w:bottom w:val="single" w:sz="4" w:space="0" w:color="000000"/>
              <w:right w:val="single" w:sz="4" w:space="0" w:color="000000"/>
            </w:tcBorders>
          </w:tcPr>
          <w:p w14:paraId="2DCC178B"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Nagyon gyakori</w:t>
            </w:r>
          </w:p>
        </w:tc>
        <w:tc>
          <w:tcPr>
            <w:tcW w:w="5145" w:type="dxa"/>
            <w:tcBorders>
              <w:top w:val="single" w:sz="4" w:space="0" w:color="000000"/>
              <w:left w:val="single" w:sz="4" w:space="0" w:color="000000"/>
              <w:bottom w:val="single" w:sz="4" w:space="0" w:color="000000"/>
              <w:right w:val="single" w:sz="4" w:space="0" w:color="000000"/>
            </w:tcBorders>
          </w:tcPr>
          <w:p w14:paraId="09AFF2B6"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Nasopharyngitis</w:t>
            </w:r>
            <w:r>
              <w:rPr>
                <w:snapToGrid/>
                <w:szCs w:val="22"/>
                <w:vertAlign w:val="superscript"/>
                <w:lang w:val="hu-HU" w:eastAsia="en-GB"/>
              </w:rPr>
              <w:t>♦</w:t>
            </w:r>
            <w:r>
              <w:rPr>
                <w:snapToGrid/>
                <w:szCs w:val="22"/>
                <w:lang w:val="hu-HU" w:eastAsia="en-GB"/>
              </w:rPr>
              <w:t>, felső légúti fertőzés</w:t>
            </w:r>
            <w:r>
              <w:rPr>
                <w:snapToGrid/>
                <w:szCs w:val="22"/>
                <w:vertAlign w:val="superscript"/>
                <w:lang w:val="hu-HU" w:eastAsia="en-GB"/>
              </w:rPr>
              <w:t>♦</w:t>
            </w:r>
          </w:p>
        </w:tc>
      </w:tr>
      <w:tr w:rsidR="009F5F6A" w14:paraId="6206939E" w14:textId="77777777">
        <w:trPr>
          <w:trHeight w:val="769"/>
        </w:trPr>
        <w:tc>
          <w:tcPr>
            <w:tcW w:w="0" w:type="auto"/>
            <w:vMerge/>
            <w:tcBorders>
              <w:top w:val="nil"/>
              <w:left w:val="single" w:sz="4" w:space="0" w:color="000000"/>
              <w:bottom w:val="nil"/>
              <w:right w:val="single" w:sz="4" w:space="0" w:color="000000"/>
            </w:tcBorders>
          </w:tcPr>
          <w:p w14:paraId="7609746A"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63C3FD0B"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70CF769F"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Pharyngitis, influenza, oralis herpes, pneumonia, sinusitis, tonsillitis, légúti fertőzések, gingivitis</w:t>
            </w:r>
          </w:p>
        </w:tc>
      </w:tr>
      <w:tr w:rsidR="009F5F6A" w14:paraId="45E9E250" w14:textId="77777777">
        <w:trPr>
          <w:trHeight w:val="280"/>
        </w:trPr>
        <w:tc>
          <w:tcPr>
            <w:tcW w:w="0" w:type="auto"/>
            <w:vMerge/>
            <w:tcBorders>
              <w:top w:val="nil"/>
              <w:left w:val="single" w:sz="4" w:space="0" w:color="000000"/>
              <w:bottom w:val="single" w:sz="4" w:space="0" w:color="000000"/>
              <w:right w:val="single" w:sz="4" w:space="0" w:color="000000"/>
            </w:tcBorders>
            <w:vAlign w:val="center"/>
          </w:tcPr>
          <w:p w14:paraId="3159F6EE"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6362DCD4"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62BE9F15"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Bőrfertőzés</w:t>
            </w:r>
          </w:p>
        </w:tc>
      </w:tr>
      <w:tr w:rsidR="009F5F6A" w14:paraId="0D6FE67E" w14:textId="77777777">
        <w:trPr>
          <w:trHeight w:val="790"/>
        </w:trPr>
        <w:tc>
          <w:tcPr>
            <w:tcW w:w="2810" w:type="dxa"/>
            <w:tcBorders>
              <w:top w:val="single" w:sz="4" w:space="0" w:color="000000"/>
              <w:left w:val="single" w:sz="4" w:space="0" w:color="000000"/>
              <w:bottom w:val="single" w:sz="4" w:space="0" w:color="000000"/>
              <w:right w:val="single" w:sz="4" w:space="0" w:color="000000"/>
            </w:tcBorders>
          </w:tcPr>
          <w:p w14:paraId="389BF04E"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Jó-, rosszindulatú és nem meghatározott daganatok (beleértve a cisztákat és polipokat is)</w:t>
            </w:r>
          </w:p>
        </w:tc>
        <w:tc>
          <w:tcPr>
            <w:tcW w:w="1255" w:type="dxa"/>
            <w:tcBorders>
              <w:top w:val="single" w:sz="4" w:space="0" w:color="000000"/>
              <w:left w:val="single" w:sz="4" w:space="0" w:color="000000"/>
              <w:bottom w:val="single" w:sz="4" w:space="0" w:color="000000"/>
              <w:right w:val="single" w:sz="4" w:space="0" w:color="000000"/>
            </w:tcBorders>
          </w:tcPr>
          <w:p w14:paraId="515EA0A0"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3644EE1F" w14:textId="77777777" w:rsidR="009F5F6A" w:rsidRDefault="00962A10">
            <w:pPr>
              <w:widowControl w:val="0"/>
              <w:rPr>
                <w:szCs w:val="22"/>
                <w:lang w:eastAsia="en-US"/>
              </w:rPr>
            </w:pPr>
            <w:r>
              <w:rPr>
                <w:snapToGrid/>
                <w:szCs w:val="22"/>
                <w:lang w:val="hu-HU" w:eastAsia="en-GB"/>
              </w:rPr>
              <w:t>Rectosigmoidealis carcinoma</w:t>
            </w:r>
          </w:p>
        </w:tc>
      </w:tr>
      <w:tr w:rsidR="009F5F6A" w14:paraId="3814D20C" w14:textId="77777777">
        <w:trPr>
          <w:trHeight w:val="769"/>
        </w:trPr>
        <w:tc>
          <w:tcPr>
            <w:tcW w:w="2810" w:type="dxa"/>
            <w:vMerge w:val="restart"/>
            <w:tcBorders>
              <w:top w:val="single" w:sz="4" w:space="0" w:color="000000"/>
              <w:left w:val="single" w:sz="4" w:space="0" w:color="000000"/>
              <w:bottom w:val="single" w:sz="4" w:space="0" w:color="000000"/>
              <w:right w:val="single" w:sz="4" w:space="0" w:color="000000"/>
            </w:tcBorders>
          </w:tcPr>
          <w:p w14:paraId="18EA315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Vérképzőszervi és nyirokrendszeri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6B73879B"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4A263D91" w14:textId="77777777" w:rsidR="009F5F6A" w:rsidRDefault="00962A10">
            <w:pPr>
              <w:widowControl w:val="0"/>
              <w:rPr>
                <w:snapToGrid/>
                <w:szCs w:val="22"/>
                <w:lang w:val="hu-HU" w:eastAsia="en-GB"/>
              </w:rPr>
            </w:pPr>
            <w:r>
              <w:rPr>
                <w:snapToGrid/>
                <w:szCs w:val="22"/>
                <w:lang w:val="hu-HU" w:eastAsia="en-GB"/>
              </w:rPr>
              <w:t>Anaemia, eosinophilia, leukocytosis, thrombocytopenia, csökkent hemoglobinszint, csökkent fehérvérsejtszám</w:t>
            </w:r>
          </w:p>
        </w:tc>
      </w:tr>
      <w:tr w:rsidR="009F5F6A" w14:paraId="2C29A692" w14:textId="77777777">
        <w:trPr>
          <w:trHeight w:val="770"/>
        </w:trPr>
        <w:tc>
          <w:tcPr>
            <w:tcW w:w="0" w:type="auto"/>
            <w:vMerge/>
            <w:tcBorders>
              <w:top w:val="nil"/>
              <w:left w:val="single" w:sz="4" w:space="0" w:color="000000"/>
              <w:bottom w:val="single" w:sz="4" w:space="0" w:color="000000"/>
              <w:right w:val="single" w:sz="4" w:space="0" w:color="000000"/>
            </w:tcBorders>
          </w:tcPr>
          <w:p w14:paraId="11CADF31"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2EE1238F"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0E1DE6BD" w14:textId="77777777" w:rsidR="009F5F6A" w:rsidRDefault="00962A10">
            <w:pPr>
              <w:widowControl w:val="0"/>
              <w:rPr>
                <w:snapToGrid/>
                <w:szCs w:val="22"/>
                <w:lang w:val="hu-HU" w:eastAsia="en-GB"/>
              </w:rPr>
            </w:pPr>
            <w:r>
              <w:rPr>
                <w:snapToGrid/>
                <w:szCs w:val="22"/>
                <w:lang w:val="hu-HU" w:eastAsia="en-GB"/>
              </w:rPr>
              <w:t>Anisocytosis, haemolyticus anaemia, myelocytosis, emelkedett stab neutrophilszám, myelocyták jelenléte, emelkedett vérlemezkeszám, emelkedett hemoglobinszint</w:t>
            </w:r>
          </w:p>
        </w:tc>
      </w:tr>
      <w:tr w:rsidR="009F5F6A" w14:paraId="254F490C" w14:textId="77777777">
        <w:trPr>
          <w:trHeight w:val="265"/>
        </w:trPr>
        <w:tc>
          <w:tcPr>
            <w:tcW w:w="2810" w:type="dxa"/>
            <w:tcBorders>
              <w:top w:val="single" w:sz="4" w:space="0" w:color="000000"/>
              <w:left w:val="single" w:sz="4" w:space="0" w:color="000000"/>
              <w:bottom w:val="single" w:sz="4" w:space="0" w:color="000000"/>
              <w:right w:val="single" w:sz="4" w:space="0" w:color="000000"/>
            </w:tcBorders>
          </w:tcPr>
          <w:p w14:paraId="54E7F492"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Immunrendszeri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619E7475"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16E68A2B" w14:textId="77777777" w:rsidR="009F5F6A" w:rsidRDefault="00962A10">
            <w:pPr>
              <w:widowControl w:val="0"/>
              <w:rPr>
                <w:snapToGrid/>
                <w:szCs w:val="22"/>
                <w:lang w:val="hu-HU" w:eastAsia="en-GB"/>
              </w:rPr>
            </w:pPr>
            <w:r>
              <w:rPr>
                <w:snapToGrid/>
                <w:szCs w:val="22"/>
                <w:lang w:val="hu-HU" w:eastAsia="en-GB"/>
              </w:rPr>
              <w:t>Túlérzékenység</w:t>
            </w:r>
          </w:p>
        </w:tc>
      </w:tr>
      <w:tr w:rsidR="009F5F6A" w14:paraId="6FA12892" w14:textId="77777777">
        <w:trPr>
          <w:trHeight w:val="516"/>
        </w:trPr>
        <w:tc>
          <w:tcPr>
            <w:tcW w:w="2810" w:type="dxa"/>
            <w:vMerge w:val="restart"/>
            <w:tcBorders>
              <w:top w:val="single" w:sz="4" w:space="0" w:color="000000"/>
              <w:left w:val="single" w:sz="4" w:space="0" w:color="000000"/>
              <w:bottom w:val="single" w:sz="4" w:space="0" w:color="000000"/>
              <w:right w:val="single" w:sz="4" w:space="0" w:color="000000"/>
            </w:tcBorders>
          </w:tcPr>
          <w:p w14:paraId="6DB21864"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Anyagcsere és táplálkozási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645E95A8"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1BA04C70" w14:textId="77777777" w:rsidR="009F5F6A" w:rsidRDefault="00962A10">
            <w:pPr>
              <w:widowControl w:val="0"/>
              <w:rPr>
                <w:snapToGrid/>
                <w:szCs w:val="22"/>
                <w:lang w:val="hu-HU" w:eastAsia="en-GB"/>
              </w:rPr>
            </w:pPr>
            <w:r>
              <w:rPr>
                <w:snapToGrid/>
                <w:szCs w:val="22"/>
                <w:lang w:val="hu-HU" w:eastAsia="en-GB"/>
              </w:rPr>
              <w:t>Hypokalaemia, étvágycsökkenés, a húgysavszint emelkedése a vérben</w:t>
            </w:r>
          </w:p>
        </w:tc>
      </w:tr>
      <w:tr w:rsidR="009F5F6A" w14:paraId="37B096B0" w14:textId="77777777">
        <w:trPr>
          <w:trHeight w:val="280"/>
        </w:trPr>
        <w:tc>
          <w:tcPr>
            <w:tcW w:w="0" w:type="auto"/>
            <w:vMerge/>
            <w:tcBorders>
              <w:top w:val="nil"/>
              <w:left w:val="single" w:sz="4" w:space="0" w:color="000000"/>
              <w:bottom w:val="single" w:sz="4" w:space="0" w:color="000000"/>
              <w:right w:val="single" w:sz="4" w:space="0" w:color="000000"/>
            </w:tcBorders>
          </w:tcPr>
          <w:p w14:paraId="149E589C"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19BA1DFC"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141D00B3" w14:textId="77777777" w:rsidR="009F5F6A" w:rsidRDefault="00962A10">
            <w:pPr>
              <w:widowControl w:val="0"/>
              <w:rPr>
                <w:snapToGrid/>
                <w:szCs w:val="22"/>
                <w:lang w:val="hu-HU" w:eastAsia="en-GB"/>
              </w:rPr>
            </w:pPr>
            <w:r>
              <w:rPr>
                <w:snapToGrid/>
                <w:szCs w:val="22"/>
                <w:lang w:val="hu-HU" w:eastAsia="en-GB"/>
              </w:rPr>
              <w:t>Anorexia, köszvény, hypocalcaemia</w:t>
            </w:r>
          </w:p>
        </w:tc>
      </w:tr>
      <w:tr w:rsidR="009F5F6A" w14:paraId="5DE5BCB7" w14:textId="77777777">
        <w:trPr>
          <w:trHeight w:val="265"/>
        </w:trPr>
        <w:tc>
          <w:tcPr>
            <w:tcW w:w="2810" w:type="dxa"/>
            <w:vMerge w:val="restart"/>
            <w:tcBorders>
              <w:top w:val="single" w:sz="4" w:space="0" w:color="000000"/>
              <w:left w:val="single" w:sz="4" w:space="0" w:color="000000"/>
              <w:bottom w:val="single" w:sz="4" w:space="0" w:color="000000"/>
              <w:right w:val="single" w:sz="4" w:space="0" w:color="000000"/>
            </w:tcBorders>
          </w:tcPr>
          <w:p w14:paraId="0C91B89B"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Pszichiátriai kórképek</w:t>
            </w:r>
          </w:p>
        </w:tc>
        <w:tc>
          <w:tcPr>
            <w:tcW w:w="1255" w:type="dxa"/>
            <w:tcBorders>
              <w:top w:val="single" w:sz="4" w:space="0" w:color="000000"/>
              <w:left w:val="single" w:sz="4" w:space="0" w:color="000000"/>
              <w:bottom w:val="single" w:sz="4" w:space="0" w:color="000000"/>
              <w:right w:val="single" w:sz="4" w:space="0" w:color="000000"/>
            </w:tcBorders>
          </w:tcPr>
          <w:p w14:paraId="4D63BD8B"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066B4FEC" w14:textId="77777777" w:rsidR="009F5F6A" w:rsidRDefault="00962A10">
            <w:pPr>
              <w:widowControl w:val="0"/>
              <w:rPr>
                <w:snapToGrid/>
                <w:szCs w:val="22"/>
                <w:lang w:val="hu-HU" w:eastAsia="en-GB"/>
              </w:rPr>
            </w:pPr>
            <w:r>
              <w:rPr>
                <w:snapToGrid/>
                <w:szCs w:val="22"/>
                <w:lang w:val="hu-HU" w:eastAsia="en-GB"/>
              </w:rPr>
              <w:t>Alvászavar, depressio</w:t>
            </w:r>
          </w:p>
        </w:tc>
      </w:tr>
      <w:tr w:rsidR="009F5F6A" w14:paraId="55C717E2" w14:textId="77777777">
        <w:trPr>
          <w:trHeight w:val="265"/>
        </w:trPr>
        <w:tc>
          <w:tcPr>
            <w:tcW w:w="0" w:type="auto"/>
            <w:vMerge/>
            <w:tcBorders>
              <w:top w:val="nil"/>
              <w:left w:val="single" w:sz="4" w:space="0" w:color="000000"/>
              <w:bottom w:val="single" w:sz="4" w:space="0" w:color="000000"/>
              <w:right w:val="single" w:sz="4" w:space="0" w:color="000000"/>
            </w:tcBorders>
          </w:tcPr>
          <w:p w14:paraId="5185AA39"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0FE01C36"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23A6EC61" w14:textId="77777777" w:rsidR="009F5F6A" w:rsidRDefault="00962A10">
            <w:pPr>
              <w:widowControl w:val="0"/>
              <w:rPr>
                <w:snapToGrid/>
                <w:szCs w:val="22"/>
                <w:lang w:val="hu-HU" w:eastAsia="en-GB"/>
              </w:rPr>
            </w:pPr>
            <w:r>
              <w:rPr>
                <w:snapToGrid/>
                <w:szCs w:val="22"/>
                <w:lang w:val="hu-HU" w:eastAsia="en-GB"/>
              </w:rPr>
              <w:t>Apátia, hangulatváltozás, könnyezés</w:t>
            </w:r>
          </w:p>
        </w:tc>
      </w:tr>
      <w:tr w:rsidR="009F5F6A" w14:paraId="1594F69B" w14:textId="77777777">
        <w:trPr>
          <w:trHeight w:val="264"/>
        </w:trPr>
        <w:tc>
          <w:tcPr>
            <w:tcW w:w="2810" w:type="dxa"/>
            <w:vMerge w:val="restart"/>
            <w:tcBorders>
              <w:top w:val="single" w:sz="4" w:space="0" w:color="000000"/>
              <w:left w:val="single" w:sz="4" w:space="0" w:color="000000"/>
              <w:bottom w:val="single" w:sz="4" w:space="0" w:color="000000"/>
              <w:right w:val="single" w:sz="4" w:space="0" w:color="000000"/>
            </w:tcBorders>
          </w:tcPr>
          <w:p w14:paraId="51EC205A"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Idegrendszeri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6AA20212"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64366386" w14:textId="77777777" w:rsidR="009F5F6A" w:rsidRDefault="00962A10">
            <w:pPr>
              <w:widowControl w:val="0"/>
              <w:rPr>
                <w:szCs w:val="22"/>
                <w:lang w:eastAsia="en-US"/>
              </w:rPr>
            </w:pPr>
            <w:r>
              <w:rPr>
                <w:snapToGrid/>
                <w:szCs w:val="22"/>
                <w:lang w:val="hu-HU" w:eastAsia="en-GB"/>
              </w:rPr>
              <w:t>Paraesthesia, hypaesthesia, aluszékonyság, migrén</w:t>
            </w:r>
          </w:p>
        </w:tc>
      </w:tr>
      <w:tr w:rsidR="009F5F6A" w14:paraId="799C0368" w14:textId="77777777">
        <w:trPr>
          <w:trHeight w:val="1022"/>
        </w:trPr>
        <w:tc>
          <w:tcPr>
            <w:tcW w:w="0" w:type="auto"/>
            <w:vMerge/>
            <w:tcBorders>
              <w:top w:val="nil"/>
              <w:left w:val="single" w:sz="4" w:space="0" w:color="000000"/>
              <w:bottom w:val="single" w:sz="4" w:space="0" w:color="000000"/>
              <w:right w:val="single" w:sz="4" w:space="0" w:color="000000"/>
            </w:tcBorders>
          </w:tcPr>
          <w:p w14:paraId="0EC55381"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4321425F"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6DFC0D6D"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Tremor, egyensúlyzavar, dysaesthesia, hemiparesis, aurával járó migrén, perifériás neuropathia, perifériás szenzoros neuropathia, beszédzavar, toxikus neuropathia, vascularis fejfájás</w:t>
            </w:r>
          </w:p>
        </w:tc>
      </w:tr>
      <w:tr w:rsidR="009F5F6A" w14:paraId="2CE698F0" w14:textId="77777777">
        <w:trPr>
          <w:trHeight w:val="265"/>
        </w:trPr>
        <w:tc>
          <w:tcPr>
            <w:tcW w:w="2810" w:type="dxa"/>
            <w:vMerge w:val="restart"/>
            <w:tcBorders>
              <w:top w:val="single" w:sz="4" w:space="0" w:color="000000"/>
              <w:left w:val="single" w:sz="4" w:space="0" w:color="000000"/>
              <w:bottom w:val="single" w:sz="4" w:space="0" w:color="000000"/>
              <w:right w:val="single" w:sz="4" w:space="0" w:color="000000"/>
            </w:tcBorders>
          </w:tcPr>
          <w:p w14:paraId="713BB3E0"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Szembetegségek és szemészeti tünetek</w:t>
            </w:r>
          </w:p>
        </w:tc>
        <w:tc>
          <w:tcPr>
            <w:tcW w:w="1255" w:type="dxa"/>
            <w:tcBorders>
              <w:top w:val="single" w:sz="4" w:space="0" w:color="000000"/>
              <w:left w:val="single" w:sz="4" w:space="0" w:color="000000"/>
              <w:bottom w:val="single" w:sz="4" w:space="0" w:color="000000"/>
              <w:right w:val="single" w:sz="4" w:space="0" w:color="000000"/>
            </w:tcBorders>
          </w:tcPr>
          <w:p w14:paraId="1A708566"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69BA589E"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Száraz szem, homályos látás, fájdalom a szemben, csökkent látásélesség</w:t>
            </w:r>
          </w:p>
        </w:tc>
      </w:tr>
      <w:tr w:rsidR="009F5F6A" w14:paraId="25544A11" w14:textId="77777777">
        <w:trPr>
          <w:trHeight w:val="1274"/>
        </w:trPr>
        <w:tc>
          <w:tcPr>
            <w:tcW w:w="0" w:type="auto"/>
            <w:vMerge/>
            <w:tcBorders>
              <w:top w:val="nil"/>
              <w:left w:val="single" w:sz="4" w:space="0" w:color="000000"/>
              <w:bottom w:val="single" w:sz="4" w:space="0" w:color="000000"/>
              <w:right w:val="single" w:sz="4" w:space="0" w:color="000000"/>
            </w:tcBorders>
          </w:tcPr>
          <w:p w14:paraId="25860C7A"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22995D45"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709BD556"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Szemlencse homály, astigmatismus, cataracta corticalis, fokozott könnyezés, retinavérzés, retina pigment epitheliopathia, látásromlás, kóros látásélességi vizsgálati eredmények, blepharitis, keratoconjunctivitis sicca</w:t>
            </w:r>
          </w:p>
        </w:tc>
      </w:tr>
      <w:tr w:rsidR="009F5F6A" w14:paraId="70A1C6EC" w14:textId="77777777">
        <w:trPr>
          <w:trHeight w:val="265"/>
        </w:trPr>
        <w:tc>
          <w:tcPr>
            <w:tcW w:w="2810" w:type="dxa"/>
            <w:tcBorders>
              <w:top w:val="single" w:sz="4" w:space="0" w:color="000000"/>
              <w:left w:val="single" w:sz="4" w:space="0" w:color="000000"/>
              <w:bottom w:val="single" w:sz="4" w:space="0" w:color="000000"/>
              <w:right w:val="single" w:sz="4" w:space="0" w:color="000000"/>
            </w:tcBorders>
          </w:tcPr>
          <w:p w14:paraId="2DAA318A"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fül és az egyensúlyérzékelő szerv betegségei és tünetei</w:t>
            </w:r>
          </w:p>
        </w:tc>
        <w:tc>
          <w:tcPr>
            <w:tcW w:w="1255" w:type="dxa"/>
            <w:tcBorders>
              <w:top w:val="single" w:sz="4" w:space="0" w:color="000000"/>
              <w:left w:val="single" w:sz="4" w:space="0" w:color="000000"/>
              <w:bottom w:val="single" w:sz="4" w:space="0" w:color="000000"/>
              <w:right w:val="single" w:sz="4" w:space="0" w:color="000000"/>
            </w:tcBorders>
          </w:tcPr>
          <w:p w14:paraId="753B39EB"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7C29F4D0" w14:textId="77777777" w:rsidR="009F5F6A" w:rsidRDefault="00962A10">
            <w:pPr>
              <w:widowControl w:val="0"/>
              <w:rPr>
                <w:szCs w:val="22"/>
                <w:lang w:eastAsia="en-US"/>
              </w:rPr>
            </w:pPr>
            <w:r>
              <w:rPr>
                <w:snapToGrid/>
                <w:szCs w:val="22"/>
                <w:lang w:val="hu-HU" w:eastAsia="en-GB"/>
              </w:rPr>
              <w:t>Fülfájás, vertigó</w:t>
            </w:r>
          </w:p>
        </w:tc>
      </w:tr>
      <w:tr w:rsidR="009F5F6A" w14:paraId="4CF63E44" w14:textId="77777777">
        <w:trPr>
          <w:trHeight w:val="770"/>
        </w:trPr>
        <w:tc>
          <w:tcPr>
            <w:tcW w:w="2810" w:type="dxa"/>
            <w:tcBorders>
              <w:top w:val="single" w:sz="4" w:space="0" w:color="000000"/>
              <w:left w:val="single" w:sz="4" w:space="0" w:color="000000"/>
              <w:bottom w:val="single" w:sz="4" w:space="0" w:color="000000"/>
              <w:right w:val="single" w:sz="4" w:space="0" w:color="000000"/>
            </w:tcBorders>
          </w:tcPr>
          <w:p w14:paraId="09593337"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Szívbetegségek és a szívvel kapcsolatos tünetek</w:t>
            </w:r>
          </w:p>
        </w:tc>
        <w:tc>
          <w:tcPr>
            <w:tcW w:w="1255" w:type="dxa"/>
            <w:tcBorders>
              <w:top w:val="single" w:sz="4" w:space="0" w:color="000000"/>
              <w:left w:val="single" w:sz="4" w:space="0" w:color="000000"/>
              <w:bottom w:val="single" w:sz="4" w:space="0" w:color="000000"/>
              <w:right w:val="single" w:sz="4" w:space="0" w:color="000000"/>
            </w:tcBorders>
          </w:tcPr>
          <w:p w14:paraId="3E0E729D"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4B4FBC43"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Tachycardia, akut myocardialis infarctus, cardiovascularis betegségek, cyanosis, sinus tachycardia, elektrokardiagramon QT-megnyúlás</w:t>
            </w:r>
          </w:p>
        </w:tc>
      </w:tr>
      <w:tr w:rsidR="009F5F6A" w14:paraId="4D924FA0" w14:textId="77777777">
        <w:trPr>
          <w:trHeight w:val="265"/>
        </w:trPr>
        <w:tc>
          <w:tcPr>
            <w:tcW w:w="2810" w:type="dxa"/>
            <w:vMerge w:val="restart"/>
            <w:tcBorders>
              <w:top w:val="single" w:sz="4" w:space="0" w:color="000000"/>
              <w:left w:val="single" w:sz="4" w:space="0" w:color="000000"/>
              <w:bottom w:val="single" w:sz="4" w:space="0" w:color="000000"/>
              <w:right w:val="single" w:sz="4" w:space="0" w:color="000000"/>
            </w:tcBorders>
          </w:tcPr>
          <w:p w14:paraId="1DBF8E12" w14:textId="77777777" w:rsidR="009F5F6A" w:rsidRDefault="00962A10">
            <w:pPr>
              <w:widowControl w:val="0"/>
              <w:rPr>
                <w:szCs w:val="22"/>
                <w:lang w:eastAsia="en-US"/>
              </w:rPr>
            </w:pPr>
            <w:r>
              <w:rPr>
                <w:snapToGrid/>
                <w:szCs w:val="22"/>
                <w:lang w:val="hu-HU" w:eastAsia="en-GB"/>
              </w:rPr>
              <w:t>Érbetegségek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58BA1A6F"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7695029E"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Mélyvénás thrombosis, haematoma, hőhullámok</w:t>
            </w:r>
          </w:p>
        </w:tc>
      </w:tr>
      <w:tr w:rsidR="009F5F6A" w14:paraId="4708FF03" w14:textId="77777777">
        <w:trPr>
          <w:trHeight w:val="280"/>
        </w:trPr>
        <w:tc>
          <w:tcPr>
            <w:tcW w:w="0" w:type="auto"/>
            <w:vMerge/>
            <w:tcBorders>
              <w:top w:val="nil"/>
              <w:left w:val="single" w:sz="4" w:space="0" w:color="000000"/>
              <w:bottom w:val="single" w:sz="4" w:space="0" w:color="000000"/>
              <w:right w:val="single" w:sz="4" w:space="0" w:color="000000"/>
            </w:tcBorders>
          </w:tcPr>
          <w:p w14:paraId="01057A15"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4A2919A5"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25C9BA9E" w14:textId="77777777" w:rsidR="009F5F6A" w:rsidRDefault="00962A10">
            <w:pPr>
              <w:widowControl w:val="0"/>
              <w:rPr>
                <w:szCs w:val="22"/>
                <w:lang w:eastAsia="en-US"/>
              </w:rPr>
            </w:pPr>
            <w:r>
              <w:rPr>
                <w:snapToGrid/>
                <w:szCs w:val="22"/>
                <w:lang w:val="hu-HU" w:eastAsia="en-GB"/>
              </w:rPr>
              <w:t>Embolia, felületes thrombophlebitis, kipirulás</w:t>
            </w:r>
          </w:p>
        </w:tc>
      </w:tr>
      <w:tr w:rsidR="009F5F6A" w14:paraId="3623015A" w14:textId="77777777">
        <w:trPr>
          <w:trHeight w:val="520"/>
        </w:trPr>
        <w:tc>
          <w:tcPr>
            <w:tcW w:w="2810" w:type="dxa"/>
            <w:vMerge w:val="restart"/>
            <w:tcBorders>
              <w:top w:val="single" w:sz="4" w:space="0" w:color="000000"/>
              <w:left w:val="single" w:sz="4" w:space="0" w:color="000000"/>
              <w:bottom w:val="single" w:sz="4" w:space="0" w:color="000000"/>
              <w:right w:val="single" w:sz="4" w:space="0" w:color="000000"/>
            </w:tcBorders>
          </w:tcPr>
          <w:p w14:paraId="3F2BF819"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Légzőrendszeri, mellkasi és mediastinalis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14D9A10A"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Nagyon gyakori</w:t>
            </w:r>
          </w:p>
        </w:tc>
        <w:tc>
          <w:tcPr>
            <w:tcW w:w="5145" w:type="dxa"/>
            <w:tcBorders>
              <w:top w:val="single" w:sz="4" w:space="0" w:color="000000"/>
              <w:left w:val="single" w:sz="4" w:space="0" w:color="000000"/>
              <w:bottom w:val="single" w:sz="4" w:space="0" w:color="000000"/>
              <w:right w:val="single" w:sz="4" w:space="0" w:color="000000"/>
            </w:tcBorders>
          </w:tcPr>
          <w:p w14:paraId="7C03BAD2" w14:textId="77777777" w:rsidR="009F5F6A" w:rsidRDefault="00962A10">
            <w:pPr>
              <w:widowControl w:val="0"/>
              <w:rPr>
                <w:szCs w:val="22"/>
                <w:lang w:eastAsia="en-US"/>
              </w:rPr>
            </w:pPr>
            <w:r>
              <w:rPr>
                <w:snapToGrid/>
                <w:szCs w:val="22"/>
                <w:lang w:val="hu-HU" w:eastAsia="en-GB"/>
              </w:rPr>
              <w:t>Köhögés</w:t>
            </w:r>
            <w:r>
              <w:rPr>
                <w:szCs w:val="22"/>
                <w:vertAlign w:val="superscript"/>
                <w:lang w:eastAsia="en-US"/>
              </w:rPr>
              <w:t>♦</w:t>
            </w:r>
          </w:p>
        </w:tc>
      </w:tr>
      <w:tr w:rsidR="009F5F6A" w14:paraId="258E3ED4" w14:textId="77777777">
        <w:trPr>
          <w:trHeight w:val="281"/>
        </w:trPr>
        <w:tc>
          <w:tcPr>
            <w:tcW w:w="0" w:type="auto"/>
            <w:vMerge/>
            <w:tcBorders>
              <w:top w:val="nil"/>
              <w:left w:val="single" w:sz="4" w:space="0" w:color="000000"/>
              <w:bottom w:val="nil"/>
              <w:right w:val="single" w:sz="4" w:space="0" w:color="000000"/>
            </w:tcBorders>
          </w:tcPr>
          <w:p w14:paraId="77F7A54B"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728D3903"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2ED11137" w14:textId="77777777" w:rsidR="009F5F6A" w:rsidRDefault="00962A10">
            <w:pPr>
              <w:widowControl w:val="0"/>
              <w:rPr>
                <w:szCs w:val="22"/>
                <w:lang w:eastAsia="en-US"/>
              </w:rPr>
            </w:pPr>
            <w:r>
              <w:rPr>
                <w:snapToGrid/>
                <w:szCs w:val="22"/>
                <w:lang w:val="hu-HU" w:eastAsia="en-GB"/>
              </w:rPr>
              <w:t>Oropharyngealis fájdalom</w:t>
            </w:r>
            <w:r>
              <w:rPr>
                <w:szCs w:val="22"/>
                <w:vertAlign w:val="superscript"/>
                <w:lang w:eastAsia="en-US"/>
              </w:rPr>
              <w:t>♦</w:t>
            </w:r>
            <w:r>
              <w:rPr>
                <w:szCs w:val="22"/>
                <w:lang w:eastAsia="en-US"/>
              </w:rPr>
              <w:t>, rhinorrhoea</w:t>
            </w:r>
            <w:r>
              <w:rPr>
                <w:szCs w:val="22"/>
                <w:vertAlign w:val="superscript"/>
                <w:lang w:eastAsia="en-US"/>
              </w:rPr>
              <w:t xml:space="preserve">♦ </w:t>
            </w:r>
          </w:p>
        </w:tc>
      </w:tr>
      <w:tr w:rsidR="009F5F6A" w14:paraId="2827AEA0" w14:textId="77777777">
        <w:trPr>
          <w:trHeight w:val="770"/>
        </w:trPr>
        <w:tc>
          <w:tcPr>
            <w:tcW w:w="0" w:type="auto"/>
            <w:vMerge/>
            <w:tcBorders>
              <w:top w:val="nil"/>
              <w:left w:val="single" w:sz="4" w:space="0" w:color="000000"/>
              <w:bottom w:val="single" w:sz="4" w:space="0" w:color="000000"/>
              <w:right w:val="single" w:sz="4" w:space="0" w:color="000000"/>
            </w:tcBorders>
          </w:tcPr>
          <w:p w14:paraId="5D0D084E"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58048881"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40F5937B"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Tüdőembolia, pulmonalis infarctus, kellemetlen érzés az orrban, oropharyngealis hólyagképződés, sinus betegség, alvási apnoe szindróma</w:t>
            </w:r>
          </w:p>
        </w:tc>
      </w:tr>
      <w:tr w:rsidR="009F5F6A" w14:paraId="548F6CAB" w14:textId="77777777">
        <w:trPr>
          <w:trHeight w:val="534"/>
        </w:trPr>
        <w:tc>
          <w:tcPr>
            <w:tcW w:w="2810" w:type="dxa"/>
            <w:vMerge w:val="restart"/>
            <w:tcBorders>
              <w:top w:val="single" w:sz="4" w:space="0" w:color="000000"/>
              <w:left w:val="single" w:sz="4" w:space="0" w:color="000000"/>
              <w:bottom w:val="single" w:sz="4" w:space="0" w:color="000000"/>
              <w:right w:val="single" w:sz="4" w:space="0" w:color="000000"/>
            </w:tcBorders>
          </w:tcPr>
          <w:p w14:paraId="1562FAE8" w14:textId="77777777" w:rsidR="009F5F6A" w:rsidRDefault="00962A10">
            <w:pPr>
              <w:widowControl w:val="0"/>
              <w:rPr>
                <w:szCs w:val="22"/>
                <w:lang w:eastAsia="en-US"/>
              </w:rPr>
            </w:pPr>
            <w:r>
              <w:rPr>
                <w:szCs w:val="22"/>
                <w:lang w:eastAsia="en-US"/>
              </w:rPr>
              <w:t>Emésztőrendszeri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11405466" w14:textId="77777777" w:rsidR="009F5F6A" w:rsidRDefault="00962A10">
            <w:pPr>
              <w:widowControl w:val="0"/>
              <w:rPr>
                <w:szCs w:val="22"/>
                <w:lang w:eastAsia="en-US"/>
              </w:rPr>
            </w:pPr>
            <w:r>
              <w:rPr>
                <w:snapToGrid/>
                <w:szCs w:val="22"/>
                <w:lang w:val="hu-HU" w:eastAsia="en-GB"/>
              </w:rPr>
              <w:t>Nagyon gyakori</w:t>
            </w:r>
          </w:p>
        </w:tc>
        <w:tc>
          <w:tcPr>
            <w:tcW w:w="5145" w:type="dxa"/>
            <w:tcBorders>
              <w:top w:val="single" w:sz="4" w:space="0" w:color="000000"/>
              <w:left w:val="single" w:sz="4" w:space="0" w:color="000000"/>
              <w:bottom w:val="single" w:sz="4" w:space="0" w:color="000000"/>
              <w:right w:val="single" w:sz="4" w:space="0" w:color="000000"/>
            </w:tcBorders>
          </w:tcPr>
          <w:p w14:paraId="6BF296C8" w14:textId="77777777" w:rsidR="009F5F6A" w:rsidRDefault="00962A10">
            <w:pPr>
              <w:widowControl w:val="0"/>
              <w:rPr>
                <w:szCs w:val="22"/>
                <w:lang w:eastAsia="en-US"/>
              </w:rPr>
            </w:pPr>
            <w:r>
              <w:rPr>
                <w:snapToGrid/>
                <w:szCs w:val="22"/>
                <w:lang w:val="hu-HU" w:eastAsia="en-GB"/>
              </w:rPr>
              <w:t>Hányinger, hasmenés</w:t>
            </w:r>
          </w:p>
        </w:tc>
      </w:tr>
      <w:tr w:rsidR="009F5F6A" w14:paraId="374BDAC5" w14:textId="77777777">
        <w:trPr>
          <w:trHeight w:val="791"/>
        </w:trPr>
        <w:tc>
          <w:tcPr>
            <w:tcW w:w="0" w:type="auto"/>
            <w:vMerge/>
            <w:tcBorders>
              <w:top w:val="nil"/>
              <w:left w:val="single" w:sz="4" w:space="0" w:color="000000"/>
              <w:bottom w:val="nil"/>
              <w:right w:val="single" w:sz="4" w:space="0" w:color="000000"/>
            </w:tcBorders>
          </w:tcPr>
          <w:p w14:paraId="1D48B942"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09F7EA5A"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06E63C3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Szájnyálkahártya fekély, fogfájás</w:t>
            </w:r>
            <w:r>
              <w:rPr>
                <w:szCs w:val="22"/>
                <w:vertAlign w:val="superscript"/>
                <w:lang w:eastAsia="en-US"/>
              </w:rPr>
              <w:t>♦</w:t>
            </w:r>
            <w:r>
              <w:rPr>
                <w:szCs w:val="22"/>
                <w:lang w:eastAsia="en-US"/>
              </w:rPr>
              <w:t xml:space="preserve">, </w:t>
            </w:r>
            <w:r>
              <w:rPr>
                <w:snapToGrid/>
                <w:szCs w:val="22"/>
                <w:lang w:val="hu-HU" w:eastAsia="en-GB"/>
              </w:rPr>
              <w:t>hányás, hasi fájdalom</w:t>
            </w:r>
            <w:r>
              <w:rPr>
                <w:szCs w:val="22"/>
                <w:lang w:eastAsia="en-US"/>
              </w:rPr>
              <w:t xml:space="preserve">*, </w:t>
            </w:r>
            <w:r>
              <w:rPr>
                <w:snapToGrid/>
                <w:szCs w:val="22"/>
                <w:lang w:val="hu-HU" w:eastAsia="en-GB"/>
              </w:rPr>
              <w:t>a szájnyálkahártya vérzése, flatulentia</w:t>
            </w:r>
          </w:p>
          <w:p w14:paraId="49A0C254"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*-nagyon gyakori ITP-s gyermekeknél</w:t>
            </w:r>
          </w:p>
        </w:tc>
      </w:tr>
      <w:tr w:rsidR="009F5F6A" w14:paraId="6ECD231C" w14:textId="77777777">
        <w:trPr>
          <w:trHeight w:val="805"/>
        </w:trPr>
        <w:tc>
          <w:tcPr>
            <w:tcW w:w="0" w:type="auto"/>
            <w:vMerge/>
            <w:tcBorders>
              <w:top w:val="nil"/>
              <w:left w:val="single" w:sz="4" w:space="0" w:color="000000"/>
              <w:bottom w:val="single" w:sz="4" w:space="0" w:color="000000"/>
              <w:right w:val="single" w:sz="4" w:space="0" w:color="000000"/>
            </w:tcBorders>
          </w:tcPr>
          <w:p w14:paraId="741491A1" w14:textId="77777777" w:rsidR="009F5F6A" w:rsidRDefault="009F5F6A">
            <w:pPr>
              <w:widowControl w:val="0"/>
              <w:rPr>
                <w:szCs w:val="22"/>
                <w:lang w:val="hu-HU" w:eastAsia="en-US"/>
              </w:rPr>
            </w:pPr>
          </w:p>
        </w:tc>
        <w:tc>
          <w:tcPr>
            <w:tcW w:w="1255" w:type="dxa"/>
            <w:tcBorders>
              <w:top w:val="single" w:sz="4" w:space="0" w:color="000000"/>
              <w:left w:val="single" w:sz="4" w:space="0" w:color="000000"/>
              <w:bottom w:val="single" w:sz="4" w:space="0" w:color="000000"/>
              <w:right w:val="single" w:sz="4" w:space="0" w:color="000000"/>
            </w:tcBorders>
          </w:tcPr>
          <w:p w14:paraId="5423B410"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78BFBD46"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Szájszárazság, a nyelv fájdalma, a has nyomásérzékenysége, a széklet elszíneződése, ételmérgezés, gyakori székletürítés, haematemesis, oralis diszkomfort</w:t>
            </w:r>
          </w:p>
        </w:tc>
      </w:tr>
      <w:tr w:rsidR="009F5F6A" w14:paraId="2C5AE681" w14:textId="77777777">
        <w:trPr>
          <w:trHeight w:val="520"/>
        </w:trPr>
        <w:tc>
          <w:tcPr>
            <w:tcW w:w="2810" w:type="dxa"/>
            <w:vMerge w:val="restart"/>
            <w:tcBorders>
              <w:top w:val="single" w:sz="4" w:space="0" w:color="000000"/>
              <w:left w:val="single" w:sz="4" w:space="0" w:color="000000"/>
              <w:bottom w:val="single" w:sz="4" w:space="0" w:color="000000"/>
              <w:right w:val="single" w:sz="4" w:space="0" w:color="000000"/>
            </w:tcBorders>
          </w:tcPr>
          <w:p w14:paraId="4EC8CC9A"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Máj- és epebetegségek, illetve tünetek</w:t>
            </w:r>
          </w:p>
        </w:tc>
        <w:tc>
          <w:tcPr>
            <w:tcW w:w="1255" w:type="dxa"/>
            <w:tcBorders>
              <w:top w:val="single" w:sz="4" w:space="0" w:color="000000"/>
              <w:left w:val="single" w:sz="4" w:space="0" w:color="000000"/>
              <w:bottom w:val="single" w:sz="4" w:space="0" w:color="000000"/>
              <w:right w:val="single" w:sz="4" w:space="0" w:color="000000"/>
            </w:tcBorders>
          </w:tcPr>
          <w:p w14:paraId="085E0B49" w14:textId="77777777" w:rsidR="009F5F6A" w:rsidRDefault="00962A10">
            <w:pPr>
              <w:widowControl w:val="0"/>
              <w:rPr>
                <w:szCs w:val="22"/>
                <w:lang w:eastAsia="en-US"/>
              </w:rPr>
            </w:pPr>
            <w:r>
              <w:rPr>
                <w:snapToGrid/>
                <w:szCs w:val="22"/>
                <w:lang w:val="hu-HU" w:eastAsia="en-GB"/>
              </w:rPr>
              <w:t>Nagyon gyakori</w:t>
            </w:r>
          </w:p>
        </w:tc>
        <w:tc>
          <w:tcPr>
            <w:tcW w:w="5145" w:type="dxa"/>
            <w:tcBorders>
              <w:top w:val="single" w:sz="4" w:space="0" w:color="000000"/>
              <w:left w:val="single" w:sz="4" w:space="0" w:color="000000"/>
              <w:bottom w:val="single" w:sz="4" w:space="0" w:color="000000"/>
              <w:right w:val="single" w:sz="4" w:space="0" w:color="000000"/>
            </w:tcBorders>
          </w:tcPr>
          <w:p w14:paraId="1AE3B31C" w14:textId="77777777" w:rsidR="009F5F6A" w:rsidRDefault="00962A10">
            <w:pPr>
              <w:widowControl w:val="0"/>
              <w:rPr>
                <w:szCs w:val="22"/>
                <w:lang w:eastAsia="en-US"/>
              </w:rPr>
            </w:pPr>
            <w:r>
              <w:rPr>
                <w:snapToGrid/>
                <w:szCs w:val="22"/>
                <w:lang w:val="hu-HU" w:eastAsia="en-GB"/>
              </w:rPr>
              <w:t>Emelkedett glutamát-piruvát-transzamináz (GPT) más néven alanin-amino-transzferáz-szint</w:t>
            </w:r>
            <w:proofErr w:type="gramStart"/>
            <w:r>
              <w:rPr>
                <w:szCs w:val="22"/>
                <w:vertAlign w:val="superscript"/>
                <w:lang w:eastAsia="en-US"/>
              </w:rPr>
              <w:t>†</w:t>
            </w:r>
            <w:proofErr w:type="gramEnd"/>
          </w:p>
        </w:tc>
      </w:tr>
      <w:tr w:rsidR="009F5F6A" w14:paraId="44014FF7" w14:textId="77777777">
        <w:trPr>
          <w:trHeight w:val="535"/>
        </w:trPr>
        <w:tc>
          <w:tcPr>
            <w:tcW w:w="0" w:type="auto"/>
            <w:vMerge/>
            <w:tcBorders>
              <w:top w:val="nil"/>
              <w:left w:val="single" w:sz="4" w:space="0" w:color="000000"/>
              <w:bottom w:val="nil"/>
              <w:right w:val="single" w:sz="4" w:space="0" w:color="000000"/>
            </w:tcBorders>
          </w:tcPr>
          <w:p w14:paraId="3649B895"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453AFE2D"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0335DA38" w14:textId="77777777" w:rsidR="009F5F6A" w:rsidRDefault="00962A10">
            <w:pPr>
              <w:widowControl w:val="0"/>
              <w:rPr>
                <w:szCs w:val="22"/>
                <w:lang w:eastAsia="en-US"/>
              </w:rPr>
            </w:pPr>
            <w:r>
              <w:rPr>
                <w:snapToGrid/>
                <w:szCs w:val="22"/>
                <w:lang w:val="hu-HU" w:eastAsia="en-GB"/>
              </w:rPr>
              <w:t xml:space="preserve">Emelkedett </w:t>
            </w:r>
            <w:proofErr w:type="gramStart"/>
            <w:r>
              <w:rPr>
                <w:snapToGrid/>
                <w:szCs w:val="22"/>
                <w:lang w:val="hu-HU" w:eastAsia="en-GB"/>
              </w:rPr>
              <w:t>glutamát-oxálacetát-transzamináz(</w:t>
            </w:r>
            <w:proofErr w:type="gramEnd"/>
            <w:r>
              <w:rPr>
                <w:snapToGrid/>
                <w:szCs w:val="22"/>
                <w:lang w:val="hu-HU" w:eastAsia="en-GB"/>
              </w:rPr>
              <w:t>GOT) más néven aszpartát-amino-transzferáz-szint</w:t>
            </w:r>
            <w:r>
              <w:rPr>
                <w:szCs w:val="22"/>
                <w:vertAlign w:val="superscript"/>
                <w:lang w:eastAsia="en-US"/>
              </w:rPr>
              <w:t>†</w:t>
            </w:r>
            <w:r>
              <w:rPr>
                <w:szCs w:val="22"/>
                <w:lang w:eastAsia="en-US"/>
              </w:rPr>
              <w:t xml:space="preserve">, </w:t>
            </w:r>
            <w:r>
              <w:rPr>
                <w:snapToGrid/>
                <w:szCs w:val="22"/>
                <w:lang w:val="hu-HU" w:eastAsia="en-GB"/>
              </w:rPr>
              <w:t>hyperbilirubinaemia, kóros májfunkció</w:t>
            </w:r>
          </w:p>
        </w:tc>
      </w:tr>
      <w:tr w:rsidR="009F5F6A" w14:paraId="5B4B1556" w14:textId="77777777">
        <w:trPr>
          <w:trHeight w:val="516"/>
        </w:trPr>
        <w:tc>
          <w:tcPr>
            <w:tcW w:w="0" w:type="auto"/>
            <w:vMerge/>
            <w:tcBorders>
              <w:top w:val="nil"/>
              <w:left w:val="single" w:sz="4" w:space="0" w:color="000000"/>
              <w:bottom w:val="single" w:sz="4" w:space="0" w:color="000000"/>
              <w:right w:val="single" w:sz="4" w:space="0" w:color="000000"/>
            </w:tcBorders>
          </w:tcPr>
          <w:p w14:paraId="0165845D"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2E938ECC"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6DD9E5A0"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Cholestasis, hepaticus laesio, hepatitis, gyógyszer okozta májkárosodás</w:t>
            </w:r>
          </w:p>
        </w:tc>
      </w:tr>
      <w:tr w:rsidR="009F5F6A" w14:paraId="03E0B795" w14:textId="77777777">
        <w:trPr>
          <w:trHeight w:val="516"/>
        </w:trPr>
        <w:tc>
          <w:tcPr>
            <w:tcW w:w="2810" w:type="dxa"/>
            <w:vMerge w:val="restart"/>
            <w:tcBorders>
              <w:top w:val="single" w:sz="4" w:space="0" w:color="000000"/>
              <w:left w:val="single" w:sz="4" w:space="0" w:color="000000"/>
              <w:bottom w:val="single" w:sz="4" w:space="0" w:color="000000"/>
              <w:right w:val="single" w:sz="4" w:space="0" w:color="000000"/>
            </w:tcBorders>
          </w:tcPr>
          <w:p w14:paraId="6A7E5D2E"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bőr és a bőr alatti szövet betegségei és tünetei</w:t>
            </w:r>
          </w:p>
        </w:tc>
        <w:tc>
          <w:tcPr>
            <w:tcW w:w="1255" w:type="dxa"/>
            <w:tcBorders>
              <w:top w:val="single" w:sz="4" w:space="0" w:color="000000"/>
              <w:left w:val="single" w:sz="4" w:space="0" w:color="000000"/>
              <w:bottom w:val="single" w:sz="4" w:space="0" w:color="000000"/>
              <w:right w:val="single" w:sz="4" w:space="0" w:color="000000"/>
            </w:tcBorders>
          </w:tcPr>
          <w:p w14:paraId="0CC99EDB"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2DDFF5AD"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Bőrkiütés, alopecia, hyperhydrosis, generalizált pruritus, petechiák</w:t>
            </w:r>
          </w:p>
        </w:tc>
      </w:tr>
      <w:tr w:rsidR="009F5F6A" w14:paraId="781A450C" w14:textId="77777777">
        <w:trPr>
          <w:trHeight w:val="768"/>
        </w:trPr>
        <w:tc>
          <w:tcPr>
            <w:tcW w:w="0" w:type="auto"/>
            <w:vMerge/>
            <w:tcBorders>
              <w:top w:val="nil"/>
              <w:left w:val="single" w:sz="4" w:space="0" w:color="000000"/>
              <w:bottom w:val="single" w:sz="4" w:space="0" w:color="000000"/>
              <w:right w:val="single" w:sz="4" w:space="0" w:color="000000"/>
            </w:tcBorders>
          </w:tcPr>
          <w:p w14:paraId="5EEF786A"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23EB5792"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168B4672"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Urticaria, dermatosis, hideg verejték, erythema, melanosis, pigmentációs zavarok, a bőr elszíneződése, bőrhámlás</w:t>
            </w:r>
          </w:p>
        </w:tc>
      </w:tr>
      <w:tr w:rsidR="009F5F6A" w14:paraId="3B564578" w14:textId="77777777">
        <w:trPr>
          <w:trHeight w:val="516"/>
        </w:trPr>
        <w:tc>
          <w:tcPr>
            <w:tcW w:w="2810" w:type="dxa"/>
            <w:vMerge w:val="restart"/>
            <w:tcBorders>
              <w:top w:val="single" w:sz="4" w:space="0" w:color="000000"/>
              <w:left w:val="single" w:sz="4" w:space="0" w:color="000000"/>
              <w:bottom w:val="single" w:sz="4" w:space="0" w:color="000000"/>
              <w:right w:val="single" w:sz="4" w:space="0" w:color="000000"/>
            </w:tcBorders>
          </w:tcPr>
          <w:p w14:paraId="22D7E20F"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csont- és izomrendszer, valamint a kötőszövet betegségei és tünetei</w:t>
            </w:r>
          </w:p>
        </w:tc>
        <w:tc>
          <w:tcPr>
            <w:tcW w:w="1255" w:type="dxa"/>
            <w:tcBorders>
              <w:top w:val="single" w:sz="4" w:space="0" w:color="000000"/>
              <w:left w:val="single" w:sz="4" w:space="0" w:color="000000"/>
              <w:bottom w:val="single" w:sz="4" w:space="0" w:color="000000"/>
              <w:right w:val="single" w:sz="4" w:space="0" w:color="000000"/>
            </w:tcBorders>
          </w:tcPr>
          <w:p w14:paraId="4F08274D" w14:textId="77777777" w:rsidR="009F5F6A" w:rsidRDefault="00962A10">
            <w:pPr>
              <w:widowControl w:val="0"/>
              <w:rPr>
                <w:szCs w:val="22"/>
                <w:lang w:eastAsia="en-US"/>
              </w:rPr>
            </w:pPr>
            <w:r>
              <w:rPr>
                <w:snapToGrid/>
                <w:szCs w:val="22"/>
                <w:lang w:val="hu-HU" w:eastAsia="en-GB"/>
              </w:rPr>
              <w:t>Nagyon gyakori</w:t>
            </w:r>
          </w:p>
        </w:tc>
        <w:tc>
          <w:tcPr>
            <w:tcW w:w="5145" w:type="dxa"/>
            <w:tcBorders>
              <w:top w:val="single" w:sz="4" w:space="0" w:color="000000"/>
              <w:left w:val="single" w:sz="4" w:space="0" w:color="000000"/>
              <w:bottom w:val="single" w:sz="4" w:space="0" w:color="000000"/>
              <w:right w:val="single" w:sz="4" w:space="0" w:color="000000"/>
            </w:tcBorders>
          </w:tcPr>
          <w:p w14:paraId="06D88440" w14:textId="77777777" w:rsidR="009F5F6A" w:rsidRDefault="00962A10">
            <w:pPr>
              <w:widowControl w:val="0"/>
              <w:rPr>
                <w:szCs w:val="22"/>
                <w:lang w:eastAsia="en-US"/>
              </w:rPr>
            </w:pPr>
            <w:r>
              <w:rPr>
                <w:snapToGrid/>
                <w:szCs w:val="22"/>
                <w:lang w:val="hu-HU" w:eastAsia="en-GB"/>
              </w:rPr>
              <w:t>Hátfájás</w:t>
            </w:r>
          </w:p>
        </w:tc>
      </w:tr>
      <w:tr w:rsidR="009F5F6A" w14:paraId="3DC8F1A1" w14:textId="77777777">
        <w:trPr>
          <w:trHeight w:val="516"/>
        </w:trPr>
        <w:tc>
          <w:tcPr>
            <w:tcW w:w="0" w:type="auto"/>
            <w:vMerge/>
            <w:tcBorders>
              <w:top w:val="nil"/>
              <w:left w:val="single" w:sz="4" w:space="0" w:color="000000"/>
              <w:bottom w:val="nil"/>
              <w:right w:val="single" w:sz="4" w:space="0" w:color="000000"/>
            </w:tcBorders>
          </w:tcPr>
          <w:p w14:paraId="77B3EB9A"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4C625912"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73FFF78E" w14:textId="77777777" w:rsidR="009F5F6A" w:rsidRDefault="00962A10">
            <w:pPr>
              <w:widowControl w:val="0"/>
              <w:rPr>
                <w:szCs w:val="22"/>
                <w:lang w:eastAsia="en-US"/>
              </w:rPr>
            </w:pPr>
            <w:r>
              <w:rPr>
                <w:snapToGrid/>
                <w:szCs w:val="22"/>
                <w:lang w:val="hu-HU" w:eastAsia="en-GB"/>
              </w:rPr>
              <w:t>Myalgia, izomgörcs, musculoskeletalis fájdalmak, csontfájdalom</w:t>
            </w:r>
          </w:p>
        </w:tc>
      </w:tr>
      <w:tr w:rsidR="009F5F6A" w14:paraId="3886D485" w14:textId="77777777">
        <w:trPr>
          <w:trHeight w:val="281"/>
        </w:trPr>
        <w:tc>
          <w:tcPr>
            <w:tcW w:w="0" w:type="auto"/>
            <w:vMerge/>
            <w:tcBorders>
              <w:top w:val="nil"/>
              <w:left w:val="single" w:sz="4" w:space="0" w:color="000000"/>
              <w:bottom w:val="single" w:sz="4" w:space="0" w:color="000000"/>
              <w:right w:val="single" w:sz="4" w:space="0" w:color="000000"/>
            </w:tcBorders>
          </w:tcPr>
          <w:p w14:paraId="60EA8ED2"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2175E642"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430F2EE5" w14:textId="77777777" w:rsidR="009F5F6A" w:rsidRDefault="00962A10">
            <w:pPr>
              <w:widowControl w:val="0"/>
              <w:rPr>
                <w:szCs w:val="22"/>
                <w:lang w:eastAsia="en-US"/>
              </w:rPr>
            </w:pPr>
            <w:r>
              <w:rPr>
                <w:snapToGrid/>
                <w:szCs w:val="22"/>
                <w:lang w:val="hu-HU" w:eastAsia="en-GB"/>
              </w:rPr>
              <w:t>Izomgyengeség</w:t>
            </w:r>
          </w:p>
        </w:tc>
      </w:tr>
      <w:tr w:rsidR="009F5F6A" w14:paraId="1D0FBF9C" w14:textId="77777777">
        <w:trPr>
          <w:trHeight w:val="520"/>
        </w:trPr>
        <w:tc>
          <w:tcPr>
            <w:tcW w:w="2810" w:type="dxa"/>
            <w:vMerge w:val="restart"/>
            <w:tcBorders>
              <w:top w:val="single" w:sz="4" w:space="0" w:color="000000"/>
              <w:left w:val="single" w:sz="4" w:space="0" w:color="000000"/>
              <w:bottom w:val="single" w:sz="4" w:space="0" w:color="000000"/>
              <w:right w:val="single" w:sz="4" w:space="0" w:color="000000"/>
            </w:tcBorders>
          </w:tcPr>
          <w:p w14:paraId="2793B72D"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Vese- és húgyúti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68E7106A"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036D8EE6"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Proteinuria, a kreatininszint emelkedése a vérben, thromboticus microangiopathia veseelégtelenséggel</w:t>
            </w:r>
            <w:proofErr w:type="gramStart"/>
            <w:r>
              <w:rPr>
                <w:szCs w:val="22"/>
                <w:vertAlign w:val="superscript"/>
                <w:lang w:eastAsia="en-US"/>
              </w:rPr>
              <w:t>‡</w:t>
            </w:r>
            <w:proofErr w:type="gramEnd"/>
          </w:p>
        </w:tc>
      </w:tr>
      <w:tr w:rsidR="009F5F6A" w14:paraId="17EB309B" w14:textId="77777777">
        <w:trPr>
          <w:trHeight w:val="769"/>
        </w:trPr>
        <w:tc>
          <w:tcPr>
            <w:tcW w:w="0" w:type="auto"/>
            <w:vMerge/>
            <w:tcBorders>
              <w:top w:val="nil"/>
              <w:left w:val="single" w:sz="4" w:space="0" w:color="000000"/>
              <w:bottom w:val="single" w:sz="4" w:space="0" w:color="000000"/>
              <w:right w:val="single" w:sz="4" w:space="0" w:color="000000"/>
            </w:tcBorders>
          </w:tcPr>
          <w:p w14:paraId="0036840A"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4674283B"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71384CE7"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Veseelégtelenség, leukocyturia, lupus nephritis, éjszakai vizelés, a karbamidszint emelkedése a vérben, a protein/kreatinin arány emelkedése a vizeletben</w:t>
            </w:r>
          </w:p>
        </w:tc>
      </w:tr>
      <w:tr w:rsidR="009F5F6A" w14:paraId="3D566325" w14:textId="77777777">
        <w:trPr>
          <w:trHeight w:val="535"/>
        </w:trPr>
        <w:tc>
          <w:tcPr>
            <w:tcW w:w="2810" w:type="dxa"/>
            <w:tcBorders>
              <w:top w:val="single" w:sz="4" w:space="0" w:color="000000"/>
              <w:left w:val="single" w:sz="4" w:space="0" w:color="000000"/>
              <w:bottom w:val="single" w:sz="4" w:space="0" w:color="000000"/>
              <w:right w:val="single" w:sz="4" w:space="0" w:color="000000"/>
            </w:tcBorders>
          </w:tcPr>
          <w:p w14:paraId="34B4795C"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nemi szervekkel és az emlőkkel kapcsolatos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0AA08A1A"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4BDECC74" w14:textId="77777777" w:rsidR="009F5F6A" w:rsidRDefault="00962A10">
            <w:pPr>
              <w:widowControl w:val="0"/>
              <w:rPr>
                <w:szCs w:val="22"/>
                <w:lang w:eastAsia="en-US"/>
              </w:rPr>
            </w:pPr>
            <w:r>
              <w:rPr>
                <w:snapToGrid/>
                <w:szCs w:val="22"/>
                <w:lang w:val="hu-HU" w:eastAsia="en-GB"/>
              </w:rPr>
              <w:t>Menorrhagia</w:t>
            </w:r>
          </w:p>
        </w:tc>
      </w:tr>
      <w:tr w:rsidR="009F5F6A" w14:paraId="3A098D4F" w14:textId="77777777">
        <w:trPr>
          <w:trHeight w:val="520"/>
        </w:trPr>
        <w:tc>
          <w:tcPr>
            <w:tcW w:w="2810" w:type="dxa"/>
            <w:vMerge w:val="restart"/>
            <w:tcBorders>
              <w:top w:val="single" w:sz="4" w:space="0" w:color="000000"/>
              <w:left w:val="single" w:sz="4" w:space="0" w:color="000000"/>
              <w:bottom w:val="single" w:sz="4" w:space="0" w:color="000000"/>
              <w:right w:val="single" w:sz="4" w:space="0" w:color="000000"/>
            </w:tcBorders>
          </w:tcPr>
          <w:p w14:paraId="36265696"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Általános tünetek, az alkalmazás helyén fellépő reakciók</w:t>
            </w:r>
          </w:p>
        </w:tc>
        <w:tc>
          <w:tcPr>
            <w:tcW w:w="1255" w:type="dxa"/>
            <w:tcBorders>
              <w:top w:val="single" w:sz="4" w:space="0" w:color="000000"/>
              <w:left w:val="single" w:sz="4" w:space="0" w:color="000000"/>
              <w:bottom w:val="single" w:sz="4" w:space="0" w:color="000000"/>
              <w:right w:val="single" w:sz="4" w:space="0" w:color="000000"/>
            </w:tcBorders>
          </w:tcPr>
          <w:p w14:paraId="77D491A7"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30E4B9B7" w14:textId="77777777" w:rsidR="009F5F6A" w:rsidRDefault="00962A10">
            <w:pPr>
              <w:widowControl w:val="0"/>
              <w:rPr>
                <w:szCs w:val="22"/>
                <w:lang w:eastAsia="en-US"/>
              </w:rPr>
            </w:pPr>
            <w:r>
              <w:rPr>
                <w:snapToGrid/>
                <w:szCs w:val="22"/>
                <w:lang w:val="hu-HU" w:eastAsia="en-GB"/>
              </w:rPr>
              <w:t>Láz</w:t>
            </w:r>
            <w:r>
              <w:rPr>
                <w:szCs w:val="22"/>
                <w:lang w:eastAsia="en-US"/>
              </w:rPr>
              <w:t xml:space="preserve">*, </w:t>
            </w:r>
            <w:r>
              <w:rPr>
                <w:snapToGrid/>
                <w:szCs w:val="22"/>
                <w:lang w:val="hu-HU" w:eastAsia="en-GB"/>
              </w:rPr>
              <w:t>mellkasi fájdalom, asthenia</w:t>
            </w:r>
          </w:p>
          <w:p w14:paraId="51B579AC" w14:textId="77777777" w:rsidR="009F5F6A" w:rsidRDefault="00962A10">
            <w:pPr>
              <w:widowControl w:val="0"/>
              <w:rPr>
                <w:szCs w:val="22"/>
                <w:lang w:eastAsia="en-US"/>
              </w:rPr>
            </w:pPr>
            <w:r>
              <w:rPr>
                <w:szCs w:val="22"/>
                <w:lang w:eastAsia="en-US"/>
              </w:rPr>
              <w:t>*</w:t>
            </w:r>
            <w:r>
              <w:rPr>
                <w:snapToGrid/>
                <w:szCs w:val="22"/>
                <w:lang w:val="hu-HU" w:eastAsia="en-GB"/>
              </w:rPr>
              <w:t>Nagyon gyakori ITP-s gyermekeknél</w:t>
            </w:r>
          </w:p>
        </w:tc>
      </w:tr>
      <w:tr w:rsidR="009F5F6A" w14:paraId="33E1980E" w14:textId="77777777">
        <w:trPr>
          <w:trHeight w:val="769"/>
        </w:trPr>
        <w:tc>
          <w:tcPr>
            <w:tcW w:w="0" w:type="auto"/>
            <w:vMerge/>
            <w:tcBorders>
              <w:top w:val="nil"/>
              <w:left w:val="single" w:sz="4" w:space="0" w:color="000000"/>
              <w:bottom w:val="single" w:sz="4" w:space="0" w:color="000000"/>
              <w:right w:val="single" w:sz="4" w:space="0" w:color="000000"/>
            </w:tcBorders>
          </w:tcPr>
          <w:p w14:paraId="1B7ED0AA"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6B17CFBD"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0B897887" w14:textId="77777777" w:rsidR="009F5F6A" w:rsidRDefault="00962A10">
            <w:pPr>
              <w:widowControl w:val="0"/>
              <w:rPr>
                <w:snapToGrid/>
                <w:szCs w:val="22"/>
                <w:lang w:val="hu-HU" w:eastAsia="en-GB"/>
              </w:rPr>
            </w:pPr>
            <w:r>
              <w:rPr>
                <w:snapToGrid/>
                <w:szCs w:val="22"/>
                <w:lang w:val="hu-HU" w:eastAsia="en-GB"/>
              </w:rPr>
              <w:t>Forróságérzés, vérzés az érfalszúrás helyén, idegesség, sebgyulladás, rossz közérzet, idegentest érzés</w:t>
            </w:r>
          </w:p>
        </w:tc>
      </w:tr>
      <w:tr w:rsidR="009F5F6A" w14:paraId="52BA607F" w14:textId="77777777">
        <w:trPr>
          <w:trHeight w:val="265"/>
        </w:trPr>
        <w:tc>
          <w:tcPr>
            <w:tcW w:w="2810" w:type="dxa"/>
            <w:vMerge w:val="restart"/>
            <w:tcBorders>
              <w:top w:val="single" w:sz="4" w:space="0" w:color="000000"/>
              <w:left w:val="single" w:sz="4" w:space="0" w:color="000000"/>
              <w:bottom w:val="single" w:sz="4" w:space="0" w:color="000000"/>
              <w:right w:val="single" w:sz="4" w:space="0" w:color="000000"/>
            </w:tcBorders>
          </w:tcPr>
          <w:p w14:paraId="70930FB9"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Laboratóriumi és egyéb vizsgálatok eredményei</w:t>
            </w:r>
          </w:p>
        </w:tc>
        <w:tc>
          <w:tcPr>
            <w:tcW w:w="1255" w:type="dxa"/>
            <w:tcBorders>
              <w:top w:val="single" w:sz="4" w:space="0" w:color="000000"/>
              <w:left w:val="single" w:sz="4" w:space="0" w:color="000000"/>
              <w:bottom w:val="single" w:sz="4" w:space="0" w:color="000000"/>
              <w:right w:val="single" w:sz="4" w:space="0" w:color="000000"/>
            </w:tcBorders>
          </w:tcPr>
          <w:p w14:paraId="54CF26B7"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2A0D13B9" w14:textId="77777777" w:rsidR="009F5F6A" w:rsidRDefault="00962A10">
            <w:pPr>
              <w:widowControl w:val="0"/>
              <w:rPr>
                <w:szCs w:val="22"/>
                <w:lang w:eastAsia="en-US"/>
              </w:rPr>
            </w:pPr>
            <w:r>
              <w:rPr>
                <w:snapToGrid/>
                <w:szCs w:val="22"/>
                <w:lang w:val="hu-HU" w:eastAsia="en-GB"/>
              </w:rPr>
              <w:t>Emelkedett szérum alkalikus-foszfatázszint</w:t>
            </w:r>
          </w:p>
        </w:tc>
      </w:tr>
      <w:tr w:rsidR="009F5F6A" w14:paraId="44EDE5AB" w14:textId="77777777">
        <w:trPr>
          <w:trHeight w:val="534"/>
        </w:trPr>
        <w:tc>
          <w:tcPr>
            <w:tcW w:w="0" w:type="auto"/>
            <w:vMerge/>
            <w:tcBorders>
              <w:top w:val="nil"/>
              <w:left w:val="single" w:sz="4" w:space="0" w:color="000000"/>
              <w:bottom w:val="single" w:sz="4" w:space="0" w:color="000000"/>
              <w:right w:val="single" w:sz="4" w:space="0" w:color="000000"/>
            </w:tcBorders>
          </w:tcPr>
          <w:p w14:paraId="5314BC21"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5D822F94"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666828B0"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Emelkedett szérum albuminszint, emelkedett összproteinszint, csökkent szérumalbuminszint, emelkedett vizelet pH</w:t>
            </w:r>
          </w:p>
        </w:tc>
      </w:tr>
      <w:tr w:rsidR="009F5F6A" w14:paraId="3AB98CEA" w14:textId="77777777">
        <w:trPr>
          <w:trHeight w:val="521"/>
        </w:trPr>
        <w:tc>
          <w:tcPr>
            <w:tcW w:w="2810" w:type="dxa"/>
            <w:tcBorders>
              <w:top w:val="single" w:sz="4" w:space="0" w:color="000000"/>
              <w:left w:val="single" w:sz="4" w:space="0" w:color="000000"/>
              <w:bottom w:val="single" w:sz="4" w:space="0" w:color="000000"/>
              <w:right w:val="single" w:sz="4" w:space="0" w:color="000000"/>
            </w:tcBorders>
          </w:tcPr>
          <w:p w14:paraId="7590A304"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Sérülés, mérgezés és a beavatkozással kapcsolatos szövődmények</w:t>
            </w:r>
          </w:p>
        </w:tc>
        <w:tc>
          <w:tcPr>
            <w:tcW w:w="1255" w:type="dxa"/>
            <w:tcBorders>
              <w:top w:val="single" w:sz="4" w:space="0" w:color="000000"/>
              <w:left w:val="single" w:sz="4" w:space="0" w:color="000000"/>
              <w:bottom w:val="single" w:sz="4" w:space="0" w:color="000000"/>
              <w:right w:val="single" w:sz="4" w:space="0" w:color="000000"/>
            </w:tcBorders>
          </w:tcPr>
          <w:p w14:paraId="48CABEBF"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25048D9D" w14:textId="77777777" w:rsidR="009F5F6A" w:rsidRDefault="00962A10">
            <w:pPr>
              <w:widowControl w:val="0"/>
              <w:rPr>
                <w:szCs w:val="22"/>
                <w:lang w:eastAsia="en-US"/>
              </w:rPr>
            </w:pPr>
            <w:r>
              <w:rPr>
                <w:snapToGrid/>
                <w:szCs w:val="22"/>
                <w:lang w:val="hu-HU" w:eastAsia="en-GB"/>
              </w:rPr>
              <w:t>Napégés</w:t>
            </w:r>
          </w:p>
        </w:tc>
      </w:tr>
    </w:tbl>
    <w:p w14:paraId="7B5FAE6B" w14:textId="77777777" w:rsidR="009F5F6A" w:rsidRDefault="00962A10">
      <w:pPr>
        <w:autoSpaceDE w:val="0"/>
        <w:autoSpaceDN w:val="0"/>
        <w:adjustRightInd w:val="0"/>
        <w:spacing w:line="240" w:lineRule="auto"/>
        <w:ind w:left="567" w:hanging="567"/>
        <w:rPr>
          <w:snapToGrid/>
          <w:szCs w:val="22"/>
          <w:lang w:val="hu-HU" w:eastAsia="en-GB"/>
        </w:rPr>
      </w:pPr>
      <w:r>
        <w:rPr>
          <w:snapToGrid/>
          <w:szCs w:val="22"/>
          <w:vertAlign w:val="superscript"/>
          <w:lang w:val="hu-HU" w:eastAsia="en-GB"/>
        </w:rPr>
        <w:t>♦</w:t>
      </w:r>
      <w:r>
        <w:rPr>
          <w:snapToGrid/>
          <w:szCs w:val="22"/>
          <w:lang w:val="hu-HU" w:eastAsia="en-GB"/>
        </w:rPr>
        <w:tab/>
        <w:t>A gyermek és serdülőkorú betegek vizsgálataiban megfigyelt további mellékhatások (1 – 18 éves korig).</w:t>
      </w:r>
    </w:p>
    <w:p w14:paraId="20B32EAB" w14:textId="77777777" w:rsidR="009F5F6A" w:rsidRDefault="00962A10">
      <w:pPr>
        <w:autoSpaceDE w:val="0"/>
        <w:autoSpaceDN w:val="0"/>
        <w:adjustRightInd w:val="0"/>
        <w:spacing w:line="240" w:lineRule="auto"/>
        <w:ind w:left="567" w:hanging="567"/>
        <w:rPr>
          <w:snapToGrid/>
          <w:szCs w:val="22"/>
          <w:lang w:val="hu-HU" w:eastAsia="en-GB"/>
        </w:rPr>
      </w:pPr>
      <w:r>
        <w:rPr>
          <w:snapToGrid/>
          <w:szCs w:val="22"/>
          <w:vertAlign w:val="superscript"/>
          <w:lang w:val="hu-HU" w:eastAsia="en-GB"/>
        </w:rPr>
        <w:t>†</w:t>
      </w:r>
      <w:r>
        <w:rPr>
          <w:snapToGrid/>
          <w:szCs w:val="22"/>
          <w:lang w:val="hu-HU" w:eastAsia="en-GB"/>
        </w:rPr>
        <w:tab/>
        <w:t>A glutamát-piruvát-transzamináz (alanin-amino-transzferáz) szintjének és a glutamát-oxálacetát-transzamináz (aszpartát-amino-transzferáz) szintjének emelkedése előfordulhat párhuzamosan, habár kisebb gyakorisággal.</w:t>
      </w:r>
    </w:p>
    <w:p w14:paraId="151209E6" w14:textId="77777777" w:rsidR="009F5F6A" w:rsidRDefault="00962A10">
      <w:pPr>
        <w:autoSpaceDE w:val="0"/>
        <w:autoSpaceDN w:val="0"/>
        <w:adjustRightInd w:val="0"/>
        <w:spacing w:line="240" w:lineRule="auto"/>
        <w:ind w:left="567" w:hanging="567"/>
        <w:rPr>
          <w:snapToGrid/>
          <w:szCs w:val="22"/>
          <w:lang w:val="hu-HU" w:eastAsia="en-GB"/>
        </w:rPr>
      </w:pPr>
      <w:r>
        <w:rPr>
          <w:snapToGrid/>
          <w:szCs w:val="22"/>
          <w:vertAlign w:val="superscript"/>
          <w:lang w:val="hu-HU" w:eastAsia="en-GB"/>
        </w:rPr>
        <w:t>‡</w:t>
      </w:r>
      <w:r>
        <w:rPr>
          <w:snapToGrid/>
          <w:szCs w:val="22"/>
          <w:lang w:val="hu-HU" w:eastAsia="en-GB"/>
        </w:rPr>
        <w:tab/>
        <w:t>Csoportosított kifejezés az akut vesekárosodás és a veseelégtelenség preferált kifejezések alapján</w:t>
      </w:r>
    </w:p>
    <w:p w14:paraId="701283BC"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1154B292"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b/>
          <w:bCs/>
          <w:snapToGrid/>
          <w:szCs w:val="22"/>
          <w:lang w:val="hu-HU" w:eastAsia="en-GB"/>
        </w:rPr>
        <w:t>HCV vizsgálati csoport (antivirális interferonnal és ribavirin-kezeléssel kombinációban)</w:t>
      </w:r>
    </w:p>
    <w:p w14:paraId="79533479"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tbl>
      <w:tblPr>
        <w:tblW w:w="9210" w:type="dxa"/>
        <w:tblInd w:w="5" w:type="dxa"/>
        <w:tblCellMar>
          <w:top w:w="13" w:type="dxa"/>
          <w:left w:w="107" w:type="dxa"/>
          <w:right w:w="68" w:type="dxa"/>
        </w:tblCellMar>
        <w:tblLook w:val="04A0" w:firstRow="1" w:lastRow="0" w:firstColumn="1" w:lastColumn="0" w:noHBand="0" w:noVBand="1"/>
      </w:tblPr>
      <w:tblGrid>
        <w:gridCol w:w="2944"/>
        <w:gridCol w:w="1276"/>
        <w:gridCol w:w="4990"/>
      </w:tblGrid>
      <w:tr w:rsidR="009F5F6A" w14:paraId="25C0B905" w14:textId="77777777">
        <w:trPr>
          <w:trHeight w:val="263"/>
        </w:trPr>
        <w:tc>
          <w:tcPr>
            <w:tcW w:w="2944" w:type="dxa"/>
            <w:tcBorders>
              <w:top w:val="single" w:sz="4" w:space="0" w:color="000000"/>
              <w:left w:val="single" w:sz="4" w:space="0" w:color="000000"/>
              <w:bottom w:val="single" w:sz="4" w:space="0" w:color="000000"/>
              <w:right w:val="single" w:sz="4" w:space="0" w:color="000000"/>
            </w:tcBorders>
          </w:tcPr>
          <w:p w14:paraId="0810F0F5" w14:textId="77777777" w:rsidR="009F5F6A" w:rsidRDefault="00962A10">
            <w:pPr>
              <w:tabs>
                <w:tab w:val="clear" w:pos="567"/>
              </w:tabs>
              <w:autoSpaceDE w:val="0"/>
              <w:autoSpaceDN w:val="0"/>
              <w:adjustRightInd w:val="0"/>
              <w:spacing w:line="240" w:lineRule="auto"/>
              <w:rPr>
                <w:szCs w:val="22"/>
                <w:lang w:eastAsia="en-US"/>
              </w:rPr>
            </w:pPr>
            <w:r>
              <w:rPr>
                <w:b/>
                <w:bCs/>
                <w:snapToGrid/>
                <w:szCs w:val="22"/>
                <w:lang w:val="hu-HU" w:eastAsia="en-GB"/>
              </w:rPr>
              <w:t>Szervrendszeri kategória</w:t>
            </w:r>
          </w:p>
        </w:tc>
        <w:tc>
          <w:tcPr>
            <w:tcW w:w="1276" w:type="dxa"/>
            <w:tcBorders>
              <w:top w:val="single" w:sz="4" w:space="0" w:color="000000"/>
              <w:left w:val="single" w:sz="4" w:space="0" w:color="000000"/>
              <w:bottom w:val="single" w:sz="4" w:space="0" w:color="000000"/>
              <w:right w:val="single" w:sz="4" w:space="0" w:color="000000"/>
            </w:tcBorders>
          </w:tcPr>
          <w:p w14:paraId="0CF8A92B" w14:textId="77777777" w:rsidR="009F5F6A" w:rsidRDefault="00962A10">
            <w:pPr>
              <w:widowControl w:val="0"/>
              <w:rPr>
                <w:szCs w:val="22"/>
                <w:lang w:eastAsia="en-US"/>
              </w:rPr>
            </w:pPr>
            <w:r>
              <w:rPr>
                <w:b/>
                <w:bCs/>
                <w:snapToGrid/>
                <w:szCs w:val="22"/>
                <w:lang w:val="hu-HU" w:eastAsia="en-GB"/>
              </w:rPr>
              <w:t>Gyakoriság</w:t>
            </w:r>
          </w:p>
        </w:tc>
        <w:tc>
          <w:tcPr>
            <w:tcW w:w="4990" w:type="dxa"/>
            <w:tcBorders>
              <w:top w:val="single" w:sz="4" w:space="0" w:color="000000"/>
              <w:left w:val="single" w:sz="4" w:space="0" w:color="000000"/>
              <w:bottom w:val="single" w:sz="4" w:space="0" w:color="000000"/>
              <w:right w:val="single" w:sz="4" w:space="0" w:color="000000"/>
            </w:tcBorders>
          </w:tcPr>
          <w:p w14:paraId="3A7E9902" w14:textId="77777777" w:rsidR="009F5F6A" w:rsidRDefault="00962A10">
            <w:pPr>
              <w:widowControl w:val="0"/>
              <w:rPr>
                <w:szCs w:val="22"/>
                <w:lang w:eastAsia="en-US"/>
              </w:rPr>
            </w:pPr>
            <w:r>
              <w:rPr>
                <w:b/>
                <w:bCs/>
                <w:snapToGrid/>
                <w:szCs w:val="22"/>
                <w:lang w:val="hu-HU" w:eastAsia="en-GB"/>
              </w:rPr>
              <w:t>Mellékhatás</w:t>
            </w:r>
          </w:p>
        </w:tc>
      </w:tr>
      <w:tr w:rsidR="009F5F6A" w14:paraId="6F6B0C66" w14:textId="77777777">
        <w:trPr>
          <w:trHeight w:val="770"/>
        </w:trPr>
        <w:tc>
          <w:tcPr>
            <w:tcW w:w="2944" w:type="dxa"/>
            <w:vMerge w:val="restart"/>
            <w:tcBorders>
              <w:top w:val="single" w:sz="4" w:space="0" w:color="000000"/>
              <w:left w:val="single" w:sz="4" w:space="0" w:color="000000"/>
              <w:bottom w:val="single" w:sz="4" w:space="0" w:color="000000"/>
              <w:right w:val="single" w:sz="4" w:space="0" w:color="000000"/>
            </w:tcBorders>
          </w:tcPr>
          <w:p w14:paraId="6D86BFBE"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Fertőző betegségek és parazitafertőzések</w:t>
            </w:r>
          </w:p>
        </w:tc>
        <w:tc>
          <w:tcPr>
            <w:tcW w:w="1276" w:type="dxa"/>
            <w:tcBorders>
              <w:top w:val="single" w:sz="4" w:space="0" w:color="000000"/>
              <w:left w:val="single" w:sz="4" w:space="0" w:color="000000"/>
              <w:bottom w:val="single" w:sz="4" w:space="0" w:color="000000"/>
              <w:right w:val="single" w:sz="4" w:space="0" w:color="000000"/>
            </w:tcBorders>
          </w:tcPr>
          <w:p w14:paraId="6576CE70"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19DA869E"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Húgyúti fertőzés, felsőlégúti fertőzések, bronchitis, nasopharyngitis, influenza, oralis herpes</w:t>
            </w:r>
          </w:p>
        </w:tc>
      </w:tr>
      <w:tr w:rsidR="009F5F6A" w14:paraId="09451A29" w14:textId="77777777">
        <w:trPr>
          <w:trHeight w:val="263"/>
        </w:trPr>
        <w:tc>
          <w:tcPr>
            <w:tcW w:w="0" w:type="auto"/>
            <w:vMerge/>
            <w:tcBorders>
              <w:top w:val="nil"/>
              <w:left w:val="single" w:sz="4" w:space="0" w:color="000000"/>
              <w:bottom w:val="single" w:sz="4" w:space="0" w:color="000000"/>
              <w:right w:val="single" w:sz="4" w:space="0" w:color="000000"/>
            </w:tcBorders>
          </w:tcPr>
          <w:p w14:paraId="78C79D50"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1CEAF46F"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7CB00F3A" w14:textId="77777777" w:rsidR="009F5F6A" w:rsidRDefault="00962A10">
            <w:pPr>
              <w:widowControl w:val="0"/>
              <w:rPr>
                <w:szCs w:val="22"/>
                <w:lang w:eastAsia="en-US"/>
              </w:rPr>
            </w:pPr>
            <w:r>
              <w:rPr>
                <w:snapToGrid/>
                <w:szCs w:val="22"/>
                <w:lang w:val="hu-HU" w:eastAsia="en-GB"/>
              </w:rPr>
              <w:t>Gastroenteritis, pharyngitis</w:t>
            </w:r>
          </w:p>
        </w:tc>
      </w:tr>
      <w:tr w:rsidR="009F5F6A" w14:paraId="404D831B" w14:textId="77777777">
        <w:trPr>
          <w:trHeight w:val="768"/>
        </w:trPr>
        <w:tc>
          <w:tcPr>
            <w:tcW w:w="2944" w:type="dxa"/>
            <w:tcBorders>
              <w:top w:val="single" w:sz="4" w:space="0" w:color="000000"/>
              <w:left w:val="single" w:sz="4" w:space="0" w:color="000000"/>
              <w:bottom w:val="single" w:sz="4" w:space="0" w:color="000000"/>
              <w:right w:val="single" w:sz="4" w:space="0" w:color="000000"/>
            </w:tcBorders>
          </w:tcPr>
          <w:p w14:paraId="3B095490"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Jó-, rosszindulatú és nem meghatározott daganatok (beleértve a cisztákat és polipokat is)</w:t>
            </w:r>
          </w:p>
        </w:tc>
        <w:tc>
          <w:tcPr>
            <w:tcW w:w="1276" w:type="dxa"/>
            <w:tcBorders>
              <w:top w:val="single" w:sz="4" w:space="0" w:color="000000"/>
              <w:left w:val="single" w:sz="4" w:space="0" w:color="000000"/>
              <w:bottom w:val="single" w:sz="4" w:space="0" w:color="000000"/>
              <w:right w:val="single" w:sz="4" w:space="0" w:color="000000"/>
            </w:tcBorders>
          </w:tcPr>
          <w:p w14:paraId="6FFDDE98"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79515597" w14:textId="77777777" w:rsidR="009F5F6A" w:rsidRDefault="00962A10">
            <w:pPr>
              <w:widowControl w:val="0"/>
              <w:rPr>
                <w:szCs w:val="22"/>
                <w:lang w:eastAsia="en-US"/>
              </w:rPr>
            </w:pPr>
            <w:r>
              <w:rPr>
                <w:snapToGrid/>
                <w:szCs w:val="22"/>
                <w:lang w:val="hu-HU" w:eastAsia="en-GB"/>
              </w:rPr>
              <w:t>A máj malignus daganata</w:t>
            </w:r>
          </w:p>
        </w:tc>
      </w:tr>
      <w:tr w:rsidR="009F5F6A" w14:paraId="60679D50"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78AB8962"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Vérképzőszervi és nyirokrendszeri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67C267FD" w14:textId="77777777" w:rsidR="009F5F6A" w:rsidRDefault="00962A10">
            <w:pPr>
              <w:widowControl w:val="0"/>
              <w:rPr>
                <w:szCs w:val="22"/>
                <w:lang w:eastAsia="en-US"/>
              </w:rPr>
            </w:pPr>
            <w:r>
              <w:rPr>
                <w:snapToGrid/>
                <w:szCs w:val="22"/>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281C4AA0" w14:textId="77777777" w:rsidR="009F5F6A" w:rsidRDefault="00962A10">
            <w:pPr>
              <w:widowControl w:val="0"/>
              <w:rPr>
                <w:szCs w:val="22"/>
                <w:lang w:eastAsia="en-US"/>
              </w:rPr>
            </w:pPr>
            <w:r>
              <w:rPr>
                <w:szCs w:val="22"/>
                <w:lang w:eastAsia="en-US"/>
              </w:rPr>
              <w:t>Anaemia</w:t>
            </w:r>
          </w:p>
        </w:tc>
      </w:tr>
      <w:tr w:rsidR="009F5F6A" w14:paraId="6CE18CF3" w14:textId="77777777">
        <w:trPr>
          <w:trHeight w:val="264"/>
        </w:trPr>
        <w:tc>
          <w:tcPr>
            <w:tcW w:w="0" w:type="auto"/>
            <w:vMerge/>
            <w:tcBorders>
              <w:top w:val="nil"/>
              <w:left w:val="single" w:sz="4" w:space="0" w:color="000000"/>
              <w:bottom w:val="nil"/>
              <w:right w:val="single" w:sz="4" w:space="0" w:color="000000"/>
            </w:tcBorders>
          </w:tcPr>
          <w:p w14:paraId="020AE0F4"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7664B0C7"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0FDEAEB8" w14:textId="77777777" w:rsidR="009F5F6A" w:rsidRDefault="00962A10">
            <w:pPr>
              <w:widowControl w:val="0"/>
              <w:rPr>
                <w:szCs w:val="22"/>
                <w:lang w:eastAsia="en-US"/>
              </w:rPr>
            </w:pPr>
            <w:r>
              <w:rPr>
                <w:szCs w:val="22"/>
                <w:lang w:eastAsia="en-US"/>
              </w:rPr>
              <w:t>Lymphopenia</w:t>
            </w:r>
          </w:p>
        </w:tc>
      </w:tr>
      <w:tr w:rsidR="009F5F6A" w14:paraId="602A8F8F" w14:textId="77777777">
        <w:trPr>
          <w:trHeight w:val="263"/>
        </w:trPr>
        <w:tc>
          <w:tcPr>
            <w:tcW w:w="0" w:type="auto"/>
            <w:vMerge/>
            <w:tcBorders>
              <w:top w:val="nil"/>
              <w:left w:val="single" w:sz="4" w:space="0" w:color="000000"/>
              <w:bottom w:val="single" w:sz="4" w:space="0" w:color="000000"/>
              <w:right w:val="single" w:sz="4" w:space="0" w:color="000000"/>
            </w:tcBorders>
          </w:tcPr>
          <w:p w14:paraId="23E94AC1"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47E586FC"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4B784637" w14:textId="77777777" w:rsidR="009F5F6A" w:rsidRDefault="00962A10">
            <w:pPr>
              <w:widowControl w:val="0"/>
              <w:rPr>
                <w:szCs w:val="22"/>
                <w:lang w:eastAsia="en-US"/>
              </w:rPr>
            </w:pPr>
            <w:r>
              <w:rPr>
                <w:szCs w:val="22"/>
                <w:lang w:eastAsia="en-US"/>
              </w:rPr>
              <w:t>Haemolyticus anaemia</w:t>
            </w:r>
          </w:p>
        </w:tc>
      </w:tr>
      <w:tr w:rsidR="009F5F6A" w14:paraId="6FD06B1C"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5BD24A26"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Anyagcsere és táplálkozási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2D736E8B" w14:textId="77777777" w:rsidR="009F5F6A" w:rsidRDefault="00962A10">
            <w:pPr>
              <w:widowControl w:val="0"/>
              <w:rPr>
                <w:szCs w:val="22"/>
                <w:lang w:eastAsia="en-US"/>
              </w:rPr>
            </w:pPr>
            <w:r>
              <w:rPr>
                <w:snapToGrid/>
                <w:szCs w:val="22"/>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4064A310" w14:textId="77777777" w:rsidR="009F5F6A" w:rsidRDefault="00962A10">
            <w:pPr>
              <w:widowControl w:val="0"/>
              <w:rPr>
                <w:szCs w:val="22"/>
                <w:lang w:eastAsia="en-US"/>
              </w:rPr>
            </w:pPr>
            <w:r>
              <w:rPr>
                <w:snapToGrid/>
                <w:szCs w:val="22"/>
                <w:lang w:val="hu-HU" w:eastAsia="en-GB"/>
              </w:rPr>
              <w:t>Csökkent étvágy</w:t>
            </w:r>
          </w:p>
        </w:tc>
      </w:tr>
      <w:tr w:rsidR="009F5F6A" w14:paraId="1CE0CF5D" w14:textId="77777777">
        <w:trPr>
          <w:trHeight w:val="263"/>
        </w:trPr>
        <w:tc>
          <w:tcPr>
            <w:tcW w:w="0" w:type="auto"/>
            <w:vMerge/>
            <w:tcBorders>
              <w:top w:val="nil"/>
              <w:left w:val="single" w:sz="4" w:space="0" w:color="000000"/>
              <w:bottom w:val="single" w:sz="4" w:space="0" w:color="000000"/>
              <w:right w:val="single" w:sz="4" w:space="0" w:color="000000"/>
            </w:tcBorders>
          </w:tcPr>
          <w:p w14:paraId="29AA0A42"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7B584DD4"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05AEC5A4" w14:textId="77777777" w:rsidR="009F5F6A" w:rsidRDefault="00962A10">
            <w:pPr>
              <w:widowControl w:val="0"/>
              <w:rPr>
                <w:szCs w:val="22"/>
                <w:lang w:eastAsia="en-US"/>
              </w:rPr>
            </w:pPr>
            <w:r>
              <w:rPr>
                <w:szCs w:val="22"/>
                <w:lang w:eastAsia="en-US"/>
              </w:rPr>
              <w:t xml:space="preserve">Hyperglykaemia, </w:t>
            </w:r>
            <w:r>
              <w:rPr>
                <w:snapToGrid/>
                <w:szCs w:val="22"/>
                <w:lang w:val="hu-HU" w:eastAsia="en-GB"/>
              </w:rPr>
              <w:t>kóros testtömegcsökkenés</w:t>
            </w:r>
          </w:p>
        </w:tc>
      </w:tr>
      <w:tr w:rsidR="009F5F6A" w14:paraId="02B39D33" w14:textId="77777777">
        <w:trPr>
          <w:trHeight w:val="263"/>
        </w:trPr>
        <w:tc>
          <w:tcPr>
            <w:tcW w:w="2944" w:type="dxa"/>
            <w:vMerge w:val="restart"/>
            <w:tcBorders>
              <w:top w:val="single" w:sz="4" w:space="0" w:color="000000"/>
              <w:left w:val="single" w:sz="4" w:space="0" w:color="000000"/>
              <w:bottom w:val="single" w:sz="4" w:space="0" w:color="000000"/>
              <w:right w:val="single" w:sz="4" w:space="0" w:color="000000"/>
            </w:tcBorders>
          </w:tcPr>
          <w:p w14:paraId="777FF1C2" w14:textId="77777777" w:rsidR="009F5F6A" w:rsidRDefault="00962A10">
            <w:pPr>
              <w:widowControl w:val="0"/>
              <w:rPr>
                <w:szCs w:val="22"/>
                <w:lang w:eastAsia="en-US"/>
              </w:rPr>
            </w:pPr>
            <w:r>
              <w:rPr>
                <w:snapToGrid/>
                <w:szCs w:val="22"/>
                <w:lang w:val="hu-HU" w:eastAsia="en-GB"/>
              </w:rPr>
              <w:t>Pszichiátriai kórképek</w:t>
            </w:r>
          </w:p>
        </w:tc>
        <w:tc>
          <w:tcPr>
            <w:tcW w:w="1276" w:type="dxa"/>
            <w:tcBorders>
              <w:top w:val="single" w:sz="4" w:space="0" w:color="000000"/>
              <w:left w:val="single" w:sz="4" w:space="0" w:color="000000"/>
              <w:bottom w:val="single" w:sz="4" w:space="0" w:color="000000"/>
              <w:right w:val="single" w:sz="4" w:space="0" w:color="000000"/>
            </w:tcBorders>
          </w:tcPr>
          <w:p w14:paraId="026A8A8E"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4C520C6D" w14:textId="77777777" w:rsidR="009F5F6A" w:rsidRDefault="00962A10">
            <w:pPr>
              <w:widowControl w:val="0"/>
              <w:rPr>
                <w:szCs w:val="22"/>
                <w:lang w:eastAsia="en-US"/>
              </w:rPr>
            </w:pPr>
            <w:r>
              <w:rPr>
                <w:snapToGrid/>
                <w:szCs w:val="22"/>
                <w:lang w:val="hu-HU" w:eastAsia="en-GB"/>
              </w:rPr>
              <w:t>Depressio, szorongás, alvászavar</w:t>
            </w:r>
          </w:p>
        </w:tc>
      </w:tr>
      <w:tr w:rsidR="009F5F6A" w14:paraId="52E13E22" w14:textId="77777777">
        <w:trPr>
          <w:trHeight w:val="263"/>
        </w:trPr>
        <w:tc>
          <w:tcPr>
            <w:tcW w:w="0" w:type="auto"/>
            <w:vMerge/>
            <w:tcBorders>
              <w:top w:val="nil"/>
              <w:left w:val="single" w:sz="4" w:space="0" w:color="000000"/>
              <w:bottom w:val="single" w:sz="4" w:space="0" w:color="000000"/>
              <w:right w:val="single" w:sz="4" w:space="0" w:color="000000"/>
            </w:tcBorders>
          </w:tcPr>
          <w:p w14:paraId="3FA271B6"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55F13832"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2205C848" w14:textId="77777777" w:rsidR="009F5F6A" w:rsidRDefault="00962A10">
            <w:pPr>
              <w:widowControl w:val="0"/>
              <w:rPr>
                <w:szCs w:val="22"/>
                <w:lang w:eastAsia="en-US"/>
              </w:rPr>
            </w:pPr>
            <w:r>
              <w:rPr>
                <w:snapToGrid/>
                <w:szCs w:val="22"/>
                <w:lang w:val="hu-HU" w:eastAsia="en-GB"/>
              </w:rPr>
              <w:t>Zavartság, agitáció</w:t>
            </w:r>
          </w:p>
        </w:tc>
      </w:tr>
      <w:tr w:rsidR="009F5F6A" w14:paraId="0CFB4F9F"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26197F3C"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Idegrendszeri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3B32F551" w14:textId="77777777" w:rsidR="009F5F6A" w:rsidRDefault="00962A10">
            <w:pPr>
              <w:widowControl w:val="0"/>
              <w:rPr>
                <w:szCs w:val="22"/>
                <w:lang w:eastAsia="en-US"/>
              </w:rPr>
            </w:pPr>
            <w:r>
              <w:rPr>
                <w:snapToGrid/>
                <w:szCs w:val="22"/>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2CF9FA12" w14:textId="77777777" w:rsidR="009F5F6A" w:rsidRDefault="00962A10">
            <w:pPr>
              <w:widowControl w:val="0"/>
              <w:rPr>
                <w:szCs w:val="22"/>
                <w:lang w:eastAsia="en-US"/>
              </w:rPr>
            </w:pPr>
            <w:r>
              <w:rPr>
                <w:snapToGrid/>
                <w:szCs w:val="22"/>
                <w:lang w:val="hu-HU" w:eastAsia="en-GB"/>
              </w:rPr>
              <w:t>Fejfájás</w:t>
            </w:r>
          </w:p>
        </w:tc>
      </w:tr>
      <w:tr w:rsidR="009F5F6A" w14:paraId="575FA732" w14:textId="77777777">
        <w:trPr>
          <w:trHeight w:val="769"/>
        </w:trPr>
        <w:tc>
          <w:tcPr>
            <w:tcW w:w="0" w:type="auto"/>
            <w:vMerge/>
            <w:tcBorders>
              <w:top w:val="nil"/>
              <w:left w:val="single" w:sz="4" w:space="0" w:color="000000"/>
              <w:bottom w:val="single" w:sz="4" w:space="0" w:color="000000"/>
              <w:right w:val="single" w:sz="4" w:space="0" w:color="000000"/>
            </w:tcBorders>
          </w:tcPr>
          <w:p w14:paraId="202A3A64"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0F0EC794"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450B238D"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Szédülés, figyelemzavar, ízérzékelési zavar, hepaticus encephalopathia, levertség, memóriazavar, paraesthesia</w:t>
            </w:r>
          </w:p>
        </w:tc>
      </w:tr>
      <w:tr w:rsidR="009F5F6A" w14:paraId="7EFF2141" w14:textId="77777777">
        <w:trPr>
          <w:trHeight w:val="516"/>
        </w:trPr>
        <w:tc>
          <w:tcPr>
            <w:tcW w:w="2944" w:type="dxa"/>
            <w:tcBorders>
              <w:top w:val="single" w:sz="4" w:space="0" w:color="000000"/>
              <w:left w:val="single" w:sz="4" w:space="0" w:color="000000"/>
              <w:bottom w:val="single" w:sz="4" w:space="0" w:color="000000"/>
              <w:right w:val="single" w:sz="4" w:space="0" w:color="000000"/>
            </w:tcBorders>
          </w:tcPr>
          <w:p w14:paraId="0B9E143D" w14:textId="77777777" w:rsidR="009F5F6A" w:rsidRDefault="00962A10">
            <w:pPr>
              <w:widowControl w:val="0"/>
              <w:rPr>
                <w:szCs w:val="22"/>
                <w:lang w:eastAsia="en-US"/>
              </w:rPr>
            </w:pPr>
            <w:r>
              <w:rPr>
                <w:snapToGrid/>
                <w:szCs w:val="22"/>
                <w:lang w:val="hu-HU" w:eastAsia="en-GB"/>
              </w:rPr>
              <w:t>Szembetegségek és szemészeti tünetek</w:t>
            </w:r>
          </w:p>
        </w:tc>
        <w:tc>
          <w:tcPr>
            <w:tcW w:w="1276" w:type="dxa"/>
            <w:tcBorders>
              <w:top w:val="single" w:sz="4" w:space="0" w:color="000000"/>
              <w:left w:val="single" w:sz="4" w:space="0" w:color="000000"/>
              <w:bottom w:val="single" w:sz="4" w:space="0" w:color="000000"/>
              <w:right w:val="single" w:sz="4" w:space="0" w:color="000000"/>
            </w:tcBorders>
          </w:tcPr>
          <w:p w14:paraId="4A7B314A"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731EC882"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Szürkehályog, retinális exszudáció, száraz szem, ocularis icterus, retina vérzés</w:t>
            </w:r>
          </w:p>
        </w:tc>
      </w:tr>
      <w:tr w:rsidR="009F5F6A" w14:paraId="1F48221A" w14:textId="77777777">
        <w:trPr>
          <w:trHeight w:val="263"/>
        </w:trPr>
        <w:tc>
          <w:tcPr>
            <w:tcW w:w="2944" w:type="dxa"/>
            <w:tcBorders>
              <w:top w:val="single" w:sz="4" w:space="0" w:color="000000"/>
              <w:left w:val="single" w:sz="4" w:space="0" w:color="000000"/>
              <w:bottom w:val="single" w:sz="4" w:space="0" w:color="000000"/>
              <w:right w:val="single" w:sz="4" w:space="0" w:color="000000"/>
            </w:tcBorders>
          </w:tcPr>
          <w:p w14:paraId="1CABA889" w14:textId="77777777" w:rsidR="009F5F6A" w:rsidRDefault="00962A10">
            <w:pPr>
              <w:widowControl w:val="0"/>
              <w:rPr>
                <w:snapToGrid/>
                <w:szCs w:val="22"/>
                <w:lang w:val="hu-HU" w:eastAsia="en-GB"/>
              </w:rPr>
            </w:pPr>
            <w:r>
              <w:rPr>
                <w:snapToGrid/>
                <w:szCs w:val="22"/>
                <w:lang w:val="hu-HU" w:eastAsia="en-GB"/>
              </w:rPr>
              <w:t>A fül és az egyensúlyérzékelő szerv betegségei és tünetei</w:t>
            </w:r>
          </w:p>
        </w:tc>
        <w:tc>
          <w:tcPr>
            <w:tcW w:w="1276" w:type="dxa"/>
            <w:tcBorders>
              <w:top w:val="single" w:sz="4" w:space="0" w:color="000000"/>
              <w:left w:val="single" w:sz="4" w:space="0" w:color="000000"/>
              <w:bottom w:val="single" w:sz="4" w:space="0" w:color="000000"/>
              <w:right w:val="single" w:sz="4" w:space="0" w:color="000000"/>
            </w:tcBorders>
          </w:tcPr>
          <w:p w14:paraId="006D553B"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7D6B7A84" w14:textId="77777777" w:rsidR="009F5F6A" w:rsidRDefault="00962A10">
            <w:pPr>
              <w:widowControl w:val="0"/>
              <w:rPr>
                <w:szCs w:val="22"/>
                <w:lang w:eastAsia="en-US"/>
              </w:rPr>
            </w:pPr>
            <w:r>
              <w:rPr>
                <w:szCs w:val="22"/>
                <w:lang w:eastAsia="en-US"/>
              </w:rPr>
              <w:t>Vertigó</w:t>
            </w:r>
          </w:p>
        </w:tc>
      </w:tr>
      <w:tr w:rsidR="009F5F6A" w14:paraId="03857DE7" w14:textId="77777777">
        <w:trPr>
          <w:trHeight w:val="263"/>
        </w:trPr>
        <w:tc>
          <w:tcPr>
            <w:tcW w:w="2944" w:type="dxa"/>
            <w:tcBorders>
              <w:top w:val="single" w:sz="4" w:space="0" w:color="000000"/>
              <w:left w:val="single" w:sz="4" w:space="0" w:color="000000"/>
              <w:bottom w:val="single" w:sz="4" w:space="0" w:color="000000"/>
              <w:right w:val="single" w:sz="4" w:space="0" w:color="000000"/>
            </w:tcBorders>
          </w:tcPr>
          <w:p w14:paraId="2D51001C"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Szívbetegségek és a szívvel kapcsolatos tünetek</w:t>
            </w:r>
          </w:p>
        </w:tc>
        <w:tc>
          <w:tcPr>
            <w:tcW w:w="1276" w:type="dxa"/>
            <w:tcBorders>
              <w:top w:val="single" w:sz="4" w:space="0" w:color="000000"/>
              <w:left w:val="single" w:sz="4" w:space="0" w:color="000000"/>
              <w:bottom w:val="single" w:sz="4" w:space="0" w:color="000000"/>
              <w:right w:val="single" w:sz="4" w:space="0" w:color="000000"/>
            </w:tcBorders>
          </w:tcPr>
          <w:p w14:paraId="177E02A6"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583850ED" w14:textId="77777777" w:rsidR="009F5F6A" w:rsidRDefault="00962A10">
            <w:pPr>
              <w:widowControl w:val="0"/>
              <w:rPr>
                <w:szCs w:val="22"/>
                <w:lang w:eastAsia="en-US"/>
              </w:rPr>
            </w:pPr>
            <w:r>
              <w:rPr>
                <w:szCs w:val="22"/>
                <w:lang w:eastAsia="en-US"/>
              </w:rPr>
              <w:t>Palpitatiók</w:t>
            </w:r>
          </w:p>
        </w:tc>
      </w:tr>
      <w:tr w:rsidR="009F5F6A" w14:paraId="6951D13B"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333BA650"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Légzőrendszeri, mellkasi és mediastinalis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12682907" w14:textId="77777777" w:rsidR="009F5F6A" w:rsidRDefault="00962A10">
            <w:pPr>
              <w:widowControl w:val="0"/>
              <w:rPr>
                <w:szCs w:val="22"/>
                <w:lang w:eastAsia="en-US"/>
              </w:rPr>
            </w:pPr>
            <w:r>
              <w:rPr>
                <w:snapToGrid/>
                <w:szCs w:val="22"/>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40FA9C7A" w14:textId="77777777" w:rsidR="009F5F6A" w:rsidRDefault="00962A10">
            <w:pPr>
              <w:widowControl w:val="0"/>
              <w:rPr>
                <w:szCs w:val="22"/>
                <w:lang w:eastAsia="en-US"/>
              </w:rPr>
            </w:pPr>
            <w:r>
              <w:rPr>
                <w:snapToGrid/>
                <w:szCs w:val="22"/>
                <w:lang w:val="hu-HU" w:eastAsia="en-GB"/>
              </w:rPr>
              <w:t>Köhögés</w:t>
            </w:r>
          </w:p>
        </w:tc>
      </w:tr>
      <w:tr w:rsidR="009F5F6A" w14:paraId="4772B24D" w14:textId="77777777">
        <w:trPr>
          <w:trHeight w:val="516"/>
        </w:trPr>
        <w:tc>
          <w:tcPr>
            <w:tcW w:w="0" w:type="auto"/>
            <w:vMerge/>
            <w:tcBorders>
              <w:top w:val="nil"/>
              <w:left w:val="single" w:sz="4" w:space="0" w:color="000000"/>
              <w:bottom w:val="single" w:sz="4" w:space="0" w:color="000000"/>
              <w:right w:val="single" w:sz="4" w:space="0" w:color="000000"/>
            </w:tcBorders>
          </w:tcPr>
          <w:p w14:paraId="02D4A745"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3321A595"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2CDA22B8"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Dyspnoe, oropharyngealis fájdalom, terhelésre jelentkező dyspnoe, produktív köhögés</w:t>
            </w:r>
          </w:p>
        </w:tc>
      </w:tr>
      <w:tr w:rsidR="009F5F6A" w14:paraId="2D741834"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162F1C6D"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Emésztőrendszeri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28623D04" w14:textId="77777777" w:rsidR="009F5F6A" w:rsidRDefault="00962A10">
            <w:pPr>
              <w:widowControl w:val="0"/>
              <w:rPr>
                <w:szCs w:val="22"/>
                <w:lang w:eastAsia="en-US"/>
              </w:rPr>
            </w:pPr>
            <w:r>
              <w:rPr>
                <w:snapToGrid/>
                <w:szCs w:val="22"/>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5BCB9DDD" w14:textId="77777777" w:rsidR="009F5F6A" w:rsidRDefault="00962A10">
            <w:pPr>
              <w:widowControl w:val="0"/>
              <w:rPr>
                <w:szCs w:val="22"/>
                <w:lang w:eastAsia="en-US"/>
              </w:rPr>
            </w:pPr>
            <w:r>
              <w:rPr>
                <w:snapToGrid/>
                <w:szCs w:val="22"/>
                <w:lang w:val="hu-HU" w:eastAsia="en-GB"/>
              </w:rPr>
              <w:t>Hányinger, hasmenés</w:t>
            </w:r>
          </w:p>
        </w:tc>
      </w:tr>
      <w:tr w:rsidR="009F5F6A" w14:paraId="1600377A" w14:textId="77777777">
        <w:trPr>
          <w:trHeight w:val="1274"/>
        </w:trPr>
        <w:tc>
          <w:tcPr>
            <w:tcW w:w="0" w:type="auto"/>
            <w:vMerge/>
            <w:tcBorders>
              <w:top w:val="nil"/>
              <w:left w:val="single" w:sz="4" w:space="0" w:color="000000"/>
              <w:bottom w:val="nil"/>
              <w:right w:val="single" w:sz="4" w:space="0" w:color="000000"/>
            </w:tcBorders>
          </w:tcPr>
          <w:p w14:paraId="59D15277"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4E557553"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3F82BFAD"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Hányás, ascites, hasi fájdalom, gyomortáji fájdalom, dyspepsia, szájszárazság, székrekedés, haspuffadás, fogfájás, stomatitis, gastrooesophagealis reflux betegség, aranyér, hasi diszkomfort, oesophagus varixok</w:t>
            </w:r>
          </w:p>
        </w:tc>
      </w:tr>
      <w:tr w:rsidR="009F5F6A" w14:paraId="78D6F347" w14:textId="77777777">
        <w:trPr>
          <w:trHeight w:val="516"/>
        </w:trPr>
        <w:tc>
          <w:tcPr>
            <w:tcW w:w="0" w:type="auto"/>
            <w:vMerge/>
            <w:tcBorders>
              <w:top w:val="nil"/>
              <w:left w:val="single" w:sz="4" w:space="0" w:color="000000"/>
              <w:bottom w:val="single" w:sz="4" w:space="0" w:color="000000"/>
              <w:right w:val="single" w:sz="4" w:space="0" w:color="000000"/>
            </w:tcBorders>
          </w:tcPr>
          <w:p w14:paraId="215CFED1"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07A853F2"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5FA93158" w14:textId="77777777" w:rsidR="009F5F6A" w:rsidRDefault="00962A10">
            <w:pPr>
              <w:widowControl w:val="0"/>
              <w:rPr>
                <w:szCs w:val="22"/>
                <w:lang w:eastAsia="en-US"/>
              </w:rPr>
            </w:pPr>
            <w:r>
              <w:rPr>
                <w:snapToGrid/>
                <w:szCs w:val="22"/>
                <w:lang w:val="hu-HU" w:eastAsia="en-GB"/>
              </w:rPr>
              <w:t>Oesophagus varix vérzés, gastritis, stomatitis aphthosa</w:t>
            </w:r>
          </w:p>
        </w:tc>
      </w:tr>
      <w:tr w:rsidR="009F5F6A" w14:paraId="14D37AB2"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693FE3BA"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Máj- és epebetegségek, illetve tünetek</w:t>
            </w:r>
          </w:p>
        </w:tc>
        <w:tc>
          <w:tcPr>
            <w:tcW w:w="1276" w:type="dxa"/>
            <w:tcBorders>
              <w:top w:val="single" w:sz="4" w:space="0" w:color="000000"/>
              <w:left w:val="single" w:sz="4" w:space="0" w:color="000000"/>
              <w:bottom w:val="single" w:sz="4" w:space="0" w:color="000000"/>
              <w:right w:val="single" w:sz="4" w:space="0" w:color="000000"/>
            </w:tcBorders>
          </w:tcPr>
          <w:p w14:paraId="53103701"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301AF270"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Hyperbilirubinaemia, sárgaság, gyógyszer okozta májkárosodás</w:t>
            </w:r>
          </w:p>
        </w:tc>
      </w:tr>
      <w:tr w:rsidR="009F5F6A" w14:paraId="116C2018" w14:textId="77777777">
        <w:trPr>
          <w:trHeight w:val="264"/>
        </w:trPr>
        <w:tc>
          <w:tcPr>
            <w:tcW w:w="0" w:type="auto"/>
            <w:vMerge/>
            <w:tcBorders>
              <w:top w:val="nil"/>
              <w:left w:val="single" w:sz="4" w:space="0" w:color="000000"/>
              <w:bottom w:val="single" w:sz="4" w:space="0" w:color="000000"/>
              <w:right w:val="single" w:sz="4" w:space="0" w:color="000000"/>
            </w:tcBorders>
          </w:tcPr>
          <w:p w14:paraId="1016C77F"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54F01BE4"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1A6AE1FB" w14:textId="77777777" w:rsidR="009F5F6A" w:rsidRDefault="00962A10">
            <w:pPr>
              <w:widowControl w:val="0"/>
              <w:rPr>
                <w:szCs w:val="22"/>
                <w:lang w:eastAsia="en-US"/>
              </w:rPr>
            </w:pPr>
            <w:r>
              <w:rPr>
                <w:snapToGrid/>
                <w:szCs w:val="22"/>
                <w:lang w:val="hu-HU" w:eastAsia="en-GB"/>
              </w:rPr>
              <w:t>Vena portae thrombosis, májelégtelenség</w:t>
            </w:r>
          </w:p>
        </w:tc>
      </w:tr>
      <w:tr w:rsidR="009F5F6A" w14:paraId="133C4951"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7C17FE40"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bőr és a bőr alatti szövet betegségei és tünetei</w:t>
            </w:r>
          </w:p>
        </w:tc>
        <w:tc>
          <w:tcPr>
            <w:tcW w:w="1276" w:type="dxa"/>
            <w:tcBorders>
              <w:top w:val="single" w:sz="4" w:space="0" w:color="000000"/>
              <w:left w:val="single" w:sz="4" w:space="0" w:color="000000"/>
              <w:bottom w:val="single" w:sz="4" w:space="0" w:color="000000"/>
              <w:right w:val="single" w:sz="4" w:space="0" w:color="000000"/>
            </w:tcBorders>
          </w:tcPr>
          <w:p w14:paraId="3F81CCAB" w14:textId="77777777" w:rsidR="009F5F6A" w:rsidRDefault="00962A10">
            <w:pPr>
              <w:widowControl w:val="0"/>
              <w:rPr>
                <w:szCs w:val="22"/>
                <w:lang w:eastAsia="en-US"/>
              </w:rPr>
            </w:pPr>
            <w:r>
              <w:rPr>
                <w:snapToGrid/>
                <w:szCs w:val="22"/>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719599DB" w14:textId="77777777" w:rsidR="009F5F6A" w:rsidRDefault="00962A10">
            <w:pPr>
              <w:widowControl w:val="0"/>
              <w:rPr>
                <w:szCs w:val="22"/>
                <w:lang w:eastAsia="en-US"/>
              </w:rPr>
            </w:pPr>
            <w:r>
              <w:rPr>
                <w:szCs w:val="22"/>
                <w:lang w:eastAsia="en-US"/>
              </w:rPr>
              <w:t>Pruritus</w:t>
            </w:r>
          </w:p>
        </w:tc>
      </w:tr>
      <w:tr w:rsidR="009F5F6A" w14:paraId="7D8AA949" w14:textId="77777777">
        <w:trPr>
          <w:trHeight w:val="516"/>
        </w:trPr>
        <w:tc>
          <w:tcPr>
            <w:tcW w:w="0" w:type="auto"/>
            <w:vMerge/>
            <w:tcBorders>
              <w:top w:val="nil"/>
              <w:left w:val="single" w:sz="4" w:space="0" w:color="000000"/>
              <w:bottom w:val="nil"/>
              <w:right w:val="single" w:sz="4" w:space="0" w:color="000000"/>
            </w:tcBorders>
          </w:tcPr>
          <w:p w14:paraId="0AD56B7D"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388963B1"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09C24982" w14:textId="77777777" w:rsidR="009F5F6A" w:rsidRDefault="00962A10">
            <w:pPr>
              <w:widowControl w:val="0"/>
              <w:rPr>
                <w:snapToGrid/>
                <w:szCs w:val="22"/>
                <w:lang w:val="hu-HU" w:eastAsia="en-GB"/>
              </w:rPr>
            </w:pPr>
            <w:r>
              <w:rPr>
                <w:snapToGrid/>
                <w:szCs w:val="22"/>
                <w:lang w:val="hu-HU" w:eastAsia="en-GB"/>
              </w:rPr>
              <w:t>Bőrkiütés, bőrszárazság, ekcéma, viszkető bőrkiütés, erythema, hyperhidrosis, generalizált pruritus, alopecia</w:t>
            </w:r>
          </w:p>
        </w:tc>
      </w:tr>
      <w:tr w:rsidR="009F5F6A" w14:paraId="724FEA40" w14:textId="77777777">
        <w:trPr>
          <w:trHeight w:val="516"/>
        </w:trPr>
        <w:tc>
          <w:tcPr>
            <w:tcW w:w="0" w:type="auto"/>
            <w:vMerge/>
            <w:tcBorders>
              <w:top w:val="nil"/>
              <w:left w:val="single" w:sz="4" w:space="0" w:color="000000"/>
              <w:bottom w:val="single" w:sz="4" w:space="0" w:color="000000"/>
              <w:right w:val="single" w:sz="4" w:space="0" w:color="000000"/>
            </w:tcBorders>
          </w:tcPr>
          <w:p w14:paraId="4B8D440A"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05780A7B"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6936B1CD" w14:textId="77777777" w:rsidR="009F5F6A" w:rsidRDefault="00962A10">
            <w:pPr>
              <w:widowControl w:val="0"/>
              <w:rPr>
                <w:snapToGrid/>
                <w:szCs w:val="22"/>
                <w:lang w:val="hu-HU" w:eastAsia="en-GB"/>
              </w:rPr>
            </w:pPr>
            <w:r>
              <w:rPr>
                <w:snapToGrid/>
                <w:szCs w:val="22"/>
                <w:lang w:val="hu-HU" w:eastAsia="en-GB"/>
              </w:rPr>
              <w:t>Bőrelváltozás, bőrelszíneződés, bőr hyperpigmentatio, éjszakai izzadás</w:t>
            </w:r>
          </w:p>
        </w:tc>
      </w:tr>
      <w:tr w:rsidR="009F5F6A" w14:paraId="702082C0"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7EDA7ED9"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csont- és izomrendszer, valamint a kötőszövet betegségei és tünetei</w:t>
            </w:r>
          </w:p>
        </w:tc>
        <w:tc>
          <w:tcPr>
            <w:tcW w:w="1276" w:type="dxa"/>
            <w:tcBorders>
              <w:top w:val="single" w:sz="4" w:space="0" w:color="000000"/>
              <w:left w:val="single" w:sz="4" w:space="0" w:color="000000"/>
              <w:bottom w:val="single" w:sz="4" w:space="0" w:color="000000"/>
              <w:right w:val="single" w:sz="4" w:space="0" w:color="000000"/>
            </w:tcBorders>
          </w:tcPr>
          <w:p w14:paraId="1F4156BA" w14:textId="77777777" w:rsidR="009F5F6A" w:rsidRDefault="00962A10">
            <w:pPr>
              <w:widowControl w:val="0"/>
              <w:rPr>
                <w:szCs w:val="22"/>
                <w:lang w:eastAsia="en-US"/>
              </w:rPr>
            </w:pPr>
            <w:r>
              <w:rPr>
                <w:snapToGrid/>
                <w:szCs w:val="22"/>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28A8D5D8" w14:textId="77777777" w:rsidR="009F5F6A" w:rsidRDefault="00962A10">
            <w:pPr>
              <w:widowControl w:val="0"/>
              <w:rPr>
                <w:szCs w:val="22"/>
                <w:lang w:eastAsia="en-US"/>
              </w:rPr>
            </w:pPr>
            <w:r>
              <w:rPr>
                <w:szCs w:val="22"/>
                <w:lang w:eastAsia="en-US"/>
              </w:rPr>
              <w:t>Myalgia</w:t>
            </w:r>
          </w:p>
        </w:tc>
      </w:tr>
      <w:tr w:rsidR="009F5F6A" w14:paraId="25297105" w14:textId="77777777">
        <w:trPr>
          <w:trHeight w:val="516"/>
        </w:trPr>
        <w:tc>
          <w:tcPr>
            <w:tcW w:w="0" w:type="auto"/>
            <w:vMerge/>
            <w:tcBorders>
              <w:top w:val="nil"/>
              <w:left w:val="single" w:sz="4" w:space="0" w:color="000000"/>
              <w:bottom w:val="single" w:sz="4" w:space="0" w:color="000000"/>
              <w:right w:val="single" w:sz="4" w:space="0" w:color="000000"/>
            </w:tcBorders>
          </w:tcPr>
          <w:p w14:paraId="2A45044D"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34C2BDE3"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2DFB84FC"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Arthralgia, izomgörcs, hátfájás, végtagfájdalom, musculoskeletalis fájdalom, csontfájdalom</w:t>
            </w:r>
          </w:p>
        </w:tc>
      </w:tr>
      <w:tr w:rsidR="009F5F6A" w14:paraId="2737661E" w14:textId="77777777">
        <w:trPr>
          <w:trHeight w:val="516"/>
        </w:trPr>
        <w:tc>
          <w:tcPr>
            <w:tcW w:w="2944" w:type="dxa"/>
            <w:tcBorders>
              <w:top w:val="single" w:sz="4" w:space="0" w:color="000000"/>
              <w:left w:val="single" w:sz="4" w:space="0" w:color="000000"/>
              <w:bottom w:val="single" w:sz="4" w:space="0" w:color="000000"/>
              <w:right w:val="single" w:sz="4" w:space="0" w:color="000000"/>
            </w:tcBorders>
          </w:tcPr>
          <w:p w14:paraId="41E18C81"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Vese- és húgyúti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04D819D7"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716412F0" w14:textId="77777777" w:rsidR="009F5F6A" w:rsidRDefault="00962A10">
            <w:pPr>
              <w:widowControl w:val="0"/>
              <w:rPr>
                <w:szCs w:val="22"/>
                <w:lang w:eastAsia="en-US"/>
              </w:rPr>
            </w:pPr>
            <w:r>
              <w:rPr>
                <w:snapToGrid/>
                <w:szCs w:val="22"/>
                <w:lang w:val="hu-HU" w:eastAsia="en-GB"/>
              </w:rPr>
              <w:t xml:space="preserve">Thromboticus microangiopathia akut </w:t>
            </w:r>
            <w:proofErr w:type="gramStart"/>
            <w:r>
              <w:rPr>
                <w:snapToGrid/>
                <w:szCs w:val="22"/>
                <w:lang w:val="hu-HU" w:eastAsia="en-GB"/>
              </w:rPr>
              <w:t>veseelégtelenséggel</w:t>
            </w:r>
            <w:r>
              <w:rPr>
                <w:szCs w:val="22"/>
                <w:vertAlign w:val="superscript"/>
                <w:lang w:eastAsia="en-US"/>
              </w:rPr>
              <w:t>†</w:t>
            </w:r>
            <w:proofErr w:type="gramEnd"/>
            <w:r>
              <w:rPr>
                <w:szCs w:val="22"/>
                <w:lang w:eastAsia="en-US"/>
              </w:rPr>
              <w:t>, dysuria</w:t>
            </w:r>
            <w:r>
              <w:rPr>
                <w:szCs w:val="22"/>
                <w:vertAlign w:val="superscript"/>
                <w:lang w:eastAsia="en-US"/>
              </w:rPr>
              <w:t xml:space="preserve"> </w:t>
            </w:r>
          </w:p>
        </w:tc>
      </w:tr>
      <w:tr w:rsidR="009F5F6A" w14:paraId="4ECE433A"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13555A2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Általános tünetek, az alkalmazás helyén fellépő reakciók</w:t>
            </w:r>
          </w:p>
        </w:tc>
        <w:tc>
          <w:tcPr>
            <w:tcW w:w="1276" w:type="dxa"/>
            <w:tcBorders>
              <w:top w:val="single" w:sz="4" w:space="0" w:color="000000"/>
              <w:left w:val="single" w:sz="4" w:space="0" w:color="000000"/>
              <w:bottom w:val="single" w:sz="4" w:space="0" w:color="000000"/>
              <w:right w:val="single" w:sz="4" w:space="0" w:color="000000"/>
            </w:tcBorders>
          </w:tcPr>
          <w:p w14:paraId="4C70480F" w14:textId="77777777" w:rsidR="009F5F6A" w:rsidRDefault="00962A10">
            <w:pPr>
              <w:widowControl w:val="0"/>
              <w:rPr>
                <w:szCs w:val="22"/>
                <w:lang w:eastAsia="en-US"/>
              </w:rPr>
            </w:pPr>
            <w:r>
              <w:rPr>
                <w:snapToGrid/>
                <w:szCs w:val="22"/>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0A8942A4" w14:textId="77777777" w:rsidR="009F5F6A" w:rsidRDefault="00962A10">
            <w:pPr>
              <w:widowControl w:val="0"/>
              <w:rPr>
                <w:snapToGrid/>
                <w:szCs w:val="22"/>
                <w:lang w:val="hu-HU" w:eastAsia="en-GB"/>
              </w:rPr>
            </w:pPr>
            <w:r>
              <w:rPr>
                <w:snapToGrid/>
                <w:szCs w:val="22"/>
                <w:lang w:val="hu-HU" w:eastAsia="en-GB"/>
              </w:rPr>
              <w:t>Láz, fáradtság, influenzaszerű megbetegedés, asthenia, hidegrázás</w:t>
            </w:r>
          </w:p>
        </w:tc>
      </w:tr>
      <w:tr w:rsidR="009F5F6A" w14:paraId="2BDC72D4" w14:textId="77777777">
        <w:trPr>
          <w:trHeight w:val="516"/>
        </w:trPr>
        <w:tc>
          <w:tcPr>
            <w:tcW w:w="0" w:type="auto"/>
            <w:vMerge/>
            <w:tcBorders>
              <w:top w:val="nil"/>
              <w:left w:val="single" w:sz="4" w:space="0" w:color="000000"/>
              <w:bottom w:val="nil"/>
              <w:right w:val="single" w:sz="4" w:space="0" w:color="000000"/>
            </w:tcBorders>
          </w:tcPr>
          <w:p w14:paraId="59F5E402"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4938F5B2"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293686C1" w14:textId="77777777" w:rsidR="009F5F6A" w:rsidRDefault="00962A10">
            <w:pPr>
              <w:widowControl w:val="0"/>
              <w:rPr>
                <w:snapToGrid/>
                <w:szCs w:val="22"/>
                <w:lang w:val="hu-HU" w:eastAsia="en-GB"/>
              </w:rPr>
            </w:pPr>
            <w:r>
              <w:rPr>
                <w:snapToGrid/>
                <w:szCs w:val="22"/>
                <w:lang w:val="hu-HU" w:eastAsia="en-GB"/>
              </w:rPr>
              <w:t>Ingerlékenység, fájdalom, rossz közérzet, az injekció beadási helyén fellépő reakció, nem szíveredetű mellkasi fájdalom, oedema, perifériás oedema</w:t>
            </w:r>
          </w:p>
        </w:tc>
      </w:tr>
      <w:tr w:rsidR="009F5F6A" w14:paraId="1709865E" w14:textId="77777777">
        <w:trPr>
          <w:trHeight w:val="516"/>
        </w:trPr>
        <w:tc>
          <w:tcPr>
            <w:tcW w:w="0" w:type="auto"/>
            <w:vMerge/>
            <w:tcBorders>
              <w:top w:val="nil"/>
              <w:left w:val="single" w:sz="4" w:space="0" w:color="000000"/>
              <w:bottom w:val="single" w:sz="4" w:space="0" w:color="000000"/>
              <w:right w:val="single" w:sz="4" w:space="0" w:color="000000"/>
            </w:tcBorders>
          </w:tcPr>
          <w:p w14:paraId="432E0B41"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58728717"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3CB56C53" w14:textId="77777777" w:rsidR="009F5F6A" w:rsidRDefault="00962A10">
            <w:pPr>
              <w:widowControl w:val="0"/>
              <w:rPr>
                <w:snapToGrid/>
                <w:szCs w:val="22"/>
                <w:lang w:val="hu-HU" w:eastAsia="en-GB"/>
              </w:rPr>
            </w:pPr>
            <w:r>
              <w:rPr>
                <w:snapToGrid/>
                <w:szCs w:val="22"/>
                <w:lang w:val="hu-HU" w:eastAsia="en-GB"/>
              </w:rPr>
              <w:t>Az injekció beadási helyén fellépő pruritus és kiütések, mellkasi diszkomfortérzés</w:t>
            </w:r>
          </w:p>
        </w:tc>
      </w:tr>
      <w:tr w:rsidR="009F5F6A" w14:paraId="73E819E8" w14:textId="77777777">
        <w:trPr>
          <w:trHeight w:val="1528"/>
        </w:trPr>
        <w:tc>
          <w:tcPr>
            <w:tcW w:w="2944" w:type="dxa"/>
            <w:vMerge w:val="restart"/>
            <w:tcBorders>
              <w:top w:val="single" w:sz="4" w:space="0" w:color="000000"/>
              <w:left w:val="single" w:sz="4" w:space="0" w:color="000000"/>
              <w:bottom w:val="single" w:sz="4" w:space="0" w:color="000000"/>
              <w:right w:val="single" w:sz="4" w:space="0" w:color="000000"/>
            </w:tcBorders>
          </w:tcPr>
          <w:p w14:paraId="6374924C"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Laboratóriumi és egyéb vizsgálatok eredményei</w:t>
            </w:r>
          </w:p>
        </w:tc>
        <w:tc>
          <w:tcPr>
            <w:tcW w:w="1276" w:type="dxa"/>
            <w:tcBorders>
              <w:top w:val="single" w:sz="4" w:space="0" w:color="000000"/>
              <w:left w:val="single" w:sz="4" w:space="0" w:color="000000"/>
              <w:bottom w:val="single" w:sz="4" w:space="0" w:color="000000"/>
              <w:right w:val="single" w:sz="4" w:space="0" w:color="000000"/>
            </w:tcBorders>
          </w:tcPr>
          <w:p w14:paraId="0A1D58C3"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22E2DA94" w14:textId="77777777" w:rsidR="009F5F6A" w:rsidRDefault="00962A10">
            <w:pPr>
              <w:widowControl w:val="0"/>
              <w:rPr>
                <w:snapToGrid/>
                <w:szCs w:val="22"/>
                <w:lang w:val="hu-HU" w:eastAsia="en-GB"/>
              </w:rPr>
            </w:pPr>
            <w:r>
              <w:rPr>
                <w:snapToGrid/>
                <w:szCs w:val="22"/>
                <w:lang w:val="hu-HU" w:eastAsia="en-GB"/>
              </w:rPr>
              <w:t>Emelkedett bilirubinszint a vérben, testtömegcsökkenés, csökkent fehérvérsejtszám, csökkent hemoglobinszint, csökkent neutrofilszám, megnyúlt INR („international normalised ratio”), megnyúlt aktivált parciális thromboplastinidő, vércukorszint emelkedés, csökkent albuminszint a vérben</w:t>
            </w:r>
          </w:p>
        </w:tc>
      </w:tr>
      <w:tr w:rsidR="009F5F6A" w14:paraId="337B400C" w14:textId="77777777">
        <w:trPr>
          <w:trHeight w:val="263"/>
        </w:trPr>
        <w:tc>
          <w:tcPr>
            <w:tcW w:w="0" w:type="auto"/>
            <w:vMerge/>
            <w:tcBorders>
              <w:top w:val="nil"/>
              <w:left w:val="single" w:sz="4" w:space="0" w:color="000000"/>
              <w:bottom w:val="single" w:sz="4" w:space="0" w:color="000000"/>
              <w:right w:val="single" w:sz="4" w:space="0" w:color="000000"/>
            </w:tcBorders>
          </w:tcPr>
          <w:p w14:paraId="2A36D7B0"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14FD3EE7"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5262CDBA" w14:textId="77777777" w:rsidR="009F5F6A" w:rsidRDefault="00962A10">
            <w:pPr>
              <w:widowControl w:val="0"/>
              <w:rPr>
                <w:szCs w:val="22"/>
                <w:lang w:eastAsia="en-US"/>
              </w:rPr>
            </w:pPr>
            <w:r>
              <w:rPr>
                <w:snapToGrid/>
                <w:szCs w:val="22"/>
                <w:lang w:val="hu-HU" w:eastAsia="en-GB"/>
              </w:rPr>
              <w:t>QT-megnyúlás az elektrokardiogramon</w:t>
            </w:r>
          </w:p>
        </w:tc>
      </w:tr>
    </w:tbl>
    <w:p w14:paraId="1A54E048" w14:textId="77777777" w:rsidR="009F5F6A" w:rsidRDefault="00962A10">
      <w:pPr>
        <w:tabs>
          <w:tab w:val="clear" w:pos="567"/>
        </w:tabs>
        <w:autoSpaceDE w:val="0"/>
        <w:autoSpaceDN w:val="0"/>
        <w:adjustRightInd w:val="0"/>
        <w:spacing w:line="240" w:lineRule="auto"/>
        <w:ind w:left="567" w:hanging="567"/>
        <w:rPr>
          <w:rFonts w:eastAsia="TimesNewRomanPSMT"/>
          <w:snapToGrid/>
          <w:szCs w:val="22"/>
          <w:lang w:val="hu-HU" w:eastAsia="en-GB"/>
        </w:rPr>
      </w:pPr>
      <w:r>
        <w:rPr>
          <w:rFonts w:ascii="TimesNewRomanPSMT" w:hAnsi="TimesNewRomanPSMT" w:cs="TimesNewRomanPSMT"/>
          <w:snapToGrid/>
          <w:sz w:val="14"/>
          <w:szCs w:val="14"/>
          <w:lang w:val="hu-HU" w:eastAsia="en-GB"/>
        </w:rPr>
        <w:t>†</w:t>
      </w:r>
      <w:r>
        <w:rPr>
          <w:rFonts w:ascii="TimesNewRomanPSMT" w:hAnsi="TimesNewRomanPSMT" w:cs="TimesNewRomanPSMT"/>
          <w:snapToGrid/>
          <w:sz w:val="14"/>
          <w:szCs w:val="14"/>
          <w:lang w:val="hu-HU" w:eastAsia="en-GB"/>
        </w:rPr>
        <w:tab/>
      </w:r>
      <w:r>
        <w:rPr>
          <w:snapToGrid/>
          <w:szCs w:val="22"/>
          <w:lang w:val="hu-HU" w:eastAsia="en-GB"/>
        </w:rPr>
        <w:t>Csoportosított kifejezés az oliguria, veseelégtelenség és vesekárosodás preferált kifejezések alapján.</w:t>
      </w:r>
    </w:p>
    <w:p w14:paraId="452CEE6A"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67C3448D"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b/>
          <w:bCs/>
          <w:snapToGrid/>
          <w:szCs w:val="22"/>
          <w:lang w:val="hu-HU" w:eastAsia="en-GB"/>
        </w:rPr>
        <w:t>SAA vizsgálati populáció</w:t>
      </w:r>
    </w:p>
    <w:p w14:paraId="4929D294"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tbl>
      <w:tblPr>
        <w:tblW w:w="9210" w:type="dxa"/>
        <w:tblInd w:w="5" w:type="dxa"/>
        <w:tblCellMar>
          <w:top w:w="13" w:type="dxa"/>
          <w:left w:w="107" w:type="dxa"/>
          <w:right w:w="90" w:type="dxa"/>
        </w:tblCellMar>
        <w:tblLook w:val="04A0" w:firstRow="1" w:lastRow="0" w:firstColumn="1" w:lastColumn="0" w:noHBand="0" w:noVBand="1"/>
      </w:tblPr>
      <w:tblGrid>
        <w:gridCol w:w="2944"/>
        <w:gridCol w:w="1309"/>
        <w:gridCol w:w="4957"/>
      </w:tblGrid>
      <w:tr w:rsidR="009F5F6A" w14:paraId="509A6FAA" w14:textId="77777777">
        <w:trPr>
          <w:trHeight w:val="263"/>
        </w:trPr>
        <w:tc>
          <w:tcPr>
            <w:tcW w:w="2944" w:type="dxa"/>
            <w:tcBorders>
              <w:top w:val="single" w:sz="4" w:space="0" w:color="000000"/>
              <w:left w:val="single" w:sz="4" w:space="0" w:color="000000"/>
              <w:bottom w:val="single" w:sz="4" w:space="0" w:color="000000"/>
              <w:right w:val="single" w:sz="4" w:space="0" w:color="000000"/>
            </w:tcBorders>
          </w:tcPr>
          <w:p w14:paraId="64804D2F" w14:textId="77777777" w:rsidR="009F5F6A" w:rsidRDefault="00962A10">
            <w:pPr>
              <w:widowControl w:val="0"/>
              <w:rPr>
                <w:szCs w:val="22"/>
                <w:lang w:eastAsia="en-US"/>
              </w:rPr>
            </w:pPr>
            <w:r>
              <w:rPr>
                <w:b/>
                <w:bCs/>
                <w:snapToGrid/>
                <w:szCs w:val="22"/>
                <w:lang w:val="hu-HU" w:eastAsia="en-GB"/>
              </w:rPr>
              <w:t>Szervrendszerenkénti csoportosítás</w:t>
            </w:r>
          </w:p>
        </w:tc>
        <w:tc>
          <w:tcPr>
            <w:tcW w:w="1309" w:type="dxa"/>
            <w:tcBorders>
              <w:top w:val="single" w:sz="4" w:space="0" w:color="000000"/>
              <w:left w:val="single" w:sz="4" w:space="0" w:color="000000"/>
              <w:bottom w:val="single" w:sz="4" w:space="0" w:color="000000"/>
              <w:right w:val="single" w:sz="4" w:space="0" w:color="000000"/>
            </w:tcBorders>
          </w:tcPr>
          <w:p w14:paraId="291DE09D" w14:textId="77777777" w:rsidR="009F5F6A" w:rsidRDefault="00962A10">
            <w:pPr>
              <w:widowControl w:val="0"/>
              <w:rPr>
                <w:szCs w:val="22"/>
                <w:lang w:eastAsia="en-US"/>
              </w:rPr>
            </w:pPr>
            <w:r>
              <w:rPr>
                <w:b/>
                <w:bCs/>
                <w:snapToGrid/>
                <w:szCs w:val="22"/>
                <w:lang w:val="hu-HU" w:eastAsia="en-GB"/>
              </w:rPr>
              <w:t>Gyakoriság</w:t>
            </w:r>
          </w:p>
        </w:tc>
        <w:tc>
          <w:tcPr>
            <w:tcW w:w="4957" w:type="dxa"/>
            <w:tcBorders>
              <w:top w:val="single" w:sz="4" w:space="0" w:color="000000"/>
              <w:left w:val="single" w:sz="4" w:space="0" w:color="000000"/>
              <w:bottom w:val="single" w:sz="4" w:space="0" w:color="000000"/>
              <w:right w:val="single" w:sz="4" w:space="0" w:color="000000"/>
            </w:tcBorders>
          </w:tcPr>
          <w:p w14:paraId="7A3EA705" w14:textId="77777777" w:rsidR="009F5F6A" w:rsidRDefault="00962A10">
            <w:pPr>
              <w:widowControl w:val="0"/>
              <w:rPr>
                <w:szCs w:val="22"/>
                <w:lang w:eastAsia="en-US"/>
              </w:rPr>
            </w:pPr>
            <w:r>
              <w:rPr>
                <w:b/>
                <w:bCs/>
                <w:snapToGrid/>
                <w:szCs w:val="22"/>
                <w:lang w:val="hu-HU" w:eastAsia="en-GB"/>
              </w:rPr>
              <w:t>Mellékhatás</w:t>
            </w:r>
          </w:p>
        </w:tc>
      </w:tr>
      <w:tr w:rsidR="009F5F6A" w14:paraId="08D529DD" w14:textId="77777777">
        <w:trPr>
          <w:trHeight w:val="516"/>
        </w:trPr>
        <w:tc>
          <w:tcPr>
            <w:tcW w:w="2944" w:type="dxa"/>
            <w:tcBorders>
              <w:top w:val="single" w:sz="4" w:space="0" w:color="000000"/>
              <w:left w:val="single" w:sz="4" w:space="0" w:color="000000"/>
              <w:bottom w:val="single" w:sz="4" w:space="0" w:color="000000"/>
              <w:right w:val="single" w:sz="4" w:space="0" w:color="000000"/>
            </w:tcBorders>
          </w:tcPr>
          <w:p w14:paraId="4FBAA88B" w14:textId="77777777" w:rsidR="009F5F6A" w:rsidRDefault="00962A10">
            <w:pPr>
              <w:widowControl w:val="0"/>
              <w:rPr>
                <w:szCs w:val="22"/>
                <w:lang w:eastAsia="en-US"/>
              </w:rPr>
            </w:pPr>
            <w:r>
              <w:rPr>
                <w:szCs w:val="22"/>
                <w:lang w:eastAsia="en-US"/>
              </w:rPr>
              <w:t>Vérképzőszervi és nyirokrendszeri betegségek és tünetek</w:t>
            </w:r>
          </w:p>
        </w:tc>
        <w:tc>
          <w:tcPr>
            <w:tcW w:w="1309" w:type="dxa"/>
            <w:tcBorders>
              <w:top w:val="single" w:sz="4" w:space="0" w:color="000000"/>
              <w:left w:val="single" w:sz="4" w:space="0" w:color="000000"/>
              <w:bottom w:val="single" w:sz="4" w:space="0" w:color="000000"/>
              <w:right w:val="single" w:sz="4" w:space="0" w:color="000000"/>
            </w:tcBorders>
          </w:tcPr>
          <w:p w14:paraId="46E0C9E4"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38AE1129" w14:textId="77777777" w:rsidR="009F5F6A" w:rsidRDefault="00962A10">
            <w:pPr>
              <w:widowControl w:val="0"/>
              <w:rPr>
                <w:szCs w:val="22"/>
                <w:lang w:eastAsia="en-US"/>
              </w:rPr>
            </w:pPr>
            <w:r>
              <w:rPr>
                <w:szCs w:val="22"/>
                <w:lang w:eastAsia="en-US"/>
              </w:rPr>
              <w:t xml:space="preserve">Neutropenia, </w:t>
            </w:r>
            <w:r>
              <w:rPr>
                <w:snapToGrid/>
                <w:szCs w:val="22"/>
                <w:lang w:val="hu-HU" w:eastAsia="en-GB"/>
              </w:rPr>
              <w:t>lépinfarctus</w:t>
            </w:r>
          </w:p>
        </w:tc>
      </w:tr>
      <w:tr w:rsidR="009F5F6A" w14:paraId="6AC09EF4" w14:textId="77777777">
        <w:trPr>
          <w:trHeight w:val="516"/>
        </w:trPr>
        <w:tc>
          <w:tcPr>
            <w:tcW w:w="2944" w:type="dxa"/>
            <w:tcBorders>
              <w:top w:val="single" w:sz="4" w:space="0" w:color="000000"/>
              <w:left w:val="single" w:sz="4" w:space="0" w:color="000000"/>
              <w:bottom w:val="single" w:sz="4" w:space="0" w:color="000000"/>
              <w:right w:val="single" w:sz="4" w:space="0" w:color="000000"/>
            </w:tcBorders>
          </w:tcPr>
          <w:p w14:paraId="74B3C033"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Anyagcsere és táplálkozási betegségek és tünetek</w:t>
            </w:r>
          </w:p>
        </w:tc>
        <w:tc>
          <w:tcPr>
            <w:tcW w:w="1309" w:type="dxa"/>
            <w:tcBorders>
              <w:top w:val="single" w:sz="4" w:space="0" w:color="000000"/>
              <w:left w:val="single" w:sz="4" w:space="0" w:color="000000"/>
              <w:bottom w:val="single" w:sz="4" w:space="0" w:color="000000"/>
              <w:right w:val="single" w:sz="4" w:space="0" w:color="000000"/>
            </w:tcBorders>
          </w:tcPr>
          <w:p w14:paraId="2EE15838"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16022135"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Vastúlterhelés, étvágycsökkenés, hypoglykaemia, étvágyfokozódás</w:t>
            </w:r>
          </w:p>
        </w:tc>
      </w:tr>
      <w:tr w:rsidR="009F5F6A" w14:paraId="704B74B6" w14:textId="77777777">
        <w:trPr>
          <w:trHeight w:val="264"/>
        </w:trPr>
        <w:tc>
          <w:tcPr>
            <w:tcW w:w="2944" w:type="dxa"/>
            <w:tcBorders>
              <w:top w:val="single" w:sz="4" w:space="0" w:color="000000"/>
              <w:left w:val="single" w:sz="4" w:space="0" w:color="000000"/>
              <w:bottom w:val="single" w:sz="4" w:space="0" w:color="000000"/>
              <w:right w:val="single" w:sz="4" w:space="0" w:color="000000"/>
            </w:tcBorders>
          </w:tcPr>
          <w:p w14:paraId="7A9EF963" w14:textId="77777777" w:rsidR="009F5F6A" w:rsidRDefault="00962A10">
            <w:pPr>
              <w:widowControl w:val="0"/>
              <w:rPr>
                <w:szCs w:val="22"/>
                <w:lang w:eastAsia="en-US"/>
              </w:rPr>
            </w:pPr>
            <w:r>
              <w:rPr>
                <w:snapToGrid/>
                <w:szCs w:val="22"/>
                <w:lang w:val="hu-HU" w:eastAsia="en-GB"/>
              </w:rPr>
              <w:t>Pszichiátriai kórképek</w:t>
            </w:r>
          </w:p>
        </w:tc>
        <w:tc>
          <w:tcPr>
            <w:tcW w:w="1309" w:type="dxa"/>
            <w:tcBorders>
              <w:top w:val="single" w:sz="4" w:space="0" w:color="000000"/>
              <w:left w:val="single" w:sz="4" w:space="0" w:color="000000"/>
              <w:bottom w:val="single" w:sz="4" w:space="0" w:color="000000"/>
              <w:right w:val="single" w:sz="4" w:space="0" w:color="000000"/>
            </w:tcBorders>
          </w:tcPr>
          <w:p w14:paraId="3FD249BE"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0163E4C1" w14:textId="77777777" w:rsidR="009F5F6A" w:rsidRDefault="00962A10">
            <w:pPr>
              <w:widowControl w:val="0"/>
              <w:rPr>
                <w:szCs w:val="22"/>
                <w:lang w:eastAsia="en-US"/>
              </w:rPr>
            </w:pPr>
            <w:r>
              <w:rPr>
                <w:snapToGrid/>
                <w:szCs w:val="22"/>
                <w:lang w:val="hu-HU" w:eastAsia="en-GB"/>
              </w:rPr>
              <w:t>Szorongás, depressio</w:t>
            </w:r>
          </w:p>
        </w:tc>
      </w:tr>
      <w:tr w:rsidR="009F5F6A" w14:paraId="60ED56D2"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19C9579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Idegrendszeri betegségek és</w:t>
            </w:r>
          </w:p>
          <w:p w14:paraId="5C320968" w14:textId="77777777" w:rsidR="009F5F6A" w:rsidRDefault="00962A10">
            <w:pPr>
              <w:widowControl w:val="0"/>
              <w:rPr>
                <w:szCs w:val="22"/>
                <w:lang w:eastAsia="en-US"/>
              </w:rPr>
            </w:pPr>
            <w:r>
              <w:rPr>
                <w:snapToGrid/>
                <w:szCs w:val="22"/>
                <w:lang w:val="hu-HU" w:eastAsia="en-GB"/>
              </w:rPr>
              <w:t>tünetek</w:t>
            </w:r>
          </w:p>
        </w:tc>
        <w:tc>
          <w:tcPr>
            <w:tcW w:w="1309" w:type="dxa"/>
            <w:tcBorders>
              <w:top w:val="single" w:sz="4" w:space="0" w:color="000000"/>
              <w:left w:val="single" w:sz="4" w:space="0" w:color="000000"/>
              <w:bottom w:val="single" w:sz="4" w:space="0" w:color="000000"/>
              <w:right w:val="single" w:sz="4" w:space="0" w:color="000000"/>
            </w:tcBorders>
          </w:tcPr>
          <w:p w14:paraId="069FB48D" w14:textId="77777777" w:rsidR="009F5F6A" w:rsidRDefault="00962A10">
            <w:pPr>
              <w:widowControl w:val="0"/>
              <w:rPr>
                <w:szCs w:val="22"/>
                <w:lang w:eastAsia="en-US"/>
              </w:rPr>
            </w:pPr>
            <w:r>
              <w:rPr>
                <w:snapToGrid/>
                <w:szCs w:val="22"/>
                <w:lang w:val="hu-HU" w:eastAsia="en-GB"/>
              </w:rPr>
              <w:t>Nagyon gyakori</w:t>
            </w:r>
          </w:p>
        </w:tc>
        <w:tc>
          <w:tcPr>
            <w:tcW w:w="4957" w:type="dxa"/>
            <w:tcBorders>
              <w:top w:val="single" w:sz="4" w:space="0" w:color="000000"/>
              <w:left w:val="single" w:sz="4" w:space="0" w:color="000000"/>
              <w:bottom w:val="single" w:sz="4" w:space="0" w:color="000000"/>
              <w:right w:val="single" w:sz="4" w:space="0" w:color="000000"/>
            </w:tcBorders>
          </w:tcPr>
          <w:p w14:paraId="37DE2990" w14:textId="77777777" w:rsidR="009F5F6A" w:rsidRDefault="00962A10">
            <w:pPr>
              <w:widowControl w:val="0"/>
              <w:rPr>
                <w:szCs w:val="22"/>
                <w:lang w:eastAsia="en-US"/>
              </w:rPr>
            </w:pPr>
            <w:r>
              <w:rPr>
                <w:snapToGrid/>
                <w:szCs w:val="22"/>
                <w:lang w:val="hu-HU" w:eastAsia="en-GB"/>
              </w:rPr>
              <w:t>Fejfájás, szédülés</w:t>
            </w:r>
          </w:p>
        </w:tc>
      </w:tr>
      <w:tr w:rsidR="009F5F6A" w14:paraId="23B31B9F" w14:textId="77777777">
        <w:trPr>
          <w:trHeight w:val="263"/>
        </w:trPr>
        <w:tc>
          <w:tcPr>
            <w:tcW w:w="0" w:type="auto"/>
            <w:vMerge/>
            <w:tcBorders>
              <w:top w:val="nil"/>
              <w:left w:val="single" w:sz="4" w:space="0" w:color="000000"/>
              <w:bottom w:val="single" w:sz="4" w:space="0" w:color="000000"/>
              <w:right w:val="single" w:sz="4" w:space="0" w:color="000000"/>
            </w:tcBorders>
          </w:tcPr>
          <w:p w14:paraId="0C28AA82" w14:textId="77777777" w:rsidR="009F5F6A" w:rsidRDefault="009F5F6A">
            <w:pPr>
              <w:widowControl w:val="0"/>
              <w:rPr>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Pr>
          <w:p w14:paraId="0F21E624"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2286AD4D" w14:textId="77777777" w:rsidR="009F5F6A" w:rsidRDefault="00962A10">
            <w:pPr>
              <w:widowControl w:val="0"/>
              <w:rPr>
                <w:szCs w:val="22"/>
                <w:lang w:eastAsia="en-US"/>
              </w:rPr>
            </w:pPr>
            <w:r>
              <w:rPr>
                <w:snapToGrid/>
                <w:szCs w:val="22"/>
                <w:lang w:val="hu-HU" w:eastAsia="en-GB"/>
              </w:rPr>
              <w:t>Ájulás</w:t>
            </w:r>
          </w:p>
        </w:tc>
      </w:tr>
      <w:tr w:rsidR="009F5F6A" w14:paraId="6CCBF40B" w14:textId="77777777">
        <w:trPr>
          <w:trHeight w:val="516"/>
        </w:trPr>
        <w:tc>
          <w:tcPr>
            <w:tcW w:w="2944" w:type="dxa"/>
            <w:tcBorders>
              <w:top w:val="single" w:sz="4" w:space="0" w:color="000000"/>
              <w:left w:val="single" w:sz="4" w:space="0" w:color="000000"/>
              <w:bottom w:val="single" w:sz="4" w:space="0" w:color="000000"/>
              <w:right w:val="single" w:sz="4" w:space="0" w:color="000000"/>
            </w:tcBorders>
          </w:tcPr>
          <w:p w14:paraId="29376287" w14:textId="77777777" w:rsidR="009F5F6A" w:rsidRDefault="00962A10">
            <w:pPr>
              <w:widowControl w:val="0"/>
              <w:rPr>
                <w:szCs w:val="22"/>
                <w:lang w:eastAsia="en-US"/>
              </w:rPr>
            </w:pPr>
            <w:r>
              <w:rPr>
                <w:snapToGrid/>
                <w:szCs w:val="22"/>
                <w:lang w:val="hu-HU" w:eastAsia="en-GB"/>
              </w:rPr>
              <w:t>Szembetegségek és szemészeti tünetek</w:t>
            </w:r>
          </w:p>
        </w:tc>
        <w:tc>
          <w:tcPr>
            <w:tcW w:w="1309" w:type="dxa"/>
            <w:tcBorders>
              <w:top w:val="single" w:sz="4" w:space="0" w:color="000000"/>
              <w:left w:val="single" w:sz="4" w:space="0" w:color="000000"/>
              <w:bottom w:val="single" w:sz="4" w:space="0" w:color="000000"/>
              <w:right w:val="single" w:sz="4" w:space="0" w:color="000000"/>
            </w:tcBorders>
          </w:tcPr>
          <w:p w14:paraId="4CCB9E9F"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3A9121D6"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Szemszárazság, szürkehályog, a szemfehérje besárgulása, homályos látás, látáskárosodás, üvegtesti homályok</w:t>
            </w:r>
          </w:p>
        </w:tc>
      </w:tr>
      <w:tr w:rsidR="009F5F6A" w14:paraId="36E844B1"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675E3A03" w14:textId="77777777" w:rsidR="009F5F6A" w:rsidRDefault="00962A10">
            <w:pPr>
              <w:widowControl w:val="0"/>
              <w:rPr>
                <w:snapToGrid/>
                <w:szCs w:val="22"/>
                <w:lang w:val="hu-HU" w:eastAsia="en-GB"/>
              </w:rPr>
            </w:pPr>
            <w:r>
              <w:rPr>
                <w:snapToGrid/>
                <w:szCs w:val="22"/>
                <w:lang w:val="hu-HU" w:eastAsia="en-GB"/>
              </w:rPr>
              <w:t>Légzőrendszeri, mellkasi és mediastinalis betegségek és tünetek</w:t>
            </w:r>
          </w:p>
        </w:tc>
        <w:tc>
          <w:tcPr>
            <w:tcW w:w="1309" w:type="dxa"/>
            <w:tcBorders>
              <w:top w:val="single" w:sz="4" w:space="0" w:color="000000"/>
              <w:left w:val="single" w:sz="4" w:space="0" w:color="000000"/>
              <w:bottom w:val="single" w:sz="4" w:space="0" w:color="000000"/>
              <w:right w:val="single" w:sz="4" w:space="0" w:color="000000"/>
            </w:tcBorders>
          </w:tcPr>
          <w:p w14:paraId="24E47436" w14:textId="77777777" w:rsidR="009F5F6A" w:rsidRDefault="00962A10">
            <w:pPr>
              <w:widowControl w:val="0"/>
              <w:rPr>
                <w:szCs w:val="22"/>
                <w:lang w:eastAsia="en-US"/>
              </w:rPr>
            </w:pPr>
            <w:r>
              <w:rPr>
                <w:snapToGrid/>
                <w:szCs w:val="22"/>
                <w:lang w:val="hu-HU" w:eastAsia="en-GB"/>
              </w:rPr>
              <w:t>Nagyon gyakori</w:t>
            </w:r>
          </w:p>
        </w:tc>
        <w:tc>
          <w:tcPr>
            <w:tcW w:w="4957" w:type="dxa"/>
            <w:tcBorders>
              <w:top w:val="single" w:sz="4" w:space="0" w:color="000000"/>
              <w:left w:val="single" w:sz="4" w:space="0" w:color="000000"/>
              <w:bottom w:val="single" w:sz="4" w:space="0" w:color="000000"/>
              <w:right w:val="single" w:sz="4" w:space="0" w:color="000000"/>
            </w:tcBorders>
          </w:tcPr>
          <w:p w14:paraId="6B4AFD67" w14:textId="77777777" w:rsidR="009F5F6A" w:rsidRDefault="00962A10">
            <w:pPr>
              <w:widowControl w:val="0"/>
              <w:rPr>
                <w:szCs w:val="22"/>
                <w:lang w:eastAsia="en-US"/>
              </w:rPr>
            </w:pPr>
            <w:r>
              <w:rPr>
                <w:snapToGrid/>
                <w:szCs w:val="22"/>
                <w:lang w:val="hu-HU" w:eastAsia="en-GB"/>
              </w:rPr>
              <w:t>Köhögés, oropharyngealis fájdalom, rhinorrhoea</w:t>
            </w:r>
          </w:p>
        </w:tc>
      </w:tr>
      <w:tr w:rsidR="009F5F6A" w14:paraId="5B39298E" w14:textId="77777777">
        <w:trPr>
          <w:trHeight w:val="263"/>
        </w:trPr>
        <w:tc>
          <w:tcPr>
            <w:tcW w:w="0" w:type="auto"/>
            <w:vMerge/>
            <w:tcBorders>
              <w:top w:val="nil"/>
              <w:left w:val="single" w:sz="4" w:space="0" w:color="000000"/>
              <w:bottom w:val="single" w:sz="4" w:space="0" w:color="000000"/>
              <w:right w:val="single" w:sz="4" w:space="0" w:color="000000"/>
            </w:tcBorders>
          </w:tcPr>
          <w:p w14:paraId="079FFFEA" w14:textId="77777777" w:rsidR="009F5F6A" w:rsidRDefault="009F5F6A">
            <w:pPr>
              <w:widowControl w:val="0"/>
              <w:rPr>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Pr>
          <w:p w14:paraId="20295DAC"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6DFB42A8" w14:textId="77777777" w:rsidR="009F5F6A" w:rsidRDefault="00962A10">
            <w:pPr>
              <w:widowControl w:val="0"/>
              <w:rPr>
                <w:szCs w:val="22"/>
                <w:lang w:eastAsia="en-US"/>
              </w:rPr>
            </w:pPr>
            <w:r>
              <w:rPr>
                <w:snapToGrid/>
                <w:szCs w:val="22"/>
                <w:lang w:val="hu-HU" w:eastAsia="en-GB"/>
              </w:rPr>
              <w:t>Orrvérzés</w:t>
            </w:r>
          </w:p>
        </w:tc>
      </w:tr>
      <w:tr w:rsidR="009F5F6A" w14:paraId="12592F9B"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3AFC169C" w14:textId="77777777" w:rsidR="009F5F6A" w:rsidRDefault="00962A10">
            <w:pPr>
              <w:widowControl w:val="0"/>
              <w:rPr>
                <w:snapToGrid/>
                <w:szCs w:val="22"/>
                <w:lang w:val="hu-HU" w:eastAsia="en-GB"/>
              </w:rPr>
            </w:pPr>
            <w:r>
              <w:rPr>
                <w:snapToGrid/>
                <w:szCs w:val="22"/>
                <w:lang w:val="hu-HU" w:eastAsia="en-GB"/>
              </w:rPr>
              <w:t>Emésztőrendszeri betegségek és tünetek</w:t>
            </w:r>
          </w:p>
        </w:tc>
        <w:tc>
          <w:tcPr>
            <w:tcW w:w="1309" w:type="dxa"/>
            <w:tcBorders>
              <w:top w:val="single" w:sz="4" w:space="0" w:color="000000"/>
              <w:left w:val="single" w:sz="4" w:space="0" w:color="000000"/>
              <w:bottom w:val="single" w:sz="4" w:space="0" w:color="000000"/>
              <w:right w:val="single" w:sz="4" w:space="0" w:color="000000"/>
            </w:tcBorders>
          </w:tcPr>
          <w:p w14:paraId="73FC3955" w14:textId="77777777" w:rsidR="009F5F6A" w:rsidRDefault="00962A10">
            <w:pPr>
              <w:widowControl w:val="0"/>
              <w:rPr>
                <w:szCs w:val="22"/>
                <w:lang w:eastAsia="en-US"/>
              </w:rPr>
            </w:pPr>
            <w:r>
              <w:rPr>
                <w:snapToGrid/>
                <w:szCs w:val="22"/>
                <w:lang w:val="hu-HU" w:eastAsia="en-GB"/>
              </w:rPr>
              <w:t>Nagyon gyakori</w:t>
            </w:r>
          </w:p>
        </w:tc>
        <w:tc>
          <w:tcPr>
            <w:tcW w:w="4957" w:type="dxa"/>
            <w:tcBorders>
              <w:top w:val="single" w:sz="4" w:space="0" w:color="000000"/>
              <w:left w:val="single" w:sz="4" w:space="0" w:color="000000"/>
              <w:bottom w:val="single" w:sz="4" w:space="0" w:color="000000"/>
              <w:right w:val="single" w:sz="4" w:space="0" w:color="000000"/>
            </w:tcBorders>
          </w:tcPr>
          <w:p w14:paraId="2E3069D7" w14:textId="77777777" w:rsidR="009F5F6A" w:rsidRDefault="00962A10">
            <w:pPr>
              <w:widowControl w:val="0"/>
              <w:rPr>
                <w:snapToGrid/>
                <w:szCs w:val="22"/>
                <w:lang w:val="hu-HU" w:eastAsia="en-GB"/>
              </w:rPr>
            </w:pPr>
            <w:r>
              <w:rPr>
                <w:snapToGrid/>
                <w:szCs w:val="22"/>
                <w:lang w:val="hu-HU" w:eastAsia="en-GB"/>
              </w:rPr>
              <w:t>Hasmenés, hányinger, ínyvérzés, hasi fájdalom</w:t>
            </w:r>
          </w:p>
        </w:tc>
      </w:tr>
      <w:tr w:rsidR="009F5F6A" w14:paraId="7DF32D1B" w14:textId="77777777">
        <w:trPr>
          <w:trHeight w:val="1023"/>
        </w:trPr>
        <w:tc>
          <w:tcPr>
            <w:tcW w:w="0" w:type="auto"/>
            <w:vMerge/>
            <w:tcBorders>
              <w:top w:val="nil"/>
              <w:left w:val="single" w:sz="4" w:space="0" w:color="000000"/>
              <w:bottom w:val="single" w:sz="4" w:space="0" w:color="000000"/>
              <w:right w:val="single" w:sz="4" w:space="0" w:color="000000"/>
            </w:tcBorders>
          </w:tcPr>
          <w:p w14:paraId="02840044" w14:textId="77777777" w:rsidR="009F5F6A" w:rsidRDefault="009F5F6A">
            <w:pPr>
              <w:widowControl w:val="0"/>
              <w:rPr>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Pr>
          <w:p w14:paraId="1D0AD199"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4317AA75" w14:textId="77777777" w:rsidR="009F5F6A" w:rsidRDefault="00962A10">
            <w:pPr>
              <w:widowControl w:val="0"/>
              <w:rPr>
                <w:snapToGrid/>
                <w:szCs w:val="22"/>
                <w:lang w:val="hu-HU" w:eastAsia="en-GB"/>
              </w:rPr>
            </w:pPr>
            <w:r>
              <w:rPr>
                <w:snapToGrid/>
                <w:szCs w:val="22"/>
                <w:lang w:val="hu-HU" w:eastAsia="en-GB"/>
              </w:rPr>
              <w:t>Szájnyálkahártya felhólyagosodás, szájüregi fájdalom, hányás, hasi diszkomfort, székrekedés, hasi distensio, dysphagia, elszíneződött széklet, a nyelv duzzanata, gastrointestinalis motilitási zavar, flatulencia</w:t>
            </w:r>
          </w:p>
        </w:tc>
      </w:tr>
      <w:tr w:rsidR="009F5F6A" w14:paraId="34401A8D"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75166682"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Máj- és epebetegségek, illetve tünetek</w:t>
            </w:r>
          </w:p>
        </w:tc>
        <w:tc>
          <w:tcPr>
            <w:tcW w:w="1309" w:type="dxa"/>
            <w:tcBorders>
              <w:top w:val="single" w:sz="4" w:space="0" w:color="000000"/>
              <w:left w:val="single" w:sz="4" w:space="0" w:color="000000"/>
              <w:bottom w:val="single" w:sz="4" w:space="0" w:color="000000"/>
              <w:right w:val="single" w:sz="4" w:space="0" w:color="000000"/>
            </w:tcBorders>
          </w:tcPr>
          <w:p w14:paraId="7767733F" w14:textId="77777777" w:rsidR="009F5F6A" w:rsidRDefault="00962A10">
            <w:pPr>
              <w:widowControl w:val="0"/>
              <w:rPr>
                <w:szCs w:val="22"/>
                <w:lang w:eastAsia="en-US"/>
              </w:rPr>
            </w:pPr>
            <w:r>
              <w:rPr>
                <w:snapToGrid/>
                <w:szCs w:val="22"/>
                <w:lang w:val="hu-HU" w:eastAsia="en-GB"/>
              </w:rPr>
              <w:t>Nagyon gyakori</w:t>
            </w:r>
          </w:p>
        </w:tc>
        <w:tc>
          <w:tcPr>
            <w:tcW w:w="4957" w:type="dxa"/>
            <w:tcBorders>
              <w:top w:val="single" w:sz="4" w:space="0" w:color="000000"/>
              <w:left w:val="single" w:sz="4" w:space="0" w:color="000000"/>
              <w:bottom w:val="single" w:sz="4" w:space="0" w:color="000000"/>
              <w:right w:val="single" w:sz="4" w:space="0" w:color="000000"/>
            </w:tcBorders>
          </w:tcPr>
          <w:p w14:paraId="56BD38FD" w14:textId="77777777" w:rsidR="009F5F6A" w:rsidRDefault="00962A10">
            <w:pPr>
              <w:widowControl w:val="0"/>
              <w:rPr>
                <w:szCs w:val="22"/>
                <w:lang w:eastAsia="en-US"/>
              </w:rPr>
            </w:pPr>
            <w:r>
              <w:rPr>
                <w:snapToGrid/>
                <w:szCs w:val="22"/>
                <w:lang w:val="hu-HU" w:eastAsia="en-GB"/>
              </w:rPr>
              <w:t>Emelkedett transzaminázszintek</w:t>
            </w:r>
          </w:p>
        </w:tc>
      </w:tr>
      <w:tr w:rsidR="009F5F6A" w14:paraId="01C7C08C" w14:textId="77777777">
        <w:trPr>
          <w:trHeight w:val="515"/>
        </w:trPr>
        <w:tc>
          <w:tcPr>
            <w:tcW w:w="0" w:type="auto"/>
            <w:vMerge/>
            <w:tcBorders>
              <w:top w:val="nil"/>
              <w:left w:val="single" w:sz="4" w:space="0" w:color="000000"/>
              <w:bottom w:val="nil"/>
              <w:right w:val="single" w:sz="4" w:space="0" w:color="000000"/>
            </w:tcBorders>
          </w:tcPr>
          <w:p w14:paraId="1A47687E" w14:textId="77777777" w:rsidR="009F5F6A" w:rsidRDefault="009F5F6A">
            <w:pPr>
              <w:widowControl w:val="0"/>
              <w:rPr>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Pr>
          <w:p w14:paraId="40807860"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1B96C31C"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Emelkedett bilirubinszint a vérben (hyperbilirubinaemia), sárgaság</w:t>
            </w:r>
          </w:p>
        </w:tc>
      </w:tr>
      <w:tr w:rsidR="009F5F6A" w14:paraId="03DA1642" w14:textId="77777777">
        <w:trPr>
          <w:trHeight w:val="769"/>
        </w:trPr>
        <w:tc>
          <w:tcPr>
            <w:tcW w:w="0" w:type="auto"/>
            <w:vMerge/>
            <w:tcBorders>
              <w:top w:val="nil"/>
              <w:left w:val="single" w:sz="4" w:space="0" w:color="000000"/>
              <w:bottom w:val="single" w:sz="4" w:space="0" w:color="000000"/>
              <w:right w:val="single" w:sz="4" w:space="0" w:color="000000"/>
            </w:tcBorders>
          </w:tcPr>
          <w:p w14:paraId="67327740" w14:textId="77777777" w:rsidR="009F5F6A" w:rsidRDefault="009F5F6A">
            <w:pPr>
              <w:widowControl w:val="0"/>
              <w:rPr>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Pr>
          <w:p w14:paraId="1615BB88" w14:textId="77777777" w:rsidR="009F5F6A" w:rsidRDefault="00962A10">
            <w:pPr>
              <w:widowControl w:val="0"/>
              <w:rPr>
                <w:snapToGrid/>
                <w:szCs w:val="22"/>
                <w:lang w:val="hu-HU" w:eastAsia="en-GB"/>
              </w:rPr>
            </w:pPr>
            <w:r>
              <w:rPr>
                <w:snapToGrid/>
                <w:szCs w:val="22"/>
                <w:lang w:val="hu-HU" w:eastAsia="en-GB"/>
              </w:rPr>
              <w:t>Nem ismert</w:t>
            </w:r>
          </w:p>
        </w:tc>
        <w:tc>
          <w:tcPr>
            <w:tcW w:w="4957" w:type="dxa"/>
            <w:tcBorders>
              <w:top w:val="single" w:sz="4" w:space="0" w:color="000000"/>
              <w:left w:val="single" w:sz="4" w:space="0" w:color="000000"/>
              <w:bottom w:val="single" w:sz="4" w:space="0" w:color="000000"/>
              <w:right w:val="single" w:sz="4" w:space="0" w:color="000000"/>
            </w:tcBorders>
          </w:tcPr>
          <w:p w14:paraId="5AC7FC63" w14:textId="77777777" w:rsidR="009F5F6A" w:rsidRDefault="00962A10">
            <w:pPr>
              <w:widowControl w:val="0"/>
              <w:rPr>
                <w:snapToGrid/>
                <w:szCs w:val="22"/>
                <w:lang w:val="hu-HU" w:eastAsia="en-GB"/>
              </w:rPr>
            </w:pPr>
            <w:r>
              <w:rPr>
                <w:snapToGrid/>
                <w:szCs w:val="22"/>
                <w:lang w:val="hu-HU" w:eastAsia="en-GB"/>
              </w:rPr>
              <w:t>Gyógyszer okozta májkárosodás*</w:t>
            </w:r>
          </w:p>
          <w:p w14:paraId="452A53B5"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*Gyógyszer okozta májkárosodás eseteket ITP-s és HCVbetegeknél jelentettek</w:t>
            </w:r>
          </w:p>
        </w:tc>
      </w:tr>
      <w:tr w:rsidR="009F5F6A" w14:paraId="14D1F9E0"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60948ABC"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bőr és a bőr alatti szövet betegségei és tünetei</w:t>
            </w:r>
          </w:p>
        </w:tc>
        <w:tc>
          <w:tcPr>
            <w:tcW w:w="1309" w:type="dxa"/>
            <w:tcBorders>
              <w:top w:val="single" w:sz="4" w:space="0" w:color="000000"/>
              <w:left w:val="single" w:sz="4" w:space="0" w:color="000000"/>
              <w:bottom w:val="single" w:sz="4" w:space="0" w:color="000000"/>
              <w:right w:val="single" w:sz="4" w:space="0" w:color="000000"/>
            </w:tcBorders>
          </w:tcPr>
          <w:p w14:paraId="3D9B474E"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090B6297" w14:textId="77777777" w:rsidR="009F5F6A" w:rsidRDefault="00962A10">
            <w:pPr>
              <w:widowControl w:val="0"/>
              <w:rPr>
                <w:snapToGrid/>
                <w:szCs w:val="22"/>
                <w:lang w:val="hu-HU" w:eastAsia="en-GB"/>
              </w:rPr>
            </w:pPr>
            <w:r>
              <w:rPr>
                <w:snapToGrid/>
                <w:szCs w:val="22"/>
                <w:lang w:val="hu-HU" w:eastAsia="en-GB"/>
              </w:rPr>
              <w:t>Petechia, bőrkiütés, pruritus, urticaria, bőrlaesio, maculosus bőrkiütés</w:t>
            </w:r>
          </w:p>
        </w:tc>
      </w:tr>
      <w:tr w:rsidR="009F5F6A" w14:paraId="007DA412" w14:textId="77777777">
        <w:trPr>
          <w:trHeight w:val="263"/>
        </w:trPr>
        <w:tc>
          <w:tcPr>
            <w:tcW w:w="0" w:type="auto"/>
            <w:vMerge/>
            <w:tcBorders>
              <w:top w:val="nil"/>
              <w:left w:val="single" w:sz="4" w:space="0" w:color="000000"/>
              <w:bottom w:val="single" w:sz="4" w:space="0" w:color="000000"/>
              <w:right w:val="single" w:sz="4" w:space="0" w:color="000000"/>
            </w:tcBorders>
          </w:tcPr>
          <w:p w14:paraId="566BB0A2" w14:textId="77777777" w:rsidR="009F5F6A" w:rsidRDefault="009F5F6A">
            <w:pPr>
              <w:widowControl w:val="0"/>
              <w:rPr>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Pr>
          <w:p w14:paraId="7C6421C5" w14:textId="77777777" w:rsidR="009F5F6A" w:rsidRDefault="00962A10">
            <w:pPr>
              <w:widowControl w:val="0"/>
              <w:rPr>
                <w:szCs w:val="22"/>
                <w:lang w:eastAsia="en-US"/>
              </w:rPr>
            </w:pPr>
            <w:r>
              <w:rPr>
                <w:snapToGrid/>
                <w:szCs w:val="22"/>
                <w:lang w:val="hu-HU" w:eastAsia="en-GB"/>
              </w:rPr>
              <w:t>Nem ismert</w:t>
            </w:r>
          </w:p>
        </w:tc>
        <w:tc>
          <w:tcPr>
            <w:tcW w:w="4957" w:type="dxa"/>
            <w:tcBorders>
              <w:top w:val="single" w:sz="4" w:space="0" w:color="000000"/>
              <w:left w:val="single" w:sz="4" w:space="0" w:color="000000"/>
              <w:bottom w:val="single" w:sz="4" w:space="0" w:color="000000"/>
              <w:right w:val="single" w:sz="4" w:space="0" w:color="000000"/>
            </w:tcBorders>
          </w:tcPr>
          <w:p w14:paraId="28708A7D" w14:textId="77777777" w:rsidR="009F5F6A" w:rsidRDefault="00962A10">
            <w:pPr>
              <w:widowControl w:val="0"/>
              <w:rPr>
                <w:snapToGrid/>
                <w:szCs w:val="22"/>
                <w:lang w:val="hu-HU" w:eastAsia="en-GB"/>
              </w:rPr>
            </w:pPr>
            <w:r>
              <w:rPr>
                <w:snapToGrid/>
                <w:szCs w:val="22"/>
                <w:lang w:val="hu-HU" w:eastAsia="en-GB"/>
              </w:rPr>
              <w:t>Bőrelszíneződés, bőr hyperpigmentatio</w:t>
            </w:r>
          </w:p>
        </w:tc>
      </w:tr>
      <w:tr w:rsidR="009F5F6A" w14:paraId="0497D772"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6F0C050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csont- és izomrendszer, valamint a kötőszövet betegségei és tünetei</w:t>
            </w:r>
          </w:p>
        </w:tc>
        <w:tc>
          <w:tcPr>
            <w:tcW w:w="1309" w:type="dxa"/>
            <w:tcBorders>
              <w:top w:val="single" w:sz="4" w:space="0" w:color="000000"/>
              <w:left w:val="single" w:sz="4" w:space="0" w:color="000000"/>
              <w:bottom w:val="single" w:sz="4" w:space="0" w:color="000000"/>
              <w:right w:val="single" w:sz="4" w:space="0" w:color="000000"/>
            </w:tcBorders>
          </w:tcPr>
          <w:p w14:paraId="3B29CA1E" w14:textId="77777777" w:rsidR="009F5F6A" w:rsidRDefault="00962A10">
            <w:pPr>
              <w:widowControl w:val="0"/>
              <w:rPr>
                <w:szCs w:val="22"/>
                <w:lang w:eastAsia="en-US"/>
              </w:rPr>
            </w:pPr>
            <w:r>
              <w:rPr>
                <w:snapToGrid/>
                <w:szCs w:val="22"/>
                <w:lang w:val="hu-HU" w:eastAsia="en-GB"/>
              </w:rPr>
              <w:t>Nagyon gyakori</w:t>
            </w:r>
          </w:p>
        </w:tc>
        <w:tc>
          <w:tcPr>
            <w:tcW w:w="4957" w:type="dxa"/>
            <w:tcBorders>
              <w:top w:val="single" w:sz="4" w:space="0" w:color="000000"/>
              <w:left w:val="single" w:sz="4" w:space="0" w:color="000000"/>
              <w:bottom w:val="single" w:sz="4" w:space="0" w:color="000000"/>
              <w:right w:val="single" w:sz="4" w:space="0" w:color="000000"/>
            </w:tcBorders>
          </w:tcPr>
          <w:p w14:paraId="4D3BA78E" w14:textId="77777777" w:rsidR="009F5F6A" w:rsidRDefault="00962A10">
            <w:pPr>
              <w:widowControl w:val="0"/>
              <w:rPr>
                <w:szCs w:val="22"/>
                <w:lang w:eastAsia="en-US"/>
              </w:rPr>
            </w:pPr>
            <w:r>
              <w:rPr>
                <w:snapToGrid/>
                <w:szCs w:val="22"/>
                <w:lang w:val="hu-HU" w:eastAsia="en-GB"/>
              </w:rPr>
              <w:t>Arthralgia, végtagfájdalom, izomgörcsök</w:t>
            </w:r>
          </w:p>
        </w:tc>
      </w:tr>
      <w:tr w:rsidR="009F5F6A" w14:paraId="3DFDBA01" w14:textId="77777777">
        <w:trPr>
          <w:trHeight w:val="263"/>
        </w:trPr>
        <w:tc>
          <w:tcPr>
            <w:tcW w:w="0" w:type="auto"/>
            <w:vMerge/>
            <w:tcBorders>
              <w:top w:val="nil"/>
              <w:left w:val="single" w:sz="4" w:space="0" w:color="000000"/>
              <w:bottom w:val="single" w:sz="4" w:space="0" w:color="000000"/>
              <w:right w:val="single" w:sz="4" w:space="0" w:color="000000"/>
            </w:tcBorders>
          </w:tcPr>
          <w:p w14:paraId="5030D042" w14:textId="77777777" w:rsidR="009F5F6A" w:rsidRDefault="009F5F6A">
            <w:pPr>
              <w:widowControl w:val="0"/>
              <w:rPr>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Pr>
          <w:p w14:paraId="7BB25561"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03826F8A" w14:textId="77777777" w:rsidR="009F5F6A" w:rsidRDefault="00962A10">
            <w:pPr>
              <w:widowControl w:val="0"/>
              <w:rPr>
                <w:szCs w:val="22"/>
                <w:lang w:eastAsia="en-US"/>
              </w:rPr>
            </w:pPr>
            <w:r>
              <w:rPr>
                <w:snapToGrid/>
                <w:szCs w:val="22"/>
                <w:lang w:val="hu-HU" w:eastAsia="en-GB"/>
              </w:rPr>
              <w:t>Hátfájás, myalgia, csontfájdalom</w:t>
            </w:r>
          </w:p>
        </w:tc>
      </w:tr>
      <w:tr w:rsidR="009F5F6A" w14:paraId="2EDC18A0" w14:textId="77777777">
        <w:trPr>
          <w:trHeight w:val="264"/>
        </w:trPr>
        <w:tc>
          <w:tcPr>
            <w:tcW w:w="2944" w:type="dxa"/>
            <w:tcBorders>
              <w:top w:val="single" w:sz="4" w:space="0" w:color="000000"/>
              <w:left w:val="single" w:sz="4" w:space="0" w:color="000000"/>
              <w:bottom w:val="single" w:sz="4" w:space="0" w:color="000000"/>
              <w:right w:val="single" w:sz="4" w:space="0" w:color="000000"/>
            </w:tcBorders>
          </w:tcPr>
          <w:p w14:paraId="49D58D08"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Vese- és húgyúti betegségek és tünetek</w:t>
            </w:r>
          </w:p>
        </w:tc>
        <w:tc>
          <w:tcPr>
            <w:tcW w:w="1309" w:type="dxa"/>
            <w:tcBorders>
              <w:top w:val="single" w:sz="4" w:space="0" w:color="000000"/>
              <w:left w:val="single" w:sz="4" w:space="0" w:color="000000"/>
              <w:bottom w:val="single" w:sz="4" w:space="0" w:color="000000"/>
              <w:right w:val="single" w:sz="4" w:space="0" w:color="000000"/>
            </w:tcBorders>
          </w:tcPr>
          <w:p w14:paraId="20904F7D"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5B46313F" w14:textId="77777777" w:rsidR="009F5F6A" w:rsidRDefault="00962A10">
            <w:pPr>
              <w:widowControl w:val="0"/>
              <w:rPr>
                <w:szCs w:val="22"/>
                <w:lang w:eastAsia="en-US"/>
              </w:rPr>
            </w:pPr>
            <w:r>
              <w:rPr>
                <w:szCs w:val="22"/>
                <w:lang w:eastAsia="en-US"/>
              </w:rPr>
              <w:t>Chromaturia</w:t>
            </w:r>
          </w:p>
        </w:tc>
      </w:tr>
      <w:tr w:rsidR="009F5F6A" w14:paraId="03599BFB"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4CA98AB1"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Általános tünetek, az alkalmazás helyén fellépő reakciók</w:t>
            </w:r>
          </w:p>
        </w:tc>
        <w:tc>
          <w:tcPr>
            <w:tcW w:w="1309" w:type="dxa"/>
            <w:tcBorders>
              <w:top w:val="single" w:sz="4" w:space="0" w:color="000000"/>
              <w:left w:val="single" w:sz="4" w:space="0" w:color="000000"/>
              <w:bottom w:val="single" w:sz="4" w:space="0" w:color="000000"/>
              <w:right w:val="single" w:sz="4" w:space="0" w:color="000000"/>
            </w:tcBorders>
          </w:tcPr>
          <w:p w14:paraId="1F3A769A" w14:textId="77777777" w:rsidR="009F5F6A" w:rsidRDefault="00962A10">
            <w:pPr>
              <w:widowControl w:val="0"/>
              <w:rPr>
                <w:szCs w:val="22"/>
                <w:lang w:eastAsia="en-US"/>
              </w:rPr>
            </w:pPr>
            <w:r>
              <w:rPr>
                <w:snapToGrid/>
                <w:szCs w:val="22"/>
                <w:lang w:val="hu-HU" w:eastAsia="en-GB"/>
              </w:rPr>
              <w:t>Nagyon gyakori</w:t>
            </w:r>
          </w:p>
        </w:tc>
        <w:tc>
          <w:tcPr>
            <w:tcW w:w="4957" w:type="dxa"/>
            <w:tcBorders>
              <w:top w:val="single" w:sz="4" w:space="0" w:color="000000"/>
              <w:left w:val="single" w:sz="4" w:space="0" w:color="000000"/>
              <w:bottom w:val="single" w:sz="4" w:space="0" w:color="000000"/>
              <w:right w:val="single" w:sz="4" w:space="0" w:color="000000"/>
            </w:tcBorders>
          </w:tcPr>
          <w:p w14:paraId="20E4C4AB" w14:textId="77777777" w:rsidR="009F5F6A" w:rsidRDefault="00962A10">
            <w:pPr>
              <w:widowControl w:val="0"/>
              <w:rPr>
                <w:szCs w:val="22"/>
                <w:lang w:eastAsia="en-US"/>
              </w:rPr>
            </w:pPr>
            <w:r>
              <w:rPr>
                <w:snapToGrid/>
                <w:szCs w:val="22"/>
                <w:lang w:val="hu-HU" w:eastAsia="en-GB"/>
              </w:rPr>
              <w:t>Fáradtság, láz, hidegrázás</w:t>
            </w:r>
          </w:p>
        </w:tc>
      </w:tr>
      <w:tr w:rsidR="009F5F6A" w14:paraId="047F65FB" w14:textId="77777777">
        <w:trPr>
          <w:trHeight w:val="263"/>
        </w:trPr>
        <w:tc>
          <w:tcPr>
            <w:tcW w:w="0" w:type="auto"/>
            <w:vMerge/>
            <w:tcBorders>
              <w:top w:val="nil"/>
              <w:left w:val="single" w:sz="4" w:space="0" w:color="000000"/>
              <w:bottom w:val="single" w:sz="4" w:space="0" w:color="000000"/>
              <w:right w:val="single" w:sz="4" w:space="0" w:color="000000"/>
            </w:tcBorders>
          </w:tcPr>
          <w:p w14:paraId="1FC1A714" w14:textId="77777777" w:rsidR="009F5F6A" w:rsidRDefault="009F5F6A">
            <w:pPr>
              <w:widowControl w:val="0"/>
              <w:rPr>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Pr>
          <w:p w14:paraId="63337B43"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490CA0BE" w14:textId="77777777" w:rsidR="009F5F6A" w:rsidRDefault="00962A10">
            <w:pPr>
              <w:widowControl w:val="0"/>
              <w:rPr>
                <w:szCs w:val="22"/>
                <w:lang w:eastAsia="en-US"/>
              </w:rPr>
            </w:pPr>
            <w:r>
              <w:rPr>
                <w:snapToGrid/>
                <w:szCs w:val="22"/>
                <w:lang w:val="hu-HU" w:eastAsia="en-GB"/>
              </w:rPr>
              <w:t>Asthenia, perifériás oedema, általános rossz közérzet</w:t>
            </w:r>
          </w:p>
        </w:tc>
      </w:tr>
      <w:tr w:rsidR="009F5F6A" w14:paraId="21A74CA9" w14:textId="77777777">
        <w:trPr>
          <w:trHeight w:val="263"/>
        </w:trPr>
        <w:tc>
          <w:tcPr>
            <w:tcW w:w="2944" w:type="dxa"/>
            <w:tcBorders>
              <w:top w:val="single" w:sz="4" w:space="0" w:color="000000"/>
              <w:left w:val="single" w:sz="4" w:space="0" w:color="000000"/>
              <w:bottom w:val="single" w:sz="4" w:space="0" w:color="000000"/>
              <w:right w:val="single" w:sz="4" w:space="0" w:color="000000"/>
            </w:tcBorders>
          </w:tcPr>
          <w:p w14:paraId="2677F034"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Laboratóriumi és egyéb vizsgálatok eredményei</w:t>
            </w:r>
          </w:p>
        </w:tc>
        <w:tc>
          <w:tcPr>
            <w:tcW w:w="1309" w:type="dxa"/>
            <w:tcBorders>
              <w:top w:val="single" w:sz="4" w:space="0" w:color="000000"/>
              <w:left w:val="single" w:sz="4" w:space="0" w:color="000000"/>
              <w:bottom w:val="single" w:sz="4" w:space="0" w:color="000000"/>
              <w:right w:val="single" w:sz="4" w:space="0" w:color="000000"/>
            </w:tcBorders>
          </w:tcPr>
          <w:p w14:paraId="6246C033"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4F483F0A" w14:textId="77777777" w:rsidR="009F5F6A" w:rsidRDefault="00962A10">
            <w:pPr>
              <w:widowControl w:val="0"/>
              <w:rPr>
                <w:szCs w:val="22"/>
                <w:lang w:eastAsia="en-US"/>
              </w:rPr>
            </w:pPr>
            <w:r>
              <w:rPr>
                <w:snapToGrid/>
                <w:szCs w:val="22"/>
                <w:lang w:val="hu-HU" w:eastAsia="en-GB"/>
              </w:rPr>
              <w:t>Emelkedett kreatinin-foszfokinázszint a vérben</w:t>
            </w:r>
          </w:p>
        </w:tc>
      </w:tr>
    </w:tbl>
    <w:p w14:paraId="2A34A3B2"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4078B543"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Egyes kiemelt mellékhatások leírása</w:t>
      </w:r>
    </w:p>
    <w:p w14:paraId="71CE9DC2" w14:textId="77777777" w:rsidR="009F5F6A" w:rsidRDefault="009F5F6A">
      <w:pPr>
        <w:tabs>
          <w:tab w:val="clear" w:pos="567"/>
        </w:tabs>
        <w:autoSpaceDE w:val="0"/>
        <w:autoSpaceDN w:val="0"/>
        <w:adjustRightInd w:val="0"/>
        <w:spacing w:line="240" w:lineRule="auto"/>
        <w:rPr>
          <w:i/>
          <w:iCs/>
          <w:snapToGrid/>
          <w:szCs w:val="22"/>
          <w:lang w:val="hu-HU" w:eastAsia="en-GB"/>
        </w:rPr>
      </w:pPr>
    </w:p>
    <w:p w14:paraId="1E871430"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Thromboticus/thromboemboliás események (TEE-k)</w:t>
      </w:r>
    </w:p>
    <w:p w14:paraId="3F1E40E4" w14:textId="77777777" w:rsidR="009F5F6A" w:rsidRDefault="009F5F6A">
      <w:pPr>
        <w:tabs>
          <w:tab w:val="clear" w:pos="567"/>
        </w:tabs>
        <w:autoSpaceDE w:val="0"/>
        <w:autoSpaceDN w:val="0"/>
        <w:adjustRightInd w:val="0"/>
        <w:spacing w:line="240" w:lineRule="auto"/>
        <w:rPr>
          <w:snapToGrid/>
          <w:szCs w:val="22"/>
          <w:lang w:val="hu-HU" w:eastAsia="en-GB"/>
        </w:rPr>
      </w:pPr>
    </w:p>
    <w:p w14:paraId="06AC414D" w14:textId="77777777" w:rsidR="009F5F6A" w:rsidRDefault="00962A10">
      <w:pPr>
        <w:tabs>
          <w:tab w:val="clear" w:pos="567"/>
        </w:tabs>
        <w:autoSpaceDE w:val="0"/>
        <w:autoSpaceDN w:val="0"/>
        <w:adjustRightInd w:val="0"/>
        <w:spacing w:line="240" w:lineRule="auto"/>
        <w:rPr>
          <w:snapToGrid/>
          <w:szCs w:val="22"/>
          <w:lang w:val="hu-HU" w:eastAsia="en-GB"/>
        </w:rPr>
      </w:pPr>
      <w:proofErr w:type="gramStart"/>
      <w:r>
        <w:rPr>
          <w:snapToGrid/>
          <w:szCs w:val="22"/>
          <w:lang w:val="hu-HU" w:eastAsia="en-GB"/>
        </w:rPr>
        <w:t>Három kontrollos és két nem kontrollos klinikai vizsgálatban az eltrombopagot kapó felnőtt ITP-s betegek (n = 446) közül 17 betegnél összesen 19 thromboemboliás esemény fordult elő, amelyek közé tartozott (csökkenő előfordulási sorrendben) a mélyvénás thrombosis (n = 6), a tüdőembolia (n = 6), az akut myocardialis infarctus (n = 2), az agyi infarctus (n = 2), az embolia (n = 1) (lásd 4.4 pont).</w:t>
      </w:r>
      <w:proofErr w:type="gramEnd"/>
    </w:p>
    <w:p w14:paraId="1951CB9E" w14:textId="77777777" w:rsidR="009F5F6A" w:rsidRDefault="009F5F6A">
      <w:pPr>
        <w:tabs>
          <w:tab w:val="clear" w:pos="567"/>
        </w:tabs>
        <w:autoSpaceDE w:val="0"/>
        <w:autoSpaceDN w:val="0"/>
        <w:adjustRightInd w:val="0"/>
        <w:spacing w:line="240" w:lineRule="auto"/>
        <w:rPr>
          <w:snapToGrid/>
          <w:szCs w:val="22"/>
          <w:lang w:val="hu-HU" w:eastAsia="en-GB"/>
        </w:rPr>
      </w:pPr>
    </w:p>
    <w:p w14:paraId="71FD190E"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Egy placebokontrollos vizsgálatban (n = 288, biztonságossági populáció), 2 heti kezelés után az invazív beavatkozás előkészítése során, 143, krónikus májbetegségben szenvedő, eltrombopaggal kezelt felnőtt beteg közül 6-nál (4%) tapasztaltak 7, a portalis rendszert érintő thromboemboliás eseményt. A placebocsoportban a 145 beteg közül 2-nél (1%) tapasztaltak 3 thromboemboliás eseményt. Az eltrombopaggal kezelt 6 beteg közül ötnél alakult ki thromboemboliás esemény</w:t>
      </w:r>
      <w:proofErr w:type="gramStart"/>
      <w:r>
        <w:rPr>
          <w:snapToGrid/>
          <w:szCs w:val="22"/>
          <w:lang w:val="hu-HU" w:eastAsia="en-GB"/>
        </w:rPr>
        <w:t>, &gt;</w:t>
      </w:r>
      <w:proofErr w:type="gramEnd"/>
      <w:r>
        <w:rPr>
          <w:snapToGrid/>
          <w:szCs w:val="22"/>
          <w:lang w:val="hu-HU" w:eastAsia="en-GB"/>
        </w:rPr>
        <w:t> 200 000/mikroliter vérlemezkeszámnál.</w:t>
      </w:r>
    </w:p>
    <w:p w14:paraId="15B711D2" w14:textId="77777777" w:rsidR="009F5F6A" w:rsidRDefault="009F5F6A">
      <w:pPr>
        <w:tabs>
          <w:tab w:val="clear" w:pos="567"/>
        </w:tabs>
        <w:autoSpaceDE w:val="0"/>
        <w:autoSpaceDN w:val="0"/>
        <w:adjustRightInd w:val="0"/>
        <w:spacing w:line="240" w:lineRule="auto"/>
        <w:rPr>
          <w:snapToGrid/>
          <w:szCs w:val="22"/>
          <w:lang w:val="hu-HU" w:eastAsia="en-GB"/>
        </w:rPr>
      </w:pPr>
    </w:p>
    <w:p w14:paraId="2B334FC6"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 200 000/mikroliter vérlemezkeszám kivételével specifikus kockázati tényezőt nem azonosítottak azoknál a betegeknél, akiknél thromboemboliás esemény fordult elő (lásd 4.4 pont).</w:t>
      </w:r>
    </w:p>
    <w:p w14:paraId="6A883864" w14:textId="77777777" w:rsidR="009F5F6A" w:rsidRDefault="009F5F6A">
      <w:pPr>
        <w:tabs>
          <w:tab w:val="clear" w:pos="567"/>
        </w:tabs>
        <w:autoSpaceDE w:val="0"/>
        <w:autoSpaceDN w:val="0"/>
        <w:adjustRightInd w:val="0"/>
        <w:spacing w:line="240" w:lineRule="auto"/>
        <w:rPr>
          <w:snapToGrid/>
          <w:szCs w:val="22"/>
          <w:lang w:val="hu-HU" w:eastAsia="en-GB"/>
        </w:rPr>
      </w:pPr>
    </w:p>
    <w:p w14:paraId="06E84FE4"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 xml:space="preserve">Thrombocytopeniás HCV-betegekkel végzett kontrollos vizsgálatokban (n = 1439), 955, eltrombopaggal kezelt beteg közül 38-nál (4%) fordult elő TEE, és a placebocsoportba tartozó 484 beteg közül 6-nál fordult elő TEE. Mindkét kezelési csoportban a vena portae thrombosis volt a leggyakoribb TEE (2% az eltrombopaggal kezelt csoportban versus &lt; 1% a placebocsoportban) (lásd 4.4 pont). Az alacsony albuminszinttel (≤ 35 g/l) vagy ≥ 10 MELD-pontszámmal rendelkező betegeknél 2-szer nagyobb volt a TEE kockázata a magasabb albuminszinttel rendelkezőkhöz viszonyítva, illetve a 60 éves vagy </w:t>
      </w:r>
      <w:proofErr w:type="gramStart"/>
      <w:r>
        <w:rPr>
          <w:snapToGrid/>
          <w:szCs w:val="22"/>
          <w:lang w:val="hu-HU" w:eastAsia="en-GB"/>
        </w:rPr>
        <w:t>annál</w:t>
      </w:r>
      <w:proofErr w:type="gramEnd"/>
      <w:r>
        <w:rPr>
          <w:snapToGrid/>
          <w:szCs w:val="22"/>
          <w:lang w:val="hu-HU" w:eastAsia="en-GB"/>
        </w:rPr>
        <w:t xml:space="preserve"> idősebbeknél kétszer nagyobb volt a TEE-k kockázata a fiatalabb betegekhez viszonyítva.</w:t>
      </w:r>
    </w:p>
    <w:p w14:paraId="194D7F19"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4D11AE6F"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Hepaticus dekompenzáció (interferonnal történő alkalmazás)</w:t>
      </w:r>
    </w:p>
    <w:p w14:paraId="3A5DB5AF" w14:textId="77777777" w:rsidR="009F5F6A" w:rsidRDefault="009F5F6A">
      <w:pPr>
        <w:tabs>
          <w:tab w:val="clear" w:pos="567"/>
        </w:tabs>
        <w:autoSpaceDE w:val="0"/>
        <w:autoSpaceDN w:val="0"/>
        <w:adjustRightInd w:val="0"/>
        <w:spacing w:line="240" w:lineRule="auto"/>
        <w:rPr>
          <w:snapToGrid/>
          <w:szCs w:val="22"/>
          <w:lang w:val="hu-HU" w:eastAsia="en-GB"/>
        </w:rPr>
      </w:pPr>
    </w:p>
    <w:p w14:paraId="380FE0DA"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A cirrhosisban szenvedő krónikus HCV-betegeknél alfa interferon-kezelés esetén fokozott a hepaticus dekompenzáció kockázata. Két, thrombocytopeniás HCV-betegek bevonásával végzett klinikai vizsgálatban nagyobb gyakorisággal jelentettek hepaticus dekompenzációt (ascites, hepaticus encephalopathia, varix vérzés, spontán bakteriális peritonitis) az eltrombopag karon (11%), mint a placebokaron (6%). Azoknál a betegeknél, akiknél alacsony albuminszint (≤35 g/l) vagy ≥10 kiindulási MELD pontérték állt fenn, 3-szor nagyobb volt a hepaticus dekompenzáció kockázata, és emelkedett a halálos kimenetelű nemkívánt események kockázata a kevésbé előrehaladott májbetegségben szenvedő betegekhez viszonyítva. Ezeknél a betegeknél az eltrombopag csak a várható előnyök és kockázatok körültekintő mérlegelése után alkalmazható. Az ezekkel a jellemzőkkel bíró betegeknél gondosan ellenőrizni kell a hepaticus dekompenzációra utaló jeleket és tüneteket. (lásd 4.4 pont).</w:t>
      </w:r>
    </w:p>
    <w:p w14:paraId="5431E2B6"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18D33FF4" w14:textId="77777777" w:rsidR="009F5F6A" w:rsidRDefault="00962A10">
      <w:pPr>
        <w:keepNext/>
        <w:keepLines/>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Hepatotoxicitás</w:t>
      </w:r>
    </w:p>
    <w:p w14:paraId="7B493354" w14:textId="77777777" w:rsidR="009F5F6A" w:rsidRDefault="009F5F6A">
      <w:pPr>
        <w:keepNext/>
        <w:keepLines/>
        <w:tabs>
          <w:tab w:val="clear" w:pos="567"/>
        </w:tabs>
        <w:autoSpaceDE w:val="0"/>
        <w:autoSpaceDN w:val="0"/>
        <w:adjustRightInd w:val="0"/>
        <w:spacing w:line="240" w:lineRule="auto"/>
        <w:rPr>
          <w:snapToGrid/>
          <w:szCs w:val="22"/>
          <w:lang w:val="hu-HU" w:eastAsia="en-GB"/>
        </w:rPr>
      </w:pPr>
    </w:p>
    <w:p w14:paraId="4243067E" w14:textId="77777777" w:rsidR="009F5F6A" w:rsidRDefault="00962A10">
      <w:pPr>
        <w:keepNext/>
        <w:keepLines/>
        <w:tabs>
          <w:tab w:val="clear" w:pos="567"/>
        </w:tabs>
        <w:autoSpaceDE w:val="0"/>
        <w:autoSpaceDN w:val="0"/>
        <w:adjustRightInd w:val="0"/>
        <w:spacing w:line="240" w:lineRule="auto"/>
        <w:rPr>
          <w:snapToGrid/>
          <w:szCs w:val="22"/>
          <w:lang w:val="hu-HU" w:eastAsia="en-GB"/>
        </w:rPr>
      </w:pPr>
      <w:r>
        <w:rPr>
          <w:snapToGrid/>
          <w:szCs w:val="22"/>
          <w:lang w:val="hu-HU" w:eastAsia="en-GB"/>
        </w:rPr>
        <w:t>A kontrollos, eltrombopaggal végzett krónikus ITP klinikai vizsgálatokban a szérum GPT-, GOT- és bilirubinszintek emelkedését figyelték meg (lásd 4.4 pont).</w:t>
      </w:r>
    </w:p>
    <w:p w14:paraId="205CD5AF" w14:textId="77777777" w:rsidR="009F5F6A" w:rsidRDefault="009F5F6A">
      <w:pPr>
        <w:tabs>
          <w:tab w:val="clear" w:pos="567"/>
        </w:tabs>
        <w:autoSpaceDE w:val="0"/>
        <w:autoSpaceDN w:val="0"/>
        <w:adjustRightInd w:val="0"/>
        <w:spacing w:line="240" w:lineRule="auto"/>
        <w:rPr>
          <w:snapToGrid/>
          <w:szCs w:val="22"/>
          <w:lang w:val="hu-HU" w:eastAsia="en-GB"/>
        </w:rPr>
      </w:pPr>
    </w:p>
    <w:p w14:paraId="247E601C"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 xml:space="preserve">Ezek a jelenségek többnyire enyhék (1-2. fokozat) és reverzibilisek voltak, és nem kísérték őket károsodott májműködésre utaló, klinikailag jelentős tünetek. A 3, krónikus ITP-s felnőttekkel végzett placebokontrollos vizsgálatban 1 betegnek a placebocsoportban, és 1 betegnek az eltrombopag-csoportban volt 4-es fokozatú májfunkciós zavara. A krónikus ITP-s gyermekekkel és serdülőkkel (1-18 éves) végzett két, placebokontrollos vizsgálatban a normálérték felső határának </w:t>
      </w:r>
      <w:r>
        <w:rPr>
          <w:rFonts w:eastAsia="Segoe UI Symbol"/>
          <w:szCs w:val="22"/>
          <w:lang w:val="hu-HU"/>
        </w:rPr>
        <w:t>≥</w:t>
      </w:r>
      <w:r>
        <w:rPr>
          <w:snapToGrid/>
          <w:szCs w:val="22"/>
          <w:lang w:val="hu-HU" w:eastAsia="en-GB"/>
        </w:rPr>
        <w:t>3-szorosát elérő GPT-szintről számoltak be az eltrombopag-csoport 4,7%-ánál, míg a placebocsoportban ez 0% volt.</w:t>
      </w:r>
    </w:p>
    <w:p w14:paraId="1F39DB3B"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099C1DBC" w14:textId="282CC16A"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Két kontrollos, HCV-s betegek bevonásával végzett klinikai vizsgálatban a normálérték felső határának legalább háromszorosát meghaladó GPT- vagy GOT-szintet jelentettek az eltrombopaggal kezelt csoport 34%-ánál, és a placebóval kezelt csoport 38%-ánál. Az eltrombopagot peginterferon/ribavirin kombinációban alkalmazva a betegek többségénél indirekt hyperbilirubinaemia jelentkezik. Összességében, a normálérték felső határának legalább 1,5-szeresét meghaladó összbilirubinszintet jelentettek az eltrombopaggal kezelt csoport 76%-ánál, és a placebóval kezelt csoport 50%-ánál.</w:t>
      </w:r>
    </w:p>
    <w:p w14:paraId="452D6AB9" w14:textId="77777777" w:rsidR="009F5F6A" w:rsidRDefault="009F5F6A">
      <w:pPr>
        <w:tabs>
          <w:tab w:val="clear" w:pos="567"/>
        </w:tabs>
        <w:autoSpaceDE w:val="0"/>
        <w:autoSpaceDN w:val="0"/>
        <w:adjustRightInd w:val="0"/>
        <w:spacing w:line="240" w:lineRule="auto"/>
        <w:rPr>
          <w:snapToGrid/>
          <w:szCs w:val="22"/>
          <w:lang w:val="hu-HU" w:eastAsia="en-GB"/>
        </w:rPr>
      </w:pPr>
    </w:p>
    <w:p w14:paraId="7A64023C"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Az egykaros, II. fázisú monoterápiás, refrakter SAA-vizsgálatban, a normálérték felső határának háromszorosát meghaladó GPT- vagy GOT-szint-növekedésről és a normálérték felső határának másfélszeresét meghaladó össz-(indirekt) bilirubinszint-növekedésről számoltak be a betegek 5%-ánál. A normálérték felső határának másfélszeresét meghaladó összbilirubinszint-növekedés a betegek 14%-ánál fordult elő.</w:t>
      </w:r>
    </w:p>
    <w:p w14:paraId="69B6BF7D"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22DD1CD1"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Thrombocytopenia a kezelés leállítása után</w:t>
      </w:r>
    </w:p>
    <w:p w14:paraId="17A741D0" w14:textId="77777777" w:rsidR="009F5F6A" w:rsidRDefault="009F5F6A">
      <w:pPr>
        <w:tabs>
          <w:tab w:val="clear" w:pos="567"/>
        </w:tabs>
        <w:autoSpaceDE w:val="0"/>
        <w:autoSpaceDN w:val="0"/>
        <w:adjustRightInd w:val="0"/>
        <w:spacing w:line="240" w:lineRule="auto"/>
        <w:rPr>
          <w:snapToGrid/>
          <w:szCs w:val="22"/>
          <w:lang w:val="hu-HU" w:eastAsia="en-GB"/>
        </w:rPr>
      </w:pPr>
    </w:p>
    <w:p w14:paraId="069491C5"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A 3 kontrollos ITP-s vizsgálatban megfigyelték, hogy a kezelés befejezését követően a vérlemezkeszám átmenetileg a kiindulási érték alá csökkent az eltrombopag-csoport 8%-ánál és a placebocsoport 8%-ánál (lásd 4.4 pont).</w:t>
      </w:r>
    </w:p>
    <w:p w14:paraId="0CA8F7CE"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49374704"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Retikulinfelszaporodás a csontvelőben</w:t>
      </w:r>
    </w:p>
    <w:p w14:paraId="68AC5298" w14:textId="77777777" w:rsidR="009F5F6A" w:rsidRDefault="009F5F6A">
      <w:pPr>
        <w:tabs>
          <w:tab w:val="clear" w:pos="567"/>
        </w:tabs>
        <w:autoSpaceDE w:val="0"/>
        <w:autoSpaceDN w:val="0"/>
        <w:adjustRightInd w:val="0"/>
        <w:spacing w:line="240" w:lineRule="auto"/>
        <w:rPr>
          <w:snapToGrid/>
          <w:szCs w:val="22"/>
          <w:lang w:val="hu-HU" w:eastAsia="en-GB"/>
        </w:rPr>
      </w:pPr>
    </w:p>
    <w:p w14:paraId="35E991DF"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 xml:space="preserve">A programban egyetlen betegnél sem találtak klinikailag jelentős csontvelő-rendellenességet vagy a csontvelő rendellenes működésére utaló klinikai jeleket. </w:t>
      </w:r>
      <w:proofErr w:type="gramStart"/>
      <w:r>
        <w:rPr>
          <w:snapToGrid/>
          <w:szCs w:val="22"/>
          <w:lang w:val="hu-HU" w:eastAsia="en-GB"/>
        </w:rPr>
        <w:t>Kis számú</w:t>
      </w:r>
      <w:proofErr w:type="gramEnd"/>
      <w:r>
        <w:rPr>
          <w:snapToGrid/>
          <w:szCs w:val="22"/>
          <w:lang w:val="hu-HU" w:eastAsia="en-GB"/>
        </w:rPr>
        <w:t xml:space="preserve"> ITP-s betegnél az eltrombopag-kezelést a csontvelőben kimutatott retikulin miatt szakították meg (lásd 4.4 pont).</w:t>
      </w:r>
    </w:p>
    <w:p w14:paraId="5C8DED21"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4BCEF204"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Cytogenetikai rendellenességek</w:t>
      </w:r>
    </w:p>
    <w:p w14:paraId="5D2753ED" w14:textId="77777777" w:rsidR="009F5F6A" w:rsidRDefault="009F5F6A">
      <w:pPr>
        <w:tabs>
          <w:tab w:val="clear" w:pos="567"/>
        </w:tabs>
        <w:autoSpaceDE w:val="0"/>
        <w:autoSpaceDN w:val="0"/>
        <w:adjustRightInd w:val="0"/>
        <w:spacing w:line="240" w:lineRule="auto"/>
        <w:rPr>
          <w:snapToGrid/>
          <w:szCs w:val="22"/>
          <w:lang w:val="hu-HU" w:eastAsia="en-GB"/>
        </w:rPr>
      </w:pPr>
    </w:p>
    <w:p w14:paraId="48CB8815"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Az 50 mg/nap eltrombopag kezdő dózissal (amelyet 2 hetente növeltek maximum 150 mg/nap dózisra) végzett II. fázisú, refrakter SAA klinikai vizsgálatban (ELT112523) az új cytogenetikai rendellenességek incidenciája 17,1% volt (7/41 felnőtt beteg, akik közül 4-nél 7-es kromoszómaelváltozás állt fenn). A cytogenetikai rendellenesség kialakulásáig eltelt időtartam medián értéke a vizsgálatban 2,9 hónap volt.</w:t>
      </w:r>
    </w:p>
    <w:p w14:paraId="4330776E" w14:textId="77777777" w:rsidR="009F5F6A" w:rsidRDefault="009F5F6A">
      <w:pPr>
        <w:tabs>
          <w:tab w:val="clear" w:pos="567"/>
        </w:tabs>
        <w:autoSpaceDE w:val="0"/>
        <w:autoSpaceDN w:val="0"/>
        <w:adjustRightInd w:val="0"/>
        <w:spacing w:line="240" w:lineRule="auto"/>
        <w:rPr>
          <w:snapToGrid/>
          <w:szCs w:val="22"/>
          <w:lang w:val="hu-HU" w:eastAsia="en-GB"/>
        </w:rPr>
      </w:pPr>
    </w:p>
    <w:p w14:paraId="35627CB8"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A 150 mg/nap eltrombopag-dózissal (az etnikai hovatartozás és az életkor alapján szükséges módosításokkal) végzett II. fázisú, refrakter SAA klinikai vizsgálatban (ELT116826) az új cytogenetikai rendellenességek incidenciája 22,6% volt (7/31 felnőtt beteg, akik közül 3-nál 7-es kromoszómaelváltozás állt fenn). Mind a 7 betegnél normál cytogenetikai eredmények voltak a vizsgálat megkezdésekor. Hat betegnél fordult elő cytogenetikai rendellenesség az eltrombopagterápia 3. hónapjában, egy betegnél pedig a 6. hónapban.</w:t>
      </w:r>
    </w:p>
    <w:p w14:paraId="1E577CCE"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1D5BBC23" w14:textId="77777777" w:rsidR="009F5F6A" w:rsidRDefault="00962A10">
      <w:pPr>
        <w:keepNext/>
        <w:keepLines/>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Haematológiai malignitások</w:t>
      </w:r>
    </w:p>
    <w:p w14:paraId="634D4143" w14:textId="77777777" w:rsidR="009F5F6A" w:rsidRDefault="009F5F6A">
      <w:pPr>
        <w:keepNext/>
        <w:keepLines/>
        <w:tabs>
          <w:tab w:val="clear" w:pos="567"/>
        </w:tabs>
        <w:autoSpaceDE w:val="0"/>
        <w:autoSpaceDN w:val="0"/>
        <w:adjustRightInd w:val="0"/>
        <w:spacing w:line="240" w:lineRule="auto"/>
        <w:rPr>
          <w:snapToGrid/>
          <w:szCs w:val="22"/>
          <w:lang w:val="hu-HU" w:eastAsia="en-GB"/>
        </w:rPr>
      </w:pPr>
    </w:p>
    <w:p w14:paraId="25CD8A2C" w14:textId="77777777" w:rsidR="009F5F6A" w:rsidRDefault="00962A10">
      <w:pPr>
        <w:keepNext/>
        <w:keepLines/>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Az egykaros, nyílt elrendezésű, SAA-s betegekkel végzett vizsgálatban három (7%) betegnél diagnosztizáltak MDS-t az eltrombopag-kezelés után. A folyamatban lévő két vizsgálatban (ELT116826 és ELT116643) MDS-t vagy AML-t 28 beteg közül 1 (4%), illetve 62 beteg közül 1 (2%) esetében diagnosztizáltak a vizsgálatok megadott sorrendjében.</w:t>
      </w:r>
    </w:p>
    <w:p w14:paraId="593A83DD"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34E192DF" w14:textId="77777777" w:rsidR="009F5F6A" w:rsidRDefault="00962A10">
      <w:pPr>
        <w:spacing w:line="240" w:lineRule="auto"/>
        <w:rPr>
          <w:u w:val="single"/>
          <w:lang w:val="hu-HU"/>
        </w:rPr>
      </w:pPr>
      <w:r>
        <w:rPr>
          <w:u w:val="single"/>
          <w:lang w:val="hu-HU"/>
        </w:rPr>
        <w:t>Feltételezett mellékhatások bejelentése</w:t>
      </w:r>
    </w:p>
    <w:p w14:paraId="4CCC49D5" w14:textId="77777777" w:rsidR="009F5F6A" w:rsidRDefault="00962A10">
      <w:pPr>
        <w:spacing w:line="240" w:lineRule="auto"/>
        <w:rPr>
          <w:lang w:val="hu-HU"/>
        </w:rPr>
      </w:pPr>
      <w:r>
        <w:rPr>
          <w:lang w:val="hu-HU"/>
        </w:rPr>
        <w:t xml:space="preserve">A gyógyszer engedélyezését követően lényeges a feltételezett mellékhatások bejelentése, mert ez fontos eszköze annak, hogy a gyógyszer előny/kockázat profilját folyamatosan figyelemmel lehessen kísérni. </w:t>
      </w:r>
    </w:p>
    <w:p w14:paraId="54393B88" w14:textId="77777777" w:rsidR="009F5F6A" w:rsidRDefault="00962A10">
      <w:pPr>
        <w:spacing w:line="240" w:lineRule="auto"/>
        <w:rPr>
          <w:lang w:val="hu-HU"/>
        </w:rPr>
      </w:pPr>
      <w:r>
        <w:rPr>
          <w:lang w:val="hu-HU"/>
        </w:rPr>
        <w:t xml:space="preserve">Az egészségügyi szakembereket kérjük, hogy jelentsék be a feltételezett mellékhatásokat a hatóság részére az </w:t>
      </w:r>
      <w:hyperlink r:id="rId7" w:history="1">
        <w:r>
          <w:rPr>
            <w:rStyle w:val="Hiperhivatkozs"/>
            <w:highlight w:val="lightGray"/>
            <w:lang w:val="hu-HU"/>
          </w:rPr>
          <w:t>V. füg</w:t>
        </w:r>
        <w:bookmarkStart w:id="0" w:name="_Hlt352075914"/>
        <w:bookmarkStart w:id="1" w:name="_Hlt352075915"/>
        <w:r>
          <w:rPr>
            <w:rStyle w:val="Hiperhivatkozs"/>
            <w:highlight w:val="lightGray"/>
            <w:lang w:val="hu-HU"/>
          </w:rPr>
          <w:t>g</w:t>
        </w:r>
        <w:bookmarkEnd w:id="0"/>
        <w:bookmarkEnd w:id="1"/>
        <w:r>
          <w:rPr>
            <w:rStyle w:val="Hiperhivatkozs"/>
            <w:highlight w:val="lightGray"/>
            <w:lang w:val="hu-HU"/>
          </w:rPr>
          <w:t>elékben</w:t>
        </w:r>
      </w:hyperlink>
      <w:r>
        <w:rPr>
          <w:highlight w:val="lightGray"/>
          <w:lang w:val="hu-HU"/>
        </w:rPr>
        <w:t xml:space="preserve"> található elérhetőségek valamelyikén keresztül</w:t>
      </w:r>
      <w:r>
        <w:rPr>
          <w:lang w:val="hu-HU"/>
        </w:rPr>
        <w:t>.</w:t>
      </w:r>
    </w:p>
    <w:p w14:paraId="32ADB15D" w14:textId="77777777" w:rsidR="009F5F6A" w:rsidRDefault="009F5F6A">
      <w:pPr>
        <w:spacing w:line="240" w:lineRule="auto"/>
        <w:rPr>
          <w:u w:val="single"/>
          <w:lang w:val="hu-HU"/>
        </w:rPr>
      </w:pPr>
    </w:p>
    <w:p w14:paraId="4C7A1846"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4.9</w:t>
      </w:r>
      <w:r>
        <w:rPr>
          <w:rFonts w:eastAsia="Times New Roman"/>
          <w:b/>
          <w:noProof/>
          <w:snapToGrid/>
          <w:szCs w:val="22"/>
          <w:lang w:val="hu-HU" w:eastAsia="en-US"/>
        </w:rPr>
        <w:tab/>
        <w:t>Túladagolás</w:t>
      </w:r>
    </w:p>
    <w:p w14:paraId="030206F5" w14:textId="77777777" w:rsidR="009F5F6A" w:rsidRDefault="009F5F6A">
      <w:pPr>
        <w:spacing w:line="240" w:lineRule="auto"/>
        <w:ind w:left="567" w:hanging="567"/>
        <w:outlineLvl w:val="0"/>
        <w:rPr>
          <w:b/>
          <w:lang w:val="hu-HU"/>
        </w:rPr>
      </w:pPr>
    </w:p>
    <w:p w14:paraId="7FD18A1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Túladagolás esetén a vérlemezkeszám rendkívüli módon megemelkedhet, és ez thromboticus/thromboemboliás szövődményekhez vezethet. Túladagolás esetén mérlegelni kell valamilyen fémkation-tartalmú készítmény, pl. kalcium-, alumínium- vagy magnézium-készítmények oralis adagolását, hogy kelátot képezzen az eltrombopaggal, és így csökkentse a felszívódást. Gondosan monitorozni kell a vérlemezkeszámot. Az eltrombopag-kezelést az adagolási és alkalmazási előírások szerint kell újraindítani (lásd 4.2 pont).</w:t>
      </w:r>
    </w:p>
    <w:p w14:paraId="24AB9131" w14:textId="77777777" w:rsidR="009F5F6A" w:rsidRDefault="009F5F6A">
      <w:pPr>
        <w:tabs>
          <w:tab w:val="clear" w:pos="567"/>
        </w:tabs>
        <w:autoSpaceDE w:val="0"/>
        <w:autoSpaceDN w:val="0"/>
        <w:adjustRightInd w:val="0"/>
        <w:spacing w:line="240" w:lineRule="auto"/>
        <w:rPr>
          <w:snapToGrid/>
          <w:szCs w:val="22"/>
          <w:lang w:val="hu-HU" w:eastAsia="en-GB"/>
        </w:rPr>
      </w:pPr>
    </w:p>
    <w:p w14:paraId="64EDC084"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klinikai vizsgálatokban egy túladagolásról számoltak be, amikor a beteg 5000 mg eltrombopagot nyelt le. A jelentett mellékhatások enyhe kiütés, múló bradycardia, GPT- és GOT-emelkedés és fáradtság voltak. A gyógyszer lenyelése utáni 2–18. napon a májenzimek mért csúcsértéke a normálérték felső határának (ULN) 1,6-szorosa volt az GOT, az ULN 3,9-szerese volt az GPT, és az ULN 2,4-szerese volt az összbilirubin esetében. A vérlemezkeszám 672 000/mikroliter volt a gyógyszer bevétele utáni 18. napon, a legmagasabb vérlemezkeszám 929 000/mikroliter volt. A mellékhatások a kezelés után következmények nélkül megszűntek.</w:t>
      </w:r>
    </w:p>
    <w:p w14:paraId="0FFF7F3E" w14:textId="77777777" w:rsidR="009F5F6A" w:rsidRDefault="009F5F6A">
      <w:pPr>
        <w:tabs>
          <w:tab w:val="clear" w:pos="567"/>
        </w:tabs>
        <w:autoSpaceDE w:val="0"/>
        <w:autoSpaceDN w:val="0"/>
        <w:adjustRightInd w:val="0"/>
        <w:spacing w:line="240" w:lineRule="auto"/>
        <w:rPr>
          <w:snapToGrid/>
          <w:szCs w:val="22"/>
          <w:lang w:val="hu-HU" w:eastAsia="en-GB"/>
        </w:rPr>
      </w:pPr>
    </w:p>
    <w:p w14:paraId="57C12797" w14:textId="77777777" w:rsidR="009F5F6A" w:rsidRDefault="00962A10">
      <w:pPr>
        <w:tabs>
          <w:tab w:val="clear" w:pos="567"/>
        </w:tabs>
        <w:autoSpaceDE w:val="0"/>
        <w:autoSpaceDN w:val="0"/>
        <w:adjustRightInd w:val="0"/>
        <w:spacing w:line="240" w:lineRule="auto"/>
        <w:rPr>
          <w:b/>
          <w:lang w:val="hu-HU"/>
        </w:rPr>
      </w:pPr>
      <w:r>
        <w:rPr>
          <w:snapToGrid/>
          <w:szCs w:val="22"/>
          <w:lang w:val="hu-HU" w:eastAsia="en-GB"/>
        </w:rPr>
        <w:t>Mivel az eltrombopag renálisan nem ürül jelentős mértékben, és erősen kötődik a plazmafehérjékhez, nem várható, hogy a hemodialízis hatékonyan gyorsítsa az eltrombopag kiürülését.</w:t>
      </w:r>
    </w:p>
    <w:p w14:paraId="2818C34B" w14:textId="77777777" w:rsidR="009F5F6A" w:rsidRDefault="009F5F6A">
      <w:pPr>
        <w:spacing w:line="240" w:lineRule="auto"/>
        <w:ind w:left="567" w:hanging="567"/>
        <w:outlineLvl w:val="0"/>
        <w:rPr>
          <w:b/>
          <w:lang w:val="hu-HU"/>
        </w:rPr>
      </w:pPr>
    </w:p>
    <w:p w14:paraId="5908DC40" w14:textId="77777777" w:rsidR="009F5F6A" w:rsidRDefault="009F5F6A">
      <w:pPr>
        <w:spacing w:line="240" w:lineRule="auto"/>
        <w:ind w:left="567" w:hanging="567"/>
        <w:outlineLvl w:val="0"/>
        <w:rPr>
          <w:b/>
          <w:lang w:val="hu-HU"/>
        </w:rPr>
      </w:pPr>
    </w:p>
    <w:p w14:paraId="43F67272"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5.</w:t>
      </w:r>
      <w:r>
        <w:rPr>
          <w:rFonts w:eastAsia="Times New Roman"/>
          <w:b/>
          <w:noProof/>
          <w:snapToGrid/>
          <w:szCs w:val="22"/>
          <w:lang w:val="hu-HU" w:eastAsia="en-US"/>
        </w:rPr>
        <w:tab/>
        <w:t>FARMAKOLÓGIAI TULAJDONSÁGOK</w:t>
      </w:r>
    </w:p>
    <w:p w14:paraId="6091482B" w14:textId="77777777" w:rsidR="009F5F6A" w:rsidRDefault="009F5F6A">
      <w:pPr>
        <w:spacing w:line="240" w:lineRule="auto"/>
        <w:ind w:left="567" w:hanging="567"/>
        <w:outlineLvl w:val="0"/>
        <w:rPr>
          <w:rFonts w:eastAsia="Times New Roman"/>
          <w:b/>
          <w:noProof/>
          <w:snapToGrid/>
          <w:szCs w:val="22"/>
          <w:lang w:val="hu-HU" w:eastAsia="en-US"/>
        </w:rPr>
      </w:pPr>
    </w:p>
    <w:p w14:paraId="408A81C6"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5.1</w:t>
      </w:r>
      <w:r>
        <w:rPr>
          <w:rFonts w:eastAsia="Times New Roman"/>
          <w:b/>
          <w:noProof/>
          <w:snapToGrid/>
          <w:szCs w:val="22"/>
          <w:lang w:val="hu-HU" w:eastAsia="en-US"/>
        </w:rPr>
        <w:tab/>
        <w:t>Farmakodinámiás tulajdonságok</w:t>
      </w:r>
    </w:p>
    <w:p w14:paraId="1CA14ED7" w14:textId="77777777" w:rsidR="009F5F6A" w:rsidRDefault="009F5F6A">
      <w:pPr>
        <w:spacing w:line="240" w:lineRule="auto"/>
        <w:rPr>
          <w:rFonts w:eastAsia="Times New Roman"/>
          <w:noProof/>
          <w:snapToGrid/>
          <w:szCs w:val="22"/>
          <w:lang w:val="hu-HU" w:eastAsia="en-US"/>
        </w:rPr>
      </w:pPr>
    </w:p>
    <w:p w14:paraId="735A53A3" w14:textId="77777777"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 xml:space="preserve">Farmakoterápiás csoport: </w:t>
      </w:r>
      <w:r>
        <w:rPr>
          <w:snapToGrid/>
          <w:szCs w:val="22"/>
          <w:lang w:val="hu-HU" w:eastAsia="en-GB"/>
        </w:rPr>
        <w:t>Antihaemorrhagiás készítmények, egyéb szisztémás vérzéscsillapítók.</w:t>
      </w:r>
      <w:r>
        <w:rPr>
          <w:rFonts w:eastAsia="Times New Roman"/>
          <w:noProof/>
          <w:snapToGrid/>
          <w:szCs w:val="22"/>
          <w:lang w:val="hu-HU" w:eastAsia="en-US"/>
        </w:rPr>
        <w:t xml:space="preserve"> ATC kód: </w:t>
      </w:r>
      <w:r>
        <w:rPr>
          <w:snapToGrid/>
          <w:szCs w:val="22"/>
          <w:lang w:val="hu-HU" w:eastAsia="en-GB"/>
        </w:rPr>
        <w:t>B02BX 05.</w:t>
      </w:r>
    </w:p>
    <w:p w14:paraId="6B4783A2" w14:textId="77777777" w:rsidR="009F5F6A" w:rsidRDefault="009F5F6A">
      <w:pPr>
        <w:autoSpaceDE w:val="0"/>
        <w:autoSpaceDN w:val="0"/>
        <w:adjustRightInd w:val="0"/>
        <w:spacing w:line="240" w:lineRule="auto"/>
        <w:jc w:val="both"/>
        <w:rPr>
          <w:b/>
          <w:iCs/>
          <w:lang w:val="hu-HU"/>
        </w:rPr>
      </w:pPr>
    </w:p>
    <w:p w14:paraId="3191BB97" w14:textId="77777777" w:rsidR="009F5F6A" w:rsidRDefault="00962A10">
      <w:pPr>
        <w:spacing w:line="240" w:lineRule="auto"/>
        <w:rPr>
          <w:u w:val="single"/>
          <w:lang w:val="hu-HU"/>
        </w:rPr>
      </w:pPr>
      <w:r>
        <w:rPr>
          <w:u w:val="single"/>
          <w:lang w:val="hu-HU"/>
        </w:rPr>
        <w:t>Hatásmechanizmus</w:t>
      </w:r>
    </w:p>
    <w:p w14:paraId="3ED64C53" w14:textId="77777777" w:rsidR="009F5F6A" w:rsidRDefault="009F5F6A">
      <w:pPr>
        <w:spacing w:line="240" w:lineRule="auto"/>
        <w:rPr>
          <w:u w:val="single"/>
          <w:lang w:val="hu-HU"/>
        </w:rPr>
      </w:pPr>
    </w:p>
    <w:p w14:paraId="3E3AD608"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TPO a megakaryopoiesis szabályozásában és a vérlemezke termelésben részt vevő legfontosabb citokin, és a TPO-R endogén ligandja. Az eltrombopag kölcsönhatásba lép a humán TPO-R transzmembrán domenjével, és az endogén thrombopoietinéhoz (TPO) hasonló, de azzal nem azonos kaszkád mechanizmust indít el, ami indukálja a proliferációt és differenciálódást a csontvelő progenitor sejtjeiből.</w:t>
      </w:r>
    </w:p>
    <w:p w14:paraId="7231CE7D" w14:textId="77777777" w:rsidR="009F5F6A" w:rsidRDefault="009F5F6A">
      <w:pPr>
        <w:spacing w:line="240" w:lineRule="auto"/>
        <w:rPr>
          <w:u w:val="single"/>
          <w:lang w:val="hu-HU"/>
        </w:rPr>
      </w:pPr>
    </w:p>
    <w:p w14:paraId="7BCB8C97" w14:textId="77777777" w:rsidR="009F5F6A" w:rsidRDefault="00962A10">
      <w:pPr>
        <w:spacing w:line="240" w:lineRule="auto"/>
        <w:rPr>
          <w:u w:val="single"/>
          <w:lang w:val="hu-HU"/>
        </w:rPr>
      </w:pPr>
      <w:r>
        <w:rPr>
          <w:u w:val="single"/>
          <w:lang w:val="hu-HU"/>
        </w:rPr>
        <w:t>Klinikai hatásosság és biztonságosság</w:t>
      </w:r>
    </w:p>
    <w:p w14:paraId="4ADD6E5F" w14:textId="77777777" w:rsidR="009F5F6A" w:rsidRDefault="009F5F6A">
      <w:pPr>
        <w:spacing w:line="240" w:lineRule="auto"/>
        <w:rPr>
          <w:u w:val="single"/>
          <w:lang w:val="hu-HU"/>
        </w:rPr>
      </w:pPr>
    </w:p>
    <w:p w14:paraId="2BE0138C"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Immun (primer) thrombocytopenia (ITP) vizsgálatok</w:t>
      </w:r>
    </w:p>
    <w:p w14:paraId="4E5A9DF4" w14:textId="77777777" w:rsidR="009F5F6A" w:rsidRDefault="009F5F6A">
      <w:pPr>
        <w:tabs>
          <w:tab w:val="clear" w:pos="567"/>
        </w:tabs>
        <w:autoSpaceDE w:val="0"/>
        <w:autoSpaceDN w:val="0"/>
        <w:adjustRightInd w:val="0"/>
        <w:spacing w:line="240" w:lineRule="auto"/>
        <w:rPr>
          <w:snapToGrid/>
          <w:szCs w:val="22"/>
          <w:lang w:val="hu-HU" w:eastAsia="en-GB"/>
        </w:rPr>
      </w:pPr>
    </w:p>
    <w:p w14:paraId="056A670C"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Az eltrombopag biztonságosságát és hatásosságát korábban ITP miatt kezelt felnőtt betegeknél két III. fázisú, randomizált, kettős vak, placebokontrollos vizsgálat, a RAISE (TRA102537) és a TRA100773B, valamint két nyílt vizsgálat, a REPEAT (TRA108057) és az EXTEND (TRA105325) értékelte. Összességében 277, ITP-s beteg kapott eltrombopagot legalább 6 hónapig és 202 beteg legalább 1 évig. A TAPER (CETB115J2411) című egy karú, II. fázisú vizsgálatban az eltrombopag biztonságosságát és hatásosságát, valamint a kezelés abbahagyása utáni tartós válasz kiváltása iránti képességét tanulmányozták 105 olyan felnőttkorú ITP-s betegnél, akiknél első vonalbeli kortikoszteroid-kezelés után relapszus lépett fel vagy nem alakult ki terápiás válasz.</w:t>
      </w:r>
    </w:p>
    <w:p w14:paraId="5DFFDCD2" w14:textId="77777777" w:rsidR="009F5F6A" w:rsidRDefault="009F5F6A">
      <w:pPr>
        <w:spacing w:line="240" w:lineRule="auto"/>
        <w:rPr>
          <w:u w:val="single"/>
          <w:lang w:val="hu-HU"/>
        </w:rPr>
      </w:pPr>
    </w:p>
    <w:p w14:paraId="3BC75D99" w14:textId="77777777" w:rsidR="009F5F6A" w:rsidRDefault="00962A10">
      <w:pPr>
        <w:tabs>
          <w:tab w:val="clear" w:pos="567"/>
        </w:tabs>
        <w:autoSpaceDE w:val="0"/>
        <w:autoSpaceDN w:val="0"/>
        <w:adjustRightInd w:val="0"/>
        <w:spacing w:line="240" w:lineRule="auto"/>
        <w:rPr>
          <w:i/>
          <w:iCs/>
          <w:snapToGrid/>
          <w:szCs w:val="22"/>
          <w:lang w:val="hu-HU" w:eastAsia="en-GB"/>
        </w:rPr>
      </w:pPr>
      <w:r>
        <w:rPr>
          <w:i/>
          <w:iCs/>
          <w:snapToGrid/>
          <w:szCs w:val="22"/>
          <w:lang w:val="hu-HU" w:eastAsia="en-GB"/>
        </w:rPr>
        <w:t>Kettős vak, placebokontrollos vizsgálatok</w:t>
      </w:r>
    </w:p>
    <w:p w14:paraId="6A5E9357"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RAISE: 197, ITP-s beteget randomizáltak 2:1 arányban eltrombopag- (n = 135) és placebokarra (n = 62), a stratifikációnál a splenectomiás státuszt, az ITP-re a vizsgálat indításakor alkalmazott gyógyszereket és a kiindulási vérlemezkeszámot vették figyelembe. Az eltrombopag dózisát a 6 hónapos kezelési idő alatt a betegek vérlemezkeszáma alapján egyedileg állították be. A kezelést minden betegnél 50 mg eltrombopaggal indították. A 29. naptól a kezelés végéig az eltrombopaggal kezelt betegek 15–28%-a kapott 25 mg-ot vagy annál kevesebbet, és 29-53%-a kapott 75 mg-ot.</w:t>
      </w:r>
    </w:p>
    <w:p w14:paraId="49476BDD" w14:textId="77777777" w:rsidR="009F5F6A" w:rsidRDefault="009F5F6A">
      <w:pPr>
        <w:spacing w:line="240" w:lineRule="auto"/>
        <w:rPr>
          <w:u w:val="single"/>
          <w:lang w:val="hu-HU"/>
        </w:rPr>
      </w:pPr>
    </w:p>
    <w:p w14:paraId="5401CF68"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Emellett a betegek fokozatosan csökkenthették az ITP kezelésére együtt adott gyógyszereket, és a helyi kezelési standardok szerint kaphatták a mentő kezelést („rescue treatment”). Mindkét kezelési csoportban a betegeknek több mint a fele kapott korábban legalább 3 kezelést ITP miatt, és 36%-uknak korábban eltávolították a lépét.</w:t>
      </w:r>
    </w:p>
    <w:p w14:paraId="647EA59E" w14:textId="77777777" w:rsidR="009F5F6A" w:rsidRDefault="009F5F6A">
      <w:pPr>
        <w:spacing w:line="240" w:lineRule="auto"/>
        <w:rPr>
          <w:u w:val="single"/>
          <w:lang w:val="hu-HU"/>
        </w:rPr>
      </w:pPr>
    </w:p>
    <w:p w14:paraId="69A47A42"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medián vérlemezkeszám a vizsgálat indításakor mindkét kezelési csoportban 16 000/mikroliter volt, és az eltrombopag-csoportban a 15. naptól kezdődően minden kontroll alkalmával 50 000/mikroliter felett maradt; ezzel szemben a placebocsoportban a medián vérlemezkeszám 30 000/mikroliter alatt maradt a vizsgálat egész ideje alatt.</w:t>
      </w:r>
    </w:p>
    <w:p w14:paraId="65F32A57" w14:textId="77777777" w:rsidR="009F5F6A" w:rsidRDefault="009F5F6A">
      <w:pPr>
        <w:spacing w:line="240" w:lineRule="auto"/>
        <w:rPr>
          <w:u w:val="single"/>
          <w:lang w:val="hu-HU"/>
        </w:rPr>
      </w:pPr>
    </w:p>
    <w:p w14:paraId="3CAC28D1"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Szignifikánsan több beteg ért el 50 000-400 000/mikroliter közötti vérlemezkeszámot mentő kezelés nélkül az eltrombopag-csoportban a 6 hónapos kezelés alatt (p &lt;0,001). Az eltrombopaggal kezelt betegek ötvennégy százaléka és a placebot kapók 13%-</w:t>
      </w:r>
      <w:proofErr w:type="gramStart"/>
      <w:r>
        <w:rPr>
          <w:snapToGrid/>
          <w:szCs w:val="22"/>
          <w:lang w:val="hu-HU" w:eastAsia="en-GB"/>
        </w:rPr>
        <w:t>a</w:t>
      </w:r>
      <w:proofErr w:type="gramEnd"/>
      <w:r>
        <w:rPr>
          <w:snapToGrid/>
          <w:szCs w:val="22"/>
          <w:lang w:val="hu-HU" w:eastAsia="en-GB"/>
        </w:rPr>
        <w:t xml:space="preserve"> ért el ilyen szintű választ 6 hét kezelés után. Hasonló vérlemezke választ sikerült fenntartani a kezelés teljes időtartama alatt, és a betegek 52%-</w:t>
      </w:r>
      <w:proofErr w:type="gramStart"/>
      <w:r>
        <w:rPr>
          <w:snapToGrid/>
          <w:szCs w:val="22"/>
          <w:lang w:val="hu-HU" w:eastAsia="en-GB"/>
        </w:rPr>
        <w:t>a</w:t>
      </w:r>
      <w:proofErr w:type="gramEnd"/>
      <w:r>
        <w:rPr>
          <w:snapToGrid/>
          <w:szCs w:val="22"/>
          <w:lang w:val="hu-HU" w:eastAsia="en-GB"/>
        </w:rPr>
        <w:t xml:space="preserve"> ill. 16%-a reagált a 6. hónapos kezelési időszak végén.</w:t>
      </w:r>
    </w:p>
    <w:p w14:paraId="33A6B244" w14:textId="77777777" w:rsidR="009F5F6A" w:rsidRDefault="009F5F6A">
      <w:pPr>
        <w:spacing w:line="240" w:lineRule="auto"/>
        <w:rPr>
          <w:u w:val="single"/>
          <w:lang w:val="hu-HU"/>
        </w:rPr>
      </w:pPr>
    </w:p>
    <w:p w14:paraId="1D11BA77" w14:textId="77777777" w:rsidR="009F5F6A" w:rsidRDefault="00962A10">
      <w:pPr>
        <w:tabs>
          <w:tab w:val="clear" w:pos="567"/>
          <w:tab w:val="left" w:pos="1418"/>
        </w:tabs>
        <w:spacing w:line="240" w:lineRule="auto"/>
        <w:rPr>
          <w:u w:val="single"/>
          <w:lang w:val="hu-HU"/>
        </w:rPr>
      </w:pPr>
      <w:r>
        <w:rPr>
          <w:b/>
          <w:bCs/>
          <w:snapToGrid/>
          <w:szCs w:val="22"/>
          <w:lang w:val="hu-HU" w:eastAsia="en-GB"/>
        </w:rPr>
        <w:t>3. táblázat</w:t>
      </w:r>
      <w:r>
        <w:rPr>
          <w:b/>
          <w:bCs/>
          <w:snapToGrid/>
          <w:szCs w:val="22"/>
          <w:lang w:val="hu-HU" w:eastAsia="en-GB"/>
        </w:rPr>
        <w:tab/>
        <w:t>A RAISE vizsgálat másodlagos hatásossági eredményei</w:t>
      </w:r>
    </w:p>
    <w:p w14:paraId="4C2B1FF3" w14:textId="77777777" w:rsidR="009F5F6A" w:rsidRDefault="009F5F6A">
      <w:pPr>
        <w:spacing w:line="240" w:lineRule="auto"/>
        <w:rPr>
          <w:u w:val="single"/>
          <w:lang w:val="hu-HU"/>
        </w:rPr>
      </w:pPr>
    </w:p>
    <w:tbl>
      <w:tblPr>
        <w:tblW w:w="9062" w:type="dxa"/>
        <w:tblInd w:w="5" w:type="dxa"/>
        <w:tblCellMar>
          <w:top w:w="13" w:type="dxa"/>
          <w:bottom w:w="7" w:type="dxa"/>
          <w:right w:w="33" w:type="dxa"/>
        </w:tblCellMar>
        <w:tblLook w:val="04A0" w:firstRow="1" w:lastRow="0" w:firstColumn="1" w:lastColumn="0" w:noHBand="0" w:noVBand="1"/>
      </w:tblPr>
      <w:tblGrid>
        <w:gridCol w:w="6059"/>
        <w:gridCol w:w="1656"/>
        <w:gridCol w:w="1347"/>
      </w:tblGrid>
      <w:tr w:rsidR="009F5F6A" w14:paraId="205ED34D" w14:textId="77777777">
        <w:trPr>
          <w:trHeight w:val="516"/>
        </w:trPr>
        <w:tc>
          <w:tcPr>
            <w:tcW w:w="6059" w:type="dxa"/>
            <w:tcBorders>
              <w:top w:val="single" w:sz="4" w:space="0" w:color="000000"/>
              <w:left w:val="single" w:sz="4" w:space="0" w:color="000000"/>
              <w:bottom w:val="single" w:sz="4" w:space="0" w:color="000000"/>
              <w:right w:val="single" w:sz="4" w:space="0" w:color="000000"/>
            </w:tcBorders>
            <w:vAlign w:val="bottom"/>
          </w:tcPr>
          <w:p w14:paraId="2D759A60" w14:textId="77777777" w:rsidR="009F5F6A" w:rsidRDefault="009F5F6A">
            <w:pPr>
              <w:rPr>
                <w:noProof/>
                <w:szCs w:val="22"/>
                <w:lang w:val="hu-HU" w:eastAsia="en-US"/>
              </w:rPr>
            </w:pPr>
          </w:p>
        </w:tc>
        <w:tc>
          <w:tcPr>
            <w:tcW w:w="1656" w:type="dxa"/>
            <w:tcBorders>
              <w:top w:val="single" w:sz="4" w:space="0" w:color="000000"/>
              <w:left w:val="single" w:sz="4" w:space="0" w:color="000000"/>
              <w:bottom w:val="single" w:sz="4" w:space="0" w:color="000000"/>
              <w:right w:val="single" w:sz="4" w:space="0" w:color="000000"/>
            </w:tcBorders>
          </w:tcPr>
          <w:p w14:paraId="13B01A56" w14:textId="77777777" w:rsidR="009F5F6A" w:rsidRDefault="00962A10">
            <w:pPr>
              <w:keepNext/>
              <w:keepLines/>
              <w:widowControl w:val="0"/>
              <w:jc w:val="center"/>
              <w:rPr>
                <w:noProof/>
                <w:szCs w:val="22"/>
                <w:lang w:eastAsia="en-US"/>
              </w:rPr>
            </w:pPr>
            <w:r>
              <w:rPr>
                <w:noProof/>
                <w:szCs w:val="22"/>
                <w:lang w:eastAsia="en-US"/>
              </w:rPr>
              <w:t>Eltrombopag n = 135</w:t>
            </w:r>
          </w:p>
        </w:tc>
        <w:tc>
          <w:tcPr>
            <w:tcW w:w="1347" w:type="dxa"/>
            <w:tcBorders>
              <w:top w:val="single" w:sz="4" w:space="0" w:color="000000"/>
              <w:left w:val="single" w:sz="4" w:space="0" w:color="000000"/>
              <w:bottom w:val="single" w:sz="4" w:space="0" w:color="000000"/>
              <w:right w:val="single" w:sz="4" w:space="0" w:color="000000"/>
            </w:tcBorders>
          </w:tcPr>
          <w:p w14:paraId="65EF1754" w14:textId="77777777" w:rsidR="009F5F6A" w:rsidRDefault="00962A10">
            <w:pPr>
              <w:keepNext/>
              <w:keepLines/>
              <w:widowControl w:val="0"/>
              <w:jc w:val="center"/>
              <w:rPr>
                <w:noProof/>
                <w:szCs w:val="22"/>
                <w:lang w:eastAsia="en-US"/>
              </w:rPr>
            </w:pPr>
            <w:r>
              <w:rPr>
                <w:noProof/>
                <w:szCs w:val="22"/>
                <w:lang w:eastAsia="en-US"/>
              </w:rPr>
              <w:t>Placebo n = 62</w:t>
            </w:r>
          </w:p>
        </w:tc>
      </w:tr>
      <w:tr w:rsidR="009F5F6A" w14:paraId="1105FDFA" w14:textId="77777777">
        <w:trPr>
          <w:trHeight w:val="263"/>
        </w:trPr>
        <w:tc>
          <w:tcPr>
            <w:tcW w:w="6059" w:type="dxa"/>
            <w:tcBorders>
              <w:top w:val="single" w:sz="4" w:space="0" w:color="000000"/>
              <w:left w:val="single" w:sz="4" w:space="0" w:color="000000"/>
              <w:bottom w:val="single" w:sz="4" w:space="0" w:color="000000"/>
              <w:right w:val="nil"/>
            </w:tcBorders>
          </w:tcPr>
          <w:p w14:paraId="70DCE605" w14:textId="77777777" w:rsidR="009F5F6A" w:rsidRDefault="00962A10">
            <w:pPr>
              <w:rPr>
                <w:noProof/>
                <w:szCs w:val="22"/>
                <w:lang w:eastAsia="en-US"/>
              </w:rPr>
            </w:pPr>
            <w:r>
              <w:rPr>
                <w:snapToGrid/>
                <w:szCs w:val="22"/>
                <w:lang w:val="hu-HU" w:eastAsia="en-GB"/>
              </w:rPr>
              <w:t>A legfontosabb másodlagos végpontok</w:t>
            </w:r>
          </w:p>
        </w:tc>
        <w:tc>
          <w:tcPr>
            <w:tcW w:w="1656" w:type="dxa"/>
            <w:tcBorders>
              <w:top w:val="single" w:sz="4" w:space="0" w:color="000000"/>
              <w:left w:val="nil"/>
              <w:bottom w:val="single" w:sz="4" w:space="0" w:color="000000"/>
              <w:right w:val="nil"/>
            </w:tcBorders>
          </w:tcPr>
          <w:p w14:paraId="65713EBB" w14:textId="77777777" w:rsidR="009F5F6A" w:rsidRDefault="009F5F6A">
            <w:pPr>
              <w:keepNext/>
              <w:keepLines/>
              <w:widowControl w:val="0"/>
              <w:jc w:val="center"/>
              <w:rPr>
                <w:noProof/>
                <w:szCs w:val="22"/>
                <w:lang w:eastAsia="en-US"/>
              </w:rPr>
            </w:pPr>
          </w:p>
        </w:tc>
        <w:tc>
          <w:tcPr>
            <w:tcW w:w="1347" w:type="dxa"/>
            <w:tcBorders>
              <w:top w:val="single" w:sz="4" w:space="0" w:color="000000"/>
              <w:left w:val="nil"/>
              <w:bottom w:val="single" w:sz="4" w:space="0" w:color="000000"/>
              <w:right w:val="single" w:sz="4" w:space="0" w:color="000000"/>
            </w:tcBorders>
          </w:tcPr>
          <w:p w14:paraId="448081F2" w14:textId="77777777" w:rsidR="009F5F6A" w:rsidRDefault="009F5F6A">
            <w:pPr>
              <w:keepNext/>
              <w:keepLines/>
              <w:widowControl w:val="0"/>
              <w:jc w:val="center"/>
              <w:rPr>
                <w:noProof/>
                <w:szCs w:val="22"/>
                <w:lang w:eastAsia="en-US"/>
              </w:rPr>
            </w:pPr>
          </w:p>
        </w:tc>
      </w:tr>
      <w:tr w:rsidR="009F5F6A" w14:paraId="5BBDDA34" w14:textId="77777777">
        <w:trPr>
          <w:trHeight w:val="532"/>
        </w:trPr>
        <w:tc>
          <w:tcPr>
            <w:tcW w:w="6059" w:type="dxa"/>
            <w:tcBorders>
              <w:top w:val="single" w:sz="4" w:space="0" w:color="000000"/>
              <w:left w:val="single" w:sz="4" w:space="0" w:color="000000"/>
              <w:bottom w:val="single" w:sz="4" w:space="0" w:color="000000"/>
              <w:right w:val="single" w:sz="4" w:space="0" w:color="000000"/>
            </w:tcBorders>
          </w:tcPr>
          <w:p w14:paraId="2DED2A3A" w14:textId="77777777" w:rsidR="009F5F6A" w:rsidRDefault="00962A10">
            <w:pPr>
              <w:tabs>
                <w:tab w:val="clear" w:pos="567"/>
              </w:tabs>
              <w:autoSpaceDE w:val="0"/>
              <w:autoSpaceDN w:val="0"/>
              <w:adjustRightInd w:val="0"/>
              <w:spacing w:line="240" w:lineRule="auto"/>
              <w:rPr>
                <w:noProof/>
                <w:szCs w:val="22"/>
                <w:lang w:eastAsia="en-US"/>
              </w:rPr>
            </w:pPr>
            <w:r>
              <w:rPr>
                <w:snapToGrid/>
                <w:szCs w:val="22"/>
                <w:lang w:val="hu-HU" w:eastAsia="en-GB"/>
              </w:rPr>
              <w:t xml:space="preserve">Kumulatív hetek száma </w:t>
            </w:r>
            <w:r>
              <w:rPr>
                <w:noProof/>
                <w:szCs w:val="22"/>
                <w:lang w:eastAsia="en-US"/>
              </w:rPr>
              <w:t>≥</w:t>
            </w:r>
            <w:r>
              <w:rPr>
                <w:snapToGrid/>
                <w:szCs w:val="22"/>
                <w:lang w:val="hu-HU" w:eastAsia="en-GB"/>
              </w:rPr>
              <w:t>50 000-400 000/mikroliter vérlemezkeszámmal, átlagérték (SD)</w:t>
            </w:r>
          </w:p>
        </w:tc>
        <w:tc>
          <w:tcPr>
            <w:tcW w:w="1656" w:type="dxa"/>
            <w:tcBorders>
              <w:top w:val="single" w:sz="4" w:space="0" w:color="000000"/>
              <w:left w:val="single" w:sz="4" w:space="0" w:color="000000"/>
              <w:bottom w:val="single" w:sz="4" w:space="0" w:color="000000"/>
              <w:right w:val="single" w:sz="4" w:space="0" w:color="000000"/>
            </w:tcBorders>
            <w:vAlign w:val="center"/>
          </w:tcPr>
          <w:p w14:paraId="7E79B4B4" w14:textId="77777777" w:rsidR="009F5F6A" w:rsidRDefault="00962A10">
            <w:pPr>
              <w:keepNext/>
              <w:keepLines/>
              <w:widowControl w:val="0"/>
              <w:jc w:val="center"/>
              <w:rPr>
                <w:noProof/>
                <w:szCs w:val="22"/>
                <w:lang w:eastAsia="en-US"/>
              </w:rPr>
            </w:pPr>
            <w:r>
              <w:rPr>
                <w:noProof/>
                <w:szCs w:val="22"/>
                <w:lang w:eastAsia="en-US"/>
              </w:rPr>
              <w:t>11,3 (9,46)</w:t>
            </w:r>
          </w:p>
        </w:tc>
        <w:tc>
          <w:tcPr>
            <w:tcW w:w="1347" w:type="dxa"/>
            <w:tcBorders>
              <w:top w:val="single" w:sz="4" w:space="0" w:color="000000"/>
              <w:left w:val="single" w:sz="4" w:space="0" w:color="000000"/>
              <w:bottom w:val="single" w:sz="4" w:space="0" w:color="000000"/>
              <w:right w:val="single" w:sz="4" w:space="0" w:color="000000"/>
            </w:tcBorders>
          </w:tcPr>
          <w:p w14:paraId="1E166217" w14:textId="77777777" w:rsidR="009F5F6A" w:rsidRDefault="00962A10">
            <w:pPr>
              <w:keepNext/>
              <w:keepLines/>
              <w:widowControl w:val="0"/>
              <w:spacing w:before="120"/>
              <w:jc w:val="center"/>
              <w:rPr>
                <w:noProof/>
                <w:szCs w:val="22"/>
                <w:lang w:eastAsia="en-US"/>
              </w:rPr>
            </w:pPr>
            <w:r>
              <w:rPr>
                <w:noProof/>
                <w:szCs w:val="22"/>
                <w:lang w:eastAsia="en-US"/>
              </w:rPr>
              <w:t>2,4 (5,95)</w:t>
            </w:r>
          </w:p>
        </w:tc>
      </w:tr>
      <w:tr w:rsidR="009F5F6A" w14:paraId="2948F844" w14:textId="77777777">
        <w:trPr>
          <w:trHeight w:val="264"/>
        </w:trPr>
        <w:tc>
          <w:tcPr>
            <w:tcW w:w="6059" w:type="dxa"/>
            <w:vMerge w:val="restart"/>
            <w:tcBorders>
              <w:top w:val="single" w:sz="4" w:space="0" w:color="000000"/>
              <w:left w:val="single" w:sz="4" w:space="0" w:color="000000"/>
              <w:bottom w:val="single" w:sz="4" w:space="0" w:color="000000"/>
              <w:right w:val="single" w:sz="4" w:space="0" w:color="000000"/>
            </w:tcBorders>
          </w:tcPr>
          <w:p w14:paraId="1D68F288" w14:textId="77777777" w:rsidR="009F5F6A" w:rsidRDefault="00962A10">
            <w:pPr>
              <w:tabs>
                <w:tab w:val="clear" w:pos="567"/>
              </w:tabs>
              <w:autoSpaceDE w:val="0"/>
              <w:autoSpaceDN w:val="0"/>
              <w:adjustRightInd w:val="0"/>
              <w:spacing w:line="240" w:lineRule="auto"/>
              <w:rPr>
                <w:noProof/>
                <w:szCs w:val="22"/>
                <w:lang w:eastAsia="en-US"/>
              </w:rPr>
            </w:pPr>
            <w:r>
              <w:rPr>
                <w:snapToGrid/>
                <w:szCs w:val="22"/>
                <w:lang w:val="hu-HU" w:eastAsia="en-GB"/>
              </w:rPr>
              <w:t>Betegek, akiknél a mért értékek ≥75%-</w:t>
            </w:r>
            <w:proofErr w:type="gramStart"/>
            <w:r>
              <w:rPr>
                <w:snapToGrid/>
                <w:szCs w:val="22"/>
                <w:lang w:val="hu-HU" w:eastAsia="en-GB"/>
              </w:rPr>
              <w:t>a</w:t>
            </w:r>
            <w:proofErr w:type="gramEnd"/>
            <w:r>
              <w:rPr>
                <w:snapToGrid/>
                <w:szCs w:val="22"/>
                <w:lang w:val="hu-HU" w:eastAsia="en-GB"/>
              </w:rPr>
              <w:t xml:space="preserve"> a megcélzott tartományban (50 000-400 000/mikroliter) volt, n (%)</w:t>
            </w:r>
          </w:p>
          <w:p w14:paraId="5E2D05A0" w14:textId="77777777" w:rsidR="009F5F6A" w:rsidRDefault="00962A10">
            <w:pPr>
              <w:rPr>
                <w:noProof/>
                <w:szCs w:val="22"/>
                <w:lang w:eastAsia="en-US"/>
              </w:rPr>
            </w:pPr>
            <w:r>
              <w:rPr>
                <w:noProof/>
                <w:szCs w:val="22"/>
                <w:lang w:eastAsia="en-US"/>
              </w:rPr>
              <w:tab/>
            </w:r>
            <w:r>
              <w:rPr>
                <w:i/>
                <w:noProof/>
                <w:szCs w:val="22"/>
                <w:lang w:eastAsia="en-US"/>
              </w:rPr>
              <w:t>p-</w:t>
            </w:r>
            <w:r>
              <w:rPr>
                <w:noProof/>
                <w:szCs w:val="22"/>
                <w:lang w:eastAsia="en-US"/>
              </w:rPr>
              <w:t>érték</w:t>
            </w:r>
            <w:r>
              <w:rPr>
                <w:noProof/>
                <w:szCs w:val="22"/>
                <w:vertAlign w:val="superscript"/>
                <w:lang w:eastAsia="en-US"/>
              </w:rPr>
              <w:t>a</w:t>
            </w:r>
          </w:p>
        </w:tc>
        <w:tc>
          <w:tcPr>
            <w:tcW w:w="1656" w:type="dxa"/>
            <w:tcBorders>
              <w:top w:val="single" w:sz="4" w:space="0" w:color="000000"/>
              <w:left w:val="single" w:sz="4" w:space="0" w:color="000000"/>
              <w:bottom w:val="single" w:sz="4" w:space="0" w:color="000000"/>
              <w:right w:val="single" w:sz="4" w:space="0" w:color="000000"/>
            </w:tcBorders>
          </w:tcPr>
          <w:p w14:paraId="003DAA23" w14:textId="77777777" w:rsidR="009F5F6A" w:rsidRDefault="00962A10">
            <w:pPr>
              <w:keepNext/>
              <w:keepLines/>
              <w:widowControl w:val="0"/>
              <w:jc w:val="center"/>
              <w:rPr>
                <w:noProof/>
                <w:szCs w:val="22"/>
                <w:lang w:eastAsia="en-US"/>
              </w:rPr>
            </w:pPr>
            <w:r>
              <w:rPr>
                <w:noProof/>
                <w:szCs w:val="22"/>
                <w:lang w:eastAsia="en-US"/>
              </w:rPr>
              <w:t>51 (38)</w:t>
            </w:r>
          </w:p>
        </w:tc>
        <w:tc>
          <w:tcPr>
            <w:tcW w:w="1347" w:type="dxa"/>
            <w:tcBorders>
              <w:top w:val="single" w:sz="4" w:space="0" w:color="000000"/>
              <w:left w:val="single" w:sz="4" w:space="0" w:color="000000"/>
              <w:bottom w:val="single" w:sz="4" w:space="0" w:color="000000"/>
              <w:right w:val="single" w:sz="4" w:space="0" w:color="000000"/>
            </w:tcBorders>
          </w:tcPr>
          <w:p w14:paraId="58B4C07A" w14:textId="77777777" w:rsidR="009F5F6A" w:rsidRDefault="00962A10">
            <w:pPr>
              <w:keepNext/>
              <w:keepLines/>
              <w:widowControl w:val="0"/>
              <w:jc w:val="center"/>
              <w:rPr>
                <w:noProof/>
                <w:szCs w:val="22"/>
                <w:lang w:eastAsia="en-US"/>
              </w:rPr>
            </w:pPr>
            <w:r>
              <w:rPr>
                <w:noProof/>
                <w:szCs w:val="22"/>
                <w:lang w:eastAsia="en-US"/>
              </w:rPr>
              <w:t>4 (7)</w:t>
            </w:r>
          </w:p>
        </w:tc>
      </w:tr>
      <w:tr w:rsidR="009F5F6A" w14:paraId="6AD48539" w14:textId="77777777">
        <w:trPr>
          <w:trHeight w:val="522"/>
        </w:trPr>
        <w:tc>
          <w:tcPr>
            <w:tcW w:w="0" w:type="auto"/>
            <w:vMerge/>
            <w:tcBorders>
              <w:top w:val="nil"/>
              <w:left w:val="single" w:sz="4" w:space="0" w:color="000000"/>
              <w:bottom w:val="single" w:sz="4" w:space="0" w:color="000000"/>
              <w:right w:val="single" w:sz="4" w:space="0" w:color="000000"/>
            </w:tcBorders>
          </w:tcPr>
          <w:p w14:paraId="6F6918CD" w14:textId="77777777" w:rsidR="009F5F6A" w:rsidRDefault="009F5F6A">
            <w:pPr>
              <w:rPr>
                <w:noProof/>
                <w:szCs w:val="22"/>
                <w:lang w:eastAsia="en-US"/>
              </w:rPr>
            </w:pPr>
          </w:p>
        </w:tc>
        <w:tc>
          <w:tcPr>
            <w:tcW w:w="3003" w:type="dxa"/>
            <w:gridSpan w:val="2"/>
            <w:tcBorders>
              <w:top w:val="single" w:sz="4" w:space="0" w:color="000000"/>
              <w:left w:val="single" w:sz="4" w:space="0" w:color="000000"/>
              <w:bottom w:val="single" w:sz="4" w:space="0" w:color="000000"/>
              <w:right w:val="single" w:sz="4" w:space="0" w:color="000000"/>
            </w:tcBorders>
            <w:vAlign w:val="center"/>
          </w:tcPr>
          <w:p w14:paraId="2DE950FB" w14:textId="77777777" w:rsidR="009F5F6A" w:rsidRDefault="00962A10">
            <w:pPr>
              <w:keepNext/>
              <w:keepLines/>
              <w:widowControl w:val="0"/>
              <w:jc w:val="center"/>
              <w:rPr>
                <w:noProof/>
                <w:szCs w:val="22"/>
                <w:lang w:eastAsia="en-US"/>
              </w:rPr>
            </w:pPr>
            <w:r>
              <w:rPr>
                <w:noProof/>
                <w:szCs w:val="22"/>
                <w:lang w:eastAsia="en-US"/>
              </w:rPr>
              <w:t>&lt;0,001</w:t>
            </w:r>
          </w:p>
        </w:tc>
      </w:tr>
      <w:tr w:rsidR="009F5F6A" w14:paraId="4EA2221A" w14:textId="77777777">
        <w:trPr>
          <w:trHeight w:val="263"/>
        </w:trPr>
        <w:tc>
          <w:tcPr>
            <w:tcW w:w="6059" w:type="dxa"/>
            <w:vMerge w:val="restart"/>
            <w:tcBorders>
              <w:top w:val="single" w:sz="4" w:space="0" w:color="000000"/>
              <w:left w:val="single" w:sz="4" w:space="0" w:color="000000"/>
              <w:bottom w:val="single" w:sz="4" w:space="0" w:color="000000"/>
              <w:right w:val="single" w:sz="4" w:space="0" w:color="000000"/>
            </w:tcBorders>
          </w:tcPr>
          <w:p w14:paraId="7607C5F4" w14:textId="77777777" w:rsidR="009F5F6A" w:rsidRDefault="00962A10">
            <w:pPr>
              <w:tabs>
                <w:tab w:val="clear" w:pos="567"/>
              </w:tabs>
              <w:autoSpaceDE w:val="0"/>
              <w:autoSpaceDN w:val="0"/>
              <w:adjustRightInd w:val="0"/>
              <w:spacing w:line="240" w:lineRule="auto"/>
              <w:rPr>
                <w:noProof/>
                <w:szCs w:val="22"/>
                <w:lang w:eastAsia="en-US"/>
              </w:rPr>
            </w:pPr>
            <w:r>
              <w:rPr>
                <w:snapToGrid/>
                <w:szCs w:val="22"/>
                <w:lang w:val="hu-HU" w:eastAsia="en-GB"/>
              </w:rPr>
              <w:t>Betegek, akiknél vérzés jelentkezett (WHO 1-4. fokozat) bármikor a 6 hónap során, n (%)</w:t>
            </w:r>
          </w:p>
          <w:p w14:paraId="2342115C" w14:textId="77777777" w:rsidR="009F5F6A" w:rsidRDefault="00962A10">
            <w:pPr>
              <w:rPr>
                <w:noProof/>
                <w:szCs w:val="22"/>
                <w:lang w:eastAsia="en-US"/>
              </w:rPr>
            </w:pPr>
            <w:r>
              <w:rPr>
                <w:noProof/>
                <w:szCs w:val="22"/>
                <w:lang w:eastAsia="en-US"/>
              </w:rPr>
              <w:tab/>
            </w:r>
            <w:r>
              <w:rPr>
                <w:i/>
                <w:noProof/>
                <w:szCs w:val="22"/>
                <w:lang w:eastAsia="en-US"/>
              </w:rPr>
              <w:t>p-</w:t>
            </w:r>
            <w:r>
              <w:rPr>
                <w:noProof/>
                <w:szCs w:val="22"/>
                <w:lang w:eastAsia="en-US"/>
              </w:rPr>
              <w:t>érték</w:t>
            </w:r>
            <w:r>
              <w:rPr>
                <w:noProof/>
                <w:szCs w:val="22"/>
                <w:vertAlign w:val="superscript"/>
                <w:lang w:eastAsia="en-US"/>
              </w:rPr>
              <w:t>a</w:t>
            </w:r>
          </w:p>
        </w:tc>
        <w:tc>
          <w:tcPr>
            <w:tcW w:w="1656" w:type="dxa"/>
            <w:tcBorders>
              <w:top w:val="single" w:sz="4" w:space="0" w:color="000000"/>
              <w:left w:val="single" w:sz="4" w:space="0" w:color="000000"/>
              <w:bottom w:val="single" w:sz="4" w:space="0" w:color="000000"/>
              <w:right w:val="single" w:sz="4" w:space="0" w:color="000000"/>
            </w:tcBorders>
          </w:tcPr>
          <w:p w14:paraId="38A0C9AB" w14:textId="77777777" w:rsidR="009F5F6A" w:rsidRDefault="00962A10">
            <w:pPr>
              <w:keepNext/>
              <w:keepLines/>
              <w:widowControl w:val="0"/>
              <w:jc w:val="center"/>
              <w:rPr>
                <w:noProof/>
                <w:szCs w:val="22"/>
                <w:lang w:eastAsia="en-US"/>
              </w:rPr>
            </w:pPr>
            <w:r>
              <w:rPr>
                <w:noProof/>
                <w:szCs w:val="22"/>
                <w:lang w:eastAsia="en-US"/>
              </w:rPr>
              <w:t>106 (79)</w:t>
            </w:r>
          </w:p>
        </w:tc>
        <w:tc>
          <w:tcPr>
            <w:tcW w:w="1347" w:type="dxa"/>
            <w:tcBorders>
              <w:top w:val="single" w:sz="4" w:space="0" w:color="000000"/>
              <w:left w:val="single" w:sz="4" w:space="0" w:color="000000"/>
              <w:bottom w:val="single" w:sz="4" w:space="0" w:color="000000"/>
              <w:right w:val="single" w:sz="4" w:space="0" w:color="000000"/>
            </w:tcBorders>
          </w:tcPr>
          <w:p w14:paraId="0B657765" w14:textId="77777777" w:rsidR="009F5F6A" w:rsidRDefault="00962A10">
            <w:pPr>
              <w:keepNext/>
              <w:keepLines/>
              <w:widowControl w:val="0"/>
              <w:jc w:val="center"/>
              <w:rPr>
                <w:noProof/>
                <w:szCs w:val="22"/>
                <w:lang w:eastAsia="en-US"/>
              </w:rPr>
            </w:pPr>
            <w:r>
              <w:rPr>
                <w:noProof/>
                <w:szCs w:val="22"/>
                <w:lang w:eastAsia="en-US"/>
              </w:rPr>
              <w:t>56 (93)</w:t>
            </w:r>
          </w:p>
        </w:tc>
      </w:tr>
      <w:tr w:rsidR="009F5F6A" w14:paraId="1090F745" w14:textId="77777777">
        <w:trPr>
          <w:trHeight w:val="506"/>
        </w:trPr>
        <w:tc>
          <w:tcPr>
            <w:tcW w:w="0" w:type="auto"/>
            <w:vMerge/>
            <w:tcBorders>
              <w:top w:val="nil"/>
              <w:left w:val="single" w:sz="4" w:space="0" w:color="000000"/>
              <w:bottom w:val="single" w:sz="4" w:space="0" w:color="000000"/>
              <w:right w:val="single" w:sz="4" w:space="0" w:color="000000"/>
            </w:tcBorders>
          </w:tcPr>
          <w:p w14:paraId="3D031311" w14:textId="77777777" w:rsidR="009F5F6A" w:rsidRDefault="009F5F6A">
            <w:pPr>
              <w:rPr>
                <w:noProof/>
                <w:szCs w:val="22"/>
                <w:lang w:eastAsia="en-US"/>
              </w:rPr>
            </w:pPr>
          </w:p>
        </w:tc>
        <w:tc>
          <w:tcPr>
            <w:tcW w:w="3003" w:type="dxa"/>
            <w:gridSpan w:val="2"/>
            <w:tcBorders>
              <w:top w:val="single" w:sz="4" w:space="0" w:color="000000"/>
              <w:left w:val="single" w:sz="4" w:space="0" w:color="000000"/>
              <w:bottom w:val="single" w:sz="4" w:space="0" w:color="000000"/>
              <w:right w:val="single" w:sz="4" w:space="0" w:color="000000"/>
            </w:tcBorders>
          </w:tcPr>
          <w:p w14:paraId="39FF41ED" w14:textId="77777777" w:rsidR="009F5F6A" w:rsidRDefault="00962A10">
            <w:pPr>
              <w:keepNext/>
              <w:keepLines/>
              <w:widowControl w:val="0"/>
              <w:jc w:val="center"/>
              <w:rPr>
                <w:noProof/>
                <w:szCs w:val="22"/>
                <w:lang w:eastAsia="en-US"/>
              </w:rPr>
            </w:pPr>
            <w:r>
              <w:rPr>
                <w:noProof/>
                <w:szCs w:val="22"/>
                <w:lang w:eastAsia="en-US"/>
              </w:rPr>
              <w:t>0,012</w:t>
            </w:r>
          </w:p>
        </w:tc>
      </w:tr>
      <w:tr w:rsidR="009F5F6A" w14:paraId="4F69B6C7" w14:textId="77777777">
        <w:trPr>
          <w:trHeight w:val="263"/>
        </w:trPr>
        <w:tc>
          <w:tcPr>
            <w:tcW w:w="6059" w:type="dxa"/>
            <w:vMerge w:val="restart"/>
            <w:tcBorders>
              <w:top w:val="single" w:sz="4" w:space="0" w:color="000000"/>
              <w:left w:val="single" w:sz="4" w:space="0" w:color="000000"/>
              <w:bottom w:val="single" w:sz="4" w:space="0" w:color="000000"/>
              <w:right w:val="single" w:sz="4" w:space="0" w:color="000000"/>
            </w:tcBorders>
          </w:tcPr>
          <w:p w14:paraId="246AC133" w14:textId="77777777" w:rsidR="009F5F6A" w:rsidRDefault="00962A10">
            <w:pPr>
              <w:tabs>
                <w:tab w:val="clear" w:pos="567"/>
              </w:tabs>
              <w:autoSpaceDE w:val="0"/>
              <w:autoSpaceDN w:val="0"/>
              <w:adjustRightInd w:val="0"/>
              <w:spacing w:line="240" w:lineRule="auto"/>
              <w:rPr>
                <w:noProof/>
                <w:szCs w:val="22"/>
                <w:lang w:eastAsia="en-US"/>
              </w:rPr>
            </w:pPr>
            <w:r>
              <w:rPr>
                <w:snapToGrid/>
                <w:szCs w:val="22"/>
                <w:lang w:val="hu-HU" w:eastAsia="en-GB"/>
              </w:rPr>
              <w:t>Betegek, akiknél vérzés jelentkezett (WHO 2-4. fokozat) bármikor a 6 hónap során, n (%)</w:t>
            </w:r>
          </w:p>
          <w:p w14:paraId="2E827EAC" w14:textId="77777777" w:rsidR="009F5F6A" w:rsidRDefault="00962A10">
            <w:pPr>
              <w:rPr>
                <w:noProof/>
                <w:szCs w:val="22"/>
                <w:lang w:eastAsia="en-US"/>
              </w:rPr>
            </w:pPr>
            <w:r>
              <w:rPr>
                <w:noProof/>
                <w:szCs w:val="22"/>
                <w:lang w:eastAsia="en-US"/>
              </w:rPr>
              <w:tab/>
            </w:r>
            <w:r>
              <w:rPr>
                <w:i/>
                <w:noProof/>
                <w:szCs w:val="22"/>
                <w:lang w:eastAsia="en-US"/>
              </w:rPr>
              <w:t>p-</w:t>
            </w:r>
            <w:r>
              <w:rPr>
                <w:noProof/>
                <w:szCs w:val="22"/>
                <w:lang w:eastAsia="en-US"/>
              </w:rPr>
              <w:t>érték</w:t>
            </w:r>
            <w:r>
              <w:rPr>
                <w:noProof/>
                <w:szCs w:val="22"/>
                <w:vertAlign w:val="superscript"/>
                <w:lang w:eastAsia="en-US"/>
              </w:rPr>
              <w:t>a</w:t>
            </w:r>
          </w:p>
        </w:tc>
        <w:tc>
          <w:tcPr>
            <w:tcW w:w="1656" w:type="dxa"/>
            <w:tcBorders>
              <w:top w:val="single" w:sz="4" w:space="0" w:color="000000"/>
              <w:left w:val="single" w:sz="4" w:space="0" w:color="000000"/>
              <w:bottom w:val="single" w:sz="4" w:space="0" w:color="000000"/>
              <w:right w:val="single" w:sz="4" w:space="0" w:color="000000"/>
            </w:tcBorders>
          </w:tcPr>
          <w:p w14:paraId="5F42485A" w14:textId="77777777" w:rsidR="009F5F6A" w:rsidRDefault="00962A10">
            <w:pPr>
              <w:keepNext/>
              <w:keepLines/>
              <w:widowControl w:val="0"/>
              <w:jc w:val="center"/>
              <w:rPr>
                <w:noProof/>
                <w:szCs w:val="22"/>
                <w:lang w:eastAsia="en-US"/>
              </w:rPr>
            </w:pPr>
            <w:r>
              <w:rPr>
                <w:noProof/>
                <w:szCs w:val="22"/>
                <w:lang w:eastAsia="en-US"/>
              </w:rPr>
              <w:t>44 (33)</w:t>
            </w:r>
          </w:p>
        </w:tc>
        <w:tc>
          <w:tcPr>
            <w:tcW w:w="1347" w:type="dxa"/>
            <w:tcBorders>
              <w:top w:val="single" w:sz="4" w:space="0" w:color="000000"/>
              <w:left w:val="single" w:sz="4" w:space="0" w:color="000000"/>
              <w:bottom w:val="single" w:sz="4" w:space="0" w:color="000000"/>
              <w:right w:val="single" w:sz="4" w:space="0" w:color="000000"/>
            </w:tcBorders>
          </w:tcPr>
          <w:p w14:paraId="0CDE838F" w14:textId="77777777" w:rsidR="009F5F6A" w:rsidRDefault="00962A10">
            <w:pPr>
              <w:keepNext/>
              <w:keepLines/>
              <w:widowControl w:val="0"/>
              <w:jc w:val="center"/>
              <w:rPr>
                <w:noProof/>
                <w:szCs w:val="22"/>
                <w:lang w:eastAsia="en-US"/>
              </w:rPr>
            </w:pPr>
            <w:r>
              <w:rPr>
                <w:noProof/>
                <w:szCs w:val="22"/>
                <w:lang w:eastAsia="en-US"/>
              </w:rPr>
              <w:t>32 (53)</w:t>
            </w:r>
          </w:p>
        </w:tc>
      </w:tr>
      <w:tr w:rsidR="009F5F6A" w14:paraId="509B1944" w14:textId="77777777">
        <w:trPr>
          <w:trHeight w:val="506"/>
        </w:trPr>
        <w:tc>
          <w:tcPr>
            <w:tcW w:w="0" w:type="auto"/>
            <w:vMerge/>
            <w:tcBorders>
              <w:top w:val="nil"/>
              <w:left w:val="single" w:sz="4" w:space="0" w:color="000000"/>
              <w:bottom w:val="single" w:sz="4" w:space="0" w:color="000000"/>
              <w:right w:val="single" w:sz="4" w:space="0" w:color="000000"/>
            </w:tcBorders>
          </w:tcPr>
          <w:p w14:paraId="2595C21E" w14:textId="77777777" w:rsidR="009F5F6A" w:rsidRDefault="009F5F6A">
            <w:pPr>
              <w:rPr>
                <w:noProof/>
                <w:szCs w:val="22"/>
                <w:lang w:eastAsia="en-US"/>
              </w:rPr>
            </w:pPr>
          </w:p>
        </w:tc>
        <w:tc>
          <w:tcPr>
            <w:tcW w:w="3003" w:type="dxa"/>
            <w:gridSpan w:val="2"/>
            <w:tcBorders>
              <w:top w:val="single" w:sz="4" w:space="0" w:color="000000"/>
              <w:left w:val="single" w:sz="4" w:space="0" w:color="000000"/>
              <w:bottom w:val="single" w:sz="4" w:space="0" w:color="000000"/>
              <w:right w:val="single" w:sz="4" w:space="0" w:color="000000"/>
            </w:tcBorders>
            <w:vAlign w:val="center"/>
          </w:tcPr>
          <w:p w14:paraId="7D44B9DC" w14:textId="77777777" w:rsidR="009F5F6A" w:rsidRDefault="00962A10">
            <w:pPr>
              <w:keepNext/>
              <w:keepLines/>
              <w:widowControl w:val="0"/>
              <w:jc w:val="center"/>
              <w:rPr>
                <w:noProof/>
                <w:szCs w:val="22"/>
                <w:lang w:eastAsia="en-US"/>
              </w:rPr>
            </w:pPr>
            <w:r>
              <w:rPr>
                <w:noProof/>
                <w:szCs w:val="22"/>
                <w:lang w:eastAsia="en-US"/>
              </w:rPr>
              <w:t>0,002</w:t>
            </w:r>
          </w:p>
        </w:tc>
      </w:tr>
      <w:tr w:rsidR="009F5F6A" w14:paraId="594EA829" w14:textId="77777777">
        <w:trPr>
          <w:trHeight w:val="263"/>
        </w:trPr>
        <w:tc>
          <w:tcPr>
            <w:tcW w:w="6059" w:type="dxa"/>
            <w:vMerge w:val="restart"/>
            <w:tcBorders>
              <w:top w:val="single" w:sz="4" w:space="0" w:color="000000"/>
              <w:left w:val="single" w:sz="4" w:space="0" w:color="000000"/>
              <w:bottom w:val="single" w:sz="4" w:space="0" w:color="000000"/>
              <w:right w:val="single" w:sz="4" w:space="0" w:color="000000"/>
            </w:tcBorders>
          </w:tcPr>
          <w:p w14:paraId="692538B7" w14:textId="77777777" w:rsidR="009F5F6A" w:rsidRDefault="00962A10">
            <w:pPr>
              <w:rPr>
                <w:noProof/>
                <w:szCs w:val="22"/>
                <w:lang w:eastAsia="en-US"/>
              </w:rPr>
            </w:pPr>
            <w:r>
              <w:rPr>
                <w:snapToGrid/>
                <w:szCs w:val="22"/>
                <w:lang w:val="hu-HU" w:eastAsia="en-GB"/>
              </w:rPr>
              <w:t>Mentő terápiát igénylő betegek, n (%)</w:t>
            </w:r>
          </w:p>
          <w:p w14:paraId="53FDBDB7" w14:textId="77777777" w:rsidR="009F5F6A" w:rsidRDefault="00962A10">
            <w:pPr>
              <w:rPr>
                <w:noProof/>
                <w:szCs w:val="22"/>
                <w:lang w:eastAsia="en-US"/>
              </w:rPr>
            </w:pPr>
            <w:r>
              <w:rPr>
                <w:noProof/>
                <w:szCs w:val="22"/>
                <w:lang w:eastAsia="en-US"/>
              </w:rPr>
              <w:tab/>
            </w:r>
            <w:r>
              <w:rPr>
                <w:i/>
                <w:noProof/>
                <w:szCs w:val="22"/>
                <w:lang w:eastAsia="en-US"/>
              </w:rPr>
              <w:t>p-</w:t>
            </w:r>
            <w:r>
              <w:rPr>
                <w:noProof/>
                <w:szCs w:val="22"/>
                <w:lang w:eastAsia="en-US"/>
              </w:rPr>
              <w:t>érték</w:t>
            </w:r>
            <w:r>
              <w:rPr>
                <w:noProof/>
                <w:szCs w:val="22"/>
                <w:vertAlign w:val="superscript"/>
                <w:lang w:eastAsia="en-US"/>
              </w:rPr>
              <w:t>a</w:t>
            </w:r>
          </w:p>
        </w:tc>
        <w:tc>
          <w:tcPr>
            <w:tcW w:w="1656" w:type="dxa"/>
            <w:tcBorders>
              <w:top w:val="single" w:sz="4" w:space="0" w:color="000000"/>
              <w:left w:val="single" w:sz="4" w:space="0" w:color="000000"/>
              <w:bottom w:val="single" w:sz="4" w:space="0" w:color="000000"/>
              <w:right w:val="single" w:sz="4" w:space="0" w:color="000000"/>
            </w:tcBorders>
          </w:tcPr>
          <w:p w14:paraId="4863EB46" w14:textId="77777777" w:rsidR="009F5F6A" w:rsidRDefault="00962A10">
            <w:pPr>
              <w:keepNext/>
              <w:keepLines/>
              <w:widowControl w:val="0"/>
              <w:jc w:val="center"/>
              <w:rPr>
                <w:noProof/>
                <w:szCs w:val="22"/>
                <w:lang w:eastAsia="en-US"/>
              </w:rPr>
            </w:pPr>
            <w:r>
              <w:rPr>
                <w:noProof/>
                <w:szCs w:val="22"/>
                <w:lang w:eastAsia="en-US"/>
              </w:rPr>
              <w:t>24 (18)</w:t>
            </w:r>
          </w:p>
        </w:tc>
        <w:tc>
          <w:tcPr>
            <w:tcW w:w="1347" w:type="dxa"/>
            <w:tcBorders>
              <w:top w:val="single" w:sz="4" w:space="0" w:color="000000"/>
              <w:left w:val="single" w:sz="4" w:space="0" w:color="000000"/>
              <w:bottom w:val="single" w:sz="4" w:space="0" w:color="000000"/>
              <w:right w:val="single" w:sz="4" w:space="0" w:color="000000"/>
            </w:tcBorders>
          </w:tcPr>
          <w:p w14:paraId="3C45B572" w14:textId="77777777" w:rsidR="009F5F6A" w:rsidRDefault="00962A10">
            <w:pPr>
              <w:keepNext/>
              <w:keepLines/>
              <w:widowControl w:val="0"/>
              <w:jc w:val="center"/>
              <w:rPr>
                <w:noProof/>
                <w:szCs w:val="22"/>
                <w:lang w:eastAsia="en-US"/>
              </w:rPr>
            </w:pPr>
            <w:r>
              <w:rPr>
                <w:noProof/>
                <w:szCs w:val="22"/>
                <w:lang w:eastAsia="en-US"/>
              </w:rPr>
              <w:t>25 (40)</w:t>
            </w:r>
          </w:p>
        </w:tc>
      </w:tr>
      <w:tr w:rsidR="009F5F6A" w14:paraId="7BCA9EF8" w14:textId="77777777">
        <w:trPr>
          <w:trHeight w:val="263"/>
        </w:trPr>
        <w:tc>
          <w:tcPr>
            <w:tcW w:w="0" w:type="auto"/>
            <w:vMerge/>
            <w:tcBorders>
              <w:top w:val="nil"/>
              <w:left w:val="single" w:sz="4" w:space="0" w:color="000000"/>
              <w:bottom w:val="single" w:sz="4" w:space="0" w:color="000000"/>
              <w:right w:val="single" w:sz="4" w:space="0" w:color="000000"/>
            </w:tcBorders>
          </w:tcPr>
          <w:p w14:paraId="39960D41" w14:textId="77777777" w:rsidR="009F5F6A" w:rsidRDefault="009F5F6A">
            <w:pPr>
              <w:rPr>
                <w:noProof/>
                <w:szCs w:val="22"/>
                <w:lang w:eastAsia="en-US"/>
              </w:rPr>
            </w:pPr>
          </w:p>
        </w:tc>
        <w:tc>
          <w:tcPr>
            <w:tcW w:w="3003" w:type="dxa"/>
            <w:gridSpan w:val="2"/>
            <w:tcBorders>
              <w:top w:val="single" w:sz="4" w:space="0" w:color="000000"/>
              <w:left w:val="single" w:sz="4" w:space="0" w:color="000000"/>
              <w:bottom w:val="single" w:sz="4" w:space="0" w:color="000000"/>
              <w:right w:val="single" w:sz="4" w:space="0" w:color="000000"/>
            </w:tcBorders>
          </w:tcPr>
          <w:p w14:paraId="4C8740B8" w14:textId="77777777" w:rsidR="009F5F6A" w:rsidRDefault="00962A10">
            <w:pPr>
              <w:keepNext/>
              <w:keepLines/>
              <w:widowControl w:val="0"/>
              <w:jc w:val="center"/>
              <w:rPr>
                <w:noProof/>
                <w:szCs w:val="22"/>
                <w:lang w:eastAsia="en-US"/>
              </w:rPr>
            </w:pPr>
            <w:r>
              <w:rPr>
                <w:noProof/>
                <w:szCs w:val="22"/>
                <w:lang w:eastAsia="en-US"/>
              </w:rPr>
              <w:t>0,001</w:t>
            </w:r>
          </w:p>
        </w:tc>
      </w:tr>
      <w:tr w:rsidR="009F5F6A" w14:paraId="42F227EF" w14:textId="77777777">
        <w:trPr>
          <w:trHeight w:val="263"/>
        </w:trPr>
        <w:tc>
          <w:tcPr>
            <w:tcW w:w="6059" w:type="dxa"/>
            <w:tcBorders>
              <w:top w:val="single" w:sz="4" w:space="0" w:color="000000"/>
              <w:left w:val="single" w:sz="4" w:space="0" w:color="000000"/>
              <w:bottom w:val="single" w:sz="4" w:space="0" w:color="000000"/>
              <w:right w:val="single" w:sz="4" w:space="0" w:color="000000"/>
            </w:tcBorders>
          </w:tcPr>
          <w:p w14:paraId="27417EEA" w14:textId="77777777" w:rsidR="009F5F6A" w:rsidRDefault="00962A10">
            <w:pPr>
              <w:rPr>
                <w:noProof/>
                <w:szCs w:val="22"/>
                <w:lang w:eastAsia="en-US"/>
              </w:rPr>
            </w:pPr>
            <w:r>
              <w:rPr>
                <w:snapToGrid/>
                <w:szCs w:val="22"/>
                <w:lang w:val="hu-HU" w:eastAsia="en-GB"/>
              </w:rPr>
              <w:t>A vizsgálat indításakor ITP miatt kezelést kapott betegek (n)</w:t>
            </w:r>
          </w:p>
        </w:tc>
        <w:tc>
          <w:tcPr>
            <w:tcW w:w="1656" w:type="dxa"/>
            <w:tcBorders>
              <w:top w:val="single" w:sz="4" w:space="0" w:color="000000"/>
              <w:left w:val="single" w:sz="4" w:space="0" w:color="000000"/>
              <w:bottom w:val="single" w:sz="4" w:space="0" w:color="000000"/>
              <w:right w:val="single" w:sz="4" w:space="0" w:color="000000"/>
            </w:tcBorders>
          </w:tcPr>
          <w:p w14:paraId="16AEA35D" w14:textId="77777777" w:rsidR="009F5F6A" w:rsidRDefault="00962A10">
            <w:pPr>
              <w:keepNext/>
              <w:keepLines/>
              <w:widowControl w:val="0"/>
              <w:jc w:val="center"/>
              <w:rPr>
                <w:noProof/>
                <w:szCs w:val="22"/>
                <w:lang w:eastAsia="en-US"/>
              </w:rPr>
            </w:pPr>
            <w:r>
              <w:rPr>
                <w:noProof/>
                <w:szCs w:val="22"/>
                <w:lang w:eastAsia="en-US"/>
              </w:rPr>
              <w:t>63</w:t>
            </w:r>
          </w:p>
        </w:tc>
        <w:tc>
          <w:tcPr>
            <w:tcW w:w="1347" w:type="dxa"/>
            <w:tcBorders>
              <w:top w:val="single" w:sz="4" w:space="0" w:color="000000"/>
              <w:left w:val="single" w:sz="4" w:space="0" w:color="000000"/>
              <w:bottom w:val="single" w:sz="4" w:space="0" w:color="000000"/>
              <w:right w:val="single" w:sz="4" w:space="0" w:color="000000"/>
            </w:tcBorders>
          </w:tcPr>
          <w:p w14:paraId="44BDDDC8" w14:textId="77777777" w:rsidR="009F5F6A" w:rsidRDefault="00962A10">
            <w:pPr>
              <w:keepNext/>
              <w:keepLines/>
              <w:widowControl w:val="0"/>
              <w:jc w:val="center"/>
              <w:rPr>
                <w:noProof/>
                <w:szCs w:val="22"/>
                <w:lang w:eastAsia="en-US"/>
              </w:rPr>
            </w:pPr>
            <w:r>
              <w:rPr>
                <w:noProof/>
                <w:szCs w:val="22"/>
                <w:lang w:eastAsia="en-US"/>
              </w:rPr>
              <w:t>31</w:t>
            </w:r>
          </w:p>
        </w:tc>
      </w:tr>
      <w:tr w:rsidR="009F5F6A" w14:paraId="0552100D" w14:textId="77777777">
        <w:trPr>
          <w:trHeight w:val="263"/>
        </w:trPr>
        <w:tc>
          <w:tcPr>
            <w:tcW w:w="6059" w:type="dxa"/>
            <w:vMerge w:val="restart"/>
            <w:tcBorders>
              <w:top w:val="single" w:sz="4" w:space="0" w:color="000000"/>
              <w:left w:val="single" w:sz="4" w:space="0" w:color="000000"/>
              <w:bottom w:val="single" w:sz="4" w:space="0" w:color="000000"/>
              <w:right w:val="single" w:sz="4" w:space="0" w:color="000000"/>
            </w:tcBorders>
          </w:tcPr>
          <w:p w14:paraId="5EF2D357" w14:textId="77777777" w:rsidR="009F5F6A" w:rsidRDefault="00962A10">
            <w:pPr>
              <w:tabs>
                <w:tab w:val="clear" w:pos="567"/>
              </w:tabs>
              <w:autoSpaceDE w:val="0"/>
              <w:autoSpaceDN w:val="0"/>
              <w:adjustRightInd w:val="0"/>
              <w:spacing w:line="240" w:lineRule="auto"/>
              <w:rPr>
                <w:noProof/>
                <w:szCs w:val="22"/>
                <w:lang w:eastAsia="en-US"/>
              </w:rPr>
            </w:pPr>
            <w:r>
              <w:rPr>
                <w:snapToGrid/>
                <w:szCs w:val="22"/>
                <w:lang w:val="hu-HU" w:eastAsia="en-GB"/>
              </w:rPr>
              <w:t xml:space="preserve">A vizsgálat indításakor kapott gyógyszerek csökkentését vagy abbahagyását megpróbáló betegek, n </w:t>
            </w:r>
            <w:r>
              <w:rPr>
                <w:noProof/>
                <w:szCs w:val="22"/>
                <w:lang w:eastAsia="en-US"/>
              </w:rPr>
              <w:t>(%)</w:t>
            </w:r>
            <w:r>
              <w:rPr>
                <w:noProof/>
                <w:szCs w:val="22"/>
                <w:vertAlign w:val="superscript"/>
                <w:lang w:eastAsia="en-US"/>
              </w:rPr>
              <w:t>b</w:t>
            </w:r>
          </w:p>
          <w:p w14:paraId="24A29071" w14:textId="77777777" w:rsidR="009F5F6A" w:rsidRDefault="00962A10">
            <w:pPr>
              <w:rPr>
                <w:noProof/>
                <w:szCs w:val="22"/>
                <w:lang w:eastAsia="en-US"/>
              </w:rPr>
            </w:pPr>
            <w:r>
              <w:rPr>
                <w:noProof/>
                <w:szCs w:val="22"/>
                <w:lang w:eastAsia="en-US"/>
              </w:rPr>
              <w:tab/>
            </w:r>
            <w:r>
              <w:rPr>
                <w:i/>
                <w:noProof/>
                <w:szCs w:val="22"/>
                <w:lang w:eastAsia="en-US"/>
              </w:rPr>
              <w:t>p-</w:t>
            </w:r>
            <w:r>
              <w:rPr>
                <w:noProof/>
                <w:szCs w:val="22"/>
                <w:lang w:eastAsia="en-US"/>
              </w:rPr>
              <w:t>érték</w:t>
            </w:r>
            <w:r>
              <w:rPr>
                <w:noProof/>
                <w:szCs w:val="22"/>
                <w:vertAlign w:val="superscript"/>
                <w:lang w:eastAsia="en-US"/>
              </w:rPr>
              <w:t>a</w:t>
            </w:r>
          </w:p>
        </w:tc>
        <w:tc>
          <w:tcPr>
            <w:tcW w:w="1656" w:type="dxa"/>
            <w:tcBorders>
              <w:top w:val="single" w:sz="4" w:space="0" w:color="000000"/>
              <w:left w:val="single" w:sz="4" w:space="0" w:color="000000"/>
              <w:bottom w:val="single" w:sz="4" w:space="0" w:color="000000"/>
              <w:right w:val="single" w:sz="4" w:space="0" w:color="000000"/>
            </w:tcBorders>
          </w:tcPr>
          <w:p w14:paraId="0B8BFEBE" w14:textId="77777777" w:rsidR="009F5F6A" w:rsidRDefault="00962A10">
            <w:pPr>
              <w:keepNext/>
              <w:keepLines/>
              <w:widowControl w:val="0"/>
              <w:jc w:val="center"/>
              <w:rPr>
                <w:noProof/>
                <w:szCs w:val="22"/>
                <w:lang w:eastAsia="en-US"/>
              </w:rPr>
            </w:pPr>
            <w:r>
              <w:rPr>
                <w:noProof/>
                <w:szCs w:val="22"/>
                <w:lang w:eastAsia="en-US"/>
              </w:rPr>
              <w:t>37 (59)</w:t>
            </w:r>
          </w:p>
        </w:tc>
        <w:tc>
          <w:tcPr>
            <w:tcW w:w="1347" w:type="dxa"/>
            <w:tcBorders>
              <w:top w:val="single" w:sz="4" w:space="0" w:color="000000"/>
              <w:left w:val="single" w:sz="4" w:space="0" w:color="000000"/>
              <w:bottom w:val="single" w:sz="4" w:space="0" w:color="000000"/>
              <w:right w:val="single" w:sz="4" w:space="0" w:color="000000"/>
            </w:tcBorders>
          </w:tcPr>
          <w:p w14:paraId="14B881A3" w14:textId="77777777" w:rsidR="009F5F6A" w:rsidRDefault="00962A10">
            <w:pPr>
              <w:keepNext/>
              <w:keepLines/>
              <w:widowControl w:val="0"/>
              <w:jc w:val="center"/>
              <w:rPr>
                <w:noProof/>
                <w:szCs w:val="22"/>
                <w:lang w:eastAsia="en-US"/>
              </w:rPr>
            </w:pPr>
            <w:r>
              <w:rPr>
                <w:noProof/>
                <w:szCs w:val="22"/>
                <w:lang w:eastAsia="en-US"/>
              </w:rPr>
              <w:t>10 (32)</w:t>
            </w:r>
          </w:p>
        </w:tc>
      </w:tr>
      <w:tr w:rsidR="009F5F6A" w14:paraId="0BE539BD" w14:textId="77777777">
        <w:trPr>
          <w:trHeight w:val="506"/>
        </w:trPr>
        <w:tc>
          <w:tcPr>
            <w:tcW w:w="0" w:type="auto"/>
            <w:vMerge/>
            <w:tcBorders>
              <w:top w:val="nil"/>
              <w:left w:val="single" w:sz="4" w:space="0" w:color="000000"/>
              <w:bottom w:val="single" w:sz="4" w:space="0" w:color="000000"/>
              <w:right w:val="single" w:sz="4" w:space="0" w:color="000000"/>
            </w:tcBorders>
          </w:tcPr>
          <w:p w14:paraId="383E814A" w14:textId="77777777" w:rsidR="009F5F6A" w:rsidRDefault="009F5F6A">
            <w:pPr>
              <w:keepNext/>
              <w:keepLines/>
              <w:widowControl w:val="0"/>
              <w:rPr>
                <w:noProof/>
                <w:szCs w:val="22"/>
                <w:lang w:eastAsia="en-US"/>
              </w:rPr>
            </w:pPr>
          </w:p>
        </w:tc>
        <w:tc>
          <w:tcPr>
            <w:tcW w:w="3003" w:type="dxa"/>
            <w:gridSpan w:val="2"/>
            <w:tcBorders>
              <w:top w:val="single" w:sz="4" w:space="0" w:color="000000"/>
              <w:left w:val="single" w:sz="4" w:space="0" w:color="000000"/>
              <w:bottom w:val="single" w:sz="4" w:space="0" w:color="000000"/>
              <w:right w:val="single" w:sz="4" w:space="0" w:color="000000"/>
            </w:tcBorders>
            <w:vAlign w:val="center"/>
          </w:tcPr>
          <w:p w14:paraId="50F2C10F" w14:textId="77777777" w:rsidR="009F5F6A" w:rsidRDefault="00962A10">
            <w:pPr>
              <w:keepNext/>
              <w:keepLines/>
              <w:widowControl w:val="0"/>
              <w:jc w:val="center"/>
              <w:rPr>
                <w:noProof/>
                <w:szCs w:val="22"/>
                <w:lang w:eastAsia="en-US"/>
              </w:rPr>
            </w:pPr>
            <w:r>
              <w:rPr>
                <w:noProof/>
                <w:szCs w:val="22"/>
                <w:lang w:eastAsia="en-US"/>
              </w:rPr>
              <w:t>0,016</w:t>
            </w:r>
          </w:p>
        </w:tc>
      </w:tr>
    </w:tbl>
    <w:p w14:paraId="73E4C09A" w14:textId="77777777" w:rsidR="009F5F6A" w:rsidRDefault="00962A10">
      <w:pPr>
        <w:rPr>
          <w:noProof/>
          <w:szCs w:val="22"/>
          <w:lang w:eastAsia="en-US"/>
        </w:rPr>
      </w:pPr>
      <w:r>
        <w:rPr>
          <w:noProof/>
          <w:szCs w:val="22"/>
          <w:vertAlign w:val="superscript"/>
          <w:lang w:eastAsia="en-US"/>
        </w:rPr>
        <w:t>a</w:t>
      </w:r>
      <w:r>
        <w:rPr>
          <w:noProof/>
          <w:szCs w:val="22"/>
          <w:lang w:eastAsia="en-US"/>
        </w:rPr>
        <w:t xml:space="preserve"> </w:t>
      </w:r>
      <w:r>
        <w:rPr>
          <w:snapToGrid/>
          <w:szCs w:val="22"/>
          <w:lang w:val="hu-HU" w:eastAsia="en-GB"/>
        </w:rPr>
        <w:t>Randomizációs stratifikációs változókkal korrigált logisztikai regressziós modell</w:t>
      </w:r>
    </w:p>
    <w:p w14:paraId="29BDD5F3" w14:textId="77777777" w:rsidR="009F5F6A" w:rsidRDefault="00962A10">
      <w:pPr>
        <w:tabs>
          <w:tab w:val="clear" w:pos="567"/>
        </w:tabs>
        <w:autoSpaceDE w:val="0"/>
        <w:autoSpaceDN w:val="0"/>
        <w:adjustRightInd w:val="0"/>
        <w:spacing w:line="240" w:lineRule="auto"/>
        <w:rPr>
          <w:noProof/>
          <w:szCs w:val="22"/>
          <w:lang w:eastAsia="en-US"/>
        </w:rPr>
      </w:pPr>
      <w:r>
        <w:rPr>
          <w:noProof/>
          <w:szCs w:val="22"/>
          <w:vertAlign w:val="superscript"/>
          <w:lang w:eastAsia="en-US"/>
        </w:rPr>
        <w:t>b</w:t>
      </w:r>
      <w:r>
        <w:rPr>
          <w:noProof/>
          <w:szCs w:val="22"/>
          <w:lang w:eastAsia="en-US"/>
        </w:rPr>
        <w:t xml:space="preserve"> </w:t>
      </w:r>
      <w:proofErr w:type="gramStart"/>
      <w:r>
        <w:rPr>
          <w:snapToGrid/>
          <w:szCs w:val="22"/>
          <w:lang w:val="hu-HU" w:eastAsia="en-GB"/>
        </w:rPr>
        <w:t>Az</w:t>
      </w:r>
      <w:proofErr w:type="gramEnd"/>
      <w:r>
        <w:rPr>
          <w:snapToGrid/>
          <w:szCs w:val="22"/>
          <w:lang w:val="hu-HU" w:eastAsia="en-GB"/>
        </w:rPr>
        <w:t xml:space="preserve"> eltrombopaggal kezelt 63 beteg közül, akik a vizsgálat indításakor az ITP kezelésére gyógyszert szedtek, 21 (33%) tartósan abbahagyta az összes, kiinduláskor ITP-re alkalmazott gyógyszert.</w:t>
      </w:r>
    </w:p>
    <w:p w14:paraId="72C58472" w14:textId="77777777" w:rsidR="009F5F6A" w:rsidRDefault="009F5F6A">
      <w:pPr>
        <w:spacing w:line="240" w:lineRule="auto"/>
        <w:rPr>
          <w:u w:val="single"/>
          <w:lang w:val="hu-HU"/>
        </w:rPr>
      </w:pPr>
    </w:p>
    <w:p w14:paraId="1E76F9F5"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vizsgálat indításakor minden kezelési csoportban az ITP-s betegek több mint 70%-a számolt be vérzésről (WHO 1-4. fokozat), és több mint 20% számolt be klinikailag jelentős vérzésről (WHO 2-4. fokozat). A bármilyen vérzést (1-4. fokozat) és a klinikailag jelentős vérzést (2-4. fokozat) észlelő, eltrombopagot kapó betegek aránya megközelítőleg 50%-kal csökkent a kiindulási értékhez képest a 15. naptól kezdődően a 6 hónapos kezelés alatt, a kezelés végéig.</w:t>
      </w:r>
    </w:p>
    <w:p w14:paraId="555FFF40" w14:textId="77777777" w:rsidR="009F5F6A" w:rsidRDefault="009F5F6A">
      <w:pPr>
        <w:tabs>
          <w:tab w:val="clear" w:pos="567"/>
        </w:tabs>
        <w:autoSpaceDE w:val="0"/>
        <w:autoSpaceDN w:val="0"/>
        <w:adjustRightInd w:val="0"/>
        <w:spacing w:line="240" w:lineRule="auto"/>
        <w:rPr>
          <w:snapToGrid/>
          <w:szCs w:val="22"/>
          <w:lang w:val="hu-HU" w:eastAsia="en-GB"/>
        </w:rPr>
      </w:pPr>
    </w:p>
    <w:p w14:paraId="5ED00C85" w14:textId="77777777" w:rsidR="009F5F6A" w:rsidRDefault="00962A10">
      <w:pPr>
        <w:tabs>
          <w:tab w:val="clear" w:pos="567"/>
        </w:tabs>
        <w:autoSpaceDE w:val="0"/>
        <w:autoSpaceDN w:val="0"/>
        <w:adjustRightInd w:val="0"/>
        <w:spacing w:line="240" w:lineRule="auto"/>
        <w:rPr>
          <w:u w:val="single"/>
          <w:lang w:val="hu-HU"/>
        </w:rPr>
      </w:pPr>
      <w:proofErr w:type="gramStart"/>
      <w:r>
        <w:rPr>
          <w:snapToGrid/>
          <w:szCs w:val="22"/>
          <w:lang w:val="hu-HU" w:eastAsia="en-GB"/>
        </w:rPr>
        <w:t xml:space="preserve">TRA100773B: Az elsődleges hatásossági végpont a válaszadók aránya volt, akik a definíció szerint olyan, ITP-s betegek voltak, akiknek a vérlemezkeszáma </w:t>
      </w:r>
      <w:r>
        <w:rPr>
          <w:szCs w:val="22"/>
          <w:lang w:val="hu-HU"/>
        </w:rPr>
        <w:t>≥</w:t>
      </w:r>
      <w:r>
        <w:rPr>
          <w:snapToGrid/>
          <w:szCs w:val="22"/>
          <w:lang w:val="hu-HU" w:eastAsia="en-GB"/>
        </w:rPr>
        <w:t>50 000/mikroliter értékre emelkedett a 43. napon a kiinduláskor mért &lt;30 000/mikroliterről; a vizsgálatból 200 000/mikroliternél magasabb vérlemezkeszám miatt idő előtt kivont betegeket válaszadónak tekintették, azokat, akik más okból léptek ki vizsgálatból, választ nem adónak tekintették, tekintet nélkül a vérlemezkeszámra.</w:t>
      </w:r>
      <w:proofErr w:type="gramEnd"/>
      <w:r>
        <w:rPr>
          <w:snapToGrid/>
          <w:szCs w:val="22"/>
          <w:lang w:val="hu-HU" w:eastAsia="en-GB"/>
        </w:rPr>
        <w:t xml:space="preserve"> Összesen 114, korábban ITP miatt kezelt beteget randomizáltak 2:1 arányban eltrombopagra (n = 76) és placebora (n = 38).</w:t>
      </w:r>
    </w:p>
    <w:p w14:paraId="6E7D3516" w14:textId="77777777" w:rsidR="009F5F6A" w:rsidRDefault="009F5F6A">
      <w:pPr>
        <w:spacing w:line="240" w:lineRule="auto"/>
        <w:rPr>
          <w:u w:val="single"/>
          <w:lang w:val="hu-HU"/>
        </w:rPr>
      </w:pPr>
    </w:p>
    <w:p w14:paraId="546A86F9" w14:textId="77777777" w:rsidR="009F5F6A" w:rsidRDefault="00962A10">
      <w:pPr>
        <w:tabs>
          <w:tab w:val="clear" w:pos="567"/>
          <w:tab w:val="left" w:pos="1418"/>
        </w:tabs>
        <w:spacing w:line="240" w:lineRule="auto"/>
        <w:rPr>
          <w:u w:val="single"/>
          <w:lang w:val="hu-HU"/>
        </w:rPr>
      </w:pPr>
      <w:r>
        <w:rPr>
          <w:b/>
          <w:bCs/>
          <w:snapToGrid/>
          <w:szCs w:val="22"/>
          <w:lang w:val="hu-HU" w:eastAsia="en-GB"/>
        </w:rPr>
        <w:t>4. táblázat</w:t>
      </w:r>
      <w:r>
        <w:rPr>
          <w:b/>
          <w:bCs/>
          <w:snapToGrid/>
          <w:szCs w:val="22"/>
          <w:lang w:val="hu-HU" w:eastAsia="en-GB"/>
        </w:rPr>
        <w:tab/>
        <w:t>A TRA100773B vizsgálat hatásossági eredményei</w:t>
      </w:r>
    </w:p>
    <w:p w14:paraId="15C8F393" w14:textId="77777777" w:rsidR="009F5F6A" w:rsidRDefault="009F5F6A">
      <w:pPr>
        <w:spacing w:line="240" w:lineRule="auto"/>
        <w:rPr>
          <w:u w:val="single"/>
          <w:lang w:val="hu-HU"/>
        </w:rPr>
      </w:pPr>
    </w:p>
    <w:tbl>
      <w:tblPr>
        <w:tblW w:w="9062" w:type="dxa"/>
        <w:tblInd w:w="5" w:type="dxa"/>
        <w:tblCellMar>
          <w:top w:w="13" w:type="dxa"/>
          <w:bottom w:w="7" w:type="dxa"/>
          <w:right w:w="189" w:type="dxa"/>
        </w:tblCellMar>
        <w:tblLook w:val="04A0" w:firstRow="1" w:lastRow="0" w:firstColumn="1" w:lastColumn="0" w:noHBand="0" w:noVBand="1"/>
      </w:tblPr>
      <w:tblGrid>
        <w:gridCol w:w="5750"/>
        <w:gridCol w:w="1710"/>
        <w:gridCol w:w="1602"/>
      </w:tblGrid>
      <w:tr w:rsidR="009F5F6A" w14:paraId="4833254F" w14:textId="77777777">
        <w:trPr>
          <w:trHeight w:val="516"/>
        </w:trPr>
        <w:tc>
          <w:tcPr>
            <w:tcW w:w="5750" w:type="dxa"/>
            <w:tcBorders>
              <w:top w:val="single" w:sz="4" w:space="0" w:color="000000"/>
              <w:left w:val="single" w:sz="4" w:space="0" w:color="000000"/>
              <w:bottom w:val="single" w:sz="4" w:space="0" w:color="000000"/>
              <w:right w:val="single" w:sz="4" w:space="0" w:color="000000"/>
            </w:tcBorders>
            <w:vAlign w:val="bottom"/>
          </w:tcPr>
          <w:p w14:paraId="5934FE35" w14:textId="77777777" w:rsidR="009F5F6A" w:rsidRDefault="009F5F6A">
            <w:pPr>
              <w:rPr>
                <w:noProof/>
                <w:szCs w:val="22"/>
                <w:lang w:val="hu-HU" w:eastAsia="en-US"/>
              </w:rPr>
            </w:pPr>
          </w:p>
        </w:tc>
        <w:tc>
          <w:tcPr>
            <w:tcW w:w="1710" w:type="dxa"/>
            <w:tcBorders>
              <w:top w:val="single" w:sz="4" w:space="0" w:color="000000"/>
              <w:left w:val="single" w:sz="4" w:space="0" w:color="000000"/>
              <w:bottom w:val="single" w:sz="4" w:space="0" w:color="000000"/>
              <w:right w:val="single" w:sz="4" w:space="0" w:color="000000"/>
            </w:tcBorders>
          </w:tcPr>
          <w:p w14:paraId="61090CBF" w14:textId="77777777" w:rsidR="009F5F6A" w:rsidRDefault="00962A10">
            <w:pPr>
              <w:keepNext/>
              <w:keepLines/>
              <w:widowControl w:val="0"/>
              <w:jc w:val="center"/>
              <w:rPr>
                <w:noProof/>
                <w:szCs w:val="22"/>
                <w:lang w:eastAsia="en-US"/>
              </w:rPr>
            </w:pPr>
            <w:r>
              <w:rPr>
                <w:noProof/>
                <w:szCs w:val="22"/>
                <w:lang w:eastAsia="en-US"/>
              </w:rPr>
              <w:t>Eltrombopag n = 74</w:t>
            </w:r>
          </w:p>
        </w:tc>
        <w:tc>
          <w:tcPr>
            <w:tcW w:w="1602" w:type="dxa"/>
            <w:tcBorders>
              <w:top w:val="single" w:sz="4" w:space="0" w:color="000000"/>
              <w:left w:val="single" w:sz="4" w:space="0" w:color="000000"/>
              <w:bottom w:val="single" w:sz="4" w:space="0" w:color="000000"/>
              <w:right w:val="single" w:sz="4" w:space="0" w:color="000000"/>
            </w:tcBorders>
          </w:tcPr>
          <w:p w14:paraId="333ADEE5" w14:textId="77777777" w:rsidR="009F5F6A" w:rsidRDefault="00962A10">
            <w:pPr>
              <w:keepNext/>
              <w:keepLines/>
              <w:widowControl w:val="0"/>
              <w:jc w:val="center"/>
              <w:rPr>
                <w:noProof/>
                <w:szCs w:val="22"/>
                <w:lang w:eastAsia="en-US"/>
              </w:rPr>
            </w:pPr>
            <w:r>
              <w:rPr>
                <w:noProof/>
                <w:szCs w:val="22"/>
                <w:lang w:eastAsia="en-US"/>
              </w:rPr>
              <w:t xml:space="preserve">Placebo </w:t>
            </w:r>
          </w:p>
          <w:p w14:paraId="7485B30E" w14:textId="77777777" w:rsidR="009F5F6A" w:rsidRDefault="00962A10">
            <w:pPr>
              <w:keepNext/>
              <w:keepLines/>
              <w:widowControl w:val="0"/>
              <w:jc w:val="center"/>
              <w:rPr>
                <w:noProof/>
                <w:szCs w:val="22"/>
                <w:lang w:eastAsia="en-US"/>
              </w:rPr>
            </w:pPr>
            <w:r>
              <w:rPr>
                <w:noProof/>
                <w:szCs w:val="22"/>
                <w:lang w:eastAsia="en-US"/>
              </w:rPr>
              <w:t>n = 38</w:t>
            </w:r>
          </w:p>
        </w:tc>
      </w:tr>
      <w:tr w:rsidR="009F5F6A" w14:paraId="7EEA7E8F" w14:textId="77777777">
        <w:trPr>
          <w:trHeight w:val="263"/>
        </w:trPr>
        <w:tc>
          <w:tcPr>
            <w:tcW w:w="5750" w:type="dxa"/>
            <w:tcBorders>
              <w:top w:val="single" w:sz="4" w:space="0" w:color="000000"/>
              <w:left w:val="single" w:sz="4" w:space="0" w:color="000000"/>
              <w:bottom w:val="single" w:sz="4" w:space="0" w:color="000000"/>
              <w:right w:val="nil"/>
            </w:tcBorders>
          </w:tcPr>
          <w:p w14:paraId="6D2B200A" w14:textId="77777777" w:rsidR="009F5F6A" w:rsidRDefault="00962A10">
            <w:pPr>
              <w:rPr>
                <w:noProof/>
                <w:szCs w:val="22"/>
                <w:lang w:eastAsia="en-US"/>
              </w:rPr>
            </w:pPr>
            <w:r>
              <w:rPr>
                <w:snapToGrid/>
                <w:szCs w:val="22"/>
                <w:lang w:val="hu-HU" w:eastAsia="en-GB"/>
              </w:rPr>
              <w:t>A legfontosabb elsődleges végpontok</w:t>
            </w:r>
          </w:p>
        </w:tc>
        <w:tc>
          <w:tcPr>
            <w:tcW w:w="3312" w:type="dxa"/>
            <w:gridSpan w:val="2"/>
            <w:tcBorders>
              <w:top w:val="single" w:sz="4" w:space="0" w:color="000000"/>
              <w:left w:val="nil"/>
              <w:bottom w:val="single" w:sz="4" w:space="0" w:color="000000"/>
              <w:right w:val="single" w:sz="4" w:space="0" w:color="000000"/>
            </w:tcBorders>
          </w:tcPr>
          <w:p w14:paraId="2A78FF65" w14:textId="77777777" w:rsidR="009F5F6A" w:rsidRDefault="009F5F6A">
            <w:pPr>
              <w:keepNext/>
              <w:keepLines/>
              <w:widowControl w:val="0"/>
              <w:jc w:val="center"/>
              <w:rPr>
                <w:noProof/>
                <w:szCs w:val="22"/>
                <w:lang w:eastAsia="en-US"/>
              </w:rPr>
            </w:pPr>
          </w:p>
        </w:tc>
      </w:tr>
      <w:tr w:rsidR="009F5F6A" w14:paraId="112AEE28" w14:textId="77777777">
        <w:trPr>
          <w:trHeight w:val="264"/>
        </w:trPr>
        <w:tc>
          <w:tcPr>
            <w:tcW w:w="5750" w:type="dxa"/>
            <w:tcBorders>
              <w:top w:val="single" w:sz="4" w:space="0" w:color="000000"/>
              <w:left w:val="single" w:sz="4" w:space="0" w:color="000000"/>
              <w:bottom w:val="single" w:sz="4" w:space="0" w:color="000000"/>
              <w:right w:val="single" w:sz="4" w:space="0" w:color="000000"/>
            </w:tcBorders>
          </w:tcPr>
          <w:p w14:paraId="05062EFC" w14:textId="77777777" w:rsidR="009F5F6A" w:rsidRDefault="00962A10">
            <w:pPr>
              <w:rPr>
                <w:noProof/>
                <w:szCs w:val="22"/>
                <w:lang w:eastAsia="en-US"/>
              </w:rPr>
            </w:pPr>
            <w:r>
              <w:rPr>
                <w:snapToGrid/>
                <w:szCs w:val="22"/>
                <w:lang w:val="hu-HU" w:eastAsia="en-GB"/>
              </w:rPr>
              <w:t>Hatékonysági analízisre alkalmas, n</w:t>
            </w:r>
          </w:p>
        </w:tc>
        <w:tc>
          <w:tcPr>
            <w:tcW w:w="1710" w:type="dxa"/>
            <w:tcBorders>
              <w:top w:val="single" w:sz="4" w:space="0" w:color="000000"/>
              <w:left w:val="single" w:sz="4" w:space="0" w:color="000000"/>
              <w:bottom w:val="single" w:sz="4" w:space="0" w:color="000000"/>
              <w:right w:val="single" w:sz="4" w:space="0" w:color="000000"/>
            </w:tcBorders>
          </w:tcPr>
          <w:p w14:paraId="594536E9" w14:textId="77777777" w:rsidR="009F5F6A" w:rsidRDefault="00962A10">
            <w:pPr>
              <w:keepNext/>
              <w:keepLines/>
              <w:widowControl w:val="0"/>
              <w:jc w:val="center"/>
              <w:rPr>
                <w:noProof/>
                <w:szCs w:val="22"/>
                <w:lang w:eastAsia="en-US"/>
              </w:rPr>
            </w:pPr>
            <w:r>
              <w:rPr>
                <w:noProof/>
                <w:szCs w:val="22"/>
                <w:lang w:eastAsia="en-US"/>
              </w:rPr>
              <w:t>73</w:t>
            </w:r>
          </w:p>
        </w:tc>
        <w:tc>
          <w:tcPr>
            <w:tcW w:w="1602" w:type="dxa"/>
            <w:tcBorders>
              <w:top w:val="single" w:sz="4" w:space="0" w:color="000000"/>
              <w:left w:val="single" w:sz="4" w:space="0" w:color="000000"/>
              <w:bottom w:val="single" w:sz="4" w:space="0" w:color="000000"/>
              <w:right w:val="single" w:sz="4" w:space="0" w:color="000000"/>
            </w:tcBorders>
          </w:tcPr>
          <w:p w14:paraId="4F587FC8" w14:textId="77777777" w:rsidR="009F5F6A" w:rsidRDefault="00962A10">
            <w:pPr>
              <w:keepNext/>
              <w:keepLines/>
              <w:widowControl w:val="0"/>
              <w:jc w:val="center"/>
              <w:rPr>
                <w:noProof/>
                <w:szCs w:val="22"/>
                <w:lang w:eastAsia="en-US"/>
              </w:rPr>
            </w:pPr>
            <w:r>
              <w:rPr>
                <w:noProof/>
                <w:szCs w:val="22"/>
                <w:lang w:eastAsia="en-US"/>
              </w:rPr>
              <w:t>37</w:t>
            </w:r>
          </w:p>
        </w:tc>
      </w:tr>
      <w:tr w:rsidR="009F5F6A" w14:paraId="329CA27D" w14:textId="77777777">
        <w:trPr>
          <w:trHeight w:val="526"/>
        </w:trPr>
        <w:tc>
          <w:tcPr>
            <w:tcW w:w="5750" w:type="dxa"/>
            <w:vMerge w:val="restart"/>
            <w:tcBorders>
              <w:top w:val="single" w:sz="4" w:space="0" w:color="000000"/>
              <w:left w:val="single" w:sz="4" w:space="0" w:color="000000"/>
              <w:bottom w:val="single" w:sz="4" w:space="0" w:color="000000"/>
              <w:right w:val="single" w:sz="4" w:space="0" w:color="000000"/>
            </w:tcBorders>
          </w:tcPr>
          <w:p w14:paraId="36FF277C" w14:textId="77777777" w:rsidR="009F5F6A" w:rsidRDefault="00962A10">
            <w:pPr>
              <w:tabs>
                <w:tab w:val="clear" w:pos="567"/>
              </w:tabs>
              <w:autoSpaceDE w:val="0"/>
              <w:autoSpaceDN w:val="0"/>
              <w:adjustRightInd w:val="0"/>
              <w:spacing w:line="240" w:lineRule="auto"/>
              <w:rPr>
                <w:noProof/>
                <w:szCs w:val="22"/>
                <w:lang w:eastAsia="en-US"/>
              </w:rPr>
            </w:pPr>
            <w:r>
              <w:rPr>
                <w:snapToGrid/>
                <w:szCs w:val="22"/>
                <w:lang w:val="hu-HU" w:eastAsia="en-GB"/>
              </w:rPr>
              <w:t xml:space="preserve">Legfeljebb 42 napos adagolás után </w:t>
            </w:r>
            <w:r>
              <w:rPr>
                <w:noProof/>
                <w:szCs w:val="22"/>
                <w:lang w:eastAsia="en-US"/>
              </w:rPr>
              <w:t>≥</w:t>
            </w:r>
            <w:r>
              <w:rPr>
                <w:snapToGrid/>
                <w:szCs w:val="22"/>
                <w:lang w:val="hu-HU" w:eastAsia="en-GB"/>
              </w:rPr>
              <w:t>50 000/mikroliter vérlemezkeszámot elérő betegek (a kiindulási &lt;30 000/mikroliter értékhez képest), n (%)</w:t>
            </w:r>
          </w:p>
          <w:p w14:paraId="759A874D" w14:textId="77777777" w:rsidR="009F5F6A" w:rsidRDefault="00962A10">
            <w:pPr>
              <w:rPr>
                <w:noProof/>
                <w:szCs w:val="22"/>
                <w:lang w:eastAsia="en-US"/>
              </w:rPr>
            </w:pPr>
            <w:r>
              <w:rPr>
                <w:noProof/>
                <w:szCs w:val="22"/>
                <w:lang w:eastAsia="en-US"/>
              </w:rPr>
              <w:tab/>
            </w:r>
            <w:r>
              <w:rPr>
                <w:i/>
                <w:noProof/>
                <w:szCs w:val="22"/>
                <w:lang w:eastAsia="en-US"/>
              </w:rPr>
              <w:t>p-</w:t>
            </w:r>
            <w:r>
              <w:rPr>
                <w:noProof/>
                <w:szCs w:val="22"/>
                <w:lang w:eastAsia="en-US"/>
              </w:rPr>
              <w:t>érték</w:t>
            </w:r>
            <w:r>
              <w:rPr>
                <w:noProof/>
                <w:szCs w:val="22"/>
                <w:vertAlign w:val="superscript"/>
                <w:lang w:eastAsia="en-US"/>
              </w:rPr>
              <w:t>a</w:t>
            </w:r>
          </w:p>
        </w:tc>
        <w:tc>
          <w:tcPr>
            <w:tcW w:w="1710" w:type="dxa"/>
            <w:tcBorders>
              <w:top w:val="single" w:sz="4" w:space="0" w:color="000000"/>
              <w:left w:val="single" w:sz="4" w:space="0" w:color="000000"/>
              <w:bottom w:val="single" w:sz="4" w:space="0" w:color="000000"/>
              <w:right w:val="single" w:sz="4" w:space="0" w:color="000000"/>
            </w:tcBorders>
          </w:tcPr>
          <w:p w14:paraId="44458B36" w14:textId="77777777" w:rsidR="009F5F6A" w:rsidRDefault="00962A10">
            <w:pPr>
              <w:keepNext/>
              <w:keepLines/>
              <w:widowControl w:val="0"/>
              <w:jc w:val="center"/>
              <w:rPr>
                <w:noProof/>
                <w:szCs w:val="22"/>
                <w:lang w:eastAsia="en-US"/>
              </w:rPr>
            </w:pPr>
            <w:r>
              <w:rPr>
                <w:noProof/>
                <w:szCs w:val="22"/>
                <w:lang w:eastAsia="en-US"/>
              </w:rPr>
              <w:t>43 (59)</w:t>
            </w:r>
          </w:p>
        </w:tc>
        <w:tc>
          <w:tcPr>
            <w:tcW w:w="1602" w:type="dxa"/>
            <w:tcBorders>
              <w:top w:val="single" w:sz="4" w:space="0" w:color="000000"/>
              <w:left w:val="single" w:sz="4" w:space="0" w:color="000000"/>
              <w:bottom w:val="single" w:sz="4" w:space="0" w:color="000000"/>
              <w:right w:val="single" w:sz="4" w:space="0" w:color="000000"/>
            </w:tcBorders>
          </w:tcPr>
          <w:p w14:paraId="3AFA625F" w14:textId="77777777" w:rsidR="009F5F6A" w:rsidRDefault="00962A10">
            <w:pPr>
              <w:keepNext/>
              <w:keepLines/>
              <w:widowControl w:val="0"/>
              <w:jc w:val="center"/>
              <w:rPr>
                <w:noProof/>
                <w:szCs w:val="22"/>
                <w:lang w:eastAsia="en-US"/>
              </w:rPr>
            </w:pPr>
            <w:r>
              <w:rPr>
                <w:noProof/>
                <w:szCs w:val="22"/>
                <w:lang w:eastAsia="en-US"/>
              </w:rPr>
              <w:t>6 (16)</w:t>
            </w:r>
          </w:p>
        </w:tc>
      </w:tr>
      <w:tr w:rsidR="009F5F6A" w14:paraId="6D0B07D8" w14:textId="77777777">
        <w:trPr>
          <w:trHeight w:val="508"/>
        </w:trPr>
        <w:tc>
          <w:tcPr>
            <w:tcW w:w="5750" w:type="dxa"/>
            <w:vMerge/>
            <w:tcBorders>
              <w:top w:val="nil"/>
              <w:left w:val="single" w:sz="4" w:space="0" w:color="000000"/>
              <w:bottom w:val="single" w:sz="4" w:space="0" w:color="000000"/>
              <w:right w:val="single" w:sz="4" w:space="0" w:color="000000"/>
            </w:tcBorders>
          </w:tcPr>
          <w:p w14:paraId="3E12764B" w14:textId="77777777" w:rsidR="009F5F6A" w:rsidRDefault="009F5F6A">
            <w:pPr>
              <w:rPr>
                <w:noProof/>
                <w:szCs w:val="22"/>
                <w:lang w:eastAsia="en-US"/>
              </w:rPr>
            </w:pPr>
          </w:p>
        </w:tc>
        <w:tc>
          <w:tcPr>
            <w:tcW w:w="3312" w:type="dxa"/>
            <w:gridSpan w:val="2"/>
            <w:tcBorders>
              <w:top w:val="single" w:sz="4" w:space="0" w:color="000000"/>
              <w:left w:val="single" w:sz="4" w:space="0" w:color="000000"/>
              <w:bottom w:val="single" w:sz="4" w:space="0" w:color="000000"/>
              <w:right w:val="single" w:sz="4" w:space="0" w:color="000000"/>
            </w:tcBorders>
            <w:vAlign w:val="center"/>
          </w:tcPr>
          <w:p w14:paraId="6550EFC3" w14:textId="77777777" w:rsidR="009F5F6A" w:rsidRDefault="00962A10">
            <w:pPr>
              <w:keepNext/>
              <w:keepLines/>
              <w:widowControl w:val="0"/>
              <w:jc w:val="center"/>
              <w:rPr>
                <w:noProof/>
                <w:szCs w:val="22"/>
                <w:lang w:eastAsia="en-US"/>
              </w:rPr>
            </w:pPr>
            <w:r>
              <w:rPr>
                <w:noProof/>
                <w:szCs w:val="22"/>
                <w:lang w:eastAsia="en-US"/>
              </w:rPr>
              <w:t>&lt;0,001</w:t>
            </w:r>
          </w:p>
        </w:tc>
      </w:tr>
      <w:tr w:rsidR="009F5F6A" w14:paraId="51324433" w14:textId="77777777">
        <w:trPr>
          <w:trHeight w:val="264"/>
        </w:trPr>
        <w:tc>
          <w:tcPr>
            <w:tcW w:w="5750" w:type="dxa"/>
            <w:tcBorders>
              <w:top w:val="single" w:sz="4" w:space="0" w:color="000000"/>
              <w:left w:val="single" w:sz="4" w:space="0" w:color="000000"/>
              <w:bottom w:val="single" w:sz="4" w:space="0" w:color="000000"/>
              <w:right w:val="nil"/>
            </w:tcBorders>
          </w:tcPr>
          <w:p w14:paraId="5B38DAE9" w14:textId="77777777" w:rsidR="009F5F6A" w:rsidRDefault="00962A10">
            <w:pPr>
              <w:rPr>
                <w:noProof/>
                <w:szCs w:val="22"/>
                <w:lang w:eastAsia="en-US"/>
              </w:rPr>
            </w:pPr>
            <w:r>
              <w:rPr>
                <w:snapToGrid/>
                <w:szCs w:val="22"/>
                <w:lang w:val="hu-HU" w:eastAsia="en-GB"/>
              </w:rPr>
              <w:t>A legfontosabb másodlagos végpontok</w:t>
            </w:r>
          </w:p>
        </w:tc>
        <w:tc>
          <w:tcPr>
            <w:tcW w:w="3312" w:type="dxa"/>
            <w:gridSpan w:val="2"/>
            <w:tcBorders>
              <w:top w:val="single" w:sz="4" w:space="0" w:color="000000"/>
              <w:left w:val="nil"/>
              <w:bottom w:val="single" w:sz="4" w:space="0" w:color="000000"/>
              <w:right w:val="single" w:sz="4" w:space="0" w:color="000000"/>
            </w:tcBorders>
          </w:tcPr>
          <w:p w14:paraId="2F32F6C9" w14:textId="77777777" w:rsidR="009F5F6A" w:rsidRDefault="009F5F6A">
            <w:pPr>
              <w:keepNext/>
              <w:keepLines/>
              <w:widowControl w:val="0"/>
              <w:jc w:val="center"/>
              <w:rPr>
                <w:noProof/>
                <w:szCs w:val="22"/>
                <w:lang w:eastAsia="en-US"/>
              </w:rPr>
            </w:pPr>
          </w:p>
        </w:tc>
      </w:tr>
      <w:tr w:rsidR="009F5F6A" w14:paraId="7AD0DB1F" w14:textId="77777777">
        <w:trPr>
          <w:trHeight w:val="263"/>
        </w:trPr>
        <w:tc>
          <w:tcPr>
            <w:tcW w:w="5750" w:type="dxa"/>
            <w:tcBorders>
              <w:top w:val="single" w:sz="4" w:space="0" w:color="000000"/>
              <w:left w:val="single" w:sz="4" w:space="0" w:color="000000"/>
              <w:bottom w:val="single" w:sz="4" w:space="0" w:color="000000"/>
              <w:right w:val="single" w:sz="4" w:space="0" w:color="000000"/>
            </w:tcBorders>
          </w:tcPr>
          <w:p w14:paraId="106F47CD"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Betegek, akiket a 43.</w:t>
            </w:r>
            <w:r>
              <w:t> </w:t>
            </w:r>
            <w:r>
              <w:rPr>
                <w:snapToGrid/>
                <w:szCs w:val="22"/>
                <w:lang w:val="hu-HU" w:eastAsia="en-GB"/>
              </w:rPr>
              <w:t>napon vérzés szempontjából</w:t>
            </w:r>
          </w:p>
          <w:p w14:paraId="18222CD6" w14:textId="77777777" w:rsidR="009F5F6A" w:rsidRDefault="00962A10">
            <w:pPr>
              <w:tabs>
                <w:tab w:val="clear" w:pos="567"/>
              </w:tabs>
              <w:autoSpaceDE w:val="0"/>
              <w:autoSpaceDN w:val="0"/>
              <w:adjustRightInd w:val="0"/>
              <w:spacing w:line="240" w:lineRule="auto"/>
              <w:rPr>
                <w:noProof/>
                <w:szCs w:val="22"/>
                <w:lang w:eastAsia="en-US"/>
              </w:rPr>
            </w:pPr>
            <w:r>
              <w:rPr>
                <w:snapToGrid/>
                <w:szCs w:val="22"/>
                <w:lang w:val="hu-HU" w:eastAsia="en-GB"/>
              </w:rPr>
              <w:t>értékeltek, n</w:t>
            </w:r>
          </w:p>
        </w:tc>
        <w:tc>
          <w:tcPr>
            <w:tcW w:w="1710" w:type="dxa"/>
            <w:tcBorders>
              <w:top w:val="single" w:sz="4" w:space="0" w:color="000000"/>
              <w:left w:val="single" w:sz="4" w:space="0" w:color="000000"/>
              <w:bottom w:val="single" w:sz="4" w:space="0" w:color="000000"/>
              <w:right w:val="single" w:sz="4" w:space="0" w:color="000000"/>
            </w:tcBorders>
          </w:tcPr>
          <w:p w14:paraId="721ECB68" w14:textId="77777777" w:rsidR="009F5F6A" w:rsidRDefault="00962A10">
            <w:pPr>
              <w:keepNext/>
              <w:keepLines/>
              <w:widowControl w:val="0"/>
              <w:jc w:val="center"/>
              <w:rPr>
                <w:noProof/>
                <w:szCs w:val="22"/>
                <w:lang w:eastAsia="en-US"/>
              </w:rPr>
            </w:pPr>
            <w:r>
              <w:rPr>
                <w:noProof/>
                <w:szCs w:val="22"/>
                <w:lang w:eastAsia="en-US"/>
              </w:rPr>
              <w:t>51</w:t>
            </w:r>
          </w:p>
        </w:tc>
        <w:tc>
          <w:tcPr>
            <w:tcW w:w="1602" w:type="dxa"/>
            <w:tcBorders>
              <w:top w:val="single" w:sz="4" w:space="0" w:color="000000"/>
              <w:left w:val="single" w:sz="4" w:space="0" w:color="000000"/>
              <w:bottom w:val="single" w:sz="4" w:space="0" w:color="000000"/>
              <w:right w:val="single" w:sz="4" w:space="0" w:color="000000"/>
            </w:tcBorders>
          </w:tcPr>
          <w:p w14:paraId="226E416E" w14:textId="77777777" w:rsidR="009F5F6A" w:rsidRDefault="00962A10">
            <w:pPr>
              <w:keepNext/>
              <w:keepLines/>
              <w:widowControl w:val="0"/>
              <w:jc w:val="center"/>
              <w:rPr>
                <w:noProof/>
                <w:szCs w:val="22"/>
                <w:lang w:eastAsia="en-US"/>
              </w:rPr>
            </w:pPr>
            <w:r>
              <w:rPr>
                <w:noProof/>
                <w:szCs w:val="22"/>
                <w:lang w:eastAsia="en-US"/>
              </w:rPr>
              <w:t>30</w:t>
            </w:r>
          </w:p>
        </w:tc>
      </w:tr>
      <w:tr w:rsidR="009F5F6A" w14:paraId="0FA6CC33" w14:textId="77777777">
        <w:trPr>
          <w:trHeight w:val="263"/>
        </w:trPr>
        <w:tc>
          <w:tcPr>
            <w:tcW w:w="5750" w:type="dxa"/>
            <w:vMerge w:val="restart"/>
            <w:tcBorders>
              <w:top w:val="single" w:sz="4" w:space="0" w:color="000000"/>
              <w:left w:val="single" w:sz="4" w:space="0" w:color="000000"/>
              <w:bottom w:val="single" w:sz="4" w:space="0" w:color="000000"/>
              <w:right w:val="single" w:sz="4" w:space="0" w:color="000000"/>
            </w:tcBorders>
          </w:tcPr>
          <w:p w14:paraId="39731D03" w14:textId="77777777" w:rsidR="009F5F6A" w:rsidRDefault="00962A10">
            <w:pPr>
              <w:rPr>
                <w:noProof/>
                <w:szCs w:val="22"/>
                <w:lang w:eastAsia="en-US"/>
              </w:rPr>
            </w:pPr>
            <w:r>
              <w:rPr>
                <w:snapToGrid/>
                <w:szCs w:val="22"/>
                <w:lang w:val="hu-HU" w:eastAsia="en-GB"/>
              </w:rPr>
              <w:t>Vérzés (WHO 1-4. fokozat) n (%)</w:t>
            </w:r>
          </w:p>
          <w:p w14:paraId="102CD389" w14:textId="77777777" w:rsidR="009F5F6A" w:rsidRDefault="009F5F6A">
            <w:pPr>
              <w:rPr>
                <w:noProof/>
                <w:szCs w:val="22"/>
                <w:lang w:eastAsia="en-US"/>
              </w:rPr>
            </w:pPr>
          </w:p>
          <w:p w14:paraId="22BBE146" w14:textId="77777777" w:rsidR="009F5F6A" w:rsidRDefault="00962A10">
            <w:pPr>
              <w:rPr>
                <w:noProof/>
                <w:szCs w:val="22"/>
                <w:lang w:eastAsia="en-US"/>
              </w:rPr>
            </w:pPr>
            <w:r>
              <w:rPr>
                <w:noProof/>
                <w:szCs w:val="22"/>
                <w:lang w:eastAsia="en-US"/>
              </w:rPr>
              <w:tab/>
            </w:r>
            <w:r>
              <w:rPr>
                <w:i/>
                <w:noProof/>
                <w:szCs w:val="22"/>
                <w:lang w:eastAsia="en-US"/>
              </w:rPr>
              <w:t>p-</w:t>
            </w:r>
            <w:r>
              <w:rPr>
                <w:noProof/>
                <w:szCs w:val="22"/>
                <w:lang w:eastAsia="en-US"/>
              </w:rPr>
              <w:t>érték</w:t>
            </w:r>
            <w:r>
              <w:rPr>
                <w:noProof/>
                <w:szCs w:val="22"/>
                <w:vertAlign w:val="superscript"/>
                <w:lang w:eastAsia="en-US"/>
              </w:rPr>
              <w:t>a</w:t>
            </w:r>
          </w:p>
        </w:tc>
        <w:tc>
          <w:tcPr>
            <w:tcW w:w="1710" w:type="dxa"/>
            <w:tcBorders>
              <w:top w:val="single" w:sz="4" w:space="0" w:color="000000"/>
              <w:left w:val="single" w:sz="4" w:space="0" w:color="000000"/>
              <w:bottom w:val="single" w:sz="4" w:space="0" w:color="000000"/>
              <w:right w:val="single" w:sz="4" w:space="0" w:color="000000"/>
            </w:tcBorders>
          </w:tcPr>
          <w:p w14:paraId="1CBDFE3E" w14:textId="77777777" w:rsidR="009F5F6A" w:rsidRDefault="00962A10">
            <w:pPr>
              <w:keepNext/>
              <w:keepLines/>
              <w:widowControl w:val="0"/>
              <w:jc w:val="center"/>
              <w:rPr>
                <w:noProof/>
                <w:szCs w:val="22"/>
                <w:lang w:eastAsia="en-US"/>
              </w:rPr>
            </w:pPr>
            <w:r>
              <w:rPr>
                <w:noProof/>
                <w:szCs w:val="22"/>
                <w:lang w:eastAsia="en-US"/>
              </w:rPr>
              <w:t>20 (39)</w:t>
            </w:r>
          </w:p>
        </w:tc>
        <w:tc>
          <w:tcPr>
            <w:tcW w:w="1602" w:type="dxa"/>
            <w:tcBorders>
              <w:top w:val="single" w:sz="4" w:space="0" w:color="000000"/>
              <w:left w:val="single" w:sz="4" w:space="0" w:color="000000"/>
              <w:bottom w:val="single" w:sz="4" w:space="0" w:color="000000"/>
              <w:right w:val="single" w:sz="4" w:space="0" w:color="000000"/>
            </w:tcBorders>
          </w:tcPr>
          <w:p w14:paraId="3FCF52C3" w14:textId="77777777" w:rsidR="009F5F6A" w:rsidRDefault="00962A10">
            <w:pPr>
              <w:keepNext/>
              <w:keepLines/>
              <w:widowControl w:val="0"/>
              <w:jc w:val="center"/>
              <w:rPr>
                <w:noProof/>
                <w:szCs w:val="22"/>
                <w:lang w:eastAsia="en-US"/>
              </w:rPr>
            </w:pPr>
            <w:r>
              <w:rPr>
                <w:noProof/>
                <w:szCs w:val="22"/>
                <w:lang w:eastAsia="en-US"/>
              </w:rPr>
              <w:t>18 (60)</w:t>
            </w:r>
          </w:p>
        </w:tc>
      </w:tr>
      <w:tr w:rsidR="009F5F6A" w14:paraId="36AC8E64" w14:textId="77777777">
        <w:trPr>
          <w:trHeight w:val="506"/>
        </w:trPr>
        <w:tc>
          <w:tcPr>
            <w:tcW w:w="5750" w:type="dxa"/>
            <w:vMerge/>
            <w:tcBorders>
              <w:top w:val="nil"/>
              <w:left w:val="single" w:sz="4" w:space="0" w:color="000000"/>
              <w:bottom w:val="single" w:sz="4" w:space="0" w:color="000000"/>
              <w:right w:val="single" w:sz="4" w:space="0" w:color="000000"/>
            </w:tcBorders>
          </w:tcPr>
          <w:p w14:paraId="0CF46D57" w14:textId="77777777" w:rsidR="009F5F6A" w:rsidRDefault="009F5F6A">
            <w:pPr>
              <w:keepNext/>
              <w:keepLines/>
              <w:widowControl w:val="0"/>
              <w:rPr>
                <w:noProof/>
                <w:szCs w:val="22"/>
                <w:lang w:eastAsia="en-US"/>
              </w:rPr>
            </w:pPr>
          </w:p>
        </w:tc>
        <w:tc>
          <w:tcPr>
            <w:tcW w:w="3312" w:type="dxa"/>
            <w:gridSpan w:val="2"/>
            <w:tcBorders>
              <w:top w:val="single" w:sz="4" w:space="0" w:color="000000"/>
              <w:left w:val="single" w:sz="4" w:space="0" w:color="000000"/>
              <w:bottom w:val="single" w:sz="4" w:space="0" w:color="000000"/>
              <w:right w:val="single" w:sz="4" w:space="0" w:color="000000"/>
            </w:tcBorders>
            <w:vAlign w:val="center"/>
          </w:tcPr>
          <w:p w14:paraId="1813478C" w14:textId="77777777" w:rsidR="009F5F6A" w:rsidRDefault="00962A10">
            <w:pPr>
              <w:keepNext/>
              <w:keepLines/>
              <w:widowControl w:val="0"/>
              <w:jc w:val="center"/>
              <w:rPr>
                <w:noProof/>
                <w:szCs w:val="22"/>
                <w:lang w:eastAsia="en-US"/>
              </w:rPr>
            </w:pPr>
            <w:r>
              <w:rPr>
                <w:noProof/>
                <w:szCs w:val="22"/>
                <w:lang w:eastAsia="en-US"/>
              </w:rPr>
              <w:t>0,029</w:t>
            </w:r>
          </w:p>
        </w:tc>
      </w:tr>
    </w:tbl>
    <w:p w14:paraId="14DF6594" w14:textId="77777777" w:rsidR="009F5F6A" w:rsidRDefault="00962A10">
      <w:pPr>
        <w:tabs>
          <w:tab w:val="center" w:pos="3923"/>
        </w:tabs>
        <w:spacing w:after="12" w:line="247" w:lineRule="auto"/>
        <w:ind w:left="-15"/>
        <w:rPr>
          <w:sz w:val="20"/>
          <w:szCs w:val="22"/>
        </w:rPr>
      </w:pPr>
      <w:proofErr w:type="gramStart"/>
      <w:r>
        <w:rPr>
          <w:sz w:val="20"/>
          <w:szCs w:val="22"/>
        </w:rPr>
        <w:t>a</w:t>
      </w:r>
      <w:proofErr w:type="gramEnd"/>
      <w:r>
        <w:rPr>
          <w:sz w:val="20"/>
          <w:szCs w:val="22"/>
        </w:rPr>
        <w:tab/>
      </w:r>
      <w:r>
        <w:rPr>
          <w:snapToGrid/>
          <w:szCs w:val="22"/>
          <w:lang w:val="hu-HU" w:eastAsia="en-GB"/>
        </w:rPr>
        <w:t>Randomizációs stratifikációs változókkal korrigált logisztikai regressziós modell</w:t>
      </w:r>
    </w:p>
    <w:p w14:paraId="59488AAC" w14:textId="77777777" w:rsidR="009F5F6A" w:rsidRDefault="009F5F6A">
      <w:pPr>
        <w:spacing w:line="240" w:lineRule="auto"/>
        <w:rPr>
          <w:u w:val="single"/>
          <w:lang w:val="hu-HU"/>
        </w:rPr>
      </w:pPr>
    </w:p>
    <w:p w14:paraId="4EFCD342"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Mind a RAISE, mind a TRA100773B vizsgálatban a placebora és az eltrombopagra adott válasz hasonló volt, tekintet nélkül az ITP kezelésére alkalmazott gyógyszerekre, a splenectomiás státuszra és a randomizáláskor mért kiindulási vérlemezkeszámra (≤15 000/mikroliter</w:t>
      </w:r>
      <w:proofErr w:type="gramStart"/>
      <w:r>
        <w:rPr>
          <w:snapToGrid/>
          <w:szCs w:val="22"/>
          <w:lang w:val="hu-HU" w:eastAsia="en-GB"/>
        </w:rPr>
        <w:t>, &gt;15</w:t>
      </w:r>
      <w:proofErr w:type="gramEnd"/>
      <w:r>
        <w:rPr>
          <w:snapToGrid/>
          <w:szCs w:val="22"/>
          <w:lang w:val="hu-HU" w:eastAsia="en-GB"/>
        </w:rPr>
        <w:t> 000/mikroliter).</w:t>
      </w:r>
    </w:p>
    <w:p w14:paraId="54415E98" w14:textId="77777777" w:rsidR="009F5F6A" w:rsidRDefault="009F5F6A">
      <w:pPr>
        <w:spacing w:line="240" w:lineRule="auto"/>
        <w:rPr>
          <w:u w:val="single"/>
          <w:lang w:val="hu-HU"/>
        </w:rPr>
      </w:pPr>
    </w:p>
    <w:p w14:paraId="6AD6E254"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RAISE és a TRA100773B vizsgálatban az ITP-s betegeknek abban az alcsoportjában, ahol a kiindulási vérlemezkeszám ≤ 15 000/mikroliter volt, a medián vérlemezkeszám nem érte el a megcélzott szintet (&gt; 50 000/mikroliter), bár mindkét vizsgálatban ezeknek az eltrombopaggal kezelt betegeknek a 43%-a reagált 6 hét után a kezelésre. Ezen túlmenően, a RAISE vizsgálatban azoknak az eltrombopaggal kezelt betegeknek, akiknek kiinduláskor ≤ 15 000/mikroliter volt a vérlemezkeszáma, 42%-a reagált a 6 hónapos kezelési időszak végén. A RAISE vizsgálatban az eltrombopagot kapó betegek 42-60%-a kapott 75 mg-ot a 29. naptól kezdve a kezelés végéig.</w:t>
      </w:r>
    </w:p>
    <w:p w14:paraId="50B5AD0C" w14:textId="77777777" w:rsidR="009F5F6A" w:rsidRDefault="009F5F6A">
      <w:pPr>
        <w:spacing w:line="240" w:lineRule="auto"/>
        <w:rPr>
          <w:u w:val="single"/>
          <w:lang w:val="hu-HU"/>
        </w:rPr>
      </w:pPr>
    </w:p>
    <w:p w14:paraId="64BC7B00" w14:textId="77777777" w:rsidR="009F5F6A" w:rsidRDefault="00962A10">
      <w:pPr>
        <w:tabs>
          <w:tab w:val="clear" w:pos="567"/>
        </w:tabs>
        <w:autoSpaceDE w:val="0"/>
        <w:autoSpaceDN w:val="0"/>
        <w:adjustRightInd w:val="0"/>
        <w:spacing w:line="240" w:lineRule="auto"/>
        <w:rPr>
          <w:i/>
          <w:iCs/>
          <w:snapToGrid/>
          <w:szCs w:val="22"/>
          <w:lang w:val="hu-HU" w:eastAsia="en-GB"/>
        </w:rPr>
      </w:pPr>
      <w:r>
        <w:rPr>
          <w:i/>
          <w:iCs/>
          <w:snapToGrid/>
          <w:szCs w:val="22"/>
          <w:lang w:val="hu-HU" w:eastAsia="en-GB"/>
        </w:rPr>
        <w:t>Nyílt elrendezésű, nem kontrollos vizsgálatok</w:t>
      </w:r>
    </w:p>
    <w:p w14:paraId="2DC7A071"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REPEAT (TRA108057): Ez a nyílt, ismételt dózisú vizsgálat (6 hetes kezelés 4 hét szünettel 3 ciklusban) azt mutatta, hogy a többszöri eltrombopag-kúra epizódszerű alkalmazása nem csökkenti a terápiás választ.</w:t>
      </w:r>
    </w:p>
    <w:p w14:paraId="5E62E90A" w14:textId="77777777" w:rsidR="009F5F6A" w:rsidRDefault="009F5F6A">
      <w:pPr>
        <w:spacing w:line="240" w:lineRule="auto"/>
        <w:rPr>
          <w:u w:val="single"/>
          <w:lang w:val="hu-HU"/>
        </w:rPr>
      </w:pPr>
    </w:p>
    <w:p w14:paraId="1393043F"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EXTEND (TRA105325): A kiterjesztett, nyílt vizsgálatban 302, ITP-s beteg kapott eltrombopagot; 218 beteg 1 évig, 180 beteg 2 évig, 107 beteg 3 évig, 75 beteg 4 évig, 34 beteg 5 évig, 18 beteg 6 évig kapta a kezelést. A medián kiindulási vérlemezkeszám 19 000/mikroliter volt az eltrombopag adása előtt. A medián vérlemezkeszám a vizsgálat 1, 2, 3, 4, 5, 6 és 7 évében 85 000/mikroliter, 85 000/mikroliter, 105 000/mikroliter, 64 000/mikroliter, 75 000/mikroliter, 119 000/mikroliter, illetve 76 000/mikroliter volt, ebben a sorrendben.</w:t>
      </w:r>
    </w:p>
    <w:p w14:paraId="0A168FAD" w14:textId="77777777" w:rsidR="009F5F6A" w:rsidRDefault="009F5F6A">
      <w:pPr>
        <w:spacing w:line="240" w:lineRule="auto"/>
        <w:rPr>
          <w:u w:val="single"/>
          <w:lang w:val="hu-HU"/>
        </w:rPr>
      </w:pPr>
    </w:p>
    <w:p w14:paraId="1E928876"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TAPER (CETB115J2411): Ebben az egy karú, II. fázisú vizsgálatban olyan ITP-s betegek vettek részt, akiket eltrombopaggal kezeltek az első vonalban alkalmazott kortikoszteroidok kudarcát követően, a diagnózis óta eltelt időre való tekintet nélkül. Összesen 105 beteget vontak be a vizsgálatba, akik naponta egyszer 50 mg dózissal kezdték meg az eltrombopag-kezelést (a dózis naponta egyszer 25 mg volt a kelet- vagy délkelet-ázsiai felmenőkkel rendelkező betegeknél). A kezelési időszak során az adott beteg vérlemezkeszáma szerint módosították az eltrombopag dózisát azzal a céllal, hogy a vérlemezkeszám elérje vagy meghaladja a 100 000/mikrolitert.</w:t>
      </w:r>
    </w:p>
    <w:p w14:paraId="7689DB93" w14:textId="77777777" w:rsidR="009F5F6A" w:rsidRDefault="009F5F6A">
      <w:pPr>
        <w:spacing w:line="240" w:lineRule="auto"/>
        <w:rPr>
          <w:u w:val="single"/>
          <w:lang w:val="hu-HU"/>
        </w:rPr>
      </w:pPr>
    </w:p>
    <w:p w14:paraId="21B985E6"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vizsgálatba beválasztott és legalább egy eltrombopag-dózist kapott, 105 beteg közül 69 beteg (65,7%) teljesítette a kezelést, 36 beteg (34,3%) pedig idő előtt abbahagyta azt.</w:t>
      </w:r>
    </w:p>
    <w:p w14:paraId="655286D1" w14:textId="77777777" w:rsidR="009F5F6A" w:rsidRDefault="009F5F6A">
      <w:pPr>
        <w:spacing w:line="240" w:lineRule="auto"/>
        <w:rPr>
          <w:u w:val="single"/>
          <w:lang w:val="hu-HU"/>
        </w:rPr>
      </w:pPr>
    </w:p>
    <w:p w14:paraId="2A0AFDF5"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kezelés abbahagyása után fennmaradó tartós válasz elemzése</w:t>
      </w:r>
    </w:p>
    <w:p w14:paraId="02BD676A"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Az elsődleges végpont azon betegek aránya volt, akik tartós választ értek el a kezelés abbahagyása után a 12. hónapig. Lehetőség volt az eltrombopag dózisának fokozatos csökkentésére és a kezelés abbahagyására azoknál a betegeknél, akiknek a vérlemezkeszáma elérte a ≥100 000/mikroliter értéket, a továbbiakban pedig 100 000/mikroliter érték körül alakult 2 hónapig (egyszer sem csökkenve 70 000/mikroliter alá). Azokat a betegeket tekintették a kezelés abbahagyása után tartós választ elérőknek, akiknél a vérlemezkeszám ≥30 000/mikroliter maradt, nem álltak fenn vérzéses események, illetve nem kellett mentő kezelést igénybe venni a dózis fokozatos csökkentésének időszakában, valamint a kezelés abbahagyását követően, a 12. hónapig.</w:t>
      </w:r>
    </w:p>
    <w:p w14:paraId="373504F5" w14:textId="77777777" w:rsidR="009F5F6A" w:rsidRDefault="009F5F6A">
      <w:pPr>
        <w:spacing w:line="240" w:lineRule="auto"/>
        <w:rPr>
          <w:u w:val="single"/>
          <w:lang w:val="hu-HU"/>
        </w:rPr>
      </w:pPr>
    </w:p>
    <w:p w14:paraId="080BEE5F"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fokozatos dóziscsökkentés időtartamát egyénileg állapították meg a kezdődózis és a beteg terápiás válasza függvényében. A fokozatos dóziscsökkentés ütemterve 2 hetenként 25 mg-os dóziscsökkentést ajánlott abban az esetben, ha a vérlemezkeszám stabil volt. Miután a napi dózist 2 hétre 25 mg-ra csökkentették, a kezelés abbahagyásáig már csak minden második napon adtak 25 mg-os dózist 2 hétig. Kelet- vagy délkelet-ázsiai felmenőkkel rendelkező betegeknél kisebb – minden második héten 12,5 mg-os – lépésekkel végezték a fokozatos dóziscsökkentést. Amennyiben relapszus (meghatározása: 30 000/mikroliter alatti vérlemezkeszám) következett be, a betegeknek újabb eltrombopag-kezelést ajánlottak fel, amelyet a megfelelő kezdődózissal indítottak.</w:t>
      </w:r>
    </w:p>
    <w:p w14:paraId="4CC461F1" w14:textId="77777777" w:rsidR="009F5F6A" w:rsidRDefault="009F5F6A">
      <w:pPr>
        <w:spacing w:line="240" w:lineRule="auto"/>
        <w:rPr>
          <w:u w:val="single"/>
          <w:lang w:val="hu-HU"/>
        </w:rPr>
      </w:pPr>
    </w:p>
    <w:p w14:paraId="24EE3391"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Nyolcvankilenc beteg (84,8%) ért el teljes választ (vérlemezkeszám ≥100 000/mikroliter) (1. lépés, 5. táblázat), 65 betegnél (61,9%) pedig legalább 2 hónapig fennmaradt a tartós válasz anélkül, hogy a vérlemezkeszám 70 000/mikroliter alá csökkent volna (2. lépés, 5. táblázat). Negyvennégy betegnél (41,9%) sikerült a fokozatos csökkentést követően abbahagyni az eltrombopag alkalmazását úgy, hogy eközben a vérlemezkeszám ≥30 000/mikroliter maradt, nem álltak fenn vérzéses események, illetve nem kellett mentő kezelést igénybe venni (3. lépés, 5. táblázat).</w:t>
      </w:r>
    </w:p>
    <w:p w14:paraId="613D136C" w14:textId="77777777" w:rsidR="009F5F6A" w:rsidRDefault="009F5F6A">
      <w:pPr>
        <w:spacing w:line="240" w:lineRule="auto"/>
        <w:rPr>
          <w:u w:val="single"/>
          <w:lang w:val="hu-HU"/>
        </w:rPr>
      </w:pPr>
    </w:p>
    <w:p w14:paraId="7F1EF697" w14:textId="77777777" w:rsidR="009F5F6A" w:rsidRDefault="00962A10">
      <w:pPr>
        <w:tabs>
          <w:tab w:val="clear" w:pos="567"/>
        </w:tabs>
        <w:autoSpaceDE w:val="0"/>
        <w:autoSpaceDN w:val="0"/>
        <w:adjustRightInd w:val="0"/>
        <w:spacing w:line="240" w:lineRule="auto"/>
        <w:rPr>
          <w:u w:val="single"/>
          <w:lang w:val="hu-HU"/>
        </w:rPr>
      </w:pPr>
      <w:proofErr w:type="gramStart"/>
      <w:r>
        <w:rPr>
          <w:snapToGrid/>
          <w:szCs w:val="22"/>
          <w:lang w:val="hu-HU" w:eastAsia="en-GB"/>
        </w:rPr>
        <w:t>A vizsgálat igazolta, hogy az eltrombopag tartós választ tudott indukálni vérzéses események vagy mentő kezelés alkalmazása nélkül, a kezelés abbahagyása után a 12. hónapig a 105 beválasztott beteg közül 32 főnél (30,5%; p &lt;0,0001; 95%-os CI: 21,9; 40,2), és ezzel elérte elsődleges célját (4. lépés, 5. táblázat).</w:t>
      </w:r>
      <w:proofErr w:type="gramEnd"/>
      <w:r>
        <w:rPr>
          <w:snapToGrid/>
          <w:szCs w:val="22"/>
          <w:lang w:val="hu-HU" w:eastAsia="en-GB"/>
        </w:rPr>
        <w:t xml:space="preserve"> A 24. hónapig a 105 beválasztott beteg közül 20 főnél (19,0%; 95%-os CI: 12,0; 27,9) maradt fenn tartós válasz vérzéses események vagy mentő kezelés alkalmazása nélkül a kezelés abbahagyása után (5. lépés, 5. táblázat).</w:t>
      </w:r>
    </w:p>
    <w:p w14:paraId="61E6EF52" w14:textId="77777777" w:rsidR="009F5F6A" w:rsidRDefault="009F5F6A">
      <w:pPr>
        <w:spacing w:line="240" w:lineRule="auto"/>
        <w:rPr>
          <w:u w:val="single"/>
          <w:lang w:val="hu-HU"/>
        </w:rPr>
      </w:pPr>
    </w:p>
    <w:p w14:paraId="73780F5A"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kezelés abbahagyása utáni tartós válasz medián időtartama a 12. hónapig 33,3 hét volt (szélsőértékek: 4 és 51 hét), a kezelés abbahagyása utáni tartós válasz medián időtartama a 24. hónapig pedig 88,6 hét volt (szélsőértékek: 57 és 107 hét).</w:t>
      </w:r>
    </w:p>
    <w:p w14:paraId="5FF1E57B" w14:textId="77777777" w:rsidR="009F5F6A" w:rsidRDefault="009F5F6A">
      <w:pPr>
        <w:spacing w:line="240" w:lineRule="auto"/>
        <w:rPr>
          <w:u w:val="single"/>
          <w:lang w:val="hu-HU"/>
        </w:rPr>
      </w:pPr>
    </w:p>
    <w:p w14:paraId="5DFD8E34"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Az eltrombopag-dózis fokozatos csökkentése és a kezelés abbahagyása után 12 betegnél szűnt meg a terápiás válasz; 8-an közülük újrakezdték az eltrombopag alkalmazását, 7 főnél pedig helyre is állt a terápiás válasz.</w:t>
      </w:r>
    </w:p>
    <w:p w14:paraId="634537A8" w14:textId="77777777" w:rsidR="009F5F6A" w:rsidRDefault="009F5F6A">
      <w:pPr>
        <w:spacing w:line="240" w:lineRule="auto"/>
        <w:rPr>
          <w:u w:val="single"/>
          <w:lang w:val="hu-HU"/>
        </w:rPr>
      </w:pPr>
    </w:p>
    <w:p w14:paraId="71750EE8" w14:textId="77777777" w:rsidR="009F5F6A" w:rsidRDefault="00962A10">
      <w:pPr>
        <w:tabs>
          <w:tab w:val="clear" w:pos="567"/>
        </w:tabs>
        <w:autoSpaceDE w:val="0"/>
        <w:autoSpaceDN w:val="0"/>
        <w:adjustRightInd w:val="0"/>
        <w:spacing w:line="240" w:lineRule="auto"/>
        <w:rPr>
          <w:u w:val="single"/>
          <w:lang w:val="hu-HU"/>
        </w:rPr>
      </w:pPr>
      <w:proofErr w:type="gramStart"/>
      <w:r>
        <w:rPr>
          <w:snapToGrid/>
          <w:szCs w:val="22"/>
          <w:lang w:val="hu-HU" w:eastAsia="en-GB"/>
        </w:rPr>
        <w:t>A 2 éves követés ideje alatt 105-ből 6 betegnél (5,7%) léptek fel thromboemboliás események: közülük 3 betegnél (2,9%) mélyvénás thrombosis, 1 betegnél (1,0%) felszíni vénás thrombosis, 1 betegnél (1,0%) sinus cavernosus thrombosis, 1 betegnél (1,0%) cerebrovascularis történés, 1 betegnél (1,0%) pedig pulmonalis embolia alakult ki.</w:t>
      </w:r>
      <w:proofErr w:type="gramEnd"/>
      <w:r>
        <w:rPr>
          <w:snapToGrid/>
          <w:szCs w:val="22"/>
          <w:lang w:val="hu-HU" w:eastAsia="en-GB"/>
        </w:rPr>
        <w:t xml:space="preserve"> A 6 beteg közül 4 főnél léptek fel 3. vagy magasabb fokozatúnak jelentett thromboemboliás események, 4 betegnél pedig súlyosnak jelentett thromboemboliás esemény fordult elő. Nem számoltak be végzetes kimenetelű esetekről.</w:t>
      </w:r>
    </w:p>
    <w:p w14:paraId="32C9C32F" w14:textId="77777777" w:rsidR="009F5F6A" w:rsidRDefault="009F5F6A">
      <w:pPr>
        <w:spacing w:line="240" w:lineRule="auto"/>
        <w:rPr>
          <w:u w:val="single"/>
          <w:lang w:val="hu-HU"/>
        </w:rPr>
      </w:pPr>
    </w:p>
    <w:p w14:paraId="0151A0F1"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105-ből 20 beteg (19,0%) tapasztalt enyhétől súlyosig terjedő vérzéses eseményeket a kezelés során, mielőtt megkezdődött volna a fokozatos dóziscsökkentés. A fokozatos csökkentést megkezdő 65 beteg közül 5 betegnél (7,7%) léptek fel enyhe vagy közepesen súlyos vérzéses események a fokozatos dóziscsökkentés során. Nem számoltak be súlyos vérzésről a fokozatos dóziscsökkentés során. Az eltrombopag-kezelést fokozatos dóziscsökkentés után abbahagyó 44 beteg közül 2 betegnél (4,5%) léptek fel enyhe vagy közepesen súlyos vérzéses események a kezelés abbahagyását követően, a 12. hónapig. Nem számoltak be súlyos vérzésről ebben az időszakban. Az eltrombopag-kezelést abbahagyó és a követés második évét megkezdő betegek közül senkinél sem lépett fel vérzéses esemény a második év során. Kettő végzetes kimenetelű intracranialis vérzéses eseményről számoltak be a 2 éves követés során. Mindkét eseményre a kezelés közben került sor, nem a fokozatos dóziscsökkentéssel összefüggésben. Az eseményeket nem tekintették a vizsgálati kezeléssel összefüggőnek.</w:t>
      </w:r>
    </w:p>
    <w:p w14:paraId="3398003D" w14:textId="77777777" w:rsidR="009F5F6A" w:rsidRDefault="009F5F6A">
      <w:pPr>
        <w:spacing w:line="240" w:lineRule="auto"/>
        <w:rPr>
          <w:u w:val="single"/>
          <w:lang w:val="hu-HU"/>
        </w:rPr>
      </w:pPr>
    </w:p>
    <w:p w14:paraId="694DF0F6"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Az általános biztonságossági elemzés összhangban van a korábban jelentett adatokkal, az ITP-s betegeknél alkalmazott eltrombopagra vonatkozó előny-kockázat értékelés nem változott.</w:t>
      </w:r>
    </w:p>
    <w:p w14:paraId="6E21F9AC" w14:textId="77777777" w:rsidR="009F5F6A" w:rsidRDefault="009F5F6A">
      <w:pPr>
        <w:spacing w:line="240" w:lineRule="auto"/>
        <w:rPr>
          <w:u w:val="single"/>
          <w:lang w:val="hu-HU"/>
        </w:rPr>
      </w:pPr>
    </w:p>
    <w:p w14:paraId="28743E03" w14:textId="77777777" w:rsidR="009F5F6A" w:rsidRDefault="00962A10">
      <w:pPr>
        <w:tabs>
          <w:tab w:val="clear" w:pos="567"/>
        </w:tabs>
        <w:autoSpaceDE w:val="0"/>
        <w:autoSpaceDN w:val="0"/>
        <w:adjustRightInd w:val="0"/>
        <w:spacing w:line="240" w:lineRule="auto"/>
        <w:ind w:left="1418" w:hanging="1418"/>
        <w:rPr>
          <w:u w:val="single"/>
          <w:lang w:val="hu-HU"/>
        </w:rPr>
      </w:pPr>
      <w:r>
        <w:rPr>
          <w:b/>
          <w:bCs/>
          <w:snapToGrid/>
          <w:szCs w:val="22"/>
          <w:lang w:val="hu-HU" w:eastAsia="en-GB"/>
        </w:rPr>
        <w:t>5. táblázat</w:t>
      </w:r>
      <w:r>
        <w:rPr>
          <w:b/>
          <w:bCs/>
          <w:snapToGrid/>
          <w:szCs w:val="22"/>
          <w:lang w:val="hu-HU" w:eastAsia="en-GB"/>
        </w:rPr>
        <w:tab/>
        <w:t xml:space="preserve">A kezelés abbahagyása után </w:t>
      </w:r>
      <w:r>
        <w:rPr>
          <w:rFonts w:eastAsia="TimesNewRomanPS-BoldMT"/>
          <w:b/>
          <w:bCs/>
          <w:snapToGrid/>
          <w:szCs w:val="22"/>
          <w:lang w:val="hu-HU" w:eastAsia="en-GB"/>
        </w:rPr>
        <w:t>tartós választ elérő betegek aránya a 12. </w:t>
      </w:r>
      <w:r>
        <w:rPr>
          <w:b/>
          <w:bCs/>
          <w:snapToGrid/>
          <w:szCs w:val="22"/>
          <w:lang w:val="hu-HU" w:eastAsia="en-GB"/>
        </w:rPr>
        <w:t>hónapra és a 24. hónapra (teljes elemzési populáció) a TAPER vizsgálat során</w:t>
      </w:r>
    </w:p>
    <w:p w14:paraId="0E7BBCC1" w14:textId="77777777" w:rsidR="009F5F6A" w:rsidRDefault="009F5F6A">
      <w:pPr>
        <w:spacing w:line="240" w:lineRule="auto"/>
        <w:rPr>
          <w:u w:val="single"/>
          <w:lang w:val="hu-HU"/>
        </w:rPr>
      </w:pPr>
    </w:p>
    <w:tbl>
      <w:tblPr>
        <w:tblStyle w:val="TableGrid1"/>
        <w:tblW w:w="9350" w:type="dxa"/>
        <w:tblInd w:w="-60" w:type="dxa"/>
        <w:tblCellMar>
          <w:top w:w="10" w:type="dxa"/>
          <w:left w:w="60" w:type="dxa"/>
          <w:right w:w="19" w:type="dxa"/>
        </w:tblCellMar>
        <w:tblLook w:val="04A0" w:firstRow="1" w:lastRow="0" w:firstColumn="1" w:lastColumn="0" w:noHBand="0" w:noVBand="1"/>
      </w:tblPr>
      <w:tblGrid>
        <w:gridCol w:w="5399"/>
        <w:gridCol w:w="980"/>
        <w:gridCol w:w="1082"/>
        <w:gridCol w:w="899"/>
        <w:gridCol w:w="990"/>
      </w:tblGrid>
      <w:tr w:rsidR="009F5F6A" w14:paraId="4A6BA709" w14:textId="77777777">
        <w:trPr>
          <w:trHeight w:val="466"/>
        </w:trPr>
        <w:tc>
          <w:tcPr>
            <w:tcW w:w="5399" w:type="dxa"/>
            <w:tcBorders>
              <w:top w:val="single" w:sz="4" w:space="0" w:color="000000"/>
              <w:left w:val="nil"/>
              <w:bottom w:val="nil"/>
              <w:right w:val="single" w:sz="4" w:space="0" w:color="000000"/>
            </w:tcBorders>
          </w:tcPr>
          <w:p w14:paraId="3C04EC6A" w14:textId="77777777" w:rsidR="009F5F6A" w:rsidRDefault="009F5F6A">
            <w:pPr>
              <w:spacing w:line="259" w:lineRule="auto"/>
              <w:rPr>
                <w:rFonts w:ascii="Times New Roman" w:hAnsi="Times New Roman" w:cs="Times New Roman"/>
                <w:lang w:val="hu-HU"/>
              </w:rPr>
            </w:pPr>
          </w:p>
        </w:tc>
        <w:tc>
          <w:tcPr>
            <w:tcW w:w="2062" w:type="dxa"/>
            <w:gridSpan w:val="2"/>
            <w:tcBorders>
              <w:top w:val="single" w:sz="4" w:space="0" w:color="000000"/>
              <w:left w:val="single" w:sz="4" w:space="0" w:color="000000"/>
              <w:bottom w:val="nil"/>
              <w:right w:val="single" w:sz="4" w:space="0" w:color="000000"/>
            </w:tcBorders>
          </w:tcPr>
          <w:p w14:paraId="23EE701B" w14:textId="77777777" w:rsidR="009F5F6A" w:rsidRDefault="00962A10">
            <w:pPr>
              <w:spacing w:line="259" w:lineRule="auto"/>
              <w:ind w:left="199" w:right="193"/>
              <w:jc w:val="center"/>
              <w:rPr>
                <w:rFonts w:ascii="Times New Roman" w:hAnsi="Times New Roman" w:cs="Times New Roman"/>
                <w:b/>
                <w:bCs/>
                <w:snapToGrid/>
                <w:sz w:val="20"/>
                <w:lang w:val="hu-HU" w:eastAsia="en-GB"/>
              </w:rPr>
            </w:pPr>
            <w:r>
              <w:rPr>
                <w:rFonts w:ascii="Times New Roman" w:hAnsi="Times New Roman" w:cs="Times New Roman"/>
                <w:b/>
                <w:bCs/>
                <w:snapToGrid/>
                <w:sz w:val="20"/>
                <w:lang w:val="hu-HU" w:eastAsia="en-GB"/>
              </w:rPr>
              <w:t>Minden beteg</w:t>
            </w:r>
          </w:p>
          <w:p w14:paraId="0D4F8E3C" w14:textId="77777777" w:rsidR="009F5F6A" w:rsidRDefault="00962A10">
            <w:pPr>
              <w:spacing w:line="259" w:lineRule="auto"/>
              <w:ind w:left="199" w:right="193"/>
              <w:jc w:val="center"/>
              <w:rPr>
                <w:rFonts w:ascii="Times New Roman" w:hAnsi="Times New Roman" w:cs="Times New Roman"/>
              </w:rPr>
            </w:pPr>
            <w:r>
              <w:rPr>
                <w:rFonts w:ascii="Times New Roman" w:hAnsi="Times New Roman" w:cs="Times New Roman"/>
                <w:b/>
                <w:bCs/>
                <w:sz w:val="20"/>
              </w:rPr>
              <w:t>N </w:t>
            </w:r>
            <w:r>
              <w:rPr>
                <w:rFonts w:ascii="Times New Roman" w:hAnsi="Times New Roman" w:cs="Times New Roman"/>
                <w:b/>
                <w:sz w:val="20"/>
              </w:rPr>
              <w:t>= 105</w:t>
            </w:r>
          </w:p>
        </w:tc>
        <w:tc>
          <w:tcPr>
            <w:tcW w:w="1889" w:type="dxa"/>
            <w:gridSpan w:val="2"/>
            <w:tcBorders>
              <w:top w:val="single" w:sz="4" w:space="0" w:color="000000"/>
              <w:left w:val="single" w:sz="4" w:space="0" w:color="000000"/>
              <w:bottom w:val="nil"/>
              <w:right w:val="nil"/>
            </w:tcBorders>
          </w:tcPr>
          <w:p w14:paraId="40103FC8" w14:textId="77777777" w:rsidR="009F5F6A" w:rsidRDefault="00962A10">
            <w:pPr>
              <w:spacing w:line="259" w:lineRule="auto"/>
              <w:ind w:left="98"/>
              <w:jc w:val="center"/>
              <w:rPr>
                <w:rFonts w:ascii="Times New Roman" w:hAnsi="Times New Roman" w:cs="Times New Roman"/>
              </w:rPr>
            </w:pPr>
            <w:r>
              <w:rPr>
                <w:rFonts w:ascii="Times New Roman" w:hAnsi="Times New Roman" w:cs="Times New Roman"/>
                <w:b/>
                <w:bCs/>
                <w:snapToGrid/>
                <w:sz w:val="20"/>
                <w:lang w:val="hu-HU" w:eastAsia="en-GB"/>
              </w:rPr>
              <w:t>Hipotézisvizsgálat</w:t>
            </w:r>
          </w:p>
        </w:tc>
      </w:tr>
      <w:tr w:rsidR="009F5F6A" w14:paraId="282AD395" w14:textId="77777777">
        <w:trPr>
          <w:trHeight w:val="234"/>
        </w:trPr>
        <w:tc>
          <w:tcPr>
            <w:tcW w:w="5399" w:type="dxa"/>
            <w:tcBorders>
              <w:top w:val="nil"/>
              <w:left w:val="nil"/>
              <w:bottom w:val="single" w:sz="4" w:space="0" w:color="000000"/>
              <w:right w:val="single" w:sz="4" w:space="0" w:color="000000"/>
            </w:tcBorders>
            <w:shd w:val="clear" w:color="auto" w:fill="FFFFFF"/>
          </w:tcPr>
          <w:p w14:paraId="1EF3D3C5" w14:textId="77777777" w:rsidR="009F5F6A" w:rsidRDefault="00962A10">
            <w:pPr>
              <w:spacing w:line="259" w:lineRule="auto"/>
              <w:rPr>
                <w:rFonts w:ascii="Times New Roman" w:hAnsi="Times New Roman" w:cs="Times New Roman"/>
              </w:rPr>
            </w:pPr>
            <w:r>
              <w:rPr>
                <w:rFonts w:ascii="Times New Roman" w:hAnsi="Times New Roman" w:cs="Times New Roman"/>
                <w:b/>
                <w:sz w:val="20"/>
              </w:rPr>
              <w:t xml:space="preserve"> </w:t>
            </w:r>
          </w:p>
        </w:tc>
        <w:tc>
          <w:tcPr>
            <w:tcW w:w="980" w:type="dxa"/>
            <w:tcBorders>
              <w:top w:val="nil"/>
              <w:left w:val="single" w:sz="4" w:space="0" w:color="000000"/>
              <w:bottom w:val="single" w:sz="4" w:space="0" w:color="000000"/>
              <w:right w:val="single" w:sz="4" w:space="0" w:color="000000"/>
            </w:tcBorders>
            <w:shd w:val="clear" w:color="auto" w:fill="FFFFFF"/>
          </w:tcPr>
          <w:p w14:paraId="0B0FFBB2" w14:textId="77777777" w:rsidR="009F5F6A" w:rsidRDefault="00962A10">
            <w:pPr>
              <w:spacing w:line="259" w:lineRule="auto"/>
              <w:ind w:right="43"/>
              <w:jc w:val="center"/>
              <w:rPr>
                <w:rFonts w:ascii="Times New Roman" w:hAnsi="Times New Roman" w:cs="Times New Roman"/>
              </w:rPr>
            </w:pPr>
            <w:proofErr w:type="gramStart"/>
            <w:r>
              <w:rPr>
                <w:rFonts w:ascii="Times New Roman" w:hAnsi="Times New Roman" w:cs="Times New Roman"/>
                <w:b/>
                <w:sz w:val="20"/>
              </w:rPr>
              <w:t>n</w:t>
            </w:r>
            <w:proofErr w:type="gramEnd"/>
            <w:r>
              <w:rPr>
                <w:rFonts w:ascii="Times New Roman" w:hAnsi="Times New Roman" w:cs="Times New Roman"/>
                <w:b/>
                <w:sz w:val="20"/>
              </w:rPr>
              <w:t xml:space="preserve"> (%)</w:t>
            </w:r>
          </w:p>
        </w:tc>
        <w:tc>
          <w:tcPr>
            <w:tcW w:w="1082" w:type="dxa"/>
            <w:tcBorders>
              <w:top w:val="nil"/>
              <w:left w:val="single" w:sz="4" w:space="0" w:color="000000"/>
              <w:bottom w:val="single" w:sz="4" w:space="0" w:color="000000"/>
              <w:right w:val="single" w:sz="4" w:space="0" w:color="000000"/>
            </w:tcBorders>
            <w:shd w:val="clear" w:color="auto" w:fill="FFFFFF"/>
          </w:tcPr>
          <w:p w14:paraId="7F3787F1" w14:textId="77777777" w:rsidR="009F5F6A" w:rsidRDefault="00962A10">
            <w:pPr>
              <w:spacing w:line="259" w:lineRule="auto"/>
              <w:ind w:left="144"/>
              <w:jc w:val="center"/>
              <w:rPr>
                <w:rFonts w:ascii="Times New Roman" w:hAnsi="Times New Roman" w:cs="Times New Roman"/>
              </w:rPr>
            </w:pPr>
            <w:r>
              <w:rPr>
                <w:rFonts w:ascii="Times New Roman" w:hAnsi="Times New Roman" w:cs="Times New Roman"/>
                <w:b/>
                <w:sz w:val="20"/>
              </w:rPr>
              <w:t>95% CI</w:t>
            </w:r>
          </w:p>
        </w:tc>
        <w:tc>
          <w:tcPr>
            <w:tcW w:w="899" w:type="dxa"/>
            <w:tcBorders>
              <w:top w:val="nil"/>
              <w:left w:val="single" w:sz="4" w:space="0" w:color="000000"/>
              <w:bottom w:val="single" w:sz="4" w:space="0" w:color="000000"/>
              <w:right w:val="single" w:sz="4" w:space="0" w:color="000000"/>
            </w:tcBorders>
            <w:shd w:val="clear" w:color="auto" w:fill="FFFFFF"/>
          </w:tcPr>
          <w:p w14:paraId="1067362B" w14:textId="77777777" w:rsidR="009F5F6A" w:rsidRDefault="00962A10">
            <w:pPr>
              <w:spacing w:line="259" w:lineRule="auto"/>
              <w:ind w:left="72"/>
              <w:jc w:val="center"/>
              <w:rPr>
                <w:rFonts w:ascii="Times New Roman" w:hAnsi="Times New Roman" w:cs="Times New Roman"/>
              </w:rPr>
            </w:pPr>
            <w:r>
              <w:rPr>
                <w:rFonts w:ascii="Times New Roman" w:hAnsi="Times New Roman" w:cs="Times New Roman"/>
                <w:b/>
                <w:sz w:val="20"/>
              </w:rPr>
              <w:t>p-érték</w:t>
            </w:r>
          </w:p>
        </w:tc>
        <w:tc>
          <w:tcPr>
            <w:tcW w:w="990" w:type="dxa"/>
            <w:tcBorders>
              <w:top w:val="nil"/>
              <w:left w:val="single" w:sz="4" w:space="0" w:color="000000"/>
              <w:bottom w:val="single" w:sz="4" w:space="0" w:color="000000"/>
              <w:right w:val="nil"/>
            </w:tcBorders>
          </w:tcPr>
          <w:p w14:paraId="6295CEC9" w14:textId="77777777" w:rsidR="009F5F6A" w:rsidRDefault="00962A10">
            <w:pPr>
              <w:spacing w:line="259" w:lineRule="auto"/>
              <w:ind w:left="11"/>
              <w:jc w:val="center"/>
              <w:rPr>
                <w:rFonts w:ascii="Times New Roman" w:hAnsi="Times New Roman" w:cs="Times New Roman"/>
              </w:rPr>
            </w:pPr>
            <w:r>
              <w:rPr>
                <w:rFonts w:ascii="Times New Roman" w:hAnsi="Times New Roman" w:cs="Times New Roman"/>
                <w:b/>
                <w:sz w:val="20"/>
              </w:rPr>
              <w:t>H0 elvetése</w:t>
            </w:r>
          </w:p>
        </w:tc>
      </w:tr>
      <w:tr w:rsidR="009F5F6A" w14:paraId="727B4575" w14:textId="77777777">
        <w:trPr>
          <w:trHeight w:val="472"/>
        </w:trPr>
        <w:tc>
          <w:tcPr>
            <w:tcW w:w="5399" w:type="dxa"/>
            <w:tcBorders>
              <w:top w:val="single" w:sz="4" w:space="0" w:color="000000"/>
              <w:left w:val="nil"/>
              <w:bottom w:val="single" w:sz="4" w:space="0" w:color="000000"/>
              <w:right w:val="single" w:sz="4" w:space="0" w:color="000000"/>
            </w:tcBorders>
          </w:tcPr>
          <w:p w14:paraId="0E03B773" w14:textId="77777777" w:rsidR="009F5F6A" w:rsidRDefault="00962A10">
            <w:pPr>
              <w:tabs>
                <w:tab w:val="clear" w:pos="567"/>
              </w:tabs>
              <w:autoSpaceDE w:val="0"/>
              <w:autoSpaceDN w:val="0"/>
              <w:adjustRightInd w:val="0"/>
              <w:spacing w:line="240" w:lineRule="auto"/>
              <w:ind w:left="709" w:hanging="709"/>
              <w:rPr>
                <w:rFonts w:ascii="Times New Roman" w:hAnsi="Times New Roman" w:cs="Times New Roman"/>
              </w:rPr>
            </w:pPr>
            <w:r>
              <w:rPr>
                <w:rFonts w:ascii="Times New Roman" w:hAnsi="Times New Roman" w:cs="Times New Roman"/>
                <w:sz w:val="20"/>
              </w:rPr>
              <w:t xml:space="preserve">1. lépés: </w:t>
            </w:r>
            <w:r>
              <w:rPr>
                <w:rFonts w:ascii="Times New Roman" w:hAnsi="Times New Roman" w:cs="Times New Roman"/>
                <w:snapToGrid/>
                <w:sz w:val="20"/>
                <w:lang w:val="hu-HU" w:eastAsia="en-GB"/>
              </w:rPr>
              <w:t>Azon betegek, akik legalább egyszer elérték a ≥100 000/mikroliter vérlemezkeszámot</w:t>
            </w:r>
          </w:p>
        </w:tc>
        <w:tc>
          <w:tcPr>
            <w:tcW w:w="980" w:type="dxa"/>
            <w:tcBorders>
              <w:top w:val="single" w:sz="4" w:space="0" w:color="000000"/>
              <w:left w:val="single" w:sz="4" w:space="0" w:color="000000"/>
              <w:bottom w:val="single" w:sz="4" w:space="0" w:color="000000"/>
              <w:right w:val="single" w:sz="4" w:space="0" w:color="000000"/>
            </w:tcBorders>
          </w:tcPr>
          <w:p w14:paraId="3FA172B8" w14:textId="77777777" w:rsidR="009F5F6A" w:rsidRDefault="00962A10">
            <w:pPr>
              <w:spacing w:line="259" w:lineRule="auto"/>
              <w:ind w:left="62"/>
              <w:rPr>
                <w:rFonts w:ascii="Times New Roman" w:hAnsi="Times New Roman" w:cs="Times New Roman"/>
              </w:rPr>
            </w:pPr>
            <w:r>
              <w:rPr>
                <w:rFonts w:ascii="Times New Roman" w:hAnsi="Times New Roman" w:cs="Times New Roman"/>
                <w:sz w:val="20"/>
              </w:rPr>
              <w:t>89 (84,8)</w:t>
            </w:r>
          </w:p>
        </w:tc>
        <w:tc>
          <w:tcPr>
            <w:tcW w:w="1082" w:type="dxa"/>
            <w:tcBorders>
              <w:top w:val="single" w:sz="4" w:space="0" w:color="000000"/>
              <w:left w:val="single" w:sz="4" w:space="0" w:color="000000"/>
              <w:bottom w:val="single" w:sz="4" w:space="0" w:color="000000"/>
              <w:right w:val="single" w:sz="4" w:space="0" w:color="000000"/>
            </w:tcBorders>
          </w:tcPr>
          <w:p w14:paraId="2FBAE2AC" w14:textId="77777777" w:rsidR="009F5F6A" w:rsidRDefault="00962A10">
            <w:pPr>
              <w:spacing w:line="259" w:lineRule="auto"/>
              <w:ind w:left="14"/>
              <w:jc w:val="both"/>
              <w:rPr>
                <w:rFonts w:ascii="Times New Roman" w:hAnsi="Times New Roman" w:cs="Times New Roman"/>
              </w:rPr>
            </w:pPr>
            <w:r>
              <w:rPr>
                <w:rFonts w:ascii="Times New Roman" w:hAnsi="Times New Roman" w:cs="Times New Roman"/>
                <w:sz w:val="20"/>
              </w:rPr>
              <w:t>(76,4, 91,0)</w:t>
            </w:r>
          </w:p>
        </w:tc>
        <w:tc>
          <w:tcPr>
            <w:tcW w:w="899" w:type="dxa"/>
            <w:tcBorders>
              <w:top w:val="single" w:sz="4" w:space="0" w:color="000000"/>
              <w:left w:val="single" w:sz="4" w:space="0" w:color="000000"/>
              <w:bottom w:val="single" w:sz="4" w:space="0" w:color="000000"/>
              <w:right w:val="single" w:sz="4" w:space="0" w:color="000000"/>
            </w:tcBorders>
          </w:tcPr>
          <w:p w14:paraId="2F96B48E" w14:textId="77777777" w:rsidR="009F5F6A" w:rsidRDefault="00962A10">
            <w:pPr>
              <w:spacing w:line="259" w:lineRule="auto"/>
              <w:ind w:left="7"/>
              <w:jc w:val="center"/>
              <w:rPr>
                <w:rFonts w:ascii="Times New Roman" w:hAnsi="Times New Roman" w:cs="Times New Roman"/>
              </w:rPr>
            </w:pPr>
            <w:r>
              <w:rPr>
                <w:rFonts w:ascii="Times New Roman" w:hAnsi="Times New Roman" w:cs="Times New Roman"/>
                <w:sz w:val="20"/>
              </w:rPr>
              <w:t xml:space="preserve"> </w:t>
            </w:r>
          </w:p>
        </w:tc>
        <w:tc>
          <w:tcPr>
            <w:tcW w:w="990" w:type="dxa"/>
            <w:tcBorders>
              <w:top w:val="single" w:sz="4" w:space="0" w:color="000000"/>
              <w:left w:val="single" w:sz="4" w:space="0" w:color="000000"/>
              <w:bottom w:val="single" w:sz="4" w:space="0" w:color="000000"/>
              <w:right w:val="nil"/>
            </w:tcBorders>
          </w:tcPr>
          <w:p w14:paraId="43997DC8" w14:textId="77777777" w:rsidR="009F5F6A" w:rsidRDefault="00962A10">
            <w:pPr>
              <w:spacing w:line="259" w:lineRule="auto"/>
              <w:ind w:left="10"/>
              <w:jc w:val="center"/>
              <w:rPr>
                <w:rFonts w:ascii="Times New Roman" w:hAnsi="Times New Roman" w:cs="Times New Roman"/>
              </w:rPr>
            </w:pPr>
            <w:r>
              <w:rPr>
                <w:rFonts w:ascii="Times New Roman" w:hAnsi="Times New Roman" w:cs="Times New Roman"/>
                <w:sz w:val="20"/>
              </w:rPr>
              <w:t xml:space="preserve"> </w:t>
            </w:r>
          </w:p>
        </w:tc>
      </w:tr>
      <w:tr w:rsidR="009F5F6A" w14:paraId="12E303C4" w14:textId="77777777">
        <w:trPr>
          <w:trHeight w:val="698"/>
        </w:trPr>
        <w:tc>
          <w:tcPr>
            <w:tcW w:w="5399" w:type="dxa"/>
            <w:tcBorders>
              <w:top w:val="single" w:sz="4" w:space="0" w:color="000000"/>
              <w:left w:val="nil"/>
              <w:bottom w:val="single" w:sz="4" w:space="0" w:color="000000"/>
              <w:right w:val="single" w:sz="4" w:space="0" w:color="000000"/>
            </w:tcBorders>
          </w:tcPr>
          <w:p w14:paraId="7E24979B" w14:textId="77777777" w:rsidR="009F5F6A" w:rsidRDefault="00962A10">
            <w:pPr>
              <w:tabs>
                <w:tab w:val="clear" w:pos="567"/>
              </w:tabs>
              <w:autoSpaceDE w:val="0"/>
              <w:autoSpaceDN w:val="0"/>
              <w:adjustRightInd w:val="0"/>
              <w:spacing w:line="240" w:lineRule="auto"/>
              <w:ind w:left="709" w:hanging="709"/>
              <w:rPr>
                <w:rFonts w:ascii="Times New Roman" w:hAnsi="Times New Roman" w:cs="Times New Roman"/>
              </w:rPr>
            </w:pPr>
            <w:r>
              <w:rPr>
                <w:rFonts w:ascii="Times New Roman" w:hAnsi="Times New Roman" w:cs="Times New Roman"/>
                <w:sz w:val="20"/>
              </w:rPr>
              <w:t xml:space="preserve">2. lépés: </w:t>
            </w:r>
            <w:r>
              <w:rPr>
                <w:rFonts w:ascii="Times New Roman" w:hAnsi="Times New Roman" w:cs="Times New Roman"/>
                <w:snapToGrid/>
                <w:sz w:val="20"/>
                <w:lang w:val="hu-HU" w:eastAsia="en-GB"/>
              </w:rPr>
              <w:t>Azon betegek, akiknél stabil maradt a vérlemezkeszám 2 hónapig, miután elérték a 100 000/mikroliter értéket (egy alkalommal sem süllyedt 70 000/mikroliter alá)</w:t>
            </w:r>
          </w:p>
        </w:tc>
        <w:tc>
          <w:tcPr>
            <w:tcW w:w="980" w:type="dxa"/>
            <w:tcBorders>
              <w:top w:val="single" w:sz="4" w:space="0" w:color="000000"/>
              <w:left w:val="single" w:sz="4" w:space="0" w:color="000000"/>
              <w:bottom w:val="single" w:sz="4" w:space="0" w:color="000000"/>
              <w:right w:val="single" w:sz="4" w:space="0" w:color="000000"/>
            </w:tcBorders>
          </w:tcPr>
          <w:p w14:paraId="5CD90A1F" w14:textId="77777777" w:rsidR="009F5F6A" w:rsidRDefault="00962A10">
            <w:pPr>
              <w:spacing w:line="259" w:lineRule="auto"/>
              <w:ind w:left="62"/>
              <w:rPr>
                <w:rFonts w:ascii="Times New Roman" w:hAnsi="Times New Roman" w:cs="Times New Roman"/>
              </w:rPr>
            </w:pPr>
            <w:r>
              <w:rPr>
                <w:rFonts w:ascii="Times New Roman" w:hAnsi="Times New Roman" w:cs="Times New Roman"/>
                <w:sz w:val="20"/>
              </w:rPr>
              <w:t>65 (61,9)</w:t>
            </w:r>
          </w:p>
        </w:tc>
        <w:tc>
          <w:tcPr>
            <w:tcW w:w="1082" w:type="dxa"/>
            <w:tcBorders>
              <w:top w:val="single" w:sz="4" w:space="0" w:color="000000"/>
              <w:left w:val="single" w:sz="4" w:space="0" w:color="000000"/>
              <w:bottom w:val="single" w:sz="4" w:space="0" w:color="000000"/>
              <w:right w:val="single" w:sz="4" w:space="0" w:color="000000"/>
            </w:tcBorders>
          </w:tcPr>
          <w:p w14:paraId="0D6627FF" w14:textId="77777777" w:rsidR="009F5F6A" w:rsidRDefault="00962A10">
            <w:pPr>
              <w:spacing w:line="259" w:lineRule="auto"/>
              <w:ind w:left="14"/>
              <w:jc w:val="both"/>
              <w:rPr>
                <w:rFonts w:ascii="Times New Roman" w:hAnsi="Times New Roman" w:cs="Times New Roman"/>
              </w:rPr>
            </w:pPr>
            <w:r>
              <w:rPr>
                <w:rFonts w:ascii="Times New Roman" w:hAnsi="Times New Roman" w:cs="Times New Roman"/>
                <w:sz w:val="20"/>
              </w:rPr>
              <w:t>(51,9, 71,2)</w:t>
            </w:r>
          </w:p>
        </w:tc>
        <w:tc>
          <w:tcPr>
            <w:tcW w:w="899" w:type="dxa"/>
            <w:tcBorders>
              <w:top w:val="single" w:sz="4" w:space="0" w:color="000000"/>
              <w:left w:val="single" w:sz="4" w:space="0" w:color="000000"/>
              <w:bottom w:val="single" w:sz="4" w:space="0" w:color="000000"/>
              <w:right w:val="single" w:sz="4" w:space="0" w:color="000000"/>
            </w:tcBorders>
          </w:tcPr>
          <w:p w14:paraId="23192839" w14:textId="77777777" w:rsidR="009F5F6A" w:rsidRDefault="00962A10">
            <w:pPr>
              <w:spacing w:line="259" w:lineRule="auto"/>
              <w:ind w:left="7"/>
              <w:jc w:val="center"/>
              <w:rPr>
                <w:rFonts w:ascii="Times New Roman" w:hAnsi="Times New Roman" w:cs="Times New Roman"/>
              </w:rPr>
            </w:pPr>
            <w:r>
              <w:rPr>
                <w:rFonts w:ascii="Times New Roman" w:hAnsi="Times New Roman" w:cs="Times New Roman"/>
                <w:sz w:val="20"/>
              </w:rPr>
              <w:t xml:space="preserve"> </w:t>
            </w:r>
          </w:p>
        </w:tc>
        <w:tc>
          <w:tcPr>
            <w:tcW w:w="990" w:type="dxa"/>
            <w:tcBorders>
              <w:top w:val="single" w:sz="4" w:space="0" w:color="000000"/>
              <w:left w:val="single" w:sz="4" w:space="0" w:color="000000"/>
              <w:bottom w:val="single" w:sz="4" w:space="0" w:color="000000"/>
              <w:right w:val="nil"/>
            </w:tcBorders>
          </w:tcPr>
          <w:p w14:paraId="1728CA3B" w14:textId="77777777" w:rsidR="009F5F6A" w:rsidRDefault="00962A10">
            <w:pPr>
              <w:spacing w:line="259" w:lineRule="auto"/>
              <w:ind w:left="10"/>
              <w:jc w:val="center"/>
              <w:rPr>
                <w:rFonts w:ascii="Times New Roman" w:hAnsi="Times New Roman" w:cs="Times New Roman"/>
              </w:rPr>
            </w:pPr>
            <w:r>
              <w:rPr>
                <w:rFonts w:ascii="Times New Roman" w:hAnsi="Times New Roman" w:cs="Times New Roman"/>
                <w:sz w:val="20"/>
              </w:rPr>
              <w:t xml:space="preserve"> </w:t>
            </w:r>
          </w:p>
        </w:tc>
      </w:tr>
      <w:tr w:rsidR="009F5F6A" w14:paraId="493F6A1C" w14:textId="77777777">
        <w:trPr>
          <w:trHeight w:val="931"/>
        </w:trPr>
        <w:tc>
          <w:tcPr>
            <w:tcW w:w="5399" w:type="dxa"/>
            <w:tcBorders>
              <w:top w:val="single" w:sz="4" w:space="0" w:color="000000"/>
              <w:left w:val="nil"/>
              <w:bottom w:val="single" w:sz="4" w:space="0" w:color="000000"/>
              <w:right w:val="single" w:sz="4" w:space="0" w:color="000000"/>
            </w:tcBorders>
          </w:tcPr>
          <w:p w14:paraId="2A1430E0" w14:textId="77777777" w:rsidR="009F5F6A" w:rsidRDefault="00962A10">
            <w:pPr>
              <w:tabs>
                <w:tab w:val="clear" w:pos="567"/>
              </w:tabs>
              <w:autoSpaceDE w:val="0"/>
              <w:autoSpaceDN w:val="0"/>
              <w:adjustRightInd w:val="0"/>
              <w:spacing w:line="240" w:lineRule="auto"/>
              <w:ind w:left="709" w:hanging="709"/>
              <w:rPr>
                <w:rFonts w:ascii="Times New Roman" w:hAnsi="Times New Roman" w:cs="Times New Roman"/>
              </w:rPr>
            </w:pPr>
            <w:r>
              <w:rPr>
                <w:rFonts w:ascii="Times New Roman" w:hAnsi="Times New Roman" w:cs="Times New Roman"/>
                <w:sz w:val="20"/>
              </w:rPr>
              <w:t xml:space="preserve">3. lépés: </w:t>
            </w:r>
            <w:r>
              <w:rPr>
                <w:rFonts w:ascii="Times New Roman" w:hAnsi="Times New Roman" w:cs="Times New Roman"/>
                <w:snapToGrid/>
                <w:sz w:val="20"/>
                <w:lang w:val="hu-HU" w:eastAsia="en-GB"/>
              </w:rPr>
              <w:t>Azon betegek, akiknél sikerült a fokozatos dóziscsökkentést követően abbahagyni az eltrombopag alkalmazását úgy, hogy eközben a vérlemezkeszám ≥30 000/mikroliter maradt, nem voltak vérzéses események, illetve nem kellett semmilyen mentő kezelést sem igénybe venni</w:t>
            </w:r>
          </w:p>
        </w:tc>
        <w:tc>
          <w:tcPr>
            <w:tcW w:w="980" w:type="dxa"/>
            <w:tcBorders>
              <w:top w:val="single" w:sz="4" w:space="0" w:color="000000"/>
              <w:left w:val="single" w:sz="4" w:space="0" w:color="000000"/>
              <w:bottom w:val="single" w:sz="4" w:space="0" w:color="000000"/>
              <w:right w:val="single" w:sz="4" w:space="0" w:color="000000"/>
            </w:tcBorders>
          </w:tcPr>
          <w:p w14:paraId="63A3BD77" w14:textId="77777777" w:rsidR="009F5F6A" w:rsidRDefault="00962A10">
            <w:pPr>
              <w:spacing w:line="259" w:lineRule="auto"/>
              <w:ind w:left="62"/>
              <w:rPr>
                <w:rFonts w:ascii="Times New Roman" w:hAnsi="Times New Roman" w:cs="Times New Roman"/>
              </w:rPr>
            </w:pPr>
            <w:r>
              <w:rPr>
                <w:rFonts w:ascii="Times New Roman" w:hAnsi="Times New Roman" w:cs="Times New Roman"/>
                <w:sz w:val="20"/>
              </w:rPr>
              <w:t>44 (41,9)</w:t>
            </w:r>
          </w:p>
        </w:tc>
        <w:tc>
          <w:tcPr>
            <w:tcW w:w="1082" w:type="dxa"/>
            <w:tcBorders>
              <w:top w:val="single" w:sz="4" w:space="0" w:color="000000"/>
              <w:left w:val="single" w:sz="4" w:space="0" w:color="000000"/>
              <w:bottom w:val="single" w:sz="4" w:space="0" w:color="000000"/>
              <w:right w:val="single" w:sz="4" w:space="0" w:color="000000"/>
            </w:tcBorders>
          </w:tcPr>
          <w:p w14:paraId="1BA871FF" w14:textId="77777777" w:rsidR="009F5F6A" w:rsidRDefault="00962A10">
            <w:pPr>
              <w:spacing w:line="259" w:lineRule="auto"/>
              <w:ind w:left="14"/>
              <w:jc w:val="both"/>
              <w:rPr>
                <w:rFonts w:ascii="Times New Roman" w:hAnsi="Times New Roman" w:cs="Times New Roman"/>
              </w:rPr>
            </w:pPr>
            <w:r>
              <w:rPr>
                <w:rFonts w:ascii="Times New Roman" w:hAnsi="Times New Roman" w:cs="Times New Roman"/>
                <w:sz w:val="20"/>
              </w:rPr>
              <w:t>(32,3, 51,9)</w:t>
            </w:r>
          </w:p>
        </w:tc>
        <w:tc>
          <w:tcPr>
            <w:tcW w:w="899" w:type="dxa"/>
            <w:tcBorders>
              <w:top w:val="single" w:sz="4" w:space="0" w:color="000000"/>
              <w:left w:val="single" w:sz="4" w:space="0" w:color="000000"/>
              <w:bottom w:val="single" w:sz="4" w:space="0" w:color="000000"/>
              <w:right w:val="single" w:sz="4" w:space="0" w:color="000000"/>
            </w:tcBorders>
          </w:tcPr>
          <w:p w14:paraId="282A0F77" w14:textId="77777777" w:rsidR="009F5F6A" w:rsidRDefault="00962A10">
            <w:pPr>
              <w:spacing w:line="259" w:lineRule="auto"/>
              <w:ind w:left="7"/>
              <w:jc w:val="center"/>
              <w:rPr>
                <w:rFonts w:ascii="Times New Roman" w:hAnsi="Times New Roman" w:cs="Times New Roman"/>
              </w:rPr>
            </w:pPr>
            <w:r>
              <w:rPr>
                <w:rFonts w:ascii="Times New Roman" w:hAnsi="Times New Roman" w:cs="Times New Roman"/>
                <w:sz w:val="20"/>
              </w:rPr>
              <w:t xml:space="preserve"> </w:t>
            </w:r>
          </w:p>
        </w:tc>
        <w:tc>
          <w:tcPr>
            <w:tcW w:w="990" w:type="dxa"/>
            <w:tcBorders>
              <w:top w:val="single" w:sz="4" w:space="0" w:color="000000"/>
              <w:left w:val="single" w:sz="4" w:space="0" w:color="000000"/>
              <w:bottom w:val="single" w:sz="4" w:space="0" w:color="000000"/>
              <w:right w:val="nil"/>
            </w:tcBorders>
          </w:tcPr>
          <w:p w14:paraId="70A01B2C" w14:textId="77777777" w:rsidR="009F5F6A" w:rsidRDefault="00962A10">
            <w:pPr>
              <w:spacing w:line="259" w:lineRule="auto"/>
              <w:ind w:left="10"/>
              <w:jc w:val="center"/>
              <w:rPr>
                <w:rFonts w:ascii="Times New Roman" w:hAnsi="Times New Roman" w:cs="Times New Roman"/>
              </w:rPr>
            </w:pPr>
            <w:r>
              <w:rPr>
                <w:rFonts w:ascii="Times New Roman" w:hAnsi="Times New Roman" w:cs="Times New Roman"/>
                <w:sz w:val="20"/>
              </w:rPr>
              <w:t xml:space="preserve"> </w:t>
            </w:r>
          </w:p>
        </w:tc>
      </w:tr>
      <w:tr w:rsidR="009F5F6A" w14:paraId="03C0E7D9" w14:textId="77777777">
        <w:trPr>
          <w:trHeight w:val="929"/>
        </w:trPr>
        <w:tc>
          <w:tcPr>
            <w:tcW w:w="5399" w:type="dxa"/>
            <w:tcBorders>
              <w:top w:val="single" w:sz="4" w:space="0" w:color="000000"/>
              <w:left w:val="nil"/>
              <w:bottom w:val="single" w:sz="4" w:space="0" w:color="000000"/>
              <w:right w:val="single" w:sz="4" w:space="0" w:color="000000"/>
            </w:tcBorders>
          </w:tcPr>
          <w:p w14:paraId="20D68938" w14:textId="77777777" w:rsidR="009F5F6A" w:rsidRDefault="00962A10">
            <w:pPr>
              <w:tabs>
                <w:tab w:val="clear" w:pos="567"/>
              </w:tabs>
              <w:autoSpaceDE w:val="0"/>
              <w:autoSpaceDN w:val="0"/>
              <w:adjustRightInd w:val="0"/>
              <w:spacing w:line="240" w:lineRule="auto"/>
              <w:ind w:left="709" w:hanging="709"/>
              <w:rPr>
                <w:rFonts w:ascii="Times New Roman" w:hAnsi="Times New Roman" w:cs="Times New Roman"/>
              </w:rPr>
            </w:pPr>
            <w:r>
              <w:rPr>
                <w:rFonts w:ascii="Times New Roman" w:hAnsi="Times New Roman" w:cs="Times New Roman"/>
                <w:sz w:val="20"/>
              </w:rPr>
              <w:t>4. </w:t>
            </w:r>
            <w:proofErr w:type="gramStart"/>
            <w:r>
              <w:rPr>
                <w:rFonts w:ascii="Times New Roman" w:hAnsi="Times New Roman" w:cs="Times New Roman"/>
                <w:sz w:val="20"/>
              </w:rPr>
              <w:t>lépés</w:t>
            </w:r>
            <w:proofErr w:type="gramEnd"/>
            <w:r>
              <w:rPr>
                <w:rFonts w:ascii="Times New Roman" w:hAnsi="Times New Roman" w:cs="Times New Roman"/>
                <w:sz w:val="20"/>
              </w:rPr>
              <w:t xml:space="preserve">: </w:t>
            </w:r>
            <w:r>
              <w:rPr>
                <w:rFonts w:ascii="Times New Roman" w:hAnsi="Times New Roman" w:cs="Times New Roman"/>
                <w:snapToGrid/>
                <w:sz w:val="20"/>
                <w:lang w:val="hu-HU" w:eastAsia="en-GB"/>
              </w:rPr>
              <w:t>Azok a kezelés abbahagyása után a 12. hónapig tartós választ elérő betegek, akiknél a vérlemezkeszám ≥30 000/mikroliter maradt, nem voltak vérzéses események, illetve nem kellett semmilyen mentő kezelést sem igénybe venni</w:t>
            </w:r>
          </w:p>
        </w:tc>
        <w:tc>
          <w:tcPr>
            <w:tcW w:w="980" w:type="dxa"/>
            <w:tcBorders>
              <w:top w:val="single" w:sz="4" w:space="0" w:color="000000"/>
              <w:left w:val="single" w:sz="4" w:space="0" w:color="000000"/>
              <w:bottom w:val="single" w:sz="4" w:space="0" w:color="000000"/>
              <w:right w:val="single" w:sz="4" w:space="0" w:color="000000"/>
            </w:tcBorders>
          </w:tcPr>
          <w:p w14:paraId="615AE309" w14:textId="77777777" w:rsidR="009F5F6A" w:rsidRDefault="00962A10">
            <w:pPr>
              <w:spacing w:line="259" w:lineRule="auto"/>
              <w:ind w:left="62"/>
              <w:rPr>
                <w:rFonts w:ascii="Times New Roman" w:hAnsi="Times New Roman" w:cs="Times New Roman"/>
              </w:rPr>
            </w:pPr>
            <w:r>
              <w:rPr>
                <w:rFonts w:ascii="Times New Roman" w:hAnsi="Times New Roman" w:cs="Times New Roman"/>
                <w:sz w:val="20"/>
              </w:rPr>
              <w:t>32 (30,5)</w:t>
            </w:r>
          </w:p>
        </w:tc>
        <w:tc>
          <w:tcPr>
            <w:tcW w:w="1082" w:type="dxa"/>
            <w:tcBorders>
              <w:top w:val="single" w:sz="4" w:space="0" w:color="000000"/>
              <w:left w:val="single" w:sz="4" w:space="0" w:color="000000"/>
              <w:bottom w:val="single" w:sz="4" w:space="0" w:color="000000"/>
              <w:right w:val="single" w:sz="4" w:space="0" w:color="000000"/>
            </w:tcBorders>
          </w:tcPr>
          <w:p w14:paraId="76C4CB39" w14:textId="77777777" w:rsidR="009F5F6A" w:rsidRDefault="00962A10">
            <w:pPr>
              <w:spacing w:line="259" w:lineRule="auto"/>
              <w:ind w:left="14"/>
              <w:jc w:val="both"/>
              <w:rPr>
                <w:rFonts w:ascii="Times New Roman" w:hAnsi="Times New Roman" w:cs="Times New Roman"/>
              </w:rPr>
            </w:pPr>
            <w:r>
              <w:rPr>
                <w:rFonts w:ascii="Times New Roman" w:hAnsi="Times New Roman" w:cs="Times New Roman"/>
                <w:sz w:val="20"/>
              </w:rPr>
              <w:t>(21,9, 40,2)</w:t>
            </w:r>
          </w:p>
        </w:tc>
        <w:tc>
          <w:tcPr>
            <w:tcW w:w="899" w:type="dxa"/>
            <w:tcBorders>
              <w:top w:val="single" w:sz="4" w:space="0" w:color="000000"/>
              <w:left w:val="single" w:sz="4" w:space="0" w:color="000000"/>
              <w:bottom w:val="single" w:sz="4" w:space="0" w:color="000000"/>
              <w:right w:val="single" w:sz="4" w:space="0" w:color="000000"/>
            </w:tcBorders>
          </w:tcPr>
          <w:p w14:paraId="76B54CAE" w14:textId="77777777" w:rsidR="009F5F6A" w:rsidRDefault="00962A10">
            <w:pPr>
              <w:spacing w:line="259" w:lineRule="auto"/>
              <w:ind w:left="7"/>
              <w:jc w:val="both"/>
              <w:rPr>
                <w:rFonts w:ascii="Times New Roman" w:hAnsi="Times New Roman" w:cs="Times New Roman"/>
              </w:rPr>
            </w:pPr>
            <w:r>
              <w:rPr>
                <w:rFonts w:ascii="Times New Roman" w:hAnsi="Times New Roman" w:cs="Times New Roman"/>
                <w:sz w:val="20"/>
              </w:rPr>
              <w:t xml:space="preserve">&lt; 0,0001* </w:t>
            </w:r>
          </w:p>
        </w:tc>
        <w:tc>
          <w:tcPr>
            <w:tcW w:w="990" w:type="dxa"/>
            <w:tcBorders>
              <w:top w:val="single" w:sz="4" w:space="0" w:color="000000"/>
              <w:left w:val="single" w:sz="4" w:space="0" w:color="000000"/>
              <w:bottom w:val="single" w:sz="4" w:space="0" w:color="000000"/>
              <w:right w:val="nil"/>
            </w:tcBorders>
          </w:tcPr>
          <w:p w14:paraId="244B9C89" w14:textId="77777777" w:rsidR="009F5F6A" w:rsidRDefault="00962A10">
            <w:pPr>
              <w:spacing w:line="259" w:lineRule="auto"/>
              <w:ind w:right="42"/>
              <w:jc w:val="center"/>
              <w:rPr>
                <w:rFonts w:ascii="Times New Roman" w:hAnsi="Times New Roman" w:cs="Times New Roman"/>
              </w:rPr>
            </w:pPr>
            <w:r>
              <w:rPr>
                <w:rFonts w:ascii="Times New Roman" w:hAnsi="Times New Roman" w:cs="Times New Roman"/>
                <w:sz w:val="20"/>
              </w:rPr>
              <w:t>Igen</w:t>
            </w:r>
          </w:p>
        </w:tc>
      </w:tr>
      <w:tr w:rsidR="009F5F6A" w14:paraId="75EDCEC8" w14:textId="77777777">
        <w:trPr>
          <w:trHeight w:val="929"/>
        </w:trPr>
        <w:tc>
          <w:tcPr>
            <w:tcW w:w="5399" w:type="dxa"/>
            <w:tcBorders>
              <w:top w:val="single" w:sz="4" w:space="0" w:color="000000"/>
              <w:left w:val="nil"/>
              <w:bottom w:val="single" w:sz="2" w:space="0" w:color="000000"/>
              <w:right w:val="single" w:sz="4" w:space="0" w:color="000000"/>
            </w:tcBorders>
          </w:tcPr>
          <w:p w14:paraId="1A8B2C87" w14:textId="77777777" w:rsidR="009F5F6A" w:rsidRDefault="00962A10">
            <w:pPr>
              <w:tabs>
                <w:tab w:val="clear" w:pos="567"/>
              </w:tabs>
              <w:autoSpaceDE w:val="0"/>
              <w:autoSpaceDN w:val="0"/>
              <w:adjustRightInd w:val="0"/>
              <w:spacing w:line="240" w:lineRule="auto"/>
              <w:ind w:left="709" w:hanging="709"/>
              <w:rPr>
                <w:rFonts w:ascii="Times New Roman" w:hAnsi="Times New Roman" w:cs="Times New Roman"/>
              </w:rPr>
            </w:pPr>
            <w:r>
              <w:rPr>
                <w:rFonts w:ascii="Times New Roman" w:hAnsi="Times New Roman" w:cs="Times New Roman"/>
                <w:sz w:val="20"/>
              </w:rPr>
              <w:t>5. </w:t>
            </w:r>
            <w:proofErr w:type="gramStart"/>
            <w:r>
              <w:rPr>
                <w:rFonts w:ascii="Times New Roman" w:hAnsi="Times New Roman" w:cs="Times New Roman"/>
                <w:sz w:val="20"/>
              </w:rPr>
              <w:t>lépés</w:t>
            </w:r>
            <w:proofErr w:type="gramEnd"/>
            <w:r>
              <w:rPr>
                <w:rFonts w:ascii="Times New Roman" w:hAnsi="Times New Roman" w:cs="Times New Roman"/>
                <w:sz w:val="20"/>
              </w:rPr>
              <w:t xml:space="preserve">: </w:t>
            </w:r>
            <w:r>
              <w:rPr>
                <w:rFonts w:ascii="Times New Roman" w:hAnsi="Times New Roman" w:cs="Times New Roman"/>
                <w:snapToGrid/>
                <w:sz w:val="20"/>
                <w:lang w:val="hu-HU" w:eastAsia="en-GB"/>
              </w:rPr>
              <w:t>Azok a kezelés abbahagyása után a 12. hónaptól a 24. hónapig tartós választ elérő betegek, akiknél a vérlemezkeszám ≥30 000/mikroliter maradt, nem voltak vérzéses események, illetve nem kellett semmilyen mentő kezelést sem igénybe venni</w:t>
            </w:r>
          </w:p>
        </w:tc>
        <w:tc>
          <w:tcPr>
            <w:tcW w:w="980" w:type="dxa"/>
            <w:tcBorders>
              <w:top w:val="single" w:sz="4" w:space="0" w:color="000000"/>
              <w:left w:val="single" w:sz="4" w:space="0" w:color="000000"/>
              <w:bottom w:val="single" w:sz="2" w:space="0" w:color="000000"/>
              <w:right w:val="single" w:sz="4" w:space="0" w:color="000000"/>
            </w:tcBorders>
          </w:tcPr>
          <w:p w14:paraId="6837EF76" w14:textId="77777777" w:rsidR="009F5F6A" w:rsidRDefault="00962A10">
            <w:pPr>
              <w:spacing w:line="259" w:lineRule="auto"/>
              <w:ind w:left="62"/>
              <w:rPr>
                <w:rFonts w:ascii="Times New Roman" w:hAnsi="Times New Roman" w:cs="Times New Roman"/>
              </w:rPr>
            </w:pPr>
            <w:r>
              <w:rPr>
                <w:rFonts w:ascii="Times New Roman" w:hAnsi="Times New Roman" w:cs="Times New Roman"/>
                <w:sz w:val="20"/>
              </w:rPr>
              <w:t xml:space="preserve">20 (19,0) </w:t>
            </w:r>
          </w:p>
        </w:tc>
        <w:tc>
          <w:tcPr>
            <w:tcW w:w="1082" w:type="dxa"/>
            <w:tcBorders>
              <w:top w:val="single" w:sz="4" w:space="0" w:color="000000"/>
              <w:left w:val="single" w:sz="4" w:space="0" w:color="000000"/>
              <w:bottom w:val="single" w:sz="2" w:space="0" w:color="000000"/>
              <w:right w:val="single" w:sz="4" w:space="0" w:color="000000"/>
            </w:tcBorders>
          </w:tcPr>
          <w:p w14:paraId="44EA7974" w14:textId="77777777" w:rsidR="009F5F6A" w:rsidRDefault="00962A10">
            <w:pPr>
              <w:spacing w:line="259" w:lineRule="auto"/>
              <w:ind w:left="14"/>
              <w:jc w:val="both"/>
              <w:rPr>
                <w:rFonts w:ascii="Times New Roman" w:hAnsi="Times New Roman" w:cs="Times New Roman"/>
              </w:rPr>
            </w:pPr>
            <w:r>
              <w:rPr>
                <w:rFonts w:ascii="Times New Roman" w:hAnsi="Times New Roman" w:cs="Times New Roman"/>
                <w:sz w:val="20"/>
              </w:rPr>
              <w:t xml:space="preserve">(12,0, 27,9) </w:t>
            </w:r>
          </w:p>
        </w:tc>
        <w:tc>
          <w:tcPr>
            <w:tcW w:w="899" w:type="dxa"/>
            <w:tcBorders>
              <w:top w:val="single" w:sz="4" w:space="0" w:color="000000"/>
              <w:left w:val="single" w:sz="4" w:space="0" w:color="000000"/>
              <w:bottom w:val="single" w:sz="2" w:space="0" w:color="000000"/>
              <w:right w:val="single" w:sz="4" w:space="0" w:color="000000"/>
            </w:tcBorders>
          </w:tcPr>
          <w:p w14:paraId="72422D15" w14:textId="77777777" w:rsidR="009F5F6A" w:rsidRDefault="00962A10">
            <w:pPr>
              <w:spacing w:line="259" w:lineRule="auto"/>
              <w:ind w:left="7"/>
              <w:jc w:val="center"/>
              <w:rPr>
                <w:rFonts w:ascii="Times New Roman" w:hAnsi="Times New Roman" w:cs="Times New Roman"/>
              </w:rPr>
            </w:pPr>
            <w:r>
              <w:rPr>
                <w:rFonts w:ascii="Times New Roman" w:hAnsi="Times New Roman" w:cs="Times New Roman"/>
                <w:sz w:val="20"/>
              </w:rPr>
              <w:t xml:space="preserve"> </w:t>
            </w:r>
          </w:p>
        </w:tc>
        <w:tc>
          <w:tcPr>
            <w:tcW w:w="990" w:type="dxa"/>
            <w:tcBorders>
              <w:top w:val="single" w:sz="4" w:space="0" w:color="000000"/>
              <w:left w:val="single" w:sz="4" w:space="0" w:color="000000"/>
              <w:bottom w:val="single" w:sz="2" w:space="0" w:color="000000"/>
              <w:right w:val="nil"/>
            </w:tcBorders>
          </w:tcPr>
          <w:p w14:paraId="6FC86594" w14:textId="77777777" w:rsidR="009F5F6A" w:rsidRDefault="00962A10">
            <w:pPr>
              <w:spacing w:line="259" w:lineRule="auto"/>
              <w:ind w:left="10"/>
              <w:jc w:val="center"/>
              <w:rPr>
                <w:rFonts w:ascii="Times New Roman" w:hAnsi="Times New Roman" w:cs="Times New Roman"/>
              </w:rPr>
            </w:pPr>
            <w:r>
              <w:rPr>
                <w:rFonts w:ascii="Times New Roman" w:hAnsi="Times New Roman" w:cs="Times New Roman"/>
                <w:sz w:val="20"/>
              </w:rPr>
              <w:t xml:space="preserve"> </w:t>
            </w:r>
          </w:p>
        </w:tc>
      </w:tr>
    </w:tbl>
    <w:p w14:paraId="3F22BDC6" w14:textId="77777777" w:rsidR="009F5F6A" w:rsidRDefault="00962A10">
      <w:pPr>
        <w:spacing w:line="238" w:lineRule="auto"/>
        <w:ind w:left="-5" w:right="995" w:hanging="10"/>
        <w:rPr>
          <w:snapToGrid/>
          <w:sz w:val="18"/>
          <w:szCs w:val="18"/>
          <w:lang w:val="hu-HU" w:eastAsia="en-GB"/>
        </w:rPr>
      </w:pPr>
      <w:r>
        <w:rPr>
          <w:sz w:val="18"/>
          <w:szCs w:val="22"/>
          <w:lang w:val="en-US" w:eastAsia="en-US"/>
        </w:rPr>
        <w:t xml:space="preserve">N: </w:t>
      </w:r>
      <w:r>
        <w:rPr>
          <w:snapToGrid/>
          <w:sz w:val="18"/>
          <w:szCs w:val="18"/>
          <w:lang w:val="hu-HU" w:eastAsia="en-GB"/>
        </w:rPr>
        <w:t>A kezelési csoportba tartozó betegek összesített száma. A százalékos arány (%) számításakor ez szerepel a nevezőben.</w:t>
      </w:r>
    </w:p>
    <w:p w14:paraId="32D73D28" w14:textId="77777777" w:rsidR="009F5F6A" w:rsidRDefault="00962A10">
      <w:pPr>
        <w:spacing w:line="238" w:lineRule="auto"/>
        <w:ind w:left="-5" w:right="995" w:hanging="10"/>
        <w:rPr>
          <w:szCs w:val="22"/>
          <w:lang w:val="hu-HU" w:eastAsia="en-US"/>
        </w:rPr>
      </w:pPr>
      <w:r>
        <w:rPr>
          <w:sz w:val="18"/>
          <w:szCs w:val="22"/>
          <w:lang w:val="hu-HU" w:eastAsia="en-US"/>
        </w:rPr>
        <w:t xml:space="preserve">n: </w:t>
      </w:r>
      <w:r>
        <w:rPr>
          <w:snapToGrid/>
          <w:sz w:val="18"/>
          <w:szCs w:val="18"/>
          <w:lang w:val="hu-HU" w:eastAsia="en-GB"/>
        </w:rPr>
        <w:t>Az adott kategóriába tartozó betegek száma.</w:t>
      </w:r>
    </w:p>
    <w:p w14:paraId="0651F469" w14:textId="77777777" w:rsidR="009F5F6A" w:rsidRDefault="00962A10">
      <w:pPr>
        <w:tabs>
          <w:tab w:val="clear" w:pos="567"/>
        </w:tabs>
        <w:autoSpaceDE w:val="0"/>
        <w:autoSpaceDN w:val="0"/>
        <w:adjustRightInd w:val="0"/>
        <w:spacing w:line="240" w:lineRule="auto"/>
        <w:rPr>
          <w:sz w:val="18"/>
          <w:szCs w:val="22"/>
          <w:lang w:val="hu-HU" w:eastAsia="en-US"/>
        </w:rPr>
      </w:pPr>
      <w:r>
        <w:rPr>
          <w:snapToGrid/>
          <w:sz w:val="18"/>
          <w:szCs w:val="18"/>
          <w:lang w:val="hu-HU" w:eastAsia="en-GB"/>
        </w:rPr>
        <w:t>A gyakoriságeloszláshoz tartozó 95%-os CI számítása a Clopper–Pearson-féle egzakt módszerrel történt. Clopper–Pearsonteszttel állapították meg, hogy a terápiás választ adók aránya meghaladja-e a 15%-ot. A CI-t és a p-értékeket jelentették.</w:t>
      </w:r>
    </w:p>
    <w:p w14:paraId="111A218F" w14:textId="77777777" w:rsidR="009F5F6A" w:rsidRDefault="00962A10">
      <w:pPr>
        <w:spacing w:line="238" w:lineRule="auto"/>
        <w:ind w:left="-5" w:right="24" w:hanging="10"/>
        <w:rPr>
          <w:szCs w:val="22"/>
          <w:lang w:val="hu-HU" w:eastAsia="en-US"/>
        </w:rPr>
      </w:pPr>
      <w:r>
        <w:rPr>
          <w:sz w:val="18"/>
          <w:szCs w:val="22"/>
          <w:lang w:val="hu-HU" w:eastAsia="en-US"/>
        </w:rPr>
        <w:t xml:space="preserve">* </w:t>
      </w:r>
      <w:r>
        <w:rPr>
          <w:snapToGrid/>
          <w:sz w:val="18"/>
          <w:szCs w:val="18"/>
          <w:lang w:val="hu-HU" w:eastAsia="en-GB"/>
        </w:rPr>
        <w:t>(Egy oldalú) statisztikai szignifikanciát jelez 0,05-ös szignifikanciaszinten.</w:t>
      </w:r>
    </w:p>
    <w:p w14:paraId="32863461" w14:textId="77777777" w:rsidR="009F5F6A" w:rsidRDefault="009F5F6A">
      <w:pPr>
        <w:spacing w:line="240" w:lineRule="auto"/>
        <w:rPr>
          <w:u w:val="single"/>
          <w:lang w:val="hu-HU"/>
        </w:rPr>
      </w:pPr>
    </w:p>
    <w:p w14:paraId="61944760"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kezelés során adott terápiás válasz elemzése az ITP diagnózisa óta eltelt idő függvényében</w:t>
      </w:r>
    </w:p>
    <w:p w14:paraId="10831B6C"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Az ITP diagnózisa óta eltelt időtartam szerinti ad hoc elemzést végeztek az n = 105 betegen, melynek célja az eltrombopagra adott korai válasz felmérése volt az ITP diagnózisa óta eltelt időtartam négy különböző kategóriájában (újonnan diagnosztizált, &lt;3 hónapja fennálló ITP, 3-&lt;6 hónapja perzisztáló ITP, 6-≤12 hónapja perzisztáló ITP, valamint krónikus</w:t>
      </w:r>
      <w:proofErr w:type="gramStart"/>
      <w:r>
        <w:rPr>
          <w:snapToGrid/>
          <w:szCs w:val="22"/>
          <w:lang w:val="hu-HU" w:eastAsia="en-GB"/>
        </w:rPr>
        <w:t>, &gt;12</w:t>
      </w:r>
      <w:proofErr w:type="gramEnd"/>
      <w:r>
        <w:rPr>
          <w:snapToGrid/>
          <w:szCs w:val="22"/>
          <w:lang w:val="hu-HU" w:eastAsia="en-GB"/>
        </w:rPr>
        <w:t xml:space="preserve"> hónapja fennálló ITP). A betegek 49%-ánál (n = 51) &lt;3 hónapja, 20%-uknál (n = 21) 3-&lt;6 hónapja, 17%-uknál (n = 18) 6-≤12 hónapja, 14%-uknál (n = 15) </w:t>
      </w:r>
      <w:proofErr w:type="gramStart"/>
      <w:r>
        <w:rPr>
          <w:snapToGrid/>
          <w:szCs w:val="22"/>
          <w:lang w:val="hu-HU" w:eastAsia="en-GB"/>
        </w:rPr>
        <w:t>pedig &gt;</w:t>
      </w:r>
      <w:proofErr w:type="gramEnd"/>
      <w:r>
        <w:rPr>
          <w:snapToGrid/>
          <w:szCs w:val="22"/>
          <w:lang w:val="hu-HU" w:eastAsia="en-GB"/>
        </w:rPr>
        <w:t> 12 hónapja állapítottak meg ITP-t.</w:t>
      </w:r>
    </w:p>
    <w:p w14:paraId="10BFC725" w14:textId="77777777" w:rsidR="009F5F6A" w:rsidRDefault="009F5F6A">
      <w:pPr>
        <w:spacing w:line="240" w:lineRule="auto"/>
        <w:rPr>
          <w:u w:val="single"/>
          <w:lang w:val="hu-HU"/>
        </w:rPr>
      </w:pPr>
    </w:p>
    <w:p w14:paraId="28477FCE"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Az adatok lezárásáig (2021. október 22.) a betegek eltrombopag-expozíciójának medián (Q1 - Q3) időtartama 6,2 hónap (2,3-12,0 hónap) volt. A medián (Q1-Q3) vérlemezkeszám kiindulási értéke 16 000/mikroliter (7800-28 000/mikroliter) volt.</w:t>
      </w:r>
    </w:p>
    <w:p w14:paraId="59FEBF80" w14:textId="77777777" w:rsidR="009F5F6A" w:rsidRDefault="009F5F6A">
      <w:pPr>
        <w:spacing w:line="240" w:lineRule="auto"/>
        <w:rPr>
          <w:u w:val="single"/>
          <w:lang w:val="hu-HU"/>
        </w:rPr>
      </w:pPr>
    </w:p>
    <w:p w14:paraId="1D057E26" w14:textId="77777777" w:rsidR="009F5F6A" w:rsidRDefault="00962A10">
      <w:pPr>
        <w:tabs>
          <w:tab w:val="clear" w:pos="567"/>
        </w:tabs>
        <w:autoSpaceDE w:val="0"/>
        <w:autoSpaceDN w:val="0"/>
        <w:adjustRightInd w:val="0"/>
        <w:spacing w:line="240" w:lineRule="auto"/>
        <w:rPr>
          <w:u w:val="single"/>
          <w:lang w:val="hu-HU"/>
        </w:rPr>
      </w:pPr>
      <w:proofErr w:type="gramStart"/>
      <w:r>
        <w:rPr>
          <w:snapToGrid/>
          <w:szCs w:val="22"/>
          <w:lang w:val="hu-HU" w:eastAsia="en-GB"/>
        </w:rPr>
        <w:t>A vérlemezkeszámban megnyilvánuló választ – meghatározása: a vérlemezkeszám ≥50 000/mikroliter legalább egy alkalommal a 9. hétig anélkül, hogy mentő kezelést kellett volna alkalmazni – az újonnan diagnosztizált ITP-s betegek 84%-a (95%-os CI: 71%-93%), a 3-&lt;6 hónapja diagnosztizált perzisztáló ITP-s betegek 91%-a (95%-os CI: 70%-99%), a 6-≤12 hónapja diagnosztizált perzisztáló ITP-s betegek 94%-a (95%-os CI: 73%-100%) és a krónikus ITP-s betegek 87%-a (95%-os CI: 60%-98%) érte el.</w:t>
      </w:r>
      <w:proofErr w:type="gramEnd"/>
    </w:p>
    <w:p w14:paraId="76C539D0" w14:textId="77777777" w:rsidR="009F5F6A" w:rsidRDefault="009F5F6A">
      <w:pPr>
        <w:spacing w:line="240" w:lineRule="auto"/>
        <w:rPr>
          <w:u w:val="single"/>
          <w:lang w:val="hu-HU"/>
        </w:rPr>
      </w:pPr>
    </w:p>
    <w:p w14:paraId="0747E1BE" w14:textId="77777777" w:rsidR="009F5F6A" w:rsidRDefault="00962A10">
      <w:pPr>
        <w:tabs>
          <w:tab w:val="clear" w:pos="567"/>
        </w:tabs>
        <w:autoSpaceDE w:val="0"/>
        <w:autoSpaceDN w:val="0"/>
        <w:adjustRightInd w:val="0"/>
        <w:spacing w:line="240" w:lineRule="auto"/>
        <w:rPr>
          <w:u w:val="single"/>
          <w:lang w:val="hu-HU"/>
        </w:rPr>
      </w:pPr>
      <w:proofErr w:type="gramStart"/>
      <w:r>
        <w:rPr>
          <w:snapToGrid/>
          <w:szCs w:val="22"/>
          <w:lang w:val="hu-HU" w:eastAsia="en-GB"/>
        </w:rPr>
        <w:t>A teljes válasz aránya (meghatározása: a vérlemezkeszám ≥100 000/mikroliter legalább egy alkalommal a 9. hétig anélkül, hogy mentő kezelést kellett volna alkalmazni) 75% volt az újonnan diagnosztizált ITP-s betegeknél (95%-os CI: 60%-86%), 76% volt a 3-&lt;6 hónapja diagnosztizált perzisztáló ITP-s betegeknél (95%-os CI: 53%-92%), 72% volt a 6-≤12 hónapja diagnosztizált perzisztáló ITP-s betegeknél (95%-os CI: 47%-90%) és 87% volt a krónikus ITP-s betegeknél (95%-os CI: 60%-98%).</w:t>
      </w:r>
      <w:proofErr w:type="gramEnd"/>
    </w:p>
    <w:p w14:paraId="6BABEF31" w14:textId="77777777" w:rsidR="009F5F6A" w:rsidRDefault="009F5F6A">
      <w:pPr>
        <w:spacing w:line="240" w:lineRule="auto"/>
        <w:rPr>
          <w:u w:val="single"/>
          <w:lang w:val="hu-HU"/>
        </w:rPr>
      </w:pPr>
    </w:p>
    <w:p w14:paraId="3E041B58" w14:textId="77777777" w:rsidR="009F5F6A" w:rsidRDefault="00962A10">
      <w:pPr>
        <w:tabs>
          <w:tab w:val="clear" w:pos="567"/>
        </w:tabs>
        <w:autoSpaceDE w:val="0"/>
        <w:autoSpaceDN w:val="0"/>
        <w:adjustRightInd w:val="0"/>
        <w:spacing w:line="240" w:lineRule="auto"/>
        <w:rPr>
          <w:u w:val="single"/>
          <w:lang w:val="hu-HU"/>
        </w:rPr>
      </w:pPr>
      <w:proofErr w:type="gramStart"/>
      <w:r>
        <w:rPr>
          <w:snapToGrid/>
          <w:szCs w:val="22"/>
          <w:lang w:val="hu-HU" w:eastAsia="en-GB"/>
        </w:rPr>
        <w:t>A tartós válasz aránya (meghatározása: a vérlemezkeszám ≥50 000/mikroliter a vizsgálat első 6 hónapja során 8 egymást követő mérésből legalább 6 alkalommal anélkül, hogy mentő kezelést kellett volna alkalmazni) 71% volt az újonnan diagnosztizált ITP-s betegeknél (95%-os CI: 56%-83%), 81% volt a 3-&lt;6 hónapja diagnosztizált perzisztáló ITP-s betegeknél (95%-os CI: 58%-95%), 72% volt a 6-≤12 hónapja diagnosztizált perzisztáló ITP-s betegeknél (95%-os CI: 47%-90,3%) és 80% volt a krónikus ITP-s betegeknél (95%-os CI: 52%-96%).</w:t>
      </w:r>
      <w:proofErr w:type="gramEnd"/>
    </w:p>
    <w:p w14:paraId="3E99D237" w14:textId="77777777" w:rsidR="009F5F6A" w:rsidRDefault="009F5F6A">
      <w:pPr>
        <w:spacing w:line="240" w:lineRule="auto"/>
        <w:rPr>
          <w:u w:val="single"/>
          <w:lang w:val="hu-HU"/>
        </w:rPr>
      </w:pPr>
    </w:p>
    <w:p w14:paraId="2E225A41"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WHO szerinti vérzésskálával végzett értékelés során a 4. héten vérzéssel nem érintett, újonnan diagnosztizált és perzisztáló ITP-s betegek aránya 88% és 95% között alakult a kiindulási 37% és 57% közötti értékhez képest. Krónikus ITP-s betegeknél ez az arány 93% volt a kiindulási 73%-hoz képest.</w:t>
      </w:r>
    </w:p>
    <w:p w14:paraId="76ED3405" w14:textId="77777777" w:rsidR="009F5F6A" w:rsidRDefault="009F5F6A">
      <w:pPr>
        <w:spacing w:line="240" w:lineRule="auto"/>
        <w:rPr>
          <w:u w:val="single"/>
          <w:lang w:val="hu-HU"/>
        </w:rPr>
      </w:pPr>
    </w:p>
    <w:p w14:paraId="04F19DCE"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Az eltrombopag biztonságossága konzisztens volt valamennyi ITP-kategóriában és összhangban volt az ismert biztonságossági profiljával.</w:t>
      </w:r>
    </w:p>
    <w:p w14:paraId="443F9039" w14:textId="77777777" w:rsidR="009F5F6A" w:rsidRDefault="009F5F6A">
      <w:pPr>
        <w:spacing w:line="240" w:lineRule="auto"/>
        <w:rPr>
          <w:u w:val="single"/>
          <w:lang w:val="hu-HU"/>
        </w:rPr>
      </w:pPr>
    </w:p>
    <w:p w14:paraId="558CB0E0"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Olyan klinikai vizsgálatokat, amelyekben az eltrombopagot más kezelési lehetőségekhez (pl. splenectomia) viszonyították, nem folytattak. A kezelés megkezdése előtt figyelembe kell venni az eltrombopag hosszú távú biztonságosságát.</w:t>
      </w:r>
    </w:p>
    <w:p w14:paraId="116A56DF" w14:textId="77777777" w:rsidR="009F5F6A" w:rsidRDefault="009F5F6A">
      <w:pPr>
        <w:spacing w:line="240" w:lineRule="auto"/>
        <w:rPr>
          <w:u w:val="single"/>
          <w:lang w:val="hu-HU"/>
        </w:rPr>
      </w:pPr>
    </w:p>
    <w:p w14:paraId="37936627" w14:textId="77777777" w:rsidR="009F5F6A" w:rsidRDefault="00962A10">
      <w:pPr>
        <w:spacing w:line="240" w:lineRule="auto"/>
        <w:rPr>
          <w:u w:val="single"/>
          <w:lang w:val="hu-HU"/>
        </w:rPr>
      </w:pPr>
      <w:r>
        <w:rPr>
          <w:u w:val="single"/>
          <w:lang w:val="hu-HU"/>
        </w:rPr>
        <w:t>Gyermekek és serdülők (1–18 éves korig)</w:t>
      </w:r>
    </w:p>
    <w:p w14:paraId="2CC2C86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Az eltrombopag biztonságosságát és hatásosságát gyermekeknél és serdülőknél 2 vizsgálatban értékelték.</w:t>
      </w:r>
    </w:p>
    <w:p w14:paraId="478ECFEA" w14:textId="77777777" w:rsidR="009F5F6A" w:rsidRDefault="009F5F6A">
      <w:pPr>
        <w:tabs>
          <w:tab w:val="clear" w:pos="567"/>
        </w:tabs>
        <w:autoSpaceDE w:val="0"/>
        <w:autoSpaceDN w:val="0"/>
        <w:adjustRightInd w:val="0"/>
        <w:spacing w:line="240" w:lineRule="auto"/>
        <w:rPr>
          <w:snapToGrid/>
          <w:szCs w:val="22"/>
          <w:lang w:val="hu-HU" w:eastAsia="en-GB"/>
        </w:rPr>
      </w:pPr>
    </w:p>
    <w:p w14:paraId="4CCB1C33"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TRA115450 (PETIT2): Az elsődleges végpont a tartós válasz volt, amit a placebóhoz viszonyítva azoknak az eltrombopagot kapó betegeknek az arányával definiáltak, akik a kettős vak, randomizált időszak alatt ≥50 000/mikroliter-es thrombocytaszámot értek el az 5. és 12. hét között, a 8 hétből legalább 6 alatt („mentő” kezelés nélkül). A betegeket krónikus ITP-vel diagnoztizálták legalább egy éve és legalább egy korábbi ITP elleni kezelésre nem reagáltak, vagy a kezelés után állapotuk ismét súlyosbodott, vagy orvosi ok miatt nem kaphattak más ITP elleni kezelést, és a thrombocytaszámuk &lt;30 000/mikroliter volt. Kilencvenkét beteget randomizáltak három életkori kohorsz réteg szerint (2:1) eltrombopagra (n = 63) vagy placebóra (n = 29). Az eltrombopag dózisát az individuális vérlemezkeszám alapján módosítani lehetett.</w:t>
      </w:r>
    </w:p>
    <w:p w14:paraId="2705A25A" w14:textId="77777777" w:rsidR="009F5F6A" w:rsidRDefault="009F5F6A">
      <w:pPr>
        <w:spacing w:line="240" w:lineRule="auto"/>
        <w:rPr>
          <w:rFonts w:eastAsia="Times New Roman"/>
          <w:noProof/>
          <w:snapToGrid/>
          <w:szCs w:val="22"/>
          <w:lang w:val="hu-HU" w:eastAsia="en-US"/>
        </w:rPr>
      </w:pPr>
    </w:p>
    <w:p w14:paraId="1E3217A9"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Összességében az eltrombopagot kapó betegek szignifikánsan nagyobb aránya (40%) érte el az elsődleges végpontot, mint placebót kapó beteg (3%) (esélyhányados: 18,0 [95%-os CI: 2,3, 140,9] p &lt;0,001), ami mindhárom életkor kohorszban hasonló volt (6. táblázat).</w:t>
      </w:r>
    </w:p>
    <w:p w14:paraId="02C27462" w14:textId="77777777" w:rsidR="009F5F6A" w:rsidRDefault="009F5F6A">
      <w:pPr>
        <w:spacing w:line="240" w:lineRule="auto"/>
        <w:rPr>
          <w:rFonts w:eastAsia="Times New Roman"/>
          <w:noProof/>
          <w:snapToGrid/>
          <w:szCs w:val="22"/>
          <w:lang w:val="hu-HU" w:eastAsia="en-US"/>
        </w:rPr>
      </w:pPr>
    </w:p>
    <w:p w14:paraId="78F779BD" w14:textId="77777777" w:rsidR="009F5F6A" w:rsidRDefault="00962A10">
      <w:pPr>
        <w:keepNext/>
        <w:keepLines/>
        <w:tabs>
          <w:tab w:val="clear" w:pos="567"/>
        </w:tabs>
        <w:autoSpaceDE w:val="0"/>
        <w:autoSpaceDN w:val="0"/>
        <w:adjustRightInd w:val="0"/>
        <w:spacing w:line="240" w:lineRule="auto"/>
        <w:ind w:left="1418" w:hanging="1418"/>
        <w:rPr>
          <w:rFonts w:eastAsia="Times New Roman"/>
          <w:noProof/>
          <w:snapToGrid/>
          <w:szCs w:val="22"/>
          <w:lang w:val="hu-HU" w:eastAsia="en-US"/>
        </w:rPr>
      </w:pPr>
      <w:r>
        <w:rPr>
          <w:b/>
          <w:bCs/>
          <w:snapToGrid/>
          <w:szCs w:val="22"/>
          <w:lang w:val="hu-HU" w:eastAsia="en-GB"/>
        </w:rPr>
        <w:t>6. táblázat</w:t>
      </w:r>
      <w:r>
        <w:rPr>
          <w:b/>
          <w:bCs/>
          <w:snapToGrid/>
          <w:szCs w:val="22"/>
          <w:lang w:val="hu-HU" w:eastAsia="en-GB"/>
        </w:rPr>
        <w:tab/>
        <w:t>Tartós thrombocyta-válaszarányok életkor-kohorszonként a krónikus ITP-s gyermek</w:t>
      </w:r>
      <w:r>
        <w:rPr>
          <w:rFonts w:eastAsia="TimesNewRomanPS-BoldMT"/>
          <w:b/>
          <w:bCs/>
          <w:snapToGrid/>
          <w:szCs w:val="22"/>
          <w:lang w:val="hu-HU" w:eastAsia="en-GB"/>
        </w:rPr>
        <w:t>eknél és serdülők</w:t>
      </w:r>
      <w:r>
        <w:rPr>
          <w:b/>
          <w:bCs/>
          <w:snapToGrid/>
          <w:szCs w:val="22"/>
          <w:lang w:val="hu-HU" w:eastAsia="en-GB"/>
        </w:rPr>
        <w:t>nél</w:t>
      </w:r>
    </w:p>
    <w:p w14:paraId="490632F6" w14:textId="77777777" w:rsidR="009F5F6A" w:rsidRDefault="009F5F6A">
      <w:pPr>
        <w:keepNext/>
        <w:keepLines/>
        <w:spacing w:line="240" w:lineRule="auto"/>
        <w:rPr>
          <w:rFonts w:eastAsia="Times New Roman"/>
          <w:noProof/>
          <w:snapToGrid/>
          <w:szCs w:val="22"/>
          <w:lang w:val="hu-HU" w:eastAsia="en-US"/>
        </w:rPr>
      </w:pPr>
    </w:p>
    <w:tbl>
      <w:tblPr>
        <w:tblW w:w="7257" w:type="dxa"/>
        <w:tblInd w:w="5" w:type="dxa"/>
        <w:tblCellMar>
          <w:top w:w="13" w:type="dxa"/>
          <w:right w:w="115" w:type="dxa"/>
        </w:tblCellMar>
        <w:tblLook w:val="04A0" w:firstRow="1" w:lastRow="0" w:firstColumn="1" w:lastColumn="0" w:noHBand="0" w:noVBand="1"/>
      </w:tblPr>
      <w:tblGrid>
        <w:gridCol w:w="2744"/>
        <w:gridCol w:w="2384"/>
        <w:gridCol w:w="2129"/>
      </w:tblGrid>
      <w:tr w:rsidR="009F5F6A" w14:paraId="28130923" w14:textId="77777777">
        <w:trPr>
          <w:trHeight w:val="769"/>
        </w:trPr>
        <w:tc>
          <w:tcPr>
            <w:tcW w:w="2744" w:type="dxa"/>
            <w:tcBorders>
              <w:top w:val="single" w:sz="4" w:space="0" w:color="000000"/>
              <w:left w:val="single" w:sz="4" w:space="0" w:color="000000"/>
              <w:bottom w:val="single" w:sz="4" w:space="0" w:color="000000"/>
              <w:right w:val="single" w:sz="4" w:space="0" w:color="000000"/>
            </w:tcBorders>
          </w:tcPr>
          <w:p w14:paraId="0DDDD61F" w14:textId="77777777" w:rsidR="009F5F6A" w:rsidRDefault="009F5F6A">
            <w:pPr>
              <w:keepNext/>
              <w:keepLines/>
              <w:widowControl w:val="0"/>
              <w:rPr>
                <w:noProof/>
                <w:szCs w:val="22"/>
                <w:lang w:val="hu-HU" w:eastAsia="en-US"/>
              </w:rPr>
            </w:pPr>
          </w:p>
        </w:tc>
        <w:tc>
          <w:tcPr>
            <w:tcW w:w="2384" w:type="dxa"/>
            <w:tcBorders>
              <w:top w:val="single" w:sz="4" w:space="0" w:color="000000"/>
              <w:left w:val="single" w:sz="4" w:space="0" w:color="000000"/>
              <w:bottom w:val="single" w:sz="4" w:space="0" w:color="000000"/>
              <w:right w:val="single" w:sz="4" w:space="0" w:color="000000"/>
            </w:tcBorders>
          </w:tcPr>
          <w:p w14:paraId="126C1312" w14:textId="77777777" w:rsidR="009F5F6A" w:rsidRDefault="00962A10">
            <w:pPr>
              <w:keepNext/>
              <w:keepLines/>
              <w:widowControl w:val="0"/>
              <w:jc w:val="center"/>
              <w:rPr>
                <w:noProof/>
                <w:szCs w:val="22"/>
                <w:lang w:eastAsia="en-US"/>
              </w:rPr>
            </w:pPr>
            <w:r>
              <w:rPr>
                <w:noProof/>
                <w:szCs w:val="22"/>
                <w:lang w:eastAsia="en-US"/>
              </w:rPr>
              <w:t>Eltrombopag</w:t>
            </w:r>
          </w:p>
          <w:p w14:paraId="572448AB" w14:textId="77777777" w:rsidR="009F5F6A" w:rsidRDefault="00962A10">
            <w:pPr>
              <w:keepNext/>
              <w:keepLines/>
              <w:widowControl w:val="0"/>
              <w:jc w:val="center"/>
              <w:rPr>
                <w:noProof/>
                <w:szCs w:val="22"/>
                <w:lang w:eastAsia="en-US"/>
              </w:rPr>
            </w:pPr>
            <w:r>
              <w:rPr>
                <w:noProof/>
                <w:szCs w:val="22"/>
                <w:lang w:eastAsia="en-US"/>
              </w:rPr>
              <w:t>n/N (%)</w:t>
            </w:r>
          </w:p>
          <w:p w14:paraId="2604ABA1" w14:textId="77777777" w:rsidR="009F5F6A" w:rsidRDefault="00962A10">
            <w:pPr>
              <w:keepNext/>
              <w:keepLines/>
              <w:widowControl w:val="0"/>
              <w:jc w:val="center"/>
              <w:rPr>
                <w:noProof/>
                <w:szCs w:val="22"/>
                <w:lang w:eastAsia="en-US"/>
              </w:rPr>
            </w:pPr>
            <w:r>
              <w:rPr>
                <w:noProof/>
                <w:szCs w:val="22"/>
                <w:lang w:eastAsia="en-US"/>
              </w:rPr>
              <w:t>[95% CI]</w:t>
            </w:r>
          </w:p>
        </w:tc>
        <w:tc>
          <w:tcPr>
            <w:tcW w:w="2129" w:type="dxa"/>
            <w:tcBorders>
              <w:top w:val="single" w:sz="4" w:space="0" w:color="000000"/>
              <w:left w:val="single" w:sz="4" w:space="0" w:color="000000"/>
              <w:bottom w:val="single" w:sz="4" w:space="0" w:color="000000"/>
              <w:right w:val="single" w:sz="4" w:space="0" w:color="000000"/>
            </w:tcBorders>
          </w:tcPr>
          <w:p w14:paraId="1C38FB5C" w14:textId="77777777" w:rsidR="009F5F6A" w:rsidRDefault="00962A10">
            <w:pPr>
              <w:keepNext/>
              <w:keepLines/>
              <w:widowControl w:val="0"/>
              <w:jc w:val="center"/>
              <w:rPr>
                <w:noProof/>
                <w:szCs w:val="22"/>
                <w:lang w:eastAsia="en-US"/>
              </w:rPr>
            </w:pPr>
            <w:r>
              <w:rPr>
                <w:noProof/>
                <w:szCs w:val="22"/>
                <w:lang w:eastAsia="en-US"/>
              </w:rPr>
              <w:t>Placebo</w:t>
            </w:r>
          </w:p>
          <w:p w14:paraId="510FB0EB" w14:textId="77777777" w:rsidR="009F5F6A" w:rsidRDefault="00962A10">
            <w:pPr>
              <w:keepNext/>
              <w:keepLines/>
              <w:widowControl w:val="0"/>
              <w:jc w:val="center"/>
              <w:rPr>
                <w:noProof/>
                <w:szCs w:val="22"/>
                <w:lang w:eastAsia="en-US"/>
              </w:rPr>
            </w:pPr>
            <w:r>
              <w:rPr>
                <w:noProof/>
                <w:szCs w:val="22"/>
                <w:lang w:eastAsia="en-US"/>
              </w:rPr>
              <w:t>n/N (%)</w:t>
            </w:r>
          </w:p>
          <w:p w14:paraId="6202FF8F" w14:textId="77777777" w:rsidR="009F5F6A" w:rsidRDefault="00962A10">
            <w:pPr>
              <w:keepNext/>
              <w:keepLines/>
              <w:widowControl w:val="0"/>
              <w:jc w:val="center"/>
              <w:rPr>
                <w:noProof/>
                <w:szCs w:val="22"/>
                <w:lang w:eastAsia="en-US"/>
              </w:rPr>
            </w:pPr>
            <w:r>
              <w:rPr>
                <w:noProof/>
                <w:szCs w:val="22"/>
                <w:lang w:eastAsia="en-US"/>
              </w:rPr>
              <w:t>[95% CI]</w:t>
            </w:r>
          </w:p>
        </w:tc>
      </w:tr>
      <w:tr w:rsidR="009F5F6A" w14:paraId="1E63A1BC" w14:textId="77777777">
        <w:trPr>
          <w:trHeight w:val="1529"/>
        </w:trPr>
        <w:tc>
          <w:tcPr>
            <w:tcW w:w="2744" w:type="dxa"/>
            <w:tcBorders>
              <w:top w:val="single" w:sz="4" w:space="0" w:color="000000"/>
              <w:left w:val="single" w:sz="4" w:space="0" w:color="000000"/>
              <w:bottom w:val="single" w:sz="4" w:space="0" w:color="000000"/>
              <w:right w:val="single" w:sz="4" w:space="0" w:color="000000"/>
            </w:tcBorders>
          </w:tcPr>
          <w:p w14:paraId="7D5244AD" w14:textId="77777777" w:rsidR="009F5F6A" w:rsidRDefault="00962A10">
            <w:pPr>
              <w:keepNext/>
              <w:keepLines/>
              <w:widowControl w:val="0"/>
              <w:rPr>
                <w:noProof/>
                <w:szCs w:val="22"/>
                <w:lang w:eastAsia="en-US"/>
              </w:rPr>
            </w:pPr>
            <w:r>
              <w:rPr>
                <w:noProof/>
                <w:szCs w:val="22"/>
                <w:lang w:eastAsia="en-US"/>
              </w:rPr>
              <w:t>1. kohorsz (12–18 év)</w:t>
            </w:r>
          </w:p>
          <w:p w14:paraId="58218D31" w14:textId="77777777" w:rsidR="009F5F6A" w:rsidRDefault="009F5F6A">
            <w:pPr>
              <w:keepNext/>
              <w:keepLines/>
              <w:widowControl w:val="0"/>
              <w:rPr>
                <w:noProof/>
                <w:szCs w:val="22"/>
                <w:lang w:eastAsia="en-US"/>
              </w:rPr>
            </w:pPr>
          </w:p>
          <w:p w14:paraId="1A3283D1" w14:textId="77777777" w:rsidR="009F5F6A" w:rsidRDefault="00962A10">
            <w:pPr>
              <w:keepNext/>
              <w:keepLines/>
              <w:widowControl w:val="0"/>
              <w:rPr>
                <w:noProof/>
                <w:szCs w:val="22"/>
                <w:lang w:eastAsia="en-US"/>
              </w:rPr>
            </w:pPr>
            <w:r>
              <w:rPr>
                <w:noProof/>
                <w:szCs w:val="22"/>
                <w:lang w:eastAsia="en-US"/>
              </w:rPr>
              <w:t>2. kohorsz (6–11 év)</w:t>
            </w:r>
          </w:p>
          <w:p w14:paraId="1EF7BBCC" w14:textId="77777777" w:rsidR="009F5F6A" w:rsidRDefault="009F5F6A">
            <w:pPr>
              <w:keepNext/>
              <w:keepLines/>
              <w:widowControl w:val="0"/>
              <w:rPr>
                <w:noProof/>
                <w:szCs w:val="22"/>
                <w:lang w:eastAsia="en-US"/>
              </w:rPr>
            </w:pPr>
          </w:p>
          <w:p w14:paraId="20EC56E8" w14:textId="77777777" w:rsidR="009F5F6A" w:rsidRDefault="00962A10">
            <w:pPr>
              <w:keepNext/>
              <w:keepLines/>
              <w:widowControl w:val="0"/>
              <w:rPr>
                <w:noProof/>
                <w:szCs w:val="22"/>
                <w:lang w:eastAsia="en-US"/>
              </w:rPr>
            </w:pPr>
            <w:r>
              <w:rPr>
                <w:noProof/>
                <w:szCs w:val="22"/>
                <w:lang w:eastAsia="en-US"/>
              </w:rPr>
              <w:t>3. kohorsz (1–5 év)</w:t>
            </w:r>
          </w:p>
        </w:tc>
        <w:tc>
          <w:tcPr>
            <w:tcW w:w="2384" w:type="dxa"/>
            <w:tcBorders>
              <w:top w:val="single" w:sz="4" w:space="0" w:color="000000"/>
              <w:left w:val="single" w:sz="4" w:space="0" w:color="000000"/>
              <w:bottom w:val="single" w:sz="4" w:space="0" w:color="000000"/>
              <w:right w:val="single" w:sz="4" w:space="0" w:color="000000"/>
            </w:tcBorders>
          </w:tcPr>
          <w:p w14:paraId="25CEB4EF" w14:textId="77777777" w:rsidR="009F5F6A" w:rsidRDefault="00962A10">
            <w:pPr>
              <w:keepNext/>
              <w:keepLines/>
              <w:widowControl w:val="0"/>
              <w:jc w:val="center"/>
              <w:rPr>
                <w:noProof/>
                <w:szCs w:val="22"/>
                <w:lang w:eastAsia="en-US"/>
              </w:rPr>
            </w:pPr>
            <w:r>
              <w:rPr>
                <w:noProof/>
                <w:szCs w:val="22"/>
                <w:lang w:eastAsia="en-US"/>
              </w:rPr>
              <w:t>9/23 (39%)</w:t>
            </w:r>
          </w:p>
          <w:p w14:paraId="06000693" w14:textId="77777777" w:rsidR="009F5F6A" w:rsidRDefault="00962A10">
            <w:pPr>
              <w:keepNext/>
              <w:keepLines/>
              <w:widowControl w:val="0"/>
              <w:jc w:val="center"/>
              <w:rPr>
                <w:noProof/>
                <w:szCs w:val="22"/>
                <w:lang w:eastAsia="en-US"/>
              </w:rPr>
            </w:pPr>
            <w:r>
              <w:rPr>
                <w:noProof/>
                <w:szCs w:val="22"/>
                <w:lang w:eastAsia="en-US"/>
              </w:rPr>
              <w:t>[20%; 61%]</w:t>
            </w:r>
          </w:p>
          <w:p w14:paraId="4A08EF66" w14:textId="77777777" w:rsidR="009F5F6A" w:rsidRDefault="00962A10">
            <w:pPr>
              <w:keepNext/>
              <w:keepLines/>
              <w:widowControl w:val="0"/>
              <w:jc w:val="center"/>
              <w:rPr>
                <w:noProof/>
                <w:szCs w:val="22"/>
                <w:lang w:eastAsia="en-US"/>
              </w:rPr>
            </w:pPr>
            <w:r>
              <w:rPr>
                <w:noProof/>
                <w:szCs w:val="22"/>
                <w:lang w:eastAsia="en-US"/>
              </w:rPr>
              <w:t>11/26 (42%)</w:t>
            </w:r>
          </w:p>
          <w:p w14:paraId="53D4E628" w14:textId="77777777" w:rsidR="009F5F6A" w:rsidRDefault="00962A10">
            <w:pPr>
              <w:keepNext/>
              <w:keepLines/>
              <w:widowControl w:val="0"/>
              <w:jc w:val="center"/>
              <w:rPr>
                <w:noProof/>
                <w:szCs w:val="22"/>
                <w:lang w:eastAsia="en-US"/>
              </w:rPr>
            </w:pPr>
            <w:r>
              <w:rPr>
                <w:noProof/>
                <w:szCs w:val="22"/>
                <w:lang w:eastAsia="en-US"/>
              </w:rPr>
              <w:t>[23%; 63%]</w:t>
            </w:r>
          </w:p>
          <w:p w14:paraId="298E7F06" w14:textId="77777777" w:rsidR="009F5F6A" w:rsidRDefault="00962A10">
            <w:pPr>
              <w:keepNext/>
              <w:keepLines/>
              <w:widowControl w:val="0"/>
              <w:jc w:val="center"/>
              <w:rPr>
                <w:noProof/>
                <w:szCs w:val="22"/>
                <w:lang w:eastAsia="en-US"/>
              </w:rPr>
            </w:pPr>
            <w:r>
              <w:rPr>
                <w:noProof/>
                <w:szCs w:val="22"/>
                <w:lang w:eastAsia="en-US"/>
              </w:rPr>
              <w:t>5/14 (36%)</w:t>
            </w:r>
          </w:p>
          <w:p w14:paraId="5AABD1A2" w14:textId="77777777" w:rsidR="009F5F6A" w:rsidRDefault="00962A10">
            <w:pPr>
              <w:keepNext/>
              <w:keepLines/>
              <w:widowControl w:val="0"/>
              <w:jc w:val="center"/>
              <w:rPr>
                <w:noProof/>
                <w:szCs w:val="22"/>
                <w:lang w:eastAsia="en-US"/>
              </w:rPr>
            </w:pPr>
            <w:r>
              <w:rPr>
                <w:noProof/>
                <w:szCs w:val="22"/>
                <w:lang w:eastAsia="en-US"/>
              </w:rPr>
              <w:t>[13%; 65%]</w:t>
            </w:r>
          </w:p>
        </w:tc>
        <w:tc>
          <w:tcPr>
            <w:tcW w:w="2129" w:type="dxa"/>
            <w:tcBorders>
              <w:top w:val="single" w:sz="4" w:space="0" w:color="000000"/>
              <w:left w:val="single" w:sz="4" w:space="0" w:color="000000"/>
              <w:bottom w:val="single" w:sz="4" w:space="0" w:color="000000"/>
              <w:right w:val="single" w:sz="4" w:space="0" w:color="000000"/>
            </w:tcBorders>
          </w:tcPr>
          <w:p w14:paraId="0C96267F" w14:textId="77777777" w:rsidR="009F5F6A" w:rsidRDefault="00962A10">
            <w:pPr>
              <w:keepNext/>
              <w:keepLines/>
              <w:widowControl w:val="0"/>
              <w:jc w:val="center"/>
              <w:rPr>
                <w:noProof/>
                <w:szCs w:val="22"/>
                <w:lang w:eastAsia="en-US"/>
              </w:rPr>
            </w:pPr>
            <w:r>
              <w:rPr>
                <w:noProof/>
                <w:szCs w:val="22"/>
                <w:lang w:eastAsia="en-US"/>
              </w:rPr>
              <w:t>1/10 (10%)</w:t>
            </w:r>
          </w:p>
          <w:p w14:paraId="774F862A" w14:textId="77777777" w:rsidR="009F5F6A" w:rsidRDefault="00962A10">
            <w:pPr>
              <w:keepNext/>
              <w:keepLines/>
              <w:widowControl w:val="0"/>
              <w:jc w:val="center"/>
              <w:rPr>
                <w:noProof/>
                <w:szCs w:val="22"/>
                <w:lang w:eastAsia="en-US"/>
              </w:rPr>
            </w:pPr>
            <w:r>
              <w:rPr>
                <w:noProof/>
                <w:szCs w:val="22"/>
                <w:lang w:eastAsia="en-US"/>
              </w:rPr>
              <w:t>[0%; 45%]</w:t>
            </w:r>
          </w:p>
          <w:p w14:paraId="40DAE3A8" w14:textId="77777777" w:rsidR="009F5F6A" w:rsidRDefault="00962A10">
            <w:pPr>
              <w:keepNext/>
              <w:keepLines/>
              <w:widowControl w:val="0"/>
              <w:jc w:val="center"/>
              <w:rPr>
                <w:noProof/>
                <w:szCs w:val="22"/>
                <w:lang w:eastAsia="en-US"/>
              </w:rPr>
            </w:pPr>
            <w:r>
              <w:rPr>
                <w:noProof/>
                <w:szCs w:val="22"/>
                <w:lang w:eastAsia="en-US"/>
              </w:rPr>
              <w:t>0/13 (0%)</w:t>
            </w:r>
          </w:p>
          <w:p w14:paraId="285C7B2D" w14:textId="77777777" w:rsidR="009F5F6A" w:rsidRDefault="00962A10">
            <w:pPr>
              <w:keepNext/>
              <w:keepLines/>
              <w:widowControl w:val="0"/>
              <w:jc w:val="center"/>
              <w:rPr>
                <w:noProof/>
                <w:szCs w:val="22"/>
                <w:lang w:eastAsia="en-US"/>
              </w:rPr>
            </w:pPr>
            <w:r>
              <w:rPr>
                <w:noProof/>
                <w:szCs w:val="22"/>
                <w:lang w:eastAsia="en-US"/>
              </w:rPr>
              <w:t>[N/A]</w:t>
            </w:r>
          </w:p>
          <w:p w14:paraId="7EEE2A56" w14:textId="77777777" w:rsidR="009F5F6A" w:rsidRDefault="00962A10">
            <w:pPr>
              <w:keepNext/>
              <w:keepLines/>
              <w:widowControl w:val="0"/>
              <w:jc w:val="center"/>
              <w:rPr>
                <w:noProof/>
                <w:szCs w:val="22"/>
                <w:lang w:eastAsia="en-US"/>
              </w:rPr>
            </w:pPr>
            <w:r>
              <w:rPr>
                <w:noProof/>
                <w:szCs w:val="22"/>
                <w:lang w:eastAsia="en-US"/>
              </w:rPr>
              <w:t>0/6 (0%)</w:t>
            </w:r>
          </w:p>
          <w:p w14:paraId="11DB1FE7" w14:textId="77777777" w:rsidR="009F5F6A" w:rsidRDefault="00962A10">
            <w:pPr>
              <w:keepNext/>
              <w:keepLines/>
              <w:widowControl w:val="0"/>
              <w:jc w:val="center"/>
              <w:rPr>
                <w:noProof/>
                <w:szCs w:val="22"/>
                <w:lang w:eastAsia="en-US"/>
              </w:rPr>
            </w:pPr>
            <w:r>
              <w:rPr>
                <w:noProof/>
                <w:szCs w:val="22"/>
                <w:lang w:eastAsia="en-US"/>
              </w:rPr>
              <w:t>[N/A]</w:t>
            </w:r>
          </w:p>
        </w:tc>
      </w:tr>
    </w:tbl>
    <w:p w14:paraId="6F406157" w14:textId="77777777" w:rsidR="009F5F6A" w:rsidRDefault="009F5F6A">
      <w:pPr>
        <w:spacing w:line="240" w:lineRule="auto"/>
        <w:rPr>
          <w:rFonts w:eastAsia="Times New Roman"/>
          <w:noProof/>
          <w:snapToGrid/>
          <w:szCs w:val="22"/>
          <w:lang w:val="hu-HU" w:eastAsia="en-US"/>
        </w:rPr>
      </w:pPr>
    </w:p>
    <w:p w14:paraId="13E341B7"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 randomizált időszak alatt statisztikailag kevesebb eltrombopagot kapó betegnél volt szükség „mentő” kezelésre (rescue treatment), mint placebót kapó betegnél (19% [12/63] vs. 24% [7/29], p = 0,032).</w:t>
      </w:r>
    </w:p>
    <w:p w14:paraId="105CCDBE" w14:textId="77777777" w:rsidR="009F5F6A" w:rsidRDefault="009F5F6A">
      <w:pPr>
        <w:spacing w:line="240" w:lineRule="auto"/>
        <w:rPr>
          <w:rFonts w:eastAsia="Times New Roman"/>
          <w:noProof/>
          <w:snapToGrid/>
          <w:szCs w:val="22"/>
          <w:lang w:val="hu-HU" w:eastAsia="en-US"/>
        </w:rPr>
      </w:pPr>
    </w:p>
    <w:p w14:paraId="534DB7B5"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 vizsgálat megkezdésekor az eltrombopag-csoport betegeinek 71%-</w:t>
      </w:r>
      <w:proofErr w:type="gramStart"/>
      <w:r>
        <w:rPr>
          <w:snapToGrid/>
          <w:szCs w:val="22"/>
          <w:lang w:val="hu-HU" w:eastAsia="en-GB"/>
        </w:rPr>
        <w:t>a</w:t>
      </w:r>
      <w:proofErr w:type="gramEnd"/>
      <w:r>
        <w:rPr>
          <w:snapToGrid/>
          <w:szCs w:val="22"/>
          <w:lang w:val="hu-HU" w:eastAsia="en-GB"/>
        </w:rPr>
        <w:t xml:space="preserve"> és a placebocsoport betegeinek 69%-a számolt be valamilyen vérzésről (WHO 1-4. fokozat). A 12. héten a valamilyen vérzésről beszámoló, eltrombopagot kapó betegek aránya a kiindulási érték felére csökkent (36%). Összehasonlításképpen a 12. héten a placebót kapó betegek 55%-a számolt be valamilyen vérzésről.</w:t>
      </w:r>
    </w:p>
    <w:p w14:paraId="678D71BE" w14:textId="77777777" w:rsidR="009F5F6A" w:rsidRDefault="009F5F6A">
      <w:pPr>
        <w:spacing w:line="240" w:lineRule="auto"/>
        <w:rPr>
          <w:rFonts w:eastAsia="Times New Roman"/>
          <w:noProof/>
          <w:snapToGrid/>
          <w:szCs w:val="22"/>
          <w:lang w:val="hu-HU" w:eastAsia="en-US"/>
        </w:rPr>
      </w:pPr>
    </w:p>
    <w:p w14:paraId="385181CE"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 betegeknél csak a vizsgálat nyílt elrendezésű fázisa alatt csökkenthették vagy hagyhatták abba a kiindulási ITP elleni kezelést, és a betegek 53%-ánál (8/15) lehetett csökkenteni (n = 1) vagy abbahagyni (n = 7) a kiindulási ITP elleni kezelést, elsősorban a kortikoszteroidokat, anélkül, hogy „mentő” kezelésre lett volna szükségük.</w:t>
      </w:r>
    </w:p>
    <w:p w14:paraId="29ED9860" w14:textId="77777777" w:rsidR="009F5F6A" w:rsidRDefault="009F5F6A">
      <w:pPr>
        <w:spacing w:line="240" w:lineRule="auto"/>
        <w:rPr>
          <w:rFonts w:eastAsia="Times New Roman"/>
          <w:noProof/>
          <w:snapToGrid/>
          <w:szCs w:val="22"/>
          <w:lang w:val="hu-HU" w:eastAsia="en-US"/>
        </w:rPr>
      </w:pPr>
    </w:p>
    <w:p w14:paraId="1AFB5ADE"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TRA108062 (PETIT): Az elsődleges végpont a randomizált időszak 1. és 6. hete között legalább egyszer ≥50 000/mikroliter-es thrombocytaszámot elérő betegek aránya volt. A betegeknél ITP-t diagnosztizáltak legalább 6 hónapja, és nem reagáltak legalább egy megelőző ITP elleni kezelésre, vagy állapotuk súlyosbodott, vérlemezkeszámuk &lt;30 000/mikroliter volt (n = 67). A vizsgálat randomizált időszaka alatt a betegeket három életkori kohorsz réteg szerint (2:1) randomizálták eltrombopagra (n = 45) vagy placebóra (n = 22). Az eltrombopag dózisát az individuális vérlemezkeszám alapján módosítani lehetett.</w:t>
      </w:r>
    </w:p>
    <w:p w14:paraId="37D9AEC5" w14:textId="77777777" w:rsidR="009F5F6A" w:rsidRDefault="009F5F6A">
      <w:pPr>
        <w:tabs>
          <w:tab w:val="clear" w:pos="567"/>
        </w:tabs>
        <w:autoSpaceDE w:val="0"/>
        <w:autoSpaceDN w:val="0"/>
        <w:adjustRightInd w:val="0"/>
        <w:spacing w:line="240" w:lineRule="auto"/>
        <w:rPr>
          <w:snapToGrid/>
          <w:szCs w:val="22"/>
          <w:lang w:val="hu-HU" w:eastAsia="en-GB"/>
        </w:rPr>
      </w:pPr>
    </w:p>
    <w:p w14:paraId="35129748"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Összességében az eltrombopagot kapó betegek szignifikánsan nagyobb hányada (62%) érte el az elsődleges végpontot, mint placebót kapó beteg (32%) (esélyhányados: 4,3 [95%-os CI: 1,4, 13,3]; p = 0,011).</w:t>
      </w:r>
    </w:p>
    <w:p w14:paraId="25426539" w14:textId="77777777" w:rsidR="009F5F6A" w:rsidRDefault="009F5F6A">
      <w:pPr>
        <w:tabs>
          <w:tab w:val="clear" w:pos="567"/>
        </w:tabs>
        <w:autoSpaceDE w:val="0"/>
        <w:autoSpaceDN w:val="0"/>
        <w:adjustRightInd w:val="0"/>
        <w:spacing w:line="240" w:lineRule="auto"/>
        <w:rPr>
          <w:snapToGrid/>
          <w:szCs w:val="22"/>
          <w:lang w:val="hu-HU" w:eastAsia="en-GB"/>
        </w:rPr>
      </w:pPr>
    </w:p>
    <w:p w14:paraId="7F31FACB"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Tartós válasz alakult ki a kezdetben reagáló betegek 50%-ánál a 24 hétből 20 hétig a PETIT 2 vizsgálatban és 24 hétből 15 hétig a PETIT vizsgálatban.</w:t>
      </w:r>
    </w:p>
    <w:p w14:paraId="3B6F3BB3" w14:textId="77777777" w:rsidR="009F5F6A" w:rsidRDefault="009F5F6A">
      <w:pPr>
        <w:spacing w:line="240" w:lineRule="auto"/>
        <w:rPr>
          <w:rFonts w:eastAsia="Times New Roman"/>
          <w:noProof/>
          <w:snapToGrid/>
          <w:szCs w:val="22"/>
          <w:lang w:val="hu-HU" w:eastAsia="en-US"/>
        </w:rPr>
      </w:pPr>
    </w:p>
    <w:p w14:paraId="355228E8"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Krónikus hepatitis C-hez kapcsolódó thrombocytopenia-vizsgálatok</w:t>
      </w:r>
    </w:p>
    <w:p w14:paraId="2BF80ED2" w14:textId="77777777" w:rsidR="009F5F6A" w:rsidRDefault="009F5F6A">
      <w:pPr>
        <w:tabs>
          <w:tab w:val="clear" w:pos="567"/>
        </w:tabs>
        <w:autoSpaceDE w:val="0"/>
        <w:autoSpaceDN w:val="0"/>
        <w:adjustRightInd w:val="0"/>
        <w:spacing w:line="240" w:lineRule="auto"/>
        <w:rPr>
          <w:snapToGrid/>
          <w:szCs w:val="22"/>
          <w:lang w:val="hu-HU" w:eastAsia="en-GB"/>
        </w:rPr>
      </w:pPr>
    </w:p>
    <w:p w14:paraId="665D4D27"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 xml:space="preserve">Az eltrombopag biztonságosságát és hatásosságát thrombocytopeniás HCV-fertőzött betegeknél két, randomizált, kettős vak, placebokontrollos vizsgálatban értékelték. Az ENABLE 1 peginterferon alfa-2a-t és ribavirint, míg az ENABLE 2 peginterferon alfa-2b-t és ribavirint alkalmazott antivirális terápiaként. A betegek nem kaptak közvetlenül ható antivirális szert. </w:t>
      </w:r>
      <w:proofErr w:type="gramStart"/>
      <w:r>
        <w:rPr>
          <w:snapToGrid/>
          <w:szCs w:val="22"/>
          <w:lang w:val="hu-HU" w:eastAsia="en-GB"/>
        </w:rPr>
        <w:t>Mindkét vizsgálatba a &lt;75 000/mikroliter vérlemezkeszámú betegeket válogatták be, és csoportosították őket a vérlemezkeszámuk alapján (&lt;50 000/mikroliter és ≥50 000/mikroliter-től &lt;75 000/mikroliter-ig), szűrték őket HCV RNS-re (&lt;800 000 NE/ml és ≥800 000 NE/ml) és HCV genotípusra (2/3-as genotípus és 1/4/6-os genotípus).</w:t>
      </w:r>
      <w:proofErr w:type="gramEnd"/>
    </w:p>
    <w:p w14:paraId="2465BA38" w14:textId="77777777" w:rsidR="009F5F6A" w:rsidRDefault="009F5F6A">
      <w:pPr>
        <w:spacing w:line="240" w:lineRule="auto"/>
        <w:rPr>
          <w:rFonts w:eastAsia="Times New Roman"/>
          <w:noProof/>
          <w:snapToGrid/>
          <w:szCs w:val="22"/>
          <w:lang w:val="hu-HU" w:eastAsia="en-US"/>
        </w:rPr>
      </w:pPr>
    </w:p>
    <w:p w14:paraId="6DA5C325"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 betegség kiindulási jellemzői hasonlóak voltak mindkét vizsgálatban, és összhangban voltak a kompenzált cirrhosisos HCV-betegpopulációéval. A betegek többsége HCV 1-es genotípusú volt (64%) és „bridging” fibrosisuk/cirrhosisuk volt. A betegek harmincegy százaléka korábban részesült HCV-ellenes kezelésben, elsődlegesen pegilált interferon és ribavirin kezelésben. A medián kiindulási vérlemezkeszám 59 500/mikroliter volt mindkét csoportban: a beválogatott betegek 0,8%-ánál &lt;20 000/mikroliter, 28%-ánál &lt;50 000/mikroliter és 72%-ánál ≥50 000/mikroliter volt a vérlemezkeszám.</w:t>
      </w:r>
    </w:p>
    <w:p w14:paraId="0B3C4341" w14:textId="77777777" w:rsidR="009F5F6A" w:rsidRDefault="009F5F6A">
      <w:pPr>
        <w:spacing w:line="240" w:lineRule="auto"/>
        <w:rPr>
          <w:rFonts w:eastAsia="Times New Roman"/>
          <w:noProof/>
          <w:snapToGrid/>
          <w:szCs w:val="22"/>
          <w:lang w:val="hu-HU" w:eastAsia="en-US"/>
        </w:rPr>
      </w:pPr>
    </w:p>
    <w:p w14:paraId="21ECBBCE"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 vizsgálatoknak két fázisa volt – egy antivirális kezelés előtti fázis és egy antivirális kezelési fázis. Az antivirális kezelés előtti fázisban a betegek nyílt elrendezésben eltrombopagot kaptak annak érdekében, hogy a vérlemezkeszám ≥90 000/mikroliterre emelkedjen az ENABLE 1, illetve ≥100 000/mikroliterre emelkedjen az ENABLE 2 vizsgálatban. A ≥</w:t>
      </w:r>
      <w:r>
        <w:rPr>
          <w:lang w:val="hu-HU"/>
        </w:rPr>
        <w:t>90 000</w:t>
      </w:r>
      <w:r>
        <w:rPr>
          <w:snapToGrid/>
          <w:szCs w:val="22"/>
          <w:lang w:val="hu-HU" w:eastAsia="en-GB"/>
        </w:rPr>
        <w:t>/mikroliter (ENABLE 1) vagy ≥100 000/mikroliter (ENABLE 2) vérlemezkeszám célérték elérésének medián ideje 2 hét volt.</w:t>
      </w:r>
    </w:p>
    <w:p w14:paraId="11ED813D" w14:textId="77777777" w:rsidR="009F5F6A" w:rsidRDefault="009F5F6A">
      <w:pPr>
        <w:spacing w:line="240" w:lineRule="auto"/>
        <w:rPr>
          <w:rFonts w:eastAsia="Times New Roman"/>
          <w:noProof/>
          <w:snapToGrid/>
          <w:szCs w:val="22"/>
          <w:lang w:val="hu-HU" w:eastAsia="en-US"/>
        </w:rPr>
      </w:pPr>
    </w:p>
    <w:p w14:paraId="5F83CBDD"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Az elsődleges hatásossági végpont mindkét vizsgálatban a tartós virológiai válasz (SVR) volt, azon betegek százalékában definiálva, akiknél a tervezett kezelési periódus vége után 24 héttel HCV-RNS nem volt kimutatható.</w:t>
      </w:r>
    </w:p>
    <w:p w14:paraId="5E30BACB" w14:textId="77777777" w:rsidR="009F5F6A" w:rsidRDefault="009F5F6A">
      <w:pPr>
        <w:spacing w:line="240" w:lineRule="auto"/>
        <w:rPr>
          <w:rFonts w:eastAsia="Times New Roman"/>
          <w:noProof/>
          <w:snapToGrid/>
          <w:szCs w:val="22"/>
          <w:lang w:val="hu-HU" w:eastAsia="en-US"/>
        </w:rPr>
      </w:pPr>
    </w:p>
    <w:p w14:paraId="0E7AF1F7"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 xml:space="preserve">Mindkét HCV-vizsgálatban, a placebóval kezelt betegekhez viszonyítva (n = 65, 13%), az eltrombopaggal kezelt betegek jelentősen nagyobb arányánál (n = 201, 21%) jelentkezett tartós virológiai válasz (lásd 7. táblázat). A tartós virológiai választ mutató betegek arányában történt javulás következetesen előfordult a randomizációs rétegek mindegyik alcsoportjában (kiindulási vérlemezkeszám (&lt;50 000 </w:t>
      </w:r>
      <w:proofErr w:type="gramStart"/>
      <w:r>
        <w:rPr>
          <w:snapToGrid/>
          <w:szCs w:val="22"/>
          <w:lang w:val="hu-HU" w:eastAsia="en-GB"/>
        </w:rPr>
        <w:t>vs. &gt;50</w:t>
      </w:r>
      <w:proofErr w:type="gramEnd"/>
      <w:r>
        <w:rPr>
          <w:snapToGrid/>
          <w:szCs w:val="22"/>
          <w:lang w:val="hu-HU" w:eastAsia="en-GB"/>
        </w:rPr>
        <w:t> 000), vírusterhelés (&lt;800 000 NE/ml vs. ≥800 000 NE/ml) és genotípus (2/3 vs. 1/4/6)).</w:t>
      </w:r>
    </w:p>
    <w:p w14:paraId="1DA139A5" w14:textId="77777777" w:rsidR="009F5F6A" w:rsidRDefault="009F5F6A">
      <w:pPr>
        <w:spacing w:line="240" w:lineRule="auto"/>
        <w:rPr>
          <w:rFonts w:eastAsia="Times New Roman"/>
          <w:noProof/>
          <w:snapToGrid/>
          <w:szCs w:val="22"/>
          <w:lang w:val="hu-HU" w:eastAsia="en-US"/>
        </w:rPr>
      </w:pPr>
    </w:p>
    <w:p w14:paraId="4D2D2929" w14:textId="77777777" w:rsidR="009F5F6A" w:rsidRDefault="00962A10">
      <w:pPr>
        <w:tabs>
          <w:tab w:val="clear" w:pos="567"/>
          <w:tab w:val="left" w:pos="1418"/>
        </w:tabs>
        <w:spacing w:line="240" w:lineRule="auto"/>
        <w:rPr>
          <w:rFonts w:eastAsia="Times New Roman"/>
          <w:noProof/>
          <w:snapToGrid/>
          <w:szCs w:val="22"/>
          <w:lang w:val="hu-HU" w:eastAsia="en-US"/>
        </w:rPr>
      </w:pPr>
      <w:r>
        <w:rPr>
          <w:b/>
          <w:bCs/>
          <w:snapToGrid/>
          <w:szCs w:val="22"/>
          <w:lang w:val="hu-HU" w:eastAsia="en-GB"/>
        </w:rPr>
        <w:t>7. táblázat</w:t>
      </w:r>
      <w:r>
        <w:rPr>
          <w:b/>
          <w:bCs/>
          <w:snapToGrid/>
          <w:szCs w:val="22"/>
          <w:lang w:val="hu-HU" w:eastAsia="en-GB"/>
        </w:rPr>
        <w:tab/>
        <w:t>Az ENABLE 1 és az ENABLE 2 HCV-betegeinek virológiai válasza</w:t>
      </w:r>
    </w:p>
    <w:p w14:paraId="5890E8E7" w14:textId="77777777" w:rsidR="009F5F6A" w:rsidRDefault="009F5F6A">
      <w:pPr>
        <w:spacing w:line="240" w:lineRule="auto"/>
        <w:rPr>
          <w:rFonts w:eastAsia="Times New Roman"/>
          <w:noProof/>
          <w:snapToGrid/>
          <w:szCs w:val="22"/>
          <w:lang w:val="hu-HU" w:eastAsia="en-US"/>
        </w:rPr>
      </w:pPr>
    </w:p>
    <w:tbl>
      <w:tblPr>
        <w:tblW w:w="9181" w:type="dxa"/>
        <w:tblInd w:w="5" w:type="dxa"/>
        <w:tblCellMar>
          <w:top w:w="9" w:type="dxa"/>
          <w:right w:w="85" w:type="dxa"/>
        </w:tblCellMar>
        <w:tblLook w:val="04A0" w:firstRow="1" w:lastRow="0" w:firstColumn="1" w:lastColumn="0" w:noHBand="0" w:noVBand="1"/>
      </w:tblPr>
      <w:tblGrid>
        <w:gridCol w:w="1943"/>
        <w:gridCol w:w="1440"/>
        <w:gridCol w:w="1044"/>
        <w:gridCol w:w="1440"/>
        <w:gridCol w:w="937"/>
        <w:gridCol w:w="1440"/>
        <w:gridCol w:w="937"/>
      </w:tblGrid>
      <w:tr w:rsidR="009F5F6A" w14:paraId="4C14E298"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4A43CC0C" w14:textId="77777777" w:rsidR="009F5F6A" w:rsidRDefault="009F5F6A">
            <w:pPr>
              <w:widowControl w:val="0"/>
              <w:rPr>
                <w:noProof/>
                <w:szCs w:val="22"/>
                <w:lang w:val="hu-HU" w:eastAsia="en-US"/>
              </w:rPr>
            </w:pPr>
          </w:p>
        </w:tc>
        <w:tc>
          <w:tcPr>
            <w:tcW w:w="2484" w:type="dxa"/>
            <w:gridSpan w:val="2"/>
            <w:tcBorders>
              <w:top w:val="single" w:sz="4" w:space="0" w:color="000000"/>
              <w:left w:val="single" w:sz="4" w:space="0" w:color="000000"/>
              <w:bottom w:val="single" w:sz="4" w:space="0" w:color="000000"/>
              <w:right w:val="single" w:sz="4" w:space="0" w:color="000000"/>
            </w:tcBorders>
          </w:tcPr>
          <w:p w14:paraId="25F7B1F1" w14:textId="77777777" w:rsidR="009F5F6A" w:rsidRDefault="00962A10">
            <w:pPr>
              <w:widowControl w:val="0"/>
              <w:jc w:val="center"/>
              <w:rPr>
                <w:noProof/>
                <w:szCs w:val="22"/>
                <w:lang w:eastAsia="en-US"/>
              </w:rPr>
            </w:pPr>
            <w:r>
              <w:rPr>
                <w:b/>
                <w:bCs/>
                <w:snapToGrid/>
                <w:szCs w:val="22"/>
                <w:lang w:val="hu-HU" w:eastAsia="en-GB"/>
              </w:rPr>
              <w:t>Összesített adatok</w:t>
            </w:r>
          </w:p>
        </w:tc>
        <w:tc>
          <w:tcPr>
            <w:tcW w:w="2377" w:type="dxa"/>
            <w:gridSpan w:val="2"/>
            <w:tcBorders>
              <w:top w:val="single" w:sz="4" w:space="0" w:color="000000"/>
              <w:left w:val="single" w:sz="4" w:space="0" w:color="000000"/>
              <w:bottom w:val="single" w:sz="4" w:space="0" w:color="000000"/>
              <w:right w:val="single" w:sz="4" w:space="0" w:color="000000"/>
            </w:tcBorders>
          </w:tcPr>
          <w:p w14:paraId="2A722C44" w14:textId="77777777" w:rsidR="009F5F6A" w:rsidRDefault="00962A10">
            <w:pPr>
              <w:widowControl w:val="0"/>
              <w:jc w:val="center"/>
              <w:rPr>
                <w:noProof/>
                <w:szCs w:val="22"/>
                <w:lang w:eastAsia="en-US"/>
              </w:rPr>
            </w:pPr>
            <w:r>
              <w:rPr>
                <w:b/>
                <w:noProof/>
                <w:szCs w:val="22"/>
                <w:lang w:eastAsia="en-US"/>
              </w:rPr>
              <w:t>ENABLE 1</w:t>
            </w:r>
            <w:r>
              <w:rPr>
                <w:b/>
                <w:noProof/>
                <w:szCs w:val="22"/>
                <w:vertAlign w:val="superscript"/>
                <w:lang w:eastAsia="en-US"/>
              </w:rPr>
              <w:t>a</w:t>
            </w:r>
          </w:p>
        </w:tc>
        <w:tc>
          <w:tcPr>
            <w:tcW w:w="2377" w:type="dxa"/>
            <w:gridSpan w:val="2"/>
            <w:tcBorders>
              <w:top w:val="single" w:sz="4" w:space="0" w:color="000000"/>
              <w:left w:val="single" w:sz="4" w:space="0" w:color="000000"/>
              <w:bottom w:val="single" w:sz="4" w:space="0" w:color="000000"/>
              <w:right w:val="single" w:sz="4" w:space="0" w:color="000000"/>
            </w:tcBorders>
          </w:tcPr>
          <w:p w14:paraId="7918EBA4" w14:textId="77777777" w:rsidR="009F5F6A" w:rsidRDefault="00962A10">
            <w:pPr>
              <w:widowControl w:val="0"/>
              <w:jc w:val="center"/>
              <w:rPr>
                <w:noProof/>
                <w:szCs w:val="22"/>
                <w:lang w:eastAsia="en-US"/>
              </w:rPr>
            </w:pPr>
            <w:r>
              <w:rPr>
                <w:b/>
                <w:noProof/>
                <w:szCs w:val="22"/>
                <w:lang w:eastAsia="en-US"/>
              </w:rPr>
              <w:t>ENABLE 2</w:t>
            </w:r>
            <w:r>
              <w:rPr>
                <w:b/>
                <w:noProof/>
                <w:szCs w:val="22"/>
                <w:vertAlign w:val="superscript"/>
                <w:lang w:eastAsia="en-US"/>
              </w:rPr>
              <w:t>b</w:t>
            </w:r>
          </w:p>
        </w:tc>
      </w:tr>
      <w:tr w:rsidR="009F5F6A" w14:paraId="504BBC8A" w14:textId="77777777">
        <w:trPr>
          <w:trHeight w:val="1022"/>
        </w:trPr>
        <w:tc>
          <w:tcPr>
            <w:tcW w:w="1943" w:type="dxa"/>
            <w:tcBorders>
              <w:top w:val="single" w:sz="4" w:space="0" w:color="000000"/>
              <w:left w:val="single" w:sz="4" w:space="0" w:color="000000"/>
              <w:bottom w:val="single" w:sz="4" w:space="0" w:color="000000"/>
              <w:right w:val="single" w:sz="4" w:space="0" w:color="000000"/>
            </w:tcBorders>
          </w:tcPr>
          <w:p w14:paraId="5845D056" w14:textId="77777777" w:rsidR="009F5F6A" w:rsidRDefault="00962A10">
            <w:pPr>
              <w:tabs>
                <w:tab w:val="clear" w:pos="567"/>
              </w:tabs>
              <w:autoSpaceDE w:val="0"/>
              <w:autoSpaceDN w:val="0"/>
              <w:adjustRightInd w:val="0"/>
              <w:spacing w:line="240" w:lineRule="auto"/>
              <w:rPr>
                <w:noProof/>
                <w:szCs w:val="22"/>
                <w:lang w:eastAsia="en-US"/>
              </w:rPr>
            </w:pPr>
            <w:r>
              <w:rPr>
                <w:snapToGrid/>
                <w:szCs w:val="22"/>
                <w:lang w:val="hu-HU" w:eastAsia="en-GB"/>
              </w:rPr>
              <w:t>A vérlemezkeszám célértéket elérő és antivirális terápiát megkezdő betegek</w:t>
            </w:r>
            <w:r>
              <w:rPr>
                <w:b/>
                <w:noProof/>
                <w:szCs w:val="22"/>
                <w:vertAlign w:val="superscript"/>
                <w:lang w:eastAsia="en-US"/>
              </w:rPr>
              <w:t>c</w:t>
            </w:r>
          </w:p>
        </w:tc>
        <w:tc>
          <w:tcPr>
            <w:tcW w:w="2484" w:type="dxa"/>
            <w:gridSpan w:val="2"/>
            <w:tcBorders>
              <w:top w:val="single" w:sz="4" w:space="0" w:color="000000"/>
              <w:left w:val="single" w:sz="4" w:space="0" w:color="000000"/>
              <w:bottom w:val="single" w:sz="4" w:space="0" w:color="000000"/>
              <w:right w:val="single" w:sz="4" w:space="0" w:color="000000"/>
            </w:tcBorders>
          </w:tcPr>
          <w:p w14:paraId="09565B65" w14:textId="77777777" w:rsidR="009F5F6A" w:rsidRDefault="009F5F6A">
            <w:pPr>
              <w:widowControl w:val="0"/>
              <w:jc w:val="center"/>
              <w:rPr>
                <w:noProof/>
                <w:szCs w:val="22"/>
                <w:lang w:eastAsia="en-US"/>
              </w:rPr>
            </w:pPr>
          </w:p>
          <w:p w14:paraId="50FCF799" w14:textId="77777777" w:rsidR="009F5F6A" w:rsidRDefault="00962A10">
            <w:pPr>
              <w:widowControl w:val="0"/>
              <w:jc w:val="center"/>
              <w:rPr>
                <w:noProof/>
                <w:szCs w:val="22"/>
                <w:lang w:eastAsia="en-US"/>
              </w:rPr>
            </w:pPr>
            <w:r>
              <w:rPr>
                <w:noProof/>
                <w:szCs w:val="22"/>
                <w:lang w:eastAsia="en-US"/>
              </w:rPr>
              <w:t>1439/1520 (95%)</w:t>
            </w:r>
          </w:p>
        </w:tc>
        <w:tc>
          <w:tcPr>
            <w:tcW w:w="2377" w:type="dxa"/>
            <w:gridSpan w:val="2"/>
            <w:tcBorders>
              <w:top w:val="single" w:sz="4" w:space="0" w:color="000000"/>
              <w:left w:val="single" w:sz="4" w:space="0" w:color="000000"/>
              <w:bottom w:val="single" w:sz="4" w:space="0" w:color="000000"/>
              <w:right w:val="single" w:sz="4" w:space="0" w:color="000000"/>
            </w:tcBorders>
          </w:tcPr>
          <w:p w14:paraId="13B3947B" w14:textId="77777777" w:rsidR="009F5F6A" w:rsidRDefault="009F5F6A">
            <w:pPr>
              <w:widowControl w:val="0"/>
              <w:jc w:val="center"/>
              <w:rPr>
                <w:noProof/>
                <w:szCs w:val="22"/>
                <w:lang w:eastAsia="en-US"/>
              </w:rPr>
            </w:pPr>
          </w:p>
          <w:p w14:paraId="6B53FBBD" w14:textId="77777777" w:rsidR="009F5F6A" w:rsidRDefault="00962A10">
            <w:pPr>
              <w:widowControl w:val="0"/>
              <w:jc w:val="center"/>
              <w:rPr>
                <w:noProof/>
                <w:szCs w:val="22"/>
                <w:lang w:eastAsia="en-US"/>
              </w:rPr>
            </w:pPr>
            <w:r>
              <w:rPr>
                <w:noProof/>
                <w:szCs w:val="22"/>
                <w:lang w:eastAsia="en-US"/>
              </w:rPr>
              <w:t>680/715 (95%)</w:t>
            </w:r>
          </w:p>
        </w:tc>
        <w:tc>
          <w:tcPr>
            <w:tcW w:w="2377" w:type="dxa"/>
            <w:gridSpan w:val="2"/>
            <w:tcBorders>
              <w:top w:val="single" w:sz="4" w:space="0" w:color="000000"/>
              <w:left w:val="single" w:sz="4" w:space="0" w:color="000000"/>
              <w:bottom w:val="single" w:sz="4" w:space="0" w:color="000000"/>
              <w:right w:val="single" w:sz="4" w:space="0" w:color="000000"/>
            </w:tcBorders>
          </w:tcPr>
          <w:p w14:paraId="0FED5F53" w14:textId="77777777" w:rsidR="009F5F6A" w:rsidRDefault="009F5F6A">
            <w:pPr>
              <w:widowControl w:val="0"/>
              <w:jc w:val="center"/>
              <w:rPr>
                <w:noProof/>
                <w:szCs w:val="22"/>
                <w:lang w:eastAsia="en-US"/>
              </w:rPr>
            </w:pPr>
          </w:p>
          <w:p w14:paraId="206EA8BA" w14:textId="77777777" w:rsidR="009F5F6A" w:rsidRDefault="00962A10">
            <w:pPr>
              <w:widowControl w:val="0"/>
              <w:jc w:val="center"/>
              <w:rPr>
                <w:noProof/>
                <w:szCs w:val="22"/>
                <w:lang w:eastAsia="en-US"/>
              </w:rPr>
            </w:pPr>
            <w:r>
              <w:rPr>
                <w:noProof/>
                <w:szCs w:val="22"/>
                <w:lang w:eastAsia="en-US"/>
              </w:rPr>
              <w:t>759/805 (94%)</w:t>
            </w:r>
          </w:p>
        </w:tc>
      </w:tr>
      <w:tr w:rsidR="009F5F6A" w14:paraId="1DCAA6AE" w14:textId="77777777">
        <w:trPr>
          <w:trHeight w:val="217"/>
        </w:trPr>
        <w:tc>
          <w:tcPr>
            <w:tcW w:w="1943" w:type="dxa"/>
            <w:tcBorders>
              <w:top w:val="single" w:sz="4" w:space="0" w:color="000000"/>
              <w:left w:val="single" w:sz="4" w:space="0" w:color="000000"/>
              <w:bottom w:val="single" w:sz="4" w:space="0" w:color="000000"/>
              <w:right w:val="single" w:sz="4" w:space="0" w:color="000000"/>
            </w:tcBorders>
          </w:tcPr>
          <w:p w14:paraId="048CD33A" w14:textId="77777777" w:rsidR="009F5F6A" w:rsidRDefault="00962A10">
            <w:pPr>
              <w:widowControl w:val="0"/>
              <w:rPr>
                <w:noProof/>
                <w:szCs w:val="22"/>
                <w:lang w:eastAsia="en-US"/>
              </w:rPr>
            </w:pPr>
            <w:r>
              <w:rPr>
                <w:noProof/>
                <w:szCs w:val="22"/>
                <w:lang w:eastAsia="en-US"/>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29900A6C" w14:textId="77777777" w:rsidR="009F5F6A" w:rsidRDefault="00962A10">
            <w:pPr>
              <w:widowControl w:val="0"/>
              <w:jc w:val="center"/>
              <w:rPr>
                <w:noProof/>
                <w:szCs w:val="22"/>
                <w:lang w:eastAsia="en-US"/>
              </w:rPr>
            </w:pPr>
            <w:r>
              <w:rPr>
                <w:b/>
                <w:noProof/>
                <w:szCs w:val="22"/>
                <w:lang w:eastAsia="en-US"/>
              </w:rPr>
              <w:t>Eltrombopag</w:t>
            </w:r>
          </w:p>
        </w:tc>
        <w:tc>
          <w:tcPr>
            <w:tcW w:w="1044" w:type="dxa"/>
            <w:tcBorders>
              <w:top w:val="single" w:sz="4" w:space="0" w:color="000000"/>
              <w:left w:val="single" w:sz="4" w:space="0" w:color="000000"/>
              <w:bottom w:val="single" w:sz="4" w:space="0" w:color="000000"/>
              <w:right w:val="single" w:sz="4" w:space="0" w:color="000000"/>
            </w:tcBorders>
          </w:tcPr>
          <w:p w14:paraId="15ECAD79" w14:textId="77777777" w:rsidR="009F5F6A" w:rsidRDefault="00962A10">
            <w:pPr>
              <w:widowControl w:val="0"/>
              <w:jc w:val="center"/>
              <w:rPr>
                <w:noProof/>
                <w:szCs w:val="22"/>
                <w:lang w:eastAsia="en-US"/>
              </w:rPr>
            </w:pPr>
            <w:r>
              <w:rPr>
                <w:b/>
                <w:noProof/>
                <w:szCs w:val="22"/>
                <w:lang w:eastAsia="en-US"/>
              </w:rPr>
              <w:t>Placebo</w:t>
            </w:r>
          </w:p>
        </w:tc>
        <w:tc>
          <w:tcPr>
            <w:tcW w:w="1440" w:type="dxa"/>
            <w:tcBorders>
              <w:top w:val="single" w:sz="4" w:space="0" w:color="000000"/>
              <w:left w:val="single" w:sz="4" w:space="0" w:color="000000"/>
              <w:bottom w:val="single" w:sz="4" w:space="0" w:color="000000"/>
              <w:right w:val="single" w:sz="4" w:space="0" w:color="000000"/>
            </w:tcBorders>
          </w:tcPr>
          <w:p w14:paraId="33C7C570" w14:textId="77777777" w:rsidR="009F5F6A" w:rsidRDefault="00962A10">
            <w:pPr>
              <w:widowControl w:val="0"/>
              <w:jc w:val="center"/>
              <w:rPr>
                <w:noProof/>
                <w:szCs w:val="22"/>
                <w:lang w:eastAsia="en-US"/>
              </w:rPr>
            </w:pPr>
            <w:r>
              <w:rPr>
                <w:b/>
                <w:noProof/>
                <w:szCs w:val="22"/>
                <w:lang w:eastAsia="en-US"/>
              </w:rPr>
              <w:t>Eltrombopag</w:t>
            </w:r>
          </w:p>
        </w:tc>
        <w:tc>
          <w:tcPr>
            <w:tcW w:w="937" w:type="dxa"/>
            <w:tcBorders>
              <w:top w:val="single" w:sz="4" w:space="0" w:color="000000"/>
              <w:left w:val="single" w:sz="4" w:space="0" w:color="000000"/>
              <w:bottom w:val="single" w:sz="4" w:space="0" w:color="000000"/>
              <w:right w:val="single" w:sz="4" w:space="0" w:color="000000"/>
            </w:tcBorders>
          </w:tcPr>
          <w:p w14:paraId="11EE224C" w14:textId="77777777" w:rsidR="009F5F6A" w:rsidRDefault="00962A10">
            <w:pPr>
              <w:widowControl w:val="0"/>
              <w:jc w:val="center"/>
              <w:rPr>
                <w:noProof/>
                <w:szCs w:val="22"/>
                <w:lang w:eastAsia="en-US"/>
              </w:rPr>
            </w:pPr>
            <w:r>
              <w:rPr>
                <w:b/>
                <w:noProof/>
                <w:szCs w:val="22"/>
                <w:lang w:eastAsia="en-US"/>
              </w:rPr>
              <w:t>Placebo</w:t>
            </w:r>
          </w:p>
        </w:tc>
        <w:tc>
          <w:tcPr>
            <w:tcW w:w="1440" w:type="dxa"/>
            <w:tcBorders>
              <w:top w:val="single" w:sz="4" w:space="0" w:color="000000"/>
              <w:left w:val="single" w:sz="4" w:space="0" w:color="000000"/>
              <w:bottom w:val="single" w:sz="4" w:space="0" w:color="000000"/>
              <w:right w:val="single" w:sz="4" w:space="0" w:color="000000"/>
            </w:tcBorders>
          </w:tcPr>
          <w:p w14:paraId="77A67175" w14:textId="77777777" w:rsidR="009F5F6A" w:rsidRDefault="00962A10">
            <w:pPr>
              <w:widowControl w:val="0"/>
              <w:jc w:val="center"/>
              <w:rPr>
                <w:noProof/>
                <w:szCs w:val="22"/>
                <w:lang w:eastAsia="en-US"/>
              </w:rPr>
            </w:pPr>
            <w:r>
              <w:rPr>
                <w:b/>
                <w:noProof/>
                <w:szCs w:val="22"/>
                <w:lang w:eastAsia="en-US"/>
              </w:rPr>
              <w:t>Eltrombopag</w:t>
            </w:r>
          </w:p>
        </w:tc>
        <w:tc>
          <w:tcPr>
            <w:tcW w:w="937" w:type="dxa"/>
            <w:tcBorders>
              <w:top w:val="single" w:sz="4" w:space="0" w:color="000000"/>
              <w:left w:val="single" w:sz="4" w:space="0" w:color="000000"/>
              <w:bottom w:val="single" w:sz="4" w:space="0" w:color="000000"/>
              <w:right w:val="single" w:sz="4" w:space="0" w:color="000000"/>
            </w:tcBorders>
          </w:tcPr>
          <w:p w14:paraId="475B8A04" w14:textId="77777777" w:rsidR="009F5F6A" w:rsidRDefault="00962A10">
            <w:pPr>
              <w:widowControl w:val="0"/>
              <w:jc w:val="center"/>
              <w:rPr>
                <w:noProof/>
                <w:szCs w:val="22"/>
                <w:lang w:eastAsia="en-US"/>
              </w:rPr>
            </w:pPr>
            <w:r>
              <w:rPr>
                <w:b/>
                <w:noProof/>
                <w:szCs w:val="22"/>
                <w:lang w:eastAsia="en-US"/>
              </w:rPr>
              <w:t>Placebo</w:t>
            </w:r>
          </w:p>
        </w:tc>
      </w:tr>
      <w:tr w:rsidR="009F5F6A" w14:paraId="1B8F77F9" w14:textId="77777777">
        <w:trPr>
          <w:trHeight w:val="1022"/>
        </w:trPr>
        <w:tc>
          <w:tcPr>
            <w:tcW w:w="1943" w:type="dxa"/>
            <w:tcBorders>
              <w:top w:val="single" w:sz="4" w:space="0" w:color="000000"/>
              <w:left w:val="single" w:sz="4" w:space="0" w:color="000000"/>
              <w:bottom w:val="single" w:sz="4" w:space="0" w:color="000000"/>
              <w:right w:val="single" w:sz="4" w:space="0" w:color="000000"/>
            </w:tcBorders>
          </w:tcPr>
          <w:p w14:paraId="026911EB" w14:textId="77777777" w:rsidR="009F5F6A" w:rsidRDefault="00962A10">
            <w:pPr>
              <w:tabs>
                <w:tab w:val="clear" w:pos="567"/>
              </w:tabs>
              <w:autoSpaceDE w:val="0"/>
              <w:autoSpaceDN w:val="0"/>
              <w:adjustRightInd w:val="0"/>
              <w:spacing w:line="240" w:lineRule="auto"/>
              <w:rPr>
                <w:noProof/>
                <w:szCs w:val="22"/>
                <w:lang w:eastAsia="en-US"/>
              </w:rPr>
            </w:pPr>
            <w:r>
              <w:rPr>
                <w:b/>
                <w:bCs/>
                <w:snapToGrid/>
                <w:szCs w:val="22"/>
                <w:lang w:val="hu-HU" w:eastAsia="en-GB"/>
              </w:rPr>
              <w:t xml:space="preserve">Az antivirális kezelési </w:t>
            </w:r>
            <w:r>
              <w:rPr>
                <w:rFonts w:eastAsia="TimesNewRomanPS-BoldMT"/>
                <w:b/>
                <w:bCs/>
                <w:snapToGrid/>
                <w:szCs w:val="22"/>
                <w:lang w:val="hu-HU" w:eastAsia="en-GB"/>
              </w:rPr>
              <w:t xml:space="preserve">fázisba belépő betegek </w:t>
            </w:r>
            <w:r>
              <w:rPr>
                <w:b/>
                <w:bCs/>
                <w:snapToGrid/>
                <w:szCs w:val="22"/>
                <w:lang w:val="hu-HU" w:eastAsia="en-GB"/>
              </w:rPr>
              <w:t>teljes száma</w:t>
            </w:r>
          </w:p>
        </w:tc>
        <w:tc>
          <w:tcPr>
            <w:tcW w:w="1440" w:type="dxa"/>
            <w:tcBorders>
              <w:top w:val="single" w:sz="4" w:space="0" w:color="000000"/>
              <w:left w:val="single" w:sz="4" w:space="0" w:color="000000"/>
              <w:bottom w:val="single" w:sz="4" w:space="0" w:color="000000"/>
              <w:right w:val="single" w:sz="4" w:space="0" w:color="000000"/>
            </w:tcBorders>
          </w:tcPr>
          <w:p w14:paraId="13E11A66" w14:textId="77777777" w:rsidR="009F5F6A" w:rsidRDefault="00962A10">
            <w:pPr>
              <w:widowControl w:val="0"/>
              <w:jc w:val="center"/>
              <w:rPr>
                <w:noProof/>
                <w:szCs w:val="22"/>
                <w:lang w:eastAsia="en-US"/>
              </w:rPr>
            </w:pPr>
            <w:r>
              <w:rPr>
                <w:b/>
                <w:noProof/>
                <w:szCs w:val="22"/>
                <w:lang w:eastAsia="en-US"/>
              </w:rPr>
              <w:t>n = 956</w:t>
            </w:r>
          </w:p>
        </w:tc>
        <w:tc>
          <w:tcPr>
            <w:tcW w:w="1044" w:type="dxa"/>
            <w:tcBorders>
              <w:top w:val="single" w:sz="4" w:space="0" w:color="000000"/>
              <w:left w:val="single" w:sz="4" w:space="0" w:color="000000"/>
              <w:bottom w:val="single" w:sz="4" w:space="0" w:color="000000"/>
              <w:right w:val="single" w:sz="4" w:space="0" w:color="000000"/>
            </w:tcBorders>
          </w:tcPr>
          <w:p w14:paraId="3DBE6D1C" w14:textId="77777777" w:rsidR="009F5F6A" w:rsidRDefault="00962A10">
            <w:pPr>
              <w:widowControl w:val="0"/>
              <w:jc w:val="center"/>
              <w:rPr>
                <w:noProof/>
                <w:szCs w:val="22"/>
                <w:lang w:eastAsia="en-US"/>
              </w:rPr>
            </w:pPr>
            <w:r>
              <w:rPr>
                <w:b/>
                <w:noProof/>
                <w:szCs w:val="22"/>
                <w:lang w:eastAsia="en-US"/>
              </w:rPr>
              <w:t>n = 485</w:t>
            </w:r>
          </w:p>
        </w:tc>
        <w:tc>
          <w:tcPr>
            <w:tcW w:w="1440" w:type="dxa"/>
            <w:tcBorders>
              <w:top w:val="single" w:sz="4" w:space="0" w:color="000000"/>
              <w:left w:val="single" w:sz="4" w:space="0" w:color="000000"/>
              <w:bottom w:val="single" w:sz="4" w:space="0" w:color="000000"/>
              <w:right w:val="single" w:sz="4" w:space="0" w:color="000000"/>
            </w:tcBorders>
          </w:tcPr>
          <w:p w14:paraId="4D6CA28A" w14:textId="77777777" w:rsidR="009F5F6A" w:rsidRDefault="00962A10">
            <w:pPr>
              <w:widowControl w:val="0"/>
              <w:jc w:val="center"/>
              <w:rPr>
                <w:noProof/>
                <w:szCs w:val="22"/>
                <w:lang w:eastAsia="en-US"/>
              </w:rPr>
            </w:pPr>
            <w:r>
              <w:rPr>
                <w:b/>
                <w:noProof/>
                <w:szCs w:val="22"/>
                <w:lang w:eastAsia="en-US"/>
              </w:rPr>
              <w:t>n = 450</w:t>
            </w:r>
          </w:p>
        </w:tc>
        <w:tc>
          <w:tcPr>
            <w:tcW w:w="937" w:type="dxa"/>
            <w:tcBorders>
              <w:top w:val="single" w:sz="4" w:space="0" w:color="000000"/>
              <w:left w:val="single" w:sz="4" w:space="0" w:color="000000"/>
              <w:bottom w:val="single" w:sz="4" w:space="0" w:color="000000"/>
              <w:right w:val="single" w:sz="4" w:space="0" w:color="000000"/>
            </w:tcBorders>
          </w:tcPr>
          <w:p w14:paraId="5BA45A07" w14:textId="77777777" w:rsidR="009F5F6A" w:rsidRDefault="00962A10">
            <w:pPr>
              <w:widowControl w:val="0"/>
              <w:jc w:val="center"/>
              <w:rPr>
                <w:noProof/>
                <w:szCs w:val="22"/>
                <w:lang w:eastAsia="en-US"/>
              </w:rPr>
            </w:pPr>
            <w:r>
              <w:rPr>
                <w:b/>
                <w:noProof/>
                <w:szCs w:val="22"/>
                <w:lang w:eastAsia="en-US"/>
              </w:rPr>
              <w:t>n = 232</w:t>
            </w:r>
          </w:p>
        </w:tc>
        <w:tc>
          <w:tcPr>
            <w:tcW w:w="1440" w:type="dxa"/>
            <w:tcBorders>
              <w:top w:val="single" w:sz="4" w:space="0" w:color="000000"/>
              <w:left w:val="single" w:sz="4" w:space="0" w:color="000000"/>
              <w:bottom w:val="single" w:sz="4" w:space="0" w:color="000000"/>
              <w:right w:val="single" w:sz="4" w:space="0" w:color="000000"/>
            </w:tcBorders>
          </w:tcPr>
          <w:p w14:paraId="4B1EACD6" w14:textId="77777777" w:rsidR="009F5F6A" w:rsidRDefault="00962A10">
            <w:pPr>
              <w:widowControl w:val="0"/>
              <w:jc w:val="center"/>
              <w:rPr>
                <w:noProof/>
                <w:szCs w:val="22"/>
                <w:lang w:eastAsia="en-US"/>
              </w:rPr>
            </w:pPr>
            <w:r>
              <w:rPr>
                <w:b/>
                <w:noProof/>
                <w:szCs w:val="22"/>
                <w:lang w:eastAsia="en-US"/>
              </w:rPr>
              <w:t>n = 506</w:t>
            </w:r>
          </w:p>
        </w:tc>
        <w:tc>
          <w:tcPr>
            <w:tcW w:w="937" w:type="dxa"/>
            <w:tcBorders>
              <w:top w:val="single" w:sz="4" w:space="0" w:color="000000"/>
              <w:left w:val="single" w:sz="4" w:space="0" w:color="000000"/>
              <w:bottom w:val="single" w:sz="4" w:space="0" w:color="000000"/>
              <w:right w:val="single" w:sz="4" w:space="0" w:color="000000"/>
            </w:tcBorders>
          </w:tcPr>
          <w:p w14:paraId="72D975F7" w14:textId="77777777" w:rsidR="009F5F6A" w:rsidRDefault="00962A10">
            <w:pPr>
              <w:widowControl w:val="0"/>
              <w:jc w:val="center"/>
              <w:rPr>
                <w:noProof/>
                <w:szCs w:val="22"/>
                <w:lang w:eastAsia="en-US"/>
              </w:rPr>
            </w:pPr>
            <w:r>
              <w:rPr>
                <w:b/>
                <w:noProof/>
                <w:szCs w:val="22"/>
                <w:lang w:eastAsia="en-US"/>
              </w:rPr>
              <w:t>n = 253</w:t>
            </w:r>
          </w:p>
        </w:tc>
      </w:tr>
      <w:tr w:rsidR="009F5F6A" w14:paraId="66CD2CF8"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69FA4D04" w14:textId="77777777" w:rsidR="009F5F6A" w:rsidRDefault="009F5F6A">
            <w:pPr>
              <w:widowControl w:val="0"/>
              <w:rPr>
                <w:noProof/>
                <w:szCs w:val="22"/>
                <w:lang w:eastAsia="en-US"/>
              </w:rPr>
            </w:pPr>
          </w:p>
        </w:tc>
        <w:tc>
          <w:tcPr>
            <w:tcW w:w="7238" w:type="dxa"/>
            <w:gridSpan w:val="6"/>
            <w:tcBorders>
              <w:top w:val="single" w:sz="4" w:space="0" w:color="000000"/>
              <w:left w:val="single" w:sz="4" w:space="0" w:color="000000"/>
              <w:bottom w:val="single" w:sz="4" w:space="0" w:color="000000"/>
              <w:right w:val="single" w:sz="4" w:space="0" w:color="000000"/>
            </w:tcBorders>
          </w:tcPr>
          <w:p w14:paraId="4269902F" w14:textId="77777777" w:rsidR="009F5F6A" w:rsidRDefault="00962A10">
            <w:pPr>
              <w:widowControl w:val="0"/>
              <w:rPr>
                <w:noProof/>
                <w:szCs w:val="22"/>
                <w:lang w:eastAsia="en-US"/>
              </w:rPr>
            </w:pPr>
            <w:r>
              <w:rPr>
                <w:b/>
                <w:bCs/>
                <w:snapToGrid/>
                <w:szCs w:val="22"/>
                <w:lang w:val="hu-HU" w:eastAsia="en-GB"/>
              </w:rPr>
              <w:t>Virológiai választ mutató betegek %-</w:t>
            </w:r>
            <w:proofErr w:type="gramStart"/>
            <w:r>
              <w:rPr>
                <w:b/>
                <w:bCs/>
                <w:snapToGrid/>
                <w:szCs w:val="22"/>
                <w:lang w:val="hu-HU" w:eastAsia="en-GB"/>
              </w:rPr>
              <w:t>a</w:t>
            </w:r>
            <w:proofErr w:type="gramEnd"/>
          </w:p>
        </w:tc>
      </w:tr>
      <w:tr w:rsidR="009F5F6A" w14:paraId="6BE303C1"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68431463" w14:textId="77777777" w:rsidR="009F5F6A" w:rsidRDefault="00962A10">
            <w:pPr>
              <w:widowControl w:val="0"/>
              <w:rPr>
                <w:noProof/>
                <w:szCs w:val="22"/>
                <w:lang w:eastAsia="en-US"/>
              </w:rPr>
            </w:pPr>
            <w:r>
              <w:rPr>
                <w:b/>
                <w:noProof/>
                <w:szCs w:val="22"/>
                <w:lang w:eastAsia="en-US"/>
              </w:rPr>
              <w:t>Teljes SVR</w:t>
            </w:r>
            <w:r>
              <w:rPr>
                <w:noProof/>
                <w:szCs w:val="22"/>
                <w:vertAlign w:val="superscript"/>
                <w:lang w:eastAsia="en-US"/>
              </w:rPr>
              <w:t xml:space="preserve"> d</w:t>
            </w:r>
          </w:p>
        </w:tc>
        <w:tc>
          <w:tcPr>
            <w:tcW w:w="1440" w:type="dxa"/>
            <w:tcBorders>
              <w:top w:val="single" w:sz="4" w:space="0" w:color="000000"/>
              <w:left w:val="single" w:sz="4" w:space="0" w:color="000000"/>
              <w:bottom w:val="single" w:sz="4" w:space="0" w:color="000000"/>
              <w:right w:val="single" w:sz="4" w:space="0" w:color="000000"/>
            </w:tcBorders>
          </w:tcPr>
          <w:p w14:paraId="70720230" w14:textId="77777777" w:rsidR="009F5F6A" w:rsidRDefault="00962A10">
            <w:pPr>
              <w:widowControl w:val="0"/>
              <w:jc w:val="center"/>
              <w:rPr>
                <w:noProof/>
                <w:szCs w:val="22"/>
                <w:lang w:eastAsia="en-US"/>
              </w:rPr>
            </w:pPr>
            <w:r>
              <w:rPr>
                <w:noProof/>
                <w:szCs w:val="22"/>
                <w:lang w:eastAsia="en-US"/>
              </w:rPr>
              <w:t>21</w:t>
            </w:r>
          </w:p>
        </w:tc>
        <w:tc>
          <w:tcPr>
            <w:tcW w:w="1044" w:type="dxa"/>
            <w:tcBorders>
              <w:top w:val="single" w:sz="4" w:space="0" w:color="000000"/>
              <w:left w:val="single" w:sz="4" w:space="0" w:color="000000"/>
              <w:bottom w:val="single" w:sz="4" w:space="0" w:color="000000"/>
              <w:right w:val="single" w:sz="4" w:space="0" w:color="000000"/>
            </w:tcBorders>
          </w:tcPr>
          <w:p w14:paraId="60CADEAD" w14:textId="77777777" w:rsidR="009F5F6A" w:rsidRDefault="00962A10">
            <w:pPr>
              <w:widowControl w:val="0"/>
              <w:jc w:val="center"/>
              <w:rPr>
                <w:noProof/>
                <w:szCs w:val="22"/>
                <w:lang w:eastAsia="en-US"/>
              </w:rPr>
            </w:pPr>
            <w:r>
              <w:rPr>
                <w:noProof/>
                <w:szCs w:val="22"/>
                <w:lang w:eastAsia="en-US"/>
              </w:rPr>
              <w:t>13</w:t>
            </w:r>
          </w:p>
        </w:tc>
        <w:tc>
          <w:tcPr>
            <w:tcW w:w="1440" w:type="dxa"/>
            <w:tcBorders>
              <w:top w:val="single" w:sz="4" w:space="0" w:color="000000"/>
              <w:left w:val="single" w:sz="4" w:space="0" w:color="000000"/>
              <w:bottom w:val="single" w:sz="4" w:space="0" w:color="000000"/>
              <w:right w:val="single" w:sz="4" w:space="0" w:color="000000"/>
            </w:tcBorders>
          </w:tcPr>
          <w:p w14:paraId="61CD7AC5" w14:textId="77777777" w:rsidR="009F5F6A" w:rsidRDefault="00962A10">
            <w:pPr>
              <w:widowControl w:val="0"/>
              <w:jc w:val="center"/>
              <w:rPr>
                <w:noProof/>
                <w:szCs w:val="22"/>
                <w:lang w:eastAsia="en-US"/>
              </w:rPr>
            </w:pPr>
            <w:r>
              <w:rPr>
                <w:noProof/>
                <w:szCs w:val="22"/>
                <w:lang w:eastAsia="en-US"/>
              </w:rPr>
              <w:t>23</w:t>
            </w:r>
          </w:p>
        </w:tc>
        <w:tc>
          <w:tcPr>
            <w:tcW w:w="937" w:type="dxa"/>
            <w:tcBorders>
              <w:top w:val="single" w:sz="4" w:space="0" w:color="000000"/>
              <w:left w:val="single" w:sz="4" w:space="0" w:color="000000"/>
              <w:bottom w:val="single" w:sz="4" w:space="0" w:color="000000"/>
              <w:right w:val="single" w:sz="4" w:space="0" w:color="000000"/>
            </w:tcBorders>
          </w:tcPr>
          <w:p w14:paraId="22EBD54C" w14:textId="77777777" w:rsidR="009F5F6A" w:rsidRDefault="00962A10">
            <w:pPr>
              <w:widowControl w:val="0"/>
              <w:jc w:val="center"/>
              <w:rPr>
                <w:noProof/>
                <w:szCs w:val="22"/>
                <w:lang w:eastAsia="en-US"/>
              </w:rPr>
            </w:pPr>
            <w:r>
              <w:rPr>
                <w:noProof/>
                <w:szCs w:val="22"/>
                <w:lang w:eastAsia="en-US"/>
              </w:rPr>
              <w:t>14</w:t>
            </w:r>
          </w:p>
        </w:tc>
        <w:tc>
          <w:tcPr>
            <w:tcW w:w="1440" w:type="dxa"/>
            <w:tcBorders>
              <w:top w:val="single" w:sz="4" w:space="0" w:color="000000"/>
              <w:left w:val="single" w:sz="4" w:space="0" w:color="000000"/>
              <w:bottom w:val="single" w:sz="4" w:space="0" w:color="000000"/>
              <w:right w:val="single" w:sz="4" w:space="0" w:color="000000"/>
            </w:tcBorders>
          </w:tcPr>
          <w:p w14:paraId="4C629681" w14:textId="77777777" w:rsidR="009F5F6A" w:rsidRDefault="00962A10">
            <w:pPr>
              <w:widowControl w:val="0"/>
              <w:jc w:val="center"/>
              <w:rPr>
                <w:noProof/>
                <w:szCs w:val="22"/>
                <w:lang w:eastAsia="en-US"/>
              </w:rPr>
            </w:pPr>
            <w:r>
              <w:rPr>
                <w:noProof/>
                <w:szCs w:val="22"/>
                <w:lang w:eastAsia="en-US"/>
              </w:rPr>
              <w:t>19</w:t>
            </w:r>
          </w:p>
        </w:tc>
        <w:tc>
          <w:tcPr>
            <w:tcW w:w="937" w:type="dxa"/>
            <w:tcBorders>
              <w:top w:val="single" w:sz="4" w:space="0" w:color="000000"/>
              <w:left w:val="single" w:sz="4" w:space="0" w:color="000000"/>
              <w:bottom w:val="single" w:sz="4" w:space="0" w:color="000000"/>
              <w:right w:val="single" w:sz="4" w:space="0" w:color="000000"/>
            </w:tcBorders>
          </w:tcPr>
          <w:p w14:paraId="7D34C128" w14:textId="77777777" w:rsidR="009F5F6A" w:rsidRDefault="00962A10">
            <w:pPr>
              <w:widowControl w:val="0"/>
              <w:jc w:val="center"/>
              <w:rPr>
                <w:noProof/>
                <w:szCs w:val="22"/>
                <w:lang w:eastAsia="en-US"/>
              </w:rPr>
            </w:pPr>
            <w:r>
              <w:rPr>
                <w:noProof/>
                <w:szCs w:val="22"/>
                <w:lang w:eastAsia="en-US"/>
              </w:rPr>
              <w:t>13</w:t>
            </w:r>
          </w:p>
        </w:tc>
      </w:tr>
      <w:tr w:rsidR="009F5F6A" w14:paraId="6A0D4669"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7F13F66D" w14:textId="77777777" w:rsidR="009F5F6A" w:rsidRDefault="00962A10">
            <w:pPr>
              <w:widowControl w:val="0"/>
              <w:ind w:right="-165"/>
              <w:rPr>
                <w:noProof/>
                <w:szCs w:val="22"/>
                <w:lang w:eastAsia="en-US"/>
              </w:rPr>
            </w:pPr>
            <w:r>
              <w:rPr>
                <w:i/>
                <w:noProof/>
                <w:szCs w:val="22"/>
                <w:lang w:eastAsia="en-US"/>
              </w:rPr>
              <w:t xml:space="preserve">HCV RNS genotípus </w:t>
            </w:r>
          </w:p>
        </w:tc>
        <w:tc>
          <w:tcPr>
            <w:tcW w:w="1440" w:type="dxa"/>
            <w:tcBorders>
              <w:top w:val="single" w:sz="4" w:space="0" w:color="000000"/>
              <w:left w:val="single" w:sz="4" w:space="0" w:color="000000"/>
              <w:bottom w:val="single" w:sz="4" w:space="0" w:color="000000"/>
              <w:right w:val="single" w:sz="4" w:space="0" w:color="000000"/>
            </w:tcBorders>
          </w:tcPr>
          <w:p w14:paraId="3BE1A26B" w14:textId="77777777" w:rsidR="009F5F6A" w:rsidRDefault="009F5F6A">
            <w:pPr>
              <w:widowControl w:val="0"/>
              <w:jc w:val="center"/>
              <w:rPr>
                <w:noProof/>
                <w:szCs w:val="22"/>
                <w:lang w:eastAsia="en-US"/>
              </w:rPr>
            </w:pPr>
          </w:p>
        </w:tc>
        <w:tc>
          <w:tcPr>
            <w:tcW w:w="1044" w:type="dxa"/>
            <w:tcBorders>
              <w:top w:val="single" w:sz="4" w:space="0" w:color="000000"/>
              <w:left w:val="single" w:sz="4" w:space="0" w:color="000000"/>
              <w:bottom w:val="single" w:sz="4" w:space="0" w:color="000000"/>
              <w:right w:val="single" w:sz="4" w:space="0" w:color="000000"/>
            </w:tcBorders>
          </w:tcPr>
          <w:p w14:paraId="5A20AF39" w14:textId="77777777" w:rsidR="009F5F6A" w:rsidRDefault="009F5F6A">
            <w:pPr>
              <w:widowControl w:val="0"/>
              <w:jc w:val="center"/>
              <w:rPr>
                <w:noProof/>
                <w:szCs w:val="22"/>
                <w:lang w:eastAsia="en-US"/>
              </w:rPr>
            </w:pPr>
          </w:p>
        </w:tc>
        <w:tc>
          <w:tcPr>
            <w:tcW w:w="1440" w:type="dxa"/>
            <w:tcBorders>
              <w:top w:val="single" w:sz="4" w:space="0" w:color="000000"/>
              <w:left w:val="single" w:sz="4" w:space="0" w:color="000000"/>
              <w:bottom w:val="single" w:sz="4" w:space="0" w:color="000000"/>
              <w:right w:val="single" w:sz="4" w:space="0" w:color="000000"/>
            </w:tcBorders>
          </w:tcPr>
          <w:p w14:paraId="32EEFB12" w14:textId="77777777" w:rsidR="009F5F6A" w:rsidRDefault="009F5F6A">
            <w:pPr>
              <w:widowControl w:val="0"/>
              <w:jc w:val="center"/>
              <w:rPr>
                <w:noProof/>
                <w:szCs w:val="22"/>
                <w:lang w:eastAsia="en-US"/>
              </w:rPr>
            </w:pPr>
          </w:p>
        </w:tc>
        <w:tc>
          <w:tcPr>
            <w:tcW w:w="937" w:type="dxa"/>
            <w:tcBorders>
              <w:top w:val="single" w:sz="4" w:space="0" w:color="000000"/>
              <w:left w:val="single" w:sz="4" w:space="0" w:color="000000"/>
              <w:bottom w:val="single" w:sz="4" w:space="0" w:color="000000"/>
              <w:right w:val="single" w:sz="4" w:space="0" w:color="000000"/>
            </w:tcBorders>
          </w:tcPr>
          <w:p w14:paraId="1522A175" w14:textId="77777777" w:rsidR="009F5F6A" w:rsidRDefault="009F5F6A">
            <w:pPr>
              <w:widowControl w:val="0"/>
              <w:jc w:val="center"/>
              <w:rPr>
                <w:noProof/>
                <w:szCs w:val="22"/>
                <w:lang w:eastAsia="en-US"/>
              </w:rPr>
            </w:pPr>
          </w:p>
        </w:tc>
        <w:tc>
          <w:tcPr>
            <w:tcW w:w="1440" w:type="dxa"/>
            <w:tcBorders>
              <w:top w:val="single" w:sz="4" w:space="0" w:color="000000"/>
              <w:left w:val="single" w:sz="4" w:space="0" w:color="000000"/>
              <w:bottom w:val="single" w:sz="4" w:space="0" w:color="000000"/>
              <w:right w:val="single" w:sz="4" w:space="0" w:color="000000"/>
            </w:tcBorders>
          </w:tcPr>
          <w:p w14:paraId="6C98B6A8" w14:textId="77777777" w:rsidR="009F5F6A" w:rsidRDefault="009F5F6A">
            <w:pPr>
              <w:widowControl w:val="0"/>
              <w:jc w:val="center"/>
              <w:rPr>
                <w:noProof/>
                <w:szCs w:val="22"/>
                <w:lang w:eastAsia="en-US"/>
              </w:rPr>
            </w:pPr>
          </w:p>
        </w:tc>
        <w:tc>
          <w:tcPr>
            <w:tcW w:w="937" w:type="dxa"/>
            <w:tcBorders>
              <w:top w:val="single" w:sz="4" w:space="0" w:color="000000"/>
              <w:left w:val="single" w:sz="4" w:space="0" w:color="000000"/>
              <w:bottom w:val="single" w:sz="4" w:space="0" w:color="000000"/>
              <w:right w:val="single" w:sz="4" w:space="0" w:color="000000"/>
            </w:tcBorders>
          </w:tcPr>
          <w:p w14:paraId="39A42ADE" w14:textId="77777777" w:rsidR="009F5F6A" w:rsidRDefault="009F5F6A">
            <w:pPr>
              <w:widowControl w:val="0"/>
              <w:jc w:val="center"/>
              <w:rPr>
                <w:noProof/>
                <w:szCs w:val="22"/>
                <w:lang w:eastAsia="en-US"/>
              </w:rPr>
            </w:pPr>
          </w:p>
        </w:tc>
      </w:tr>
      <w:tr w:rsidR="009F5F6A" w14:paraId="72A6786A"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1A531A17" w14:textId="77777777" w:rsidR="009F5F6A" w:rsidRDefault="00962A10">
            <w:pPr>
              <w:widowControl w:val="0"/>
              <w:rPr>
                <w:noProof/>
                <w:szCs w:val="22"/>
                <w:lang w:eastAsia="en-US"/>
              </w:rPr>
            </w:pPr>
            <w:r>
              <w:rPr>
                <w:noProof/>
                <w:szCs w:val="22"/>
                <w:lang w:eastAsia="en-US"/>
              </w:rPr>
              <w:t>2/3 genotípus</w:t>
            </w:r>
          </w:p>
        </w:tc>
        <w:tc>
          <w:tcPr>
            <w:tcW w:w="1440" w:type="dxa"/>
            <w:tcBorders>
              <w:top w:val="single" w:sz="4" w:space="0" w:color="000000"/>
              <w:left w:val="single" w:sz="4" w:space="0" w:color="000000"/>
              <w:bottom w:val="single" w:sz="4" w:space="0" w:color="000000"/>
              <w:right w:val="single" w:sz="4" w:space="0" w:color="000000"/>
            </w:tcBorders>
          </w:tcPr>
          <w:p w14:paraId="011CA612" w14:textId="77777777" w:rsidR="009F5F6A" w:rsidRDefault="00962A10">
            <w:pPr>
              <w:widowControl w:val="0"/>
              <w:jc w:val="center"/>
              <w:rPr>
                <w:noProof/>
                <w:szCs w:val="22"/>
                <w:lang w:eastAsia="en-US"/>
              </w:rPr>
            </w:pPr>
            <w:r>
              <w:rPr>
                <w:noProof/>
                <w:szCs w:val="22"/>
                <w:lang w:eastAsia="en-US"/>
              </w:rPr>
              <w:t>35</w:t>
            </w:r>
          </w:p>
        </w:tc>
        <w:tc>
          <w:tcPr>
            <w:tcW w:w="1044" w:type="dxa"/>
            <w:tcBorders>
              <w:top w:val="single" w:sz="4" w:space="0" w:color="000000"/>
              <w:left w:val="single" w:sz="4" w:space="0" w:color="000000"/>
              <w:bottom w:val="single" w:sz="4" w:space="0" w:color="000000"/>
              <w:right w:val="single" w:sz="4" w:space="0" w:color="000000"/>
            </w:tcBorders>
          </w:tcPr>
          <w:p w14:paraId="431BBF7B" w14:textId="77777777" w:rsidR="009F5F6A" w:rsidRDefault="00962A10">
            <w:pPr>
              <w:widowControl w:val="0"/>
              <w:jc w:val="center"/>
              <w:rPr>
                <w:noProof/>
                <w:szCs w:val="22"/>
                <w:lang w:eastAsia="en-US"/>
              </w:rPr>
            </w:pPr>
            <w:r>
              <w:rPr>
                <w:noProof/>
                <w:szCs w:val="22"/>
                <w:lang w:eastAsia="en-US"/>
              </w:rPr>
              <w:t>25</w:t>
            </w:r>
          </w:p>
        </w:tc>
        <w:tc>
          <w:tcPr>
            <w:tcW w:w="1440" w:type="dxa"/>
            <w:tcBorders>
              <w:top w:val="single" w:sz="4" w:space="0" w:color="000000"/>
              <w:left w:val="single" w:sz="4" w:space="0" w:color="000000"/>
              <w:bottom w:val="single" w:sz="4" w:space="0" w:color="000000"/>
              <w:right w:val="single" w:sz="4" w:space="0" w:color="000000"/>
            </w:tcBorders>
          </w:tcPr>
          <w:p w14:paraId="1A8D9B58" w14:textId="77777777" w:rsidR="009F5F6A" w:rsidRDefault="00962A10">
            <w:pPr>
              <w:widowControl w:val="0"/>
              <w:jc w:val="center"/>
              <w:rPr>
                <w:noProof/>
                <w:szCs w:val="22"/>
                <w:lang w:eastAsia="en-US"/>
              </w:rPr>
            </w:pPr>
            <w:r>
              <w:rPr>
                <w:noProof/>
                <w:szCs w:val="22"/>
                <w:lang w:eastAsia="en-US"/>
              </w:rPr>
              <w:t>35</w:t>
            </w:r>
          </w:p>
        </w:tc>
        <w:tc>
          <w:tcPr>
            <w:tcW w:w="937" w:type="dxa"/>
            <w:tcBorders>
              <w:top w:val="single" w:sz="4" w:space="0" w:color="000000"/>
              <w:left w:val="single" w:sz="4" w:space="0" w:color="000000"/>
              <w:bottom w:val="single" w:sz="4" w:space="0" w:color="000000"/>
              <w:right w:val="single" w:sz="4" w:space="0" w:color="000000"/>
            </w:tcBorders>
          </w:tcPr>
          <w:p w14:paraId="458D2CC0" w14:textId="77777777" w:rsidR="009F5F6A" w:rsidRDefault="00962A10">
            <w:pPr>
              <w:widowControl w:val="0"/>
              <w:jc w:val="center"/>
              <w:rPr>
                <w:noProof/>
                <w:szCs w:val="22"/>
                <w:lang w:eastAsia="en-US"/>
              </w:rPr>
            </w:pPr>
            <w:r>
              <w:rPr>
                <w:noProof/>
                <w:szCs w:val="22"/>
                <w:lang w:eastAsia="en-US"/>
              </w:rPr>
              <w:t>24</w:t>
            </w:r>
          </w:p>
        </w:tc>
        <w:tc>
          <w:tcPr>
            <w:tcW w:w="1440" w:type="dxa"/>
            <w:tcBorders>
              <w:top w:val="single" w:sz="4" w:space="0" w:color="000000"/>
              <w:left w:val="single" w:sz="4" w:space="0" w:color="000000"/>
              <w:bottom w:val="single" w:sz="4" w:space="0" w:color="000000"/>
              <w:right w:val="single" w:sz="4" w:space="0" w:color="000000"/>
            </w:tcBorders>
          </w:tcPr>
          <w:p w14:paraId="53FA9AEA" w14:textId="77777777" w:rsidR="009F5F6A" w:rsidRDefault="00962A10">
            <w:pPr>
              <w:widowControl w:val="0"/>
              <w:jc w:val="center"/>
              <w:rPr>
                <w:noProof/>
                <w:szCs w:val="22"/>
                <w:lang w:eastAsia="en-US"/>
              </w:rPr>
            </w:pPr>
            <w:r>
              <w:rPr>
                <w:noProof/>
                <w:szCs w:val="22"/>
                <w:lang w:eastAsia="en-US"/>
              </w:rPr>
              <w:t>34</w:t>
            </w:r>
          </w:p>
        </w:tc>
        <w:tc>
          <w:tcPr>
            <w:tcW w:w="937" w:type="dxa"/>
            <w:tcBorders>
              <w:top w:val="single" w:sz="4" w:space="0" w:color="000000"/>
              <w:left w:val="single" w:sz="4" w:space="0" w:color="000000"/>
              <w:bottom w:val="single" w:sz="4" w:space="0" w:color="000000"/>
              <w:right w:val="single" w:sz="4" w:space="0" w:color="000000"/>
            </w:tcBorders>
          </w:tcPr>
          <w:p w14:paraId="5015E2B1" w14:textId="77777777" w:rsidR="009F5F6A" w:rsidRDefault="00962A10">
            <w:pPr>
              <w:widowControl w:val="0"/>
              <w:jc w:val="center"/>
              <w:rPr>
                <w:noProof/>
                <w:szCs w:val="22"/>
                <w:lang w:eastAsia="en-US"/>
              </w:rPr>
            </w:pPr>
            <w:r>
              <w:rPr>
                <w:noProof/>
                <w:szCs w:val="22"/>
                <w:lang w:eastAsia="en-US"/>
              </w:rPr>
              <w:t>25</w:t>
            </w:r>
          </w:p>
        </w:tc>
      </w:tr>
      <w:tr w:rsidR="009F5F6A" w14:paraId="657252C6" w14:textId="77777777">
        <w:trPr>
          <w:trHeight w:val="264"/>
        </w:trPr>
        <w:tc>
          <w:tcPr>
            <w:tcW w:w="1943" w:type="dxa"/>
            <w:tcBorders>
              <w:top w:val="single" w:sz="4" w:space="0" w:color="000000"/>
              <w:left w:val="single" w:sz="4" w:space="0" w:color="000000"/>
              <w:bottom w:val="single" w:sz="4" w:space="0" w:color="000000"/>
              <w:right w:val="single" w:sz="4" w:space="0" w:color="000000"/>
            </w:tcBorders>
          </w:tcPr>
          <w:p w14:paraId="77666BB9" w14:textId="77777777" w:rsidR="009F5F6A" w:rsidRDefault="00962A10">
            <w:pPr>
              <w:widowControl w:val="0"/>
              <w:rPr>
                <w:noProof/>
                <w:szCs w:val="22"/>
                <w:lang w:eastAsia="en-US"/>
              </w:rPr>
            </w:pPr>
            <w:r>
              <w:rPr>
                <w:noProof/>
                <w:szCs w:val="22"/>
                <w:lang w:eastAsia="en-US"/>
              </w:rPr>
              <w:t>1/4/6 genotípus</w:t>
            </w:r>
            <w:r>
              <w:rPr>
                <w:noProof/>
                <w:szCs w:val="22"/>
                <w:vertAlign w:val="superscript"/>
                <w:lang w:eastAsia="en-US"/>
              </w:rPr>
              <w:t>e</w:t>
            </w:r>
          </w:p>
        </w:tc>
        <w:tc>
          <w:tcPr>
            <w:tcW w:w="1440" w:type="dxa"/>
            <w:tcBorders>
              <w:top w:val="single" w:sz="4" w:space="0" w:color="000000"/>
              <w:left w:val="single" w:sz="4" w:space="0" w:color="000000"/>
              <w:bottom w:val="single" w:sz="4" w:space="0" w:color="000000"/>
              <w:right w:val="single" w:sz="4" w:space="0" w:color="000000"/>
            </w:tcBorders>
          </w:tcPr>
          <w:p w14:paraId="2F3F83BB" w14:textId="77777777" w:rsidR="009F5F6A" w:rsidRDefault="00962A10">
            <w:pPr>
              <w:widowControl w:val="0"/>
              <w:jc w:val="center"/>
              <w:rPr>
                <w:noProof/>
                <w:szCs w:val="22"/>
                <w:lang w:eastAsia="en-US"/>
              </w:rPr>
            </w:pPr>
            <w:r>
              <w:rPr>
                <w:noProof/>
                <w:szCs w:val="22"/>
                <w:lang w:eastAsia="en-US"/>
              </w:rPr>
              <w:t>15</w:t>
            </w:r>
          </w:p>
        </w:tc>
        <w:tc>
          <w:tcPr>
            <w:tcW w:w="1044" w:type="dxa"/>
            <w:tcBorders>
              <w:top w:val="single" w:sz="4" w:space="0" w:color="000000"/>
              <w:left w:val="single" w:sz="4" w:space="0" w:color="000000"/>
              <w:bottom w:val="single" w:sz="4" w:space="0" w:color="000000"/>
              <w:right w:val="single" w:sz="4" w:space="0" w:color="000000"/>
            </w:tcBorders>
          </w:tcPr>
          <w:p w14:paraId="32AD6996" w14:textId="77777777" w:rsidR="009F5F6A" w:rsidRDefault="00962A10">
            <w:pPr>
              <w:widowControl w:val="0"/>
              <w:jc w:val="center"/>
              <w:rPr>
                <w:noProof/>
                <w:szCs w:val="22"/>
                <w:lang w:eastAsia="en-US"/>
              </w:rPr>
            </w:pPr>
            <w:r>
              <w:rPr>
                <w:noProof/>
                <w:szCs w:val="22"/>
                <w:lang w:eastAsia="en-US"/>
              </w:rPr>
              <w:t>8</w:t>
            </w:r>
          </w:p>
        </w:tc>
        <w:tc>
          <w:tcPr>
            <w:tcW w:w="1440" w:type="dxa"/>
            <w:tcBorders>
              <w:top w:val="single" w:sz="4" w:space="0" w:color="000000"/>
              <w:left w:val="single" w:sz="4" w:space="0" w:color="000000"/>
              <w:bottom w:val="single" w:sz="4" w:space="0" w:color="000000"/>
              <w:right w:val="single" w:sz="4" w:space="0" w:color="000000"/>
            </w:tcBorders>
          </w:tcPr>
          <w:p w14:paraId="41B8725D" w14:textId="77777777" w:rsidR="009F5F6A" w:rsidRDefault="00962A10">
            <w:pPr>
              <w:widowControl w:val="0"/>
              <w:jc w:val="center"/>
              <w:rPr>
                <w:noProof/>
                <w:szCs w:val="22"/>
                <w:lang w:eastAsia="en-US"/>
              </w:rPr>
            </w:pPr>
            <w:r>
              <w:rPr>
                <w:noProof/>
                <w:szCs w:val="22"/>
                <w:lang w:eastAsia="en-US"/>
              </w:rPr>
              <w:t>18</w:t>
            </w:r>
          </w:p>
        </w:tc>
        <w:tc>
          <w:tcPr>
            <w:tcW w:w="937" w:type="dxa"/>
            <w:tcBorders>
              <w:top w:val="single" w:sz="4" w:space="0" w:color="000000"/>
              <w:left w:val="single" w:sz="4" w:space="0" w:color="000000"/>
              <w:bottom w:val="single" w:sz="4" w:space="0" w:color="000000"/>
              <w:right w:val="single" w:sz="4" w:space="0" w:color="000000"/>
            </w:tcBorders>
          </w:tcPr>
          <w:p w14:paraId="5C082F94" w14:textId="77777777" w:rsidR="009F5F6A" w:rsidRDefault="00962A10">
            <w:pPr>
              <w:widowControl w:val="0"/>
              <w:jc w:val="center"/>
              <w:rPr>
                <w:noProof/>
                <w:szCs w:val="22"/>
                <w:lang w:eastAsia="en-US"/>
              </w:rPr>
            </w:pPr>
            <w:r>
              <w:rPr>
                <w:noProof/>
                <w:szCs w:val="22"/>
                <w:lang w:eastAsia="en-US"/>
              </w:rPr>
              <w:t>10</w:t>
            </w:r>
          </w:p>
        </w:tc>
        <w:tc>
          <w:tcPr>
            <w:tcW w:w="1440" w:type="dxa"/>
            <w:tcBorders>
              <w:top w:val="single" w:sz="4" w:space="0" w:color="000000"/>
              <w:left w:val="single" w:sz="4" w:space="0" w:color="000000"/>
              <w:bottom w:val="single" w:sz="4" w:space="0" w:color="000000"/>
              <w:right w:val="single" w:sz="4" w:space="0" w:color="000000"/>
            </w:tcBorders>
          </w:tcPr>
          <w:p w14:paraId="411619C8" w14:textId="77777777" w:rsidR="009F5F6A" w:rsidRDefault="00962A10">
            <w:pPr>
              <w:widowControl w:val="0"/>
              <w:jc w:val="center"/>
              <w:rPr>
                <w:noProof/>
                <w:szCs w:val="22"/>
                <w:lang w:eastAsia="en-US"/>
              </w:rPr>
            </w:pPr>
            <w:r>
              <w:rPr>
                <w:noProof/>
                <w:szCs w:val="22"/>
                <w:lang w:eastAsia="en-US"/>
              </w:rPr>
              <w:t>13</w:t>
            </w:r>
          </w:p>
        </w:tc>
        <w:tc>
          <w:tcPr>
            <w:tcW w:w="937" w:type="dxa"/>
            <w:tcBorders>
              <w:top w:val="single" w:sz="4" w:space="0" w:color="000000"/>
              <w:left w:val="single" w:sz="4" w:space="0" w:color="000000"/>
              <w:bottom w:val="single" w:sz="4" w:space="0" w:color="000000"/>
              <w:right w:val="single" w:sz="4" w:space="0" w:color="000000"/>
            </w:tcBorders>
          </w:tcPr>
          <w:p w14:paraId="07E7DF68" w14:textId="77777777" w:rsidR="009F5F6A" w:rsidRDefault="00962A10">
            <w:pPr>
              <w:widowControl w:val="0"/>
              <w:jc w:val="center"/>
              <w:rPr>
                <w:noProof/>
                <w:szCs w:val="22"/>
                <w:lang w:eastAsia="en-US"/>
              </w:rPr>
            </w:pPr>
            <w:r>
              <w:rPr>
                <w:noProof/>
                <w:szCs w:val="22"/>
                <w:lang w:eastAsia="en-US"/>
              </w:rPr>
              <w:t>7</w:t>
            </w:r>
          </w:p>
        </w:tc>
      </w:tr>
      <w:tr w:rsidR="009F5F6A" w14:paraId="69C9C2F7"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6DDE6665" w14:textId="77777777" w:rsidR="009F5F6A" w:rsidRDefault="00962A10">
            <w:pPr>
              <w:widowControl w:val="0"/>
              <w:rPr>
                <w:noProof/>
                <w:szCs w:val="22"/>
                <w:lang w:eastAsia="en-US"/>
              </w:rPr>
            </w:pPr>
            <w:r>
              <w:rPr>
                <w:i/>
                <w:noProof/>
                <w:szCs w:val="22"/>
                <w:lang w:eastAsia="en-US"/>
              </w:rPr>
              <w:t>Albuminszintek</w:t>
            </w:r>
            <w:r>
              <w:rPr>
                <w:i/>
                <w:noProof/>
                <w:szCs w:val="22"/>
                <w:vertAlign w:val="superscript"/>
                <w:lang w:eastAsia="en-US"/>
              </w:rPr>
              <w:t xml:space="preserve">f </w:t>
            </w:r>
          </w:p>
        </w:tc>
        <w:tc>
          <w:tcPr>
            <w:tcW w:w="1440" w:type="dxa"/>
            <w:tcBorders>
              <w:top w:val="single" w:sz="4" w:space="0" w:color="000000"/>
              <w:left w:val="single" w:sz="4" w:space="0" w:color="000000"/>
              <w:bottom w:val="single" w:sz="4" w:space="0" w:color="000000"/>
              <w:right w:val="single" w:sz="4" w:space="0" w:color="000000"/>
            </w:tcBorders>
          </w:tcPr>
          <w:p w14:paraId="080B2330" w14:textId="77777777" w:rsidR="009F5F6A" w:rsidRDefault="00962A10">
            <w:pPr>
              <w:widowControl w:val="0"/>
              <w:rPr>
                <w:noProof/>
                <w:szCs w:val="22"/>
                <w:lang w:eastAsia="en-US"/>
              </w:rPr>
            </w:pPr>
            <w:r>
              <w:rPr>
                <w:noProof/>
                <w:szCs w:val="22"/>
                <w:lang w:eastAsia="en-US"/>
              </w:rPr>
              <w:t xml:space="preserve"> </w:t>
            </w:r>
          </w:p>
        </w:tc>
        <w:tc>
          <w:tcPr>
            <w:tcW w:w="1044" w:type="dxa"/>
            <w:tcBorders>
              <w:top w:val="single" w:sz="4" w:space="0" w:color="000000"/>
              <w:left w:val="single" w:sz="4" w:space="0" w:color="000000"/>
              <w:bottom w:val="single" w:sz="4" w:space="0" w:color="000000"/>
              <w:right w:val="single" w:sz="4" w:space="0" w:color="000000"/>
            </w:tcBorders>
          </w:tcPr>
          <w:p w14:paraId="2E518A88" w14:textId="77777777" w:rsidR="009F5F6A" w:rsidRDefault="00962A10">
            <w:pPr>
              <w:widowControl w:val="0"/>
              <w:rPr>
                <w:noProof/>
                <w:szCs w:val="22"/>
                <w:lang w:eastAsia="en-US"/>
              </w:rPr>
            </w:pPr>
            <w:r>
              <w:rPr>
                <w:noProof/>
                <w:szCs w:val="22"/>
                <w:lang w:eastAsia="en-US"/>
              </w:rPr>
              <w:t xml:space="preserve"> </w:t>
            </w:r>
          </w:p>
        </w:tc>
        <w:tc>
          <w:tcPr>
            <w:tcW w:w="4754" w:type="dxa"/>
            <w:gridSpan w:val="4"/>
            <w:vMerge w:val="restart"/>
            <w:tcBorders>
              <w:top w:val="single" w:sz="4" w:space="0" w:color="000000"/>
              <w:left w:val="single" w:sz="4" w:space="0" w:color="000000"/>
              <w:bottom w:val="single" w:sz="4" w:space="0" w:color="000000"/>
              <w:right w:val="single" w:sz="4" w:space="0" w:color="000000"/>
            </w:tcBorders>
          </w:tcPr>
          <w:p w14:paraId="093C4FB0" w14:textId="77777777" w:rsidR="009F5F6A" w:rsidRDefault="00962A10">
            <w:pPr>
              <w:widowControl w:val="0"/>
              <w:rPr>
                <w:noProof/>
                <w:szCs w:val="22"/>
                <w:lang w:eastAsia="en-US"/>
              </w:rPr>
            </w:pPr>
            <w:r>
              <w:rPr>
                <w:noProof/>
                <w:szCs w:val="22"/>
                <w:lang w:eastAsia="en-US"/>
              </w:rPr>
              <w:t xml:space="preserve"> </w:t>
            </w:r>
          </w:p>
        </w:tc>
      </w:tr>
      <w:tr w:rsidR="009F5F6A" w14:paraId="2CD0E17C"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7C496820" w14:textId="77777777" w:rsidR="009F5F6A" w:rsidRDefault="00962A10">
            <w:pPr>
              <w:widowControl w:val="0"/>
              <w:rPr>
                <w:noProof/>
                <w:szCs w:val="22"/>
                <w:lang w:eastAsia="en-US"/>
              </w:rPr>
            </w:pPr>
            <w:r>
              <w:rPr>
                <w:noProof/>
                <w:szCs w:val="22"/>
                <w:lang w:eastAsia="en-US"/>
              </w:rPr>
              <w:t>≤35 g/l</w:t>
            </w:r>
          </w:p>
        </w:tc>
        <w:tc>
          <w:tcPr>
            <w:tcW w:w="1440" w:type="dxa"/>
            <w:tcBorders>
              <w:top w:val="single" w:sz="4" w:space="0" w:color="000000"/>
              <w:left w:val="single" w:sz="4" w:space="0" w:color="000000"/>
              <w:bottom w:val="single" w:sz="4" w:space="0" w:color="000000"/>
              <w:right w:val="single" w:sz="4" w:space="0" w:color="000000"/>
            </w:tcBorders>
          </w:tcPr>
          <w:p w14:paraId="272C9122" w14:textId="77777777" w:rsidR="009F5F6A" w:rsidRDefault="00962A10">
            <w:pPr>
              <w:widowControl w:val="0"/>
              <w:jc w:val="center"/>
              <w:rPr>
                <w:noProof/>
                <w:szCs w:val="22"/>
                <w:lang w:eastAsia="en-US"/>
              </w:rPr>
            </w:pPr>
            <w:r>
              <w:rPr>
                <w:noProof/>
                <w:szCs w:val="22"/>
                <w:lang w:eastAsia="en-US"/>
              </w:rPr>
              <w:t>11</w:t>
            </w:r>
          </w:p>
        </w:tc>
        <w:tc>
          <w:tcPr>
            <w:tcW w:w="1044" w:type="dxa"/>
            <w:tcBorders>
              <w:top w:val="single" w:sz="4" w:space="0" w:color="000000"/>
              <w:left w:val="single" w:sz="4" w:space="0" w:color="000000"/>
              <w:bottom w:val="single" w:sz="4" w:space="0" w:color="000000"/>
              <w:right w:val="single" w:sz="4" w:space="0" w:color="000000"/>
            </w:tcBorders>
          </w:tcPr>
          <w:p w14:paraId="73C8826A" w14:textId="77777777" w:rsidR="009F5F6A" w:rsidRDefault="00962A10">
            <w:pPr>
              <w:widowControl w:val="0"/>
              <w:jc w:val="center"/>
              <w:rPr>
                <w:noProof/>
                <w:szCs w:val="22"/>
                <w:lang w:eastAsia="en-US"/>
              </w:rPr>
            </w:pPr>
            <w:r>
              <w:rPr>
                <w:noProof/>
                <w:szCs w:val="22"/>
                <w:lang w:eastAsia="en-US"/>
              </w:rPr>
              <w:t>8</w:t>
            </w:r>
          </w:p>
        </w:tc>
        <w:tc>
          <w:tcPr>
            <w:tcW w:w="4754" w:type="dxa"/>
            <w:gridSpan w:val="4"/>
            <w:vMerge/>
            <w:tcBorders>
              <w:top w:val="nil"/>
              <w:left w:val="single" w:sz="4" w:space="0" w:color="000000"/>
              <w:bottom w:val="nil"/>
              <w:right w:val="single" w:sz="4" w:space="0" w:color="000000"/>
            </w:tcBorders>
          </w:tcPr>
          <w:p w14:paraId="6E401E22" w14:textId="77777777" w:rsidR="009F5F6A" w:rsidRDefault="009F5F6A">
            <w:pPr>
              <w:widowControl w:val="0"/>
              <w:rPr>
                <w:noProof/>
                <w:szCs w:val="22"/>
                <w:lang w:eastAsia="en-US"/>
              </w:rPr>
            </w:pPr>
          </w:p>
        </w:tc>
      </w:tr>
      <w:tr w:rsidR="009F5F6A" w14:paraId="33EF5623"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64671182" w14:textId="77777777" w:rsidR="009F5F6A" w:rsidRDefault="00962A10">
            <w:pPr>
              <w:widowControl w:val="0"/>
              <w:rPr>
                <w:noProof/>
                <w:szCs w:val="22"/>
                <w:lang w:eastAsia="en-US"/>
              </w:rPr>
            </w:pPr>
            <w:r>
              <w:rPr>
                <w:noProof/>
                <w:szCs w:val="22"/>
                <w:lang w:eastAsia="en-US"/>
              </w:rPr>
              <w:t>&gt;35 g/l</w:t>
            </w:r>
          </w:p>
        </w:tc>
        <w:tc>
          <w:tcPr>
            <w:tcW w:w="1440" w:type="dxa"/>
            <w:tcBorders>
              <w:top w:val="single" w:sz="4" w:space="0" w:color="000000"/>
              <w:left w:val="single" w:sz="4" w:space="0" w:color="000000"/>
              <w:bottom w:val="single" w:sz="4" w:space="0" w:color="000000"/>
              <w:right w:val="single" w:sz="4" w:space="0" w:color="000000"/>
            </w:tcBorders>
          </w:tcPr>
          <w:p w14:paraId="6117A2A8" w14:textId="77777777" w:rsidR="009F5F6A" w:rsidRDefault="00962A10">
            <w:pPr>
              <w:widowControl w:val="0"/>
              <w:jc w:val="center"/>
              <w:rPr>
                <w:noProof/>
                <w:szCs w:val="22"/>
                <w:lang w:eastAsia="en-US"/>
              </w:rPr>
            </w:pPr>
            <w:r>
              <w:rPr>
                <w:noProof/>
                <w:szCs w:val="22"/>
                <w:lang w:eastAsia="en-US"/>
              </w:rPr>
              <w:t>25</w:t>
            </w:r>
          </w:p>
        </w:tc>
        <w:tc>
          <w:tcPr>
            <w:tcW w:w="1044" w:type="dxa"/>
            <w:tcBorders>
              <w:top w:val="single" w:sz="4" w:space="0" w:color="000000"/>
              <w:left w:val="single" w:sz="4" w:space="0" w:color="000000"/>
              <w:bottom w:val="single" w:sz="4" w:space="0" w:color="000000"/>
              <w:right w:val="single" w:sz="4" w:space="0" w:color="000000"/>
            </w:tcBorders>
          </w:tcPr>
          <w:p w14:paraId="62C7FF97" w14:textId="77777777" w:rsidR="009F5F6A" w:rsidRDefault="00962A10">
            <w:pPr>
              <w:widowControl w:val="0"/>
              <w:jc w:val="center"/>
              <w:rPr>
                <w:noProof/>
                <w:szCs w:val="22"/>
                <w:lang w:eastAsia="en-US"/>
              </w:rPr>
            </w:pPr>
            <w:r>
              <w:rPr>
                <w:noProof/>
                <w:szCs w:val="22"/>
                <w:lang w:eastAsia="en-US"/>
              </w:rPr>
              <w:t>16</w:t>
            </w:r>
          </w:p>
        </w:tc>
        <w:tc>
          <w:tcPr>
            <w:tcW w:w="4754" w:type="dxa"/>
            <w:gridSpan w:val="4"/>
            <w:vMerge/>
            <w:tcBorders>
              <w:top w:val="nil"/>
              <w:left w:val="single" w:sz="4" w:space="0" w:color="000000"/>
              <w:bottom w:val="nil"/>
              <w:right w:val="single" w:sz="4" w:space="0" w:color="000000"/>
            </w:tcBorders>
          </w:tcPr>
          <w:p w14:paraId="2DA527A9" w14:textId="77777777" w:rsidR="009F5F6A" w:rsidRDefault="009F5F6A">
            <w:pPr>
              <w:widowControl w:val="0"/>
              <w:rPr>
                <w:noProof/>
                <w:szCs w:val="22"/>
                <w:lang w:eastAsia="en-US"/>
              </w:rPr>
            </w:pPr>
          </w:p>
        </w:tc>
      </w:tr>
      <w:tr w:rsidR="009F5F6A" w14:paraId="6E9BCD0F"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7FC84B16" w14:textId="77777777" w:rsidR="009F5F6A" w:rsidRDefault="00962A10">
            <w:pPr>
              <w:widowControl w:val="0"/>
              <w:rPr>
                <w:noProof/>
                <w:szCs w:val="22"/>
                <w:lang w:eastAsia="en-US"/>
              </w:rPr>
            </w:pPr>
            <w:r>
              <w:rPr>
                <w:i/>
                <w:noProof/>
                <w:szCs w:val="22"/>
                <w:lang w:eastAsia="en-US"/>
              </w:rPr>
              <w:t>MELD-pontszám</w:t>
            </w:r>
            <w:r>
              <w:rPr>
                <w:i/>
                <w:noProof/>
                <w:szCs w:val="22"/>
                <w:vertAlign w:val="superscript"/>
                <w:lang w:eastAsia="en-US"/>
              </w:rPr>
              <w:t xml:space="preserve">f </w:t>
            </w:r>
          </w:p>
        </w:tc>
        <w:tc>
          <w:tcPr>
            <w:tcW w:w="1440" w:type="dxa"/>
            <w:tcBorders>
              <w:top w:val="single" w:sz="4" w:space="0" w:color="000000"/>
              <w:left w:val="single" w:sz="4" w:space="0" w:color="000000"/>
              <w:bottom w:val="single" w:sz="4" w:space="0" w:color="000000"/>
              <w:right w:val="single" w:sz="4" w:space="0" w:color="000000"/>
            </w:tcBorders>
          </w:tcPr>
          <w:p w14:paraId="41F58B0B" w14:textId="77777777" w:rsidR="009F5F6A" w:rsidRDefault="009F5F6A">
            <w:pPr>
              <w:widowControl w:val="0"/>
              <w:jc w:val="center"/>
              <w:rPr>
                <w:noProof/>
                <w:szCs w:val="22"/>
                <w:lang w:eastAsia="en-US"/>
              </w:rPr>
            </w:pPr>
          </w:p>
        </w:tc>
        <w:tc>
          <w:tcPr>
            <w:tcW w:w="1044" w:type="dxa"/>
            <w:tcBorders>
              <w:top w:val="single" w:sz="4" w:space="0" w:color="000000"/>
              <w:left w:val="single" w:sz="4" w:space="0" w:color="000000"/>
              <w:bottom w:val="single" w:sz="4" w:space="0" w:color="000000"/>
              <w:right w:val="single" w:sz="4" w:space="0" w:color="000000"/>
            </w:tcBorders>
          </w:tcPr>
          <w:p w14:paraId="03E40F2C" w14:textId="77777777" w:rsidR="009F5F6A" w:rsidRDefault="009F5F6A">
            <w:pPr>
              <w:widowControl w:val="0"/>
              <w:jc w:val="center"/>
              <w:rPr>
                <w:noProof/>
                <w:szCs w:val="22"/>
                <w:lang w:eastAsia="en-US"/>
              </w:rPr>
            </w:pPr>
          </w:p>
        </w:tc>
        <w:tc>
          <w:tcPr>
            <w:tcW w:w="4754" w:type="dxa"/>
            <w:gridSpan w:val="4"/>
            <w:vMerge/>
            <w:tcBorders>
              <w:top w:val="nil"/>
              <w:left w:val="single" w:sz="4" w:space="0" w:color="000000"/>
              <w:bottom w:val="nil"/>
              <w:right w:val="single" w:sz="4" w:space="0" w:color="000000"/>
            </w:tcBorders>
          </w:tcPr>
          <w:p w14:paraId="5F26CD38" w14:textId="77777777" w:rsidR="009F5F6A" w:rsidRDefault="009F5F6A">
            <w:pPr>
              <w:widowControl w:val="0"/>
              <w:rPr>
                <w:noProof/>
                <w:szCs w:val="22"/>
                <w:lang w:eastAsia="en-US"/>
              </w:rPr>
            </w:pPr>
          </w:p>
        </w:tc>
      </w:tr>
      <w:tr w:rsidR="009F5F6A" w14:paraId="2A3A009B"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6A16B1FB" w14:textId="77777777" w:rsidR="009F5F6A" w:rsidRDefault="00962A10">
            <w:pPr>
              <w:widowControl w:val="0"/>
              <w:rPr>
                <w:noProof/>
                <w:szCs w:val="22"/>
                <w:lang w:eastAsia="en-US"/>
              </w:rPr>
            </w:pPr>
            <w:r>
              <w:rPr>
                <w:noProof/>
                <w:szCs w:val="22"/>
                <w:lang w:eastAsia="en-US"/>
              </w:rPr>
              <w:t>≥10</w:t>
            </w:r>
          </w:p>
        </w:tc>
        <w:tc>
          <w:tcPr>
            <w:tcW w:w="1440" w:type="dxa"/>
            <w:tcBorders>
              <w:top w:val="single" w:sz="4" w:space="0" w:color="000000"/>
              <w:left w:val="single" w:sz="4" w:space="0" w:color="000000"/>
              <w:bottom w:val="single" w:sz="4" w:space="0" w:color="000000"/>
              <w:right w:val="single" w:sz="4" w:space="0" w:color="000000"/>
            </w:tcBorders>
          </w:tcPr>
          <w:p w14:paraId="03B6DC01" w14:textId="77777777" w:rsidR="009F5F6A" w:rsidRDefault="00962A10">
            <w:pPr>
              <w:widowControl w:val="0"/>
              <w:jc w:val="center"/>
              <w:rPr>
                <w:noProof/>
                <w:szCs w:val="22"/>
                <w:lang w:eastAsia="en-US"/>
              </w:rPr>
            </w:pPr>
            <w:r>
              <w:rPr>
                <w:noProof/>
                <w:szCs w:val="22"/>
                <w:lang w:eastAsia="en-US"/>
              </w:rPr>
              <w:t>18</w:t>
            </w:r>
          </w:p>
        </w:tc>
        <w:tc>
          <w:tcPr>
            <w:tcW w:w="1044" w:type="dxa"/>
            <w:tcBorders>
              <w:top w:val="single" w:sz="4" w:space="0" w:color="000000"/>
              <w:left w:val="single" w:sz="4" w:space="0" w:color="000000"/>
              <w:bottom w:val="single" w:sz="4" w:space="0" w:color="000000"/>
              <w:right w:val="single" w:sz="4" w:space="0" w:color="000000"/>
            </w:tcBorders>
          </w:tcPr>
          <w:p w14:paraId="1922C278" w14:textId="77777777" w:rsidR="009F5F6A" w:rsidRDefault="00962A10">
            <w:pPr>
              <w:widowControl w:val="0"/>
              <w:jc w:val="center"/>
              <w:rPr>
                <w:noProof/>
                <w:szCs w:val="22"/>
                <w:lang w:eastAsia="en-US"/>
              </w:rPr>
            </w:pPr>
            <w:r>
              <w:rPr>
                <w:noProof/>
                <w:szCs w:val="22"/>
                <w:lang w:eastAsia="en-US"/>
              </w:rPr>
              <w:t>10</w:t>
            </w:r>
          </w:p>
        </w:tc>
        <w:tc>
          <w:tcPr>
            <w:tcW w:w="4754" w:type="dxa"/>
            <w:gridSpan w:val="4"/>
            <w:vMerge/>
            <w:tcBorders>
              <w:top w:val="nil"/>
              <w:left w:val="single" w:sz="4" w:space="0" w:color="000000"/>
              <w:bottom w:val="nil"/>
              <w:right w:val="single" w:sz="4" w:space="0" w:color="000000"/>
            </w:tcBorders>
          </w:tcPr>
          <w:p w14:paraId="658B4098" w14:textId="77777777" w:rsidR="009F5F6A" w:rsidRDefault="009F5F6A">
            <w:pPr>
              <w:widowControl w:val="0"/>
              <w:rPr>
                <w:noProof/>
                <w:szCs w:val="22"/>
                <w:lang w:eastAsia="en-US"/>
              </w:rPr>
            </w:pPr>
          </w:p>
        </w:tc>
      </w:tr>
      <w:tr w:rsidR="009F5F6A" w14:paraId="4D965B81" w14:textId="77777777">
        <w:trPr>
          <w:trHeight w:val="264"/>
        </w:trPr>
        <w:tc>
          <w:tcPr>
            <w:tcW w:w="1943" w:type="dxa"/>
            <w:tcBorders>
              <w:top w:val="single" w:sz="4" w:space="0" w:color="000000"/>
              <w:left w:val="single" w:sz="4" w:space="0" w:color="000000"/>
              <w:bottom w:val="single" w:sz="4" w:space="0" w:color="000000"/>
              <w:right w:val="single" w:sz="4" w:space="0" w:color="000000"/>
            </w:tcBorders>
          </w:tcPr>
          <w:p w14:paraId="0E35F7AE" w14:textId="77777777" w:rsidR="009F5F6A" w:rsidRDefault="00962A10">
            <w:pPr>
              <w:widowControl w:val="0"/>
              <w:rPr>
                <w:noProof/>
                <w:szCs w:val="22"/>
                <w:lang w:eastAsia="en-US"/>
              </w:rPr>
            </w:pPr>
            <w:r>
              <w:rPr>
                <w:noProof/>
                <w:szCs w:val="22"/>
                <w:lang w:eastAsia="en-US"/>
              </w:rPr>
              <w:t>&lt;10</w:t>
            </w:r>
          </w:p>
        </w:tc>
        <w:tc>
          <w:tcPr>
            <w:tcW w:w="1440" w:type="dxa"/>
            <w:tcBorders>
              <w:top w:val="single" w:sz="4" w:space="0" w:color="000000"/>
              <w:left w:val="single" w:sz="4" w:space="0" w:color="000000"/>
              <w:bottom w:val="single" w:sz="4" w:space="0" w:color="000000"/>
              <w:right w:val="single" w:sz="4" w:space="0" w:color="000000"/>
            </w:tcBorders>
          </w:tcPr>
          <w:p w14:paraId="476B789F" w14:textId="77777777" w:rsidR="009F5F6A" w:rsidRDefault="00962A10">
            <w:pPr>
              <w:widowControl w:val="0"/>
              <w:jc w:val="center"/>
              <w:rPr>
                <w:noProof/>
                <w:szCs w:val="22"/>
                <w:lang w:eastAsia="en-US"/>
              </w:rPr>
            </w:pPr>
            <w:r>
              <w:rPr>
                <w:noProof/>
                <w:szCs w:val="22"/>
                <w:lang w:eastAsia="en-US"/>
              </w:rPr>
              <w:t>23</w:t>
            </w:r>
          </w:p>
        </w:tc>
        <w:tc>
          <w:tcPr>
            <w:tcW w:w="1044" w:type="dxa"/>
            <w:tcBorders>
              <w:top w:val="single" w:sz="4" w:space="0" w:color="000000"/>
              <w:left w:val="single" w:sz="4" w:space="0" w:color="000000"/>
              <w:bottom w:val="single" w:sz="4" w:space="0" w:color="000000"/>
              <w:right w:val="single" w:sz="4" w:space="0" w:color="000000"/>
            </w:tcBorders>
          </w:tcPr>
          <w:p w14:paraId="00FF3E43" w14:textId="77777777" w:rsidR="009F5F6A" w:rsidRDefault="00962A10">
            <w:pPr>
              <w:widowControl w:val="0"/>
              <w:jc w:val="center"/>
              <w:rPr>
                <w:noProof/>
                <w:szCs w:val="22"/>
                <w:lang w:eastAsia="en-US"/>
              </w:rPr>
            </w:pPr>
            <w:r>
              <w:rPr>
                <w:noProof/>
                <w:szCs w:val="22"/>
                <w:lang w:eastAsia="en-US"/>
              </w:rPr>
              <w:t>17</w:t>
            </w:r>
          </w:p>
        </w:tc>
        <w:tc>
          <w:tcPr>
            <w:tcW w:w="4754" w:type="dxa"/>
            <w:gridSpan w:val="4"/>
            <w:vMerge/>
            <w:tcBorders>
              <w:top w:val="nil"/>
              <w:left w:val="single" w:sz="4" w:space="0" w:color="000000"/>
              <w:bottom w:val="single" w:sz="4" w:space="0" w:color="000000"/>
              <w:right w:val="single" w:sz="4" w:space="0" w:color="000000"/>
            </w:tcBorders>
          </w:tcPr>
          <w:p w14:paraId="5B04434A" w14:textId="77777777" w:rsidR="009F5F6A" w:rsidRDefault="009F5F6A">
            <w:pPr>
              <w:widowControl w:val="0"/>
              <w:rPr>
                <w:noProof/>
                <w:szCs w:val="22"/>
                <w:lang w:eastAsia="en-US"/>
              </w:rPr>
            </w:pPr>
          </w:p>
        </w:tc>
      </w:tr>
    </w:tbl>
    <w:p w14:paraId="1C413F34" w14:textId="77777777" w:rsidR="009F5F6A" w:rsidRDefault="00962A10">
      <w:pPr>
        <w:numPr>
          <w:ilvl w:val="0"/>
          <w:numId w:val="46"/>
        </w:numPr>
        <w:tabs>
          <w:tab w:val="clear" w:pos="567"/>
        </w:tabs>
        <w:spacing w:after="12" w:line="247" w:lineRule="auto"/>
        <w:ind w:right="93" w:hanging="570"/>
        <w:rPr>
          <w:sz w:val="20"/>
        </w:rPr>
      </w:pPr>
      <w:r>
        <w:rPr>
          <w:sz w:val="20"/>
        </w:rPr>
        <w:t xml:space="preserve">Eltrombopag kombinációban adva peginterferon alfa-2a-val (hetente egyszer 180 mikrogramm 48 héten át 1/4/6-os genotípus esetén; 24 héten át 2/3-as genotípus esetén) és ribavirinnel (napi 800-tól 1200 mg-ig, 2 adagra elosztva, </w:t>
      </w:r>
      <w:r>
        <w:rPr>
          <w:i/>
          <w:iCs/>
          <w:sz w:val="20"/>
        </w:rPr>
        <w:t>per os</w:t>
      </w:r>
      <w:r>
        <w:rPr>
          <w:sz w:val="20"/>
        </w:rPr>
        <w:t>)</w:t>
      </w:r>
    </w:p>
    <w:p w14:paraId="0E22717B" w14:textId="77777777" w:rsidR="009F5F6A" w:rsidRDefault="00962A10">
      <w:pPr>
        <w:numPr>
          <w:ilvl w:val="0"/>
          <w:numId w:val="46"/>
        </w:numPr>
        <w:tabs>
          <w:tab w:val="clear" w:pos="567"/>
        </w:tabs>
        <w:spacing w:after="12" w:line="247" w:lineRule="auto"/>
        <w:ind w:right="93" w:hanging="570"/>
        <w:rPr>
          <w:sz w:val="20"/>
        </w:rPr>
      </w:pPr>
      <w:r>
        <w:rPr>
          <w:sz w:val="20"/>
        </w:rPr>
        <w:t xml:space="preserve">Eltrombopag kombinációban adva peginterferon alfa-2b-vel (hetente egyszer 1,5 mikrogramm/ttkg 48 héten át 1/4/6-os genotípus esetén; 24 héten át 2/3-as genotípus esetén) és ribavirinnel (napi 800-tól 1400 mg-ig, 2 adagra elosztva, </w:t>
      </w:r>
      <w:r>
        <w:rPr>
          <w:i/>
          <w:iCs/>
          <w:sz w:val="20"/>
        </w:rPr>
        <w:t>per os</w:t>
      </w:r>
      <w:r>
        <w:rPr>
          <w:sz w:val="20"/>
        </w:rPr>
        <w:t>)</w:t>
      </w:r>
    </w:p>
    <w:p w14:paraId="5A682904" w14:textId="77777777" w:rsidR="009F5F6A" w:rsidRDefault="00962A10">
      <w:pPr>
        <w:numPr>
          <w:ilvl w:val="0"/>
          <w:numId w:val="46"/>
        </w:numPr>
        <w:tabs>
          <w:tab w:val="clear" w:pos="567"/>
        </w:tabs>
        <w:spacing w:after="12" w:line="247" w:lineRule="auto"/>
        <w:ind w:right="93" w:hanging="570"/>
        <w:rPr>
          <w:sz w:val="20"/>
        </w:rPr>
      </w:pPr>
      <w:r>
        <w:rPr>
          <w:sz w:val="20"/>
        </w:rPr>
        <w:t xml:space="preserve">A vérlemezkeszám célértéke ≥90 000/mikroliter volt </w:t>
      </w:r>
      <w:proofErr w:type="gramStart"/>
      <w:r>
        <w:rPr>
          <w:sz w:val="20"/>
        </w:rPr>
        <w:t>az</w:t>
      </w:r>
      <w:proofErr w:type="gramEnd"/>
      <w:r>
        <w:rPr>
          <w:sz w:val="20"/>
        </w:rPr>
        <w:t xml:space="preserve"> ENABLE 1 esetén, és ≥100 000/mikroliter az ENABLE 2 esetén. Az ENABLE 1 esetén 682 beteget randomizáltak az antivirális kezelési szakaszba, azonban 2 beteg visszavonta a beleegyezését, mielőtt antivirális terápiában részesültek volna</w:t>
      </w:r>
    </w:p>
    <w:p w14:paraId="68FA542B" w14:textId="77777777" w:rsidR="009F5F6A" w:rsidRDefault="00962A10">
      <w:pPr>
        <w:numPr>
          <w:ilvl w:val="0"/>
          <w:numId w:val="46"/>
        </w:numPr>
        <w:tabs>
          <w:tab w:val="clear" w:pos="567"/>
        </w:tabs>
        <w:spacing w:after="12" w:line="247" w:lineRule="auto"/>
        <w:ind w:right="93" w:hanging="568"/>
        <w:rPr>
          <w:sz w:val="20"/>
        </w:rPr>
      </w:pPr>
      <w:r>
        <w:rPr>
          <w:sz w:val="20"/>
        </w:rPr>
        <w:t>Eltrombopag esetén P-érték &lt;0,05 versus placebo</w:t>
      </w:r>
    </w:p>
    <w:p w14:paraId="667BEE07" w14:textId="77777777" w:rsidR="009F5F6A" w:rsidRDefault="00962A10">
      <w:pPr>
        <w:numPr>
          <w:ilvl w:val="0"/>
          <w:numId w:val="46"/>
        </w:numPr>
        <w:tabs>
          <w:tab w:val="clear" w:pos="567"/>
        </w:tabs>
        <w:spacing w:after="12" w:line="247" w:lineRule="auto"/>
        <w:ind w:right="93" w:hanging="568"/>
        <w:rPr>
          <w:sz w:val="20"/>
        </w:rPr>
      </w:pPr>
      <w:r>
        <w:rPr>
          <w:sz w:val="20"/>
        </w:rPr>
        <w:t>Az ENABLE 1 és ENABLE 2-ben résztvevő betegek 64%-a 1-es genotípusú volt</w:t>
      </w:r>
    </w:p>
    <w:p w14:paraId="3B677EC6" w14:textId="77777777" w:rsidR="009F5F6A" w:rsidRDefault="00962A10">
      <w:pPr>
        <w:numPr>
          <w:ilvl w:val="0"/>
          <w:numId w:val="46"/>
        </w:numPr>
        <w:tabs>
          <w:tab w:val="clear" w:pos="567"/>
        </w:tabs>
        <w:spacing w:after="12" w:line="247" w:lineRule="auto"/>
        <w:ind w:right="93" w:hanging="568"/>
        <w:rPr>
          <w:sz w:val="20"/>
        </w:rPr>
      </w:pPr>
      <w:r>
        <w:rPr>
          <w:i/>
          <w:iCs/>
          <w:sz w:val="20"/>
        </w:rPr>
        <w:t>Post-hoc</w:t>
      </w:r>
      <w:r>
        <w:rPr>
          <w:sz w:val="20"/>
        </w:rPr>
        <w:t xml:space="preserve"> analízisek </w:t>
      </w:r>
    </w:p>
    <w:p w14:paraId="0C7751EB" w14:textId="77777777" w:rsidR="009F5F6A" w:rsidRDefault="009F5F6A">
      <w:pPr>
        <w:spacing w:line="240" w:lineRule="auto"/>
        <w:rPr>
          <w:rFonts w:eastAsia="Times New Roman"/>
          <w:noProof/>
          <w:snapToGrid/>
          <w:szCs w:val="22"/>
          <w:lang w:val="hu-HU" w:eastAsia="en-US"/>
        </w:rPr>
      </w:pPr>
    </w:p>
    <w:p w14:paraId="588E4BA2"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 vizsgálat egyéb másodlagos megfigyelései közé tartoztak a következők: a placebóhoz viszonyítva szignifikánsan kevesebb eltrombopaggal kezelt beteg hagyta abba az antivirális terápiát idő előtt (45% vs 60%, p = &lt;0,0001). Az eltrombopaggal kezelt betegek nagyobb hányadánál volt szükségtelen az antivirális szerek dóziscsökkentése a placebóhoz viszonyítva (45% vs. 27%). Az eltrombopag-kezelés késleltette és csökkentette a peginterferon dóziscsökkentésének számát.</w:t>
      </w:r>
    </w:p>
    <w:p w14:paraId="65F86695" w14:textId="77777777" w:rsidR="009F5F6A" w:rsidRDefault="009F5F6A">
      <w:pPr>
        <w:spacing w:line="240" w:lineRule="auto"/>
        <w:rPr>
          <w:rFonts w:eastAsia="Times New Roman"/>
          <w:noProof/>
          <w:snapToGrid/>
          <w:szCs w:val="22"/>
          <w:lang w:val="hu-HU" w:eastAsia="en-US"/>
        </w:rPr>
      </w:pPr>
    </w:p>
    <w:p w14:paraId="05844F14" w14:textId="77777777" w:rsidR="009F5F6A" w:rsidRDefault="00962A10">
      <w:pPr>
        <w:spacing w:line="240" w:lineRule="auto"/>
        <w:ind w:left="567" w:hanging="567"/>
        <w:outlineLvl w:val="0"/>
        <w:rPr>
          <w:b/>
          <w:lang w:val="hu-HU"/>
        </w:rPr>
      </w:pPr>
      <w:r>
        <w:rPr>
          <w:b/>
          <w:lang w:val="hu-HU"/>
        </w:rPr>
        <w:t>5.2</w:t>
      </w:r>
      <w:r>
        <w:rPr>
          <w:b/>
          <w:lang w:val="hu-HU"/>
        </w:rPr>
        <w:tab/>
        <w:t>Farmakokinetikai tulajdonságok</w:t>
      </w:r>
    </w:p>
    <w:p w14:paraId="3FDA69CA" w14:textId="77777777" w:rsidR="009F5F6A" w:rsidRDefault="009F5F6A">
      <w:pPr>
        <w:spacing w:line="240" w:lineRule="auto"/>
        <w:ind w:left="567" w:hanging="567"/>
        <w:outlineLvl w:val="0"/>
        <w:rPr>
          <w:b/>
          <w:lang w:val="hu-HU"/>
        </w:rPr>
      </w:pPr>
    </w:p>
    <w:p w14:paraId="391934B6"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Farmakokinetika</w:t>
      </w:r>
    </w:p>
    <w:p w14:paraId="17080B27" w14:textId="77777777" w:rsidR="009F5F6A" w:rsidRDefault="009F5F6A">
      <w:pPr>
        <w:tabs>
          <w:tab w:val="clear" w:pos="567"/>
        </w:tabs>
        <w:autoSpaceDE w:val="0"/>
        <w:autoSpaceDN w:val="0"/>
        <w:adjustRightInd w:val="0"/>
        <w:spacing w:line="240" w:lineRule="auto"/>
        <w:rPr>
          <w:snapToGrid/>
          <w:szCs w:val="22"/>
          <w:lang w:val="hu-HU" w:eastAsia="en-GB"/>
        </w:rPr>
      </w:pPr>
    </w:p>
    <w:p w14:paraId="2AA09343"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A TRA100773A és TRA100773B vizsgálatokból 88 ITP-s beteg plazma-eltrombopag koncentráció-idő adatait vetették össze 111 egészséges felnőtt adataival egy populációs PK-elemzésben. Megadták az ITP-s betegek becsült </w:t>
      </w:r>
      <w:proofErr w:type="gramStart"/>
      <w:r>
        <w:rPr>
          <w:snapToGrid/>
          <w:szCs w:val="22"/>
          <w:lang w:val="hu-HU" w:eastAsia="en-GB"/>
        </w:rPr>
        <w:t>plazma-eltrombopag-AUC(</w:t>
      </w:r>
      <w:proofErr w:type="gramEnd"/>
      <w:r>
        <w:rPr>
          <w:snapToGrid/>
          <w:szCs w:val="22"/>
          <w:vertAlign w:val="subscript"/>
          <w:lang w:val="hu-HU" w:eastAsia="en-GB"/>
        </w:rPr>
        <w:t>0-τ</w:t>
      </w:r>
      <w:r>
        <w:rPr>
          <w:snapToGrid/>
          <w:szCs w:val="22"/>
          <w:lang w:val="hu-HU" w:eastAsia="en-GB"/>
        </w:rPr>
        <w:t>)- és C</w:t>
      </w:r>
      <w:r>
        <w:rPr>
          <w:snapToGrid/>
          <w:szCs w:val="22"/>
          <w:vertAlign w:val="subscript"/>
          <w:lang w:val="hu-HU" w:eastAsia="en-GB"/>
        </w:rPr>
        <w:t>max</w:t>
      </w:r>
      <w:r>
        <w:rPr>
          <w:snapToGrid/>
          <w:szCs w:val="22"/>
          <w:lang w:val="hu-HU" w:eastAsia="en-GB"/>
        </w:rPr>
        <w:t>-értékeit (8. táblázat).</w:t>
      </w:r>
    </w:p>
    <w:p w14:paraId="6D3E3EBD" w14:textId="77777777" w:rsidR="009F5F6A" w:rsidRDefault="009F5F6A">
      <w:pPr>
        <w:tabs>
          <w:tab w:val="clear" w:pos="567"/>
        </w:tabs>
        <w:autoSpaceDE w:val="0"/>
        <w:autoSpaceDN w:val="0"/>
        <w:adjustRightInd w:val="0"/>
        <w:spacing w:line="240" w:lineRule="auto"/>
        <w:rPr>
          <w:noProof/>
          <w:szCs w:val="22"/>
          <w:lang w:val="hu-HU"/>
        </w:rPr>
      </w:pPr>
    </w:p>
    <w:p w14:paraId="07F9CADB" w14:textId="77777777" w:rsidR="009F5F6A" w:rsidRDefault="00962A10">
      <w:pPr>
        <w:tabs>
          <w:tab w:val="clear" w:pos="567"/>
        </w:tabs>
        <w:autoSpaceDE w:val="0"/>
        <w:autoSpaceDN w:val="0"/>
        <w:adjustRightInd w:val="0"/>
        <w:spacing w:line="240" w:lineRule="auto"/>
        <w:ind w:left="1418" w:hanging="1418"/>
        <w:rPr>
          <w:noProof/>
          <w:szCs w:val="22"/>
          <w:lang w:val="hu-HU"/>
        </w:rPr>
      </w:pPr>
      <w:r>
        <w:rPr>
          <w:b/>
          <w:bCs/>
          <w:snapToGrid/>
          <w:szCs w:val="22"/>
          <w:lang w:val="hu-HU" w:eastAsia="en-GB"/>
        </w:rPr>
        <w:t>8. táblázat</w:t>
      </w:r>
      <w:r>
        <w:rPr>
          <w:b/>
          <w:bCs/>
          <w:snapToGrid/>
          <w:szCs w:val="22"/>
          <w:lang w:val="hu-HU" w:eastAsia="en-GB"/>
        </w:rPr>
        <w:tab/>
        <w:t xml:space="preserve">ITP-s </w:t>
      </w:r>
      <w:r>
        <w:rPr>
          <w:rFonts w:eastAsia="TimesNewRomanPS-BoldMT"/>
          <w:b/>
          <w:bCs/>
          <w:snapToGrid/>
          <w:szCs w:val="22"/>
          <w:lang w:val="hu-HU" w:eastAsia="en-GB"/>
        </w:rPr>
        <w:t>felnőttek steady-</w:t>
      </w:r>
      <w:r>
        <w:rPr>
          <w:b/>
          <w:bCs/>
          <w:snapToGrid/>
          <w:szCs w:val="22"/>
          <w:lang w:val="hu-HU" w:eastAsia="en-GB"/>
        </w:rPr>
        <w:t>state plazma-eltrombopag farmakokinetikai paramétereinek mértani átlagértéke (95%-os konfidencia intervallum)</w:t>
      </w:r>
    </w:p>
    <w:p w14:paraId="14E7E025" w14:textId="77777777" w:rsidR="009F5F6A" w:rsidRDefault="009F5F6A">
      <w:pPr>
        <w:tabs>
          <w:tab w:val="clear" w:pos="567"/>
        </w:tabs>
        <w:autoSpaceDE w:val="0"/>
        <w:autoSpaceDN w:val="0"/>
        <w:adjustRightInd w:val="0"/>
        <w:spacing w:line="240" w:lineRule="auto"/>
        <w:rPr>
          <w:noProof/>
          <w:szCs w:val="22"/>
          <w:lang w:val="hu-HU"/>
        </w:rPr>
      </w:pPr>
    </w:p>
    <w:tbl>
      <w:tblPr>
        <w:tblW w:w="8641" w:type="dxa"/>
        <w:tblInd w:w="113" w:type="dxa"/>
        <w:tblCellMar>
          <w:top w:w="13" w:type="dxa"/>
          <w:left w:w="115" w:type="dxa"/>
          <w:right w:w="115" w:type="dxa"/>
        </w:tblCellMar>
        <w:tblLook w:val="04A0" w:firstRow="1" w:lastRow="0" w:firstColumn="1" w:lastColumn="0" w:noHBand="0" w:noVBand="1"/>
      </w:tblPr>
      <w:tblGrid>
        <w:gridCol w:w="2430"/>
        <w:gridCol w:w="810"/>
        <w:gridCol w:w="2567"/>
        <w:gridCol w:w="2834"/>
      </w:tblGrid>
      <w:tr w:rsidR="009F5F6A" w14:paraId="521568F1" w14:textId="77777777">
        <w:trPr>
          <w:trHeight w:val="516"/>
        </w:trPr>
        <w:tc>
          <w:tcPr>
            <w:tcW w:w="2430" w:type="dxa"/>
            <w:tcBorders>
              <w:top w:val="single" w:sz="4" w:space="0" w:color="000000"/>
              <w:left w:val="single" w:sz="4" w:space="0" w:color="000000"/>
              <w:bottom w:val="single" w:sz="4" w:space="0" w:color="000000"/>
              <w:right w:val="single" w:sz="4" w:space="0" w:color="000000"/>
            </w:tcBorders>
          </w:tcPr>
          <w:p w14:paraId="1E8EA1D7" w14:textId="77777777" w:rsidR="009F5F6A" w:rsidRDefault="00962A10">
            <w:pPr>
              <w:widowControl w:val="0"/>
              <w:jc w:val="center"/>
              <w:rPr>
                <w:b/>
                <w:szCs w:val="22"/>
                <w:lang w:eastAsia="en-US"/>
              </w:rPr>
            </w:pPr>
            <w:r>
              <w:rPr>
                <w:b/>
                <w:szCs w:val="22"/>
                <w:lang w:eastAsia="en-US"/>
              </w:rPr>
              <w:t>Eltrombopag-dózis, naponta egyszer</w:t>
            </w:r>
          </w:p>
        </w:tc>
        <w:tc>
          <w:tcPr>
            <w:tcW w:w="810" w:type="dxa"/>
            <w:tcBorders>
              <w:top w:val="single" w:sz="4" w:space="0" w:color="000000"/>
              <w:left w:val="single" w:sz="4" w:space="0" w:color="000000"/>
              <w:bottom w:val="single" w:sz="4" w:space="0" w:color="000000"/>
              <w:right w:val="single" w:sz="4" w:space="0" w:color="000000"/>
            </w:tcBorders>
          </w:tcPr>
          <w:p w14:paraId="60E389FF" w14:textId="77777777" w:rsidR="009F5F6A" w:rsidRDefault="00962A10">
            <w:pPr>
              <w:widowControl w:val="0"/>
              <w:jc w:val="center"/>
              <w:rPr>
                <w:b/>
                <w:szCs w:val="22"/>
                <w:lang w:eastAsia="en-US"/>
              </w:rPr>
            </w:pPr>
            <w:r>
              <w:rPr>
                <w:b/>
                <w:szCs w:val="22"/>
                <w:lang w:eastAsia="en-US"/>
              </w:rPr>
              <w:t>N</w:t>
            </w:r>
          </w:p>
        </w:tc>
        <w:tc>
          <w:tcPr>
            <w:tcW w:w="2567" w:type="dxa"/>
            <w:tcBorders>
              <w:top w:val="single" w:sz="4" w:space="0" w:color="000000"/>
              <w:left w:val="single" w:sz="4" w:space="0" w:color="000000"/>
              <w:bottom w:val="single" w:sz="4" w:space="0" w:color="000000"/>
              <w:right w:val="single" w:sz="4" w:space="0" w:color="000000"/>
            </w:tcBorders>
          </w:tcPr>
          <w:p w14:paraId="1431F420" w14:textId="77777777" w:rsidR="009F5F6A" w:rsidRDefault="00962A10">
            <w:pPr>
              <w:widowControl w:val="0"/>
              <w:jc w:val="center"/>
              <w:rPr>
                <w:b/>
                <w:szCs w:val="22"/>
                <w:lang w:eastAsia="en-US"/>
              </w:rPr>
            </w:pPr>
            <w:r>
              <w:rPr>
                <w:b/>
                <w:szCs w:val="22"/>
                <w:lang w:eastAsia="en-US"/>
              </w:rPr>
              <w:t>AUC</w:t>
            </w:r>
            <w:r>
              <w:rPr>
                <w:b/>
                <w:szCs w:val="22"/>
                <w:vertAlign w:val="subscript"/>
                <w:lang w:eastAsia="en-US"/>
              </w:rPr>
              <w:t>(0-τ)</w:t>
            </w:r>
            <w:r>
              <w:rPr>
                <w:b/>
                <w:szCs w:val="22"/>
                <w:vertAlign w:val="superscript"/>
                <w:lang w:eastAsia="en-US"/>
              </w:rPr>
              <w:t>a</w:t>
            </w:r>
            <w:r>
              <w:rPr>
                <w:b/>
                <w:szCs w:val="22"/>
                <w:lang w:eastAsia="en-US"/>
              </w:rPr>
              <w:t>, mikrogramm</w:t>
            </w:r>
            <w:r>
              <w:rPr>
                <w:color w:val="000000"/>
                <w:szCs w:val="22"/>
              </w:rPr>
              <w:t>×</w:t>
            </w:r>
            <w:r>
              <w:rPr>
                <w:b/>
                <w:szCs w:val="22"/>
                <w:lang w:eastAsia="en-US"/>
              </w:rPr>
              <w:t>óra/ml</w:t>
            </w:r>
          </w:p>
        </w:tc>
        <w:tc>
          <w:tcPr>
            <w:tcW w:w="2834" w:type="dxa"/>
            <w:tcBorders>
              <w:top w:val="single" w:sz="4" w:space="0" w:color="000000"/>
              <w:left w:val="single" w:sz="4" w:space="0" w:color="000000"/>
              <w:bottom w:val="single" w:sz="4" w:space="0" w:color="000000"/>
              <w:right w:val="single" w:sz="4" w:space="0" w:color="000000"/>
            </w:tcBorders>
          </w:tcPr>
          <w:p w14:paraId="5B6F2619" w14:textId="77777777" w:rsidR="009F5F6A" w:rsidRDefault="00962A10">
            <w:pPr>
              <w:widowControl w:val="0"/>
              <w:jc w:val="center"/>
              <w:rPr>
                <w:b/>
                <w:szCs w:val="22"/>
                <w:lang w:eastAsia="en-US"/>
              </w:rPr>
            </w:pPr>
            <w:r>
              <w:rPr>
                <w:b/>
                <w:szCs w:val="22"/>
                <w:lang w:eastAsia="en-US"/>
              </w:rPr>
              <w:t>C</w:t>
            </w:r>
            <w:r>
              <w:rPr>
                <w:b/>
                <w:szCs w:val="22"/>
                <w:vertAlign w:val="subscript"/>
                <w:lang w:eastAsia="en-US"/>
              </w:rPr>
              <w:t>max</w:t>
            </w:r>
            <w:r>
              <w:rPr>
                <w:b/>
                <w:szCs w:val="22"/>
                <w:vertAlign w:val="superscript"/>
                <w:lang w:eastAsia="en-US"/>
              </w:rPr>
              <w:t>a</w:t>
            </w:r>
            <w:r>
              <w:rPr>
                <w:b/>
                <w:szCs w:val="22"/>
                <w:lang w:eastAsia="en-US"/>
              </w:rPr>
              <w:t>, mikrogramm/ml</w:t>
            </w:r>
          </w:p>
        </w:tc>
      </w:tr>
      <w:tr w:rsidR="009F5F6A" w14:paraId="15F29BF7" w14:textId="77777777">
        <w:trPr>
          <w:trHeight w:val="263"/>
        </w:trPr>
        <w:tc>
          <w:tcPr>
            <w:tcW w:w="2430" w:type="dxa"/>
            <w:tcBorders>
              <w:top w:val="single" w:sz="4" w:space="0" w:color="000000"/>
              <w:left w:val="single" w:sz="4" w:space="0" w:color="000000"/>
              <w:bottom w:val="single" w:sz="4" w:space="0" w:color="000000"/>
              <w:right w:val="single" w:sz="4" w:space="0" w:color="000000"/>
            </w:tcBorders>
          </w:tcPr>
          <w:p w14:paraId="1A67D9EB" w14:textId="77777777" w:rsidR="009F5F6A" w:rsidRDefault="00962A10">
            <w:pPr>
              <w:widowControl w:val="0"/>
              <w:jc w:val="center"/>
              <w:rPr>
                <w:szCs w:val="22"/>
                <w:lang w:eastAsia="en-US"/>
              </w:rPr>
            </w:pPr>
            <w:r>
              <w:rPr>
                <w:szCs w:val="22"/>
                <w:lang w:eastAsia="en-US"/>
              </w:rPr>
              <w:t>30 mg</w:t>
            </w:r>
          </w:p>
        </w:tc>
        <w:tc>
          <w:tcPr>
            <w:tcW w:w="810" w:type="dxa"/>
            <w:tcBorders>
              <w:top w:val="single" w:sz="4" w:space="0" w:color="000000"/>
              <w:left w:val="single" w:sz="4" w:space="0" w:color="000000"/>
              <w:bottom w:val="single" w:sz="4" w:space="0" w:color="000000"/>
              <w:right w:val="single" w:sz="4" w:space="0" w:color="000000"/>
            </w:tcBorders>
          </w:tcPr>
          <w:p w14:paraId="1D1FC339" w14:textId="77777777" w:rsidR="009F5F6A" w:rsidRDefault="00962A10">
            <w:pPr>
              <w:widowControl w:val="0"/>
              <w:jc w:val="center"/>
              <w:rPr>
                <w:szCs w:val="22"/>
                <w:lang w:eastAsia="en-US"/>
              </w:rPr>
            </w:pPr>
            <w:r>
              <w:rPr>
                <w:szCs w:val="22"/>
                <w:lang w:eastAsia="en-US"/>
              </w:rPr>
              <w:t>28</w:t>
            </w:r>
          </w:p>
        </w:tc>
        <w:tc>
          <w:tcPr>
            <w:tcW w:w="2567" w:type="dxa"/>
            <w:tcBorders>
              <w:top w:val="single" w:sz="4" w:space="0" w:color="000000"/>
              <w:left w:val="single" w:sz="4" w:space="0" w:color="000000"/>
              <w:bottom w:val="single" w:sz="4" w:space="0" w:color="000000"/>
              <w:right w:val="single" w:sz="4" w:space="0" w:color="000000"/>
            </w:tcBorders>
          </w:tcPr>
          <w:p w14:paraId="669113AF" w14:textId="77777777" w:rsidR="009F5F6A" w:rsidRDefault="00962A10">
            <w:pPr>
              <w:widowControl w:val="0"/>
              <w:jc w:val="center"/>
              <w:rPr>
                <w:szCs w:val="22"/>
                <w:lang w:eastAsia="en-US"/>
              </w:rPr>
            </w:pPr>
            <w:r>
              <w:rPr>
                <w:szCs w:val="22"/>
                <w:lang w:eastAsia="en-US"/>
              </w:rPr>
              <w:t>47 (39; 58)</w:t>
            </w:r>
          </w:p>
        </w:tc>
        <w:tc>
          <w:tcPr>
            <w:tcW w:w="2834" w:type="dxa"/>
            <w:tcBorders>
              <w:top w:val="single" w:sz="4" w:space="0" w:color="000000"/>
              <w:left w:val="single" w:sz="4" w:space="0" w:color="000000"/>
              <w:bottom w:val="single" w:sz="4" w:space="0" w:color="000000"/>
              <w:right w:val="single" w:sz="4" w:space="0" w:color="000000"/>
            </w:tcBorders>
          </w:tcPr>
          <w:p w14:paraId="66AD0055" w14:textId="77777777" w:rsidR="009F5F6A" w:rsidRDefault="00962A10">
            <w:pPr>
              <w:widowControl w:val="0"/>
              <w:jc w:val="center"/>
              <w:rPr>
                <w:szCs w:val="22"/>
                <w:lang w:eastAsia="en-US"/>
              </w:rPr>
            </w:pPr>
            <w:r>
              <w:rPr>
                <w:szCs w:val="22"/>
                <w:lang w:eastAsia="en-US"/>
              </w:rPr>
              <w:t>3,78 (3,18; 4,49)</w:t>
            </w:r>
          </w:p>
        </w:tc>
      </w:tr>
      <w:tr w:rsidR="009F5F6A" w14:paraId="4AA6E8CD" w14:textId="77777777">
        <w:trPr>
          <w:trHeight w:val="263"/>
        </w:trPr>
        <w:tc>
          <w:tcPr>
            <w:tcW w:w="2430" w:type="dxa"/>
            <w:tcBorders>
              <w:top w:val="single" w:sz="4" w:space="0" w:color="000000"/>
              <w:left w:val="single" w:sz="4" w:space="0" w:color="000000"/>
              <w:bottom w:val="single" w:sz="4" w:space="0" w:color="000000"/>
              <w:right w:val="single" w:sz="4" w:space="0" w:color="000000"/>
            </w:tcBorders>
          </w:tcPr>
          <w:p w14:paraId="17561977" w14:textId="77777777" w:rsidR="009F5F6A" w:rsidRDefault="00962A10">
            <w:pPr>
              <w:widowControl w:val="0"/>
              <w:jc w:val="center"/>
              <w:rPr>
                <w:szCs w:val="22"/>
                <w:lang w:eastAsia="en-US"/>
              </w:rPr>
            </w:pPr>
            <w:r>
              <w:rPr>
                <w:szCs w:val="22"/>
                <w:lang w:eastAsia="en-US"/>
              </w:rPr>
              <w:t>50 mg</w:t>
            </w:r>
          </w:p>
        </w:tc>
        <w:tc>
          <w:tcPr>
            <w:tcW w:w="810" w:type="dxa"/>
            <w:tcBorders>
              <w:top w:val="single" w:sz="4" w:space="0" w:color="000000"/>
              <w:left w:val="single" w:sz="4" w:space="0" w:color="000000"/>
              <w:bottom w:val="single" w:sz="4" w:space="0" w:color="000000"/>
              <w:right w:val="single" w:sz="4" w:space="0" w:color="000000"/>
            </w:tcBorders>
          </w:tcPr>
          <w:p w14:paraId="5D1BAFB0" w14:textId="77777777" w:rsidR="009F5F6A" w:rsidRDefault="00962A10">
            <w:pPr>
              <w:widowControl w:val="0"/>
              <w:jc w:val="center"/>
              <w:rPr>
                <w:szCs w:val="22"/>
                <w:lang w:eastAsia="en-US"/>
              </w:rPr>
            </w:pPr>
            <w:r>
              <w:rPr>
                <w:szCs w:val="22"/>
                <w:lang w:eastAsia="en-US"/>
              </w:rPr>
              <w:t>34</w:t>
            </w:r>
          </w:p>
        </w:tc>
        <w:tc>
          <w:tcPr>
            <w:tcW w:w="2567" w:type="dxa"/>
            <w:tcBorders>
              <w:top w:val="single" w:sz="4" w:space="0" w:color="000000"/>
              <w:left w:val="single" w:sz="4" w:space="0" w:color="000000"/>
              <w:bottom w:val="single" w:sz="4" w:space="0" w:color="000000"/>
              <w:right w:val="single" w:sz="4" w:space="0" w:color="000000"/>
            </w:tcBorders>
          </w:tcPr>
          <w:p w14:paraId="0A2FDB64" w14:textId="77777777" w:rsidR="009F5F6A" w:rsidRDefault="00962A10">
            <w:pPr>
              <w:widowControl w:val="0"/>
              <w:jc w:val="center"/>
              <w:rPr>
                <w:szCs w:val="22"/>
                <w:lang w:eastAsia="en-US"/>
              </w:rPr>
            </w:pPr>
            <w:r>
              <w:rPr>
                <w:szCs w:val="22"/>
                <w:lang w:eastAsia="en-US"/>
              </w:rPr>
              <w:t>108 (88; 134)</w:t>
            </w:r>
          </w:p>
        </w:tc>
        <w:tc>
          <w:tcPr>
            <w:tcW w:w="2834" w:type="dxa"/>
            <w:tcBorders>
              <w:top w:val="single" w:sz="4" w:space="0" w:color="000000"/>
              <w:left w:val="single" w:sz="4" w:space="0" w:color="000000"/>
              <w:bottom w:val="single" w:sz="4" w:space="0" w:color="000000"/>
              <w:right w:val="single" w:sz="4" w:space="0" w:color="000000"/>
            </w:tcBorders>
          </w:tcPr>
          <w:p w14:paraId="690046BE" w14:textId="77777777" w:rsidR="009F5F6A" w:rsidRDefault="00962A10">
            <w:pPr>
              <w:widowControl w:val="0"/>
              <w:jc w:val="center"/>
              <w:rPr>
                <w:szCs w:val="22"/>
                <w:lang w:eastAsia="en-US"/>
              </w:rPr>
            </w:pPr>
            <w:r>
              <w:rPr>
                <w:szCs w:val="22"/>
                <w:lang w:eastAsia="en-US"/>
              </w:rPr>
              <w:t>8,01 (6,73; 9,53)</w:t>
            </w:r>
          </w:p>
        </w:tc>
      </w:tr>
      <w:tr w:rsidR="009F5F6A" w14:paraId="61A601E7" w14:textId="77777777">
        <w:trPr>
          <w:trHeight w:val="263"/>
        </w:trPr>
        <w:tc>
          <w:tcPr>
            <w:tcW w:w="2430" w:type="dxa"/>
            <w:tcBorders>
              <w:top w:val="single" w:sz="4" w:space="0" w:color="000000"/>
              <w:left w:val="single" w:sz="4" w:space="0" w:color="000000"/>
              <w:bottom w:val="single" w:sz="4" w:space="0" w:color="000000"/>
              <w:right w:val="single" w:sz="4" w:space="0" w:color="000000"/>
            </w:tcBorders>
          </w:tcPr>
          <w:p w14:paraId="003DCB08" w14:textId="77777777" w:rsidR="009F5F6A" w:rsidRDefault="00962A10">
            <w:pPr>
              <w:widowControl w:val="0"/>
              <w:jc w:val="center"/>
              <w:rPr>
                <w:szCs w:val="22"/>
                <w:lang w:eastAsia="en-US"/>
              </w:rPr>
            </w:pPr>
            <w:r>
              <w:rPr>
                <w:szCs w:val="22"/>
                <w:lang w:eastAsia="en-US"/>
              </w:rPr>
              <w:t>75 mg</w:t>
            </w:r>
          </w:p>
        </w:tc>
        <w:tc>
          <w:tcPr>
            <w:tcW w:w="810" w:type="dxa"/>
            <w:tcBorders>
              <w:top w:val="single" w:sz="4" w:space="0" w:color="000000"/>
              <w:left w:val="single" w:sz="4" w:space="0" w:color="000000"/>
              <w:bottom w:val="single" w:sz="4" w:space="0" w:color="000000"/>
              <w:right w:val="single" w:sz="4" w:space="0" w:color="000000"/>
            </w:tcBorders>
          </w:tcPr>
          <w:p w14:paraId="5DA29B1E" w14:textId="77777777" w:rsidR="009F5F6A" w:rsidRDefault="00962A10">
            <w:pPr>
              <w:widowControl w:val="0"/>
              <w:jc w:val="center"/>
              <w:rPr>
                <w:szCs w:val="22"/>
                <w:lang w:eastAsia="en-US"/>
              </w:rPr>
            </w:pPr>
            <w:r>
              <w:rPr>
                <w:szCs w:val="22"/>
                <w:lang w:eastAsia="en-US"/>
              </w:rPr>
              <w:t>26</w:t>
            </w:r>
          </w:p>
        </w:tc>
        <w:tc>
          <w:tcPr>
            <w:tcW w:w="2567" w:type="dxa"/>
            <w:tcBorders>
              <w:top w:val="single" w:sz="4" w:space="0" w:color="000000"/>
              <w:left w:val="single" w:sz="4" w:space="0" w:color="000000"/>
              <w:bottom w:val="single" w:sz="4" w:space="0" w:color="000000"/>
              <w:right w:val="single" w:sz="4" w:space="0" w:color="000000"/>
            </w:tcBorders>
          </w:tcPr>
          <w:p w14:paraId="4225A3FE" w14:textId="77777777" w:rsidR="009F5F6A" w:rsidRDefault="00962A10">
            <w:pPr>
              <w:widowControl w:val="0"/>
              <w:jc w:val="center"/>
              <w:rPr>
                <w:szCs w:val="22"/>
                <w:lang w:eastAsia="en-US"/>
              </w:rPr>
            </w:pPr>
            <w:r>
              <w:rPr>
                <w:szCs w:val="22"/>
                <w:lang w:eastAsia="en-US"/>
              </w:rPr>
              <w:t>168 (143; 198)</w:t>
            </w:r>
          </w:p>
        </w:tc>
        <w:tc>
          <w:tcPr>
            <w:tcW w:w="2834" w:type="dxa"/>
            <w:tcBorders>
              <w:top w:val="single" w:sz="4" w:space="0" w:color="000000"/>
              <w:left w:val="single" w:sz="4" w:space="0" w:color="000000"/>
              <w:bottom w:val="single" w:sz="4" w:space="0" w:color="000000"/>
              <w:right w:val="single" w:sz="4" w:space="0" w:color="000000"/>
            </w:tcBorders>
          </w:tcPr>
          <w:p w14:paraId="3911242F" w14:textId="77777777" w:rsidR="009F5F6A" w:rsidRDefault="00962A10">
            <w:pPr>
              <w:widowControl w:val="0"/>
              <w:jc w:val="center"/>
              <w:rPr>
                <w:szCs w:val="22"/>
                <w:lang w:eastAsia="en-US"/>
              </w:rPr>
            </w:pPr>
            <w:r>
              <w:rPr>
                <w:szCs w:val="22"/>
                <w:lang w:eastAsia="en-US"/>
              </w:rPr>
              <w:t>12,7 (11,0; 14,5)</w:t>
            </w:r>
          </w:p>
        </w:tc>
      </w:tr>
    </w:tbl>
    <w:p w14:paraId="38A3EB29" w14:textId="77777777" w:rsidR="009F5F6A" w:rsidRDefault="00962A10">
      <w:pPr>
        <w:tabs>
          <w:tab w:val="clear" w:pos="567"/>
        </w:tabs>
        <w:autoSpaceDE w:val="0"/>
        <w:autoSpaceDN w:val="0"/>
        <w:adjustRightInd w:val="0"/>
        <w:spacing w:line="240" w:lineRule="auto"/>
        <w:rPr>
          <w:noProof/>
          <w:sz w:val="20"/>
          <w:lang w:val="hu-HU"/>
        </w:rPr>
      </w:pPr>
      <w:proofErr w:type="gramStart"/>
      <w:r>
        <w:rPr>
          <w:sz w:val="20"/>
        </w:rPr>
        <w:t>a</w:t>
      </w:r>
      <w:proofErr w:type="gramEnd"/>
      <w:r>
        <w:rPr>
          <w:sz w:val="20"/>
        </w:rPr>
        <w:t xml:space="preserve"> </w:t>
      </w:r>
      <w:r>
        <w:rPr>
          <w:sz w:val="20"/>
        </w:rPr>
        <w:tab/>
        <w:t>AUC</w:t>
      </w:r>
      <w:r>
        <w:rPr>
          <w:sz w:val="20"/>
          <w:vertAlign w:val="subscript"/>
        </w:rPr>
        <w:t>(0-</w:t>
      </w:r>
      <w:r>
        <w:rPr>
          <w:rFonts w:eastAsia="Segoe UI Symbol"/>
          <w:sz w:val="20"/>
          <w:vertAlign w:val="subscript"/>
        </w:rPr>
        <w:t>τ</w:t>
      </w:r>
      <w:r>
        <w:rPr>
          <w:sz w:val="20"/>
          <w:vertAlign w:val="subscript"/>
        </w:rPr>
        <w:t>)</w:t>
      </w:r>
      <w:r>
        <w:rPr>
          <w:sz w:val="20"/>
        </w:rPr>
        <w:t xml:space="preserve"> és C</w:t>
      </w:r>
      <w:r>
        <w:rPr>
          <w:sz w:val="20"/>
          <w:vertAlign w:val="subscript"/>
        </w:rPr>
        <w:t>max</w:t>
      </w:r>
      <w:r>
        <w:rPr>
          <w:sz w:val="20"/>
        </w:rPr>
        <w:t xml:space="preserve">, </w:t>
      </w:r>
      <w:r>
        <w:rPr>
          <w:snapToGrid/>
          <w:sz w:val="20"/>
          <w:lang w:val="hu-HU" w:eastAsia="en-GB"/>
        </w:rPr>
        <w:t xml:space="preserve">populációs PK </w:t>
      </w:r>
      <w:r>
        <w:rPr>
          <w:i/>
          <w:iCs/>
          <w:snapToGrid/>
          <w:sz w:val="20"/>
          <w:lang w:val="hu-HU" w:eastAsia="en-GB"/>
        </w:rPr>
        <w:t xml:space="preserve">post hoc </w:t>
      </w:r>
      <w:r>
        <w:rPr>
          <w:snapToGrid/>
          <w:sz w:val="20"/>
          <w:lang w:val="hu-HU" w:eastAsia="en-GB"/>
        </w:rPr>
        <w:t>becslés alapján</w:t>
      </w:r>
    </w:p>
    <w:p w14:paraId="0381617C" w14:textId="77777777" w:rsidR="009F5F6A" w:rsidRDefault="009F5F6A">
      <w:pPr>
        <w:tabs>
          <w:tab w:val="clear" w:pos="567"/>
        </w:tabs>
        <w:autoSpaceDE w:val="0"/>
        <w:autoSpaceDN w:val="0"/>
        <w:adjustRightInd w:val="0"/>
        <w:spacing w:line="240" w:lineRule="auto"/>
        <w:rPr>
          <w:noProof/>
          <w:szCs w:val="22"/>
          <w:lang w:val="hu-HU"/>
        </w:rPr>
      </w:pPr>
    </w:p>
    <w:p w14:paraId="15858081" w14:textId="77777777" w:rsidR="009F5F6A" w:rsidRDefault="00962A10">
      <w:pPr>
        <w:tabs>
          <w:tab w:val="clear" w:pos="567"/>
        </w:tabs>
        <w:autoSpaceDE w:val="0"/>
        <w:autoSpaceDN w:val="0"/>
        <w:adjustRightInd w:val="0"/>
        <w:spacing w:line="240" w:lineRule="auto"/>
        <w:rPr>
          <w:noProof/>
          <w:szCs w:val="22"/>
          <w:lang w:val="hu-HU"/>
        </w:rPr>
      </w:pPr>
      <w:r>
        <w:rPr>
          <w:snapToGrid/>
          <w:szCs w:val="22"/>
          <w:lang w:val="hu-HU" w:eastAsia="en-GB"/>
        </w:rPr>
        <w:t>A TPL103922/ENABLE 1 és TPL108390/ENABLE 2 III. fázisú vizsgálatokba beválogatott 590 HCV-s betegnél gyűjtött plazma-eltrombopag koncentráció-idő adatokat kiegészítették a TPL102357 II. fázisú vizsgálat HCV-betegeinek adataival, valamint egy populációs farmakokinetikai (PK)-analízis egészséges felnőtt alanyainak adataival. A III. fázisú vizsgálatokba bevont HCV-s betegekre vonatkozó plazma-eltrombopag C</w:t>
      </w:r>
      <w:r>
        <w:rPr>
          <w:snapToGrid/>
          <w:szCs w:val="22"/>
          <w:vertAlign w:val="subscript"/>
          <w:lang w:val="hu-HU" w:eastAsia="en-GB"/>
        </w:rPr>
        <w:t>max</w:t>
      </w:r>
      <w:r>
        <w:rPr>
          <w:snapToGrid/>
          <w:szCs w:val="22"/>
          <w:lang w:val="hu-HU" w:eastAsia="en-GB"/>
        </w:rPr>
        <w:t xml:space="preserve"> és </w:t>
      </w:r>
      <w:proofErr w:type="gramStart"/>
      <w:r>
        <w:rPr>
          <w:snapToGrid/>
          <w:szCs w:val="22"/>
          <w:lang w:val="hu-HU" w:eastAsia="en-GB"/>
        </w:rPr>
        <w:t>AUC(</w:t>
      </w:r>
      <w:proofErr w:type="gramEnd"/>
      <w:r>
        <w:rPr>
          <w:snapToGrid/>
          <w:szCs w:val="22"/>
          <w:vertAlign w:val="subscript"/>
          <w:lang w:val="hu-HU" w:eastAsia="en-GB"/>
        </w:rPr>
        <w:t>0-τ</w:t>
      </w:r>
      <w:r>
        <w:rPr>
          <w:snapToGrid/>
          <w:szCs w:val="22"/>
          <w:lang w:val="hu-HU" w:eastAsia="en-GB"/>
        </w:rPr>
        <w:t>) becsült értékeket az összes dózisra vonatkozóan a 9. táblázat tartalmazza.</w:t>
      </w:r>
    </w:p>
    <w:p w14:paraId="3D9FA004" w14:textId="77777777" w:rsidR="009F5F6A" w:rsidRDefault="009F5F6A">
      <w:pPr>
        <w:tabs>
          <w:tab w:val="clear" w:pos="567"/>
        </w:tabs>
        <w:autoSpaceDE w:val="0"/>
        <w:autoSpaceDN w:val="0"/>
        <w:adjustRightInd w:val="0"/>
        <w:spacing w:line="240" w:lineRule="auto"/>
        <w:rPr>
          <w:noProof/>
          <w:szCs w:val="22"/>
          <w:lang w:val="hu-HU"/>
        </w:rPr>
      </w:pPr>
    </w:p>
    <w:p w14:paraId="2FCA9A69" w14:textId="77777777" w:rsidR="009F5F6A" w:rsidRDefault="00962A10">
      <w:pPr>
        <w:tabs>
          <w:tab w:val="clear" w:pos="567"/>
        </w:tabs>
        <w:autoSpaceDE w:val="0"/>
        <w:autoSpaceDN w:val="0"/>
        <w:adjustRightInd w:val="0"/>
        <w:spacing w:line="240" w:lineRule="auto"/>
        <w:ind w:left="1418" w:hanging="1276"/>
        <w:rPr>
          <w:noProof/>
          <w:szCs w:val="22"/>
          <w:lang w:val="hu-HU"/>
        </w:rPr>
      </w:pPr>
      <w:r>
        <w:rPr>
          <w:b/>
          <w:bCs/>
          <w:snapToGrid/>
          <w:szCs w:val="22"/>
          <w:lang w:val="hu-HU" w:eastAsia="en-GB"/>
        </w:rPr>
        <w:t>9. táblázat</w:t>
      </w:r>
      <w:r>
        <w:rPr>
          <w:b/>
          <w:bCs/>
          <w:snapToGrid/>
          <w:szCs w:val="22"/>
          <w:lang w:val="hu-HU" w:eastAsia="en-GB"/>
        </w:rPr>
        <w:tab/>
        <w:t>A plazma-eltrombopag-szint egyensúlyi farmakokinetikai paramétereinek mértani középértéke (95%-os CI) krónikus HCV-s betegeknél</w:t>
      </w:r>
    </w:p>
    <w:p w14:paraId="0A9289A3" w14:textId="77777777" w:rsidR="009F5F6A" w:rsidRDefault="009F5F6A">
      <w:pPr>
        <w:tabs>
          <w:tab w:val="clear" w:pos="567"/>
        </w:tabs>
        <w:autoSpaceDE w:val="0"/>
        <w:autoSpaceDN w:val="0"/>
        <w:adjustRightInd w:val="0"/>
        <w:spacing w:line="240" w:lineRule="auto"/>
        <w:rPr>
          <w:noProof/>
          <w:szCs w:val="22"/>
          <w:lang w:val="hu-HU"/>
        </w:rPr>
      </w:pPr>
    </w:p>
    <w:tbl>
      <w:tblPr>
        <w:tblW w:w="8011" w:type="dxa"/>
        <w:tblInd w:w="293" w:type="dxa"/>
        <w:tblCellMar>
          <w:top w:w="14" w:type="dxa"/>
          <w:left w:w="115" w:type="dxa"/>
          <w:right w:w="115" w:type="dxa"/>
        </w:tblCellMar>
        <w:tblLook w:val="04A0" w:firstRow="1" w:lastRow="0" w:firstColumn="1" w:lastColumn="0" w:noHBand="0" w:noVBand="1"/>
      </w:tblPr>
      <w:tblGrid>
        <w:gridCol w:w="2107"/>
        <w:gridCol w:w="1224"/>
        <w:gridCol w:w="2340"/>
        <w:gridCol w:w="2340"/>
      </w:tblGrid>
      <w:tr w:rsidR="009F5F6A" w14:paraId="4C539341" w14:textId="77777777">
        <w:trPr>
          <w:trHeight w:val="548"/>
        </w:trPr>
        <w:tc>
          <w:tcPr>
            <w:tcW w:w="2107" w:type="dxa"/>
            <w:tcBorders>
              <w:top w:val="single" w:sz="4" w:space="0" w:color="000000"/>
              <w:left w:val="single" w:sz="4" w:space="0" w:color="000000"/>
              <w:bottom w:val="single" w:sz="4" w:space="0" w:color="000000"/>
              <w:right w:val="single" w:sz="4" w:space="0" w:color="000000"/>
            </w:tcBorders>
          </w:tcPr>
          <w:p w14:paraId="32B6DD60" w14:textId="77777777" w:rsidR="009F5F6A" w:rsidRDefault="00962A10">
            <w:pPr>
              <w:widowControl w:val="0"/>
              <w:jc w:val="center"/>
              <w:rPr>
                <w:b/>
                <w:szCs w:val="22"/>
                <w:lang w:eastAsia="en-US"/>
              </w:rPr>
            </w:pPr>
            <w:r>
              <w:rPr>
                <w:b/>
                <w:szCs w:val="22"/>
                <w:lang w:eastAsia="en-US"/>
              </w:rPr>
              <w:t>Eltrombopag-dózis, naponta egyszer</w:t>
            </w:r>
          </w:p>
        </w:tc>
        <w:tc>
          <w:tcPr>
            <w:tcW w:w="1224" w:type="dxa"/>
            <w:tcBorders>
              <w:top w:val="single" w:sz="4" w:space="0" w:color="000000"/>
              <w:left w:val="single" w:sz="4" w:space="0" w:color="000000"/>
              <w:bottom w:val="single" w:sz="4" w:space="0" w:color="000000"/>
              <w:right w:val="single" w:sz="4" w:space="0" w:color="000000"/>
            </w:tcBorders>
          </w:tcPr>
          <w:p w14:paraId="2C577754" w14:textId="77777777" w:rsidR="009F5F6A" w:rsidRDefault="00962A10">
            <w:pPr>
              <w:widowControl w:val="0"/>
              <w:jc w:val="center"/>
              <w:rPr>
                <w:b/>
                <w:szCs w:val="22"/>
                <w:lang w:eastAsia="en-US"/>
              </w:rPr>
            </w:pPr>
            <w:r>
              <w:rPr>
                <w:b/>
                <w:szCs w:val="22"/>
                <w:lang w:eastAsia="en-US"/>
              </w:rPr>
              <w:t>N</w:t>
            </w:r>
          </w:p>
        </w:tc>
        <w:tc>
          <w:tcPr>
            <w:tcW w:w="2340" w:type="dxa"/>
            <w:tcBorders>
              <w:top w:val="single" w:sz="4" w:space="0" w:color="000000"/>
              <w:left w:val="single" w:sz="4" w:space="0" w:color="000000"/>
              <w:bottom w:val="single" w:sz="4" w:space="0" w:color="000000"/>
              <w:right w:val="single" w:sz="4" w:space="0" w:color="000000"/>
            </w:tcBorders>
          </w:tcPr>
          <w:p w14:paraId="3289A7FC" w14:textId="77777777" w:rsidR="009F5F6A" w:rsidRDefault="00962A10">
            <w:pPr>
              <w:widowControl w:val="0"/>
              <w:jc w:val="center"/>
              <w:rPr>
                <w:b/>
                <w:szCs w:val="22"/>
                <w:lang w:eastAsia="en-US"/>
              </w:rPr>
            </w:pPr>
            <w:r>
              <w:rPr>
                <w:b/>
                <w:szCs w:val="22"/>
                <w:lang w:eastAsia="en-US"/>
              </w:rPr>
              <w:t>AUC</w:t>
            </w:r>
            <w:r>
              <w:rPr>
                <w:b/>
                <w:szCs w:val="22"/>
                <w:vertAlign w:val="subscript"/>
                <w:lang w:eastAsia="en-US"/>
              </w:rPr>
              <w:t>(0-τ)</w:t>
            </w:r>
            <w:r>
              <w:rPr>
                <w:b/>
                <w:szCs w:val="22"/>
                <w:lang w:eastAsia="en-US"/>
              </w:rPr>
              <w:t>, mikrogramm</w:t>
            </w:r>
            <w:r>
              <w:rPr>
                <w:color w:val="000000"/>
                <w:szCs w:val="22"/>
              </w:rPr>
              <w:t>×</w:t>
            </w:r>
            <w:r>
              <w:rPr>
                <w:b/>
                <w:szCs w:val="22"/>
                <w:lang w:eastAsia="en-US"/>
              </w:rPr>
              <w:t>óra/ml</w:t>
            </w:r>
          </w:p>
        </w:tc>
        <w:tc>
          <w:tcPr>
            <w:tcW w:w="2340" w:type="dxa"/>
            <w:tcBorders>
              <w:top w:val="single" w:sz="4" w:space="0" w:color="000000"/>
              <w:left w:val="single" w:sz="4" w:space="0" w:color="000000"/>
              <w:bottom w:val="single" w:sz="4" w:space="0" w:color="000000"/>
              <w:right w:val="single" w:sz="4" w:space="0" w:color="000000"/>
            </w:tcBorders>
          </w:tcPr>
          <w:p w14:paraId="65FE398C" w14:textId="77777777" w:rsidR="009F5F6A" w:rsidRDefault="00962A10">
            <w:pPr>
              <w:widowControl w:val="0"/>
              <w:jc w:val="center"/>
              <w:rPr>
                <w:b/>
                <w:szCs w:val="22"/>
                <w:lang w:eastAsia="en-US"/>
              </w:rPr>
            </w:pPr>
            <w:r>
              <w:rPr>
                <w:b/>
                <w:szCs w:val="22"/>
                <w:lang w:eastAsia="en-US"/>
              </w:rPr>
              <w:t>C</w:t>
            </w:r>
            <w:r>
              <w:rPr>
                <w:b/>
                <w:szCs w:val="22"/>
                <w:vertAlign w:val="subscript"/>
                <w:lang w:eastAsia="en-US"/>
              </w:rPr>
              <w:t>max</w:t>
            </w:r>
            <w:r>
              <w:rPr>
                <w:b/>
                <w:szCs w:val="22"/>
                <w:lang w:eastAsia="en-US"/>
              </w:rPr>
              <w:t>,</w:t>
            </w:r>
          </w:p>
          <w:p w14:paraId="64F2A93E" w14:textId="77777777" w:rsidR="009F5F6A" w:rsidRDefault="00962A10">
            <w:pPr>
              <w:widowControl w:val="0"/>
              <w:jc w:val="center"/>
              <w:rPr>
                <w:b/>
                <w:szCs w:val="22"/>
                <w:lang w:eastAsia="en-US"/>
              </w:rPr>
            </w:pPr>
            <w:r>
              <w:rPr>
                <w:b/>
                <w:szCs w:val="22"/>
                <w:lang w:eastAsia="en-US"/>
              </w:rPr>
              <w:t>mikrogramm/ml</w:t>
            </w:r>
          </w:p>
        </w:tc>
      </w:tr>
      <w:tr w:rsidR="009F5F6A" w14:paraId="2BC34EE3" w14:textId="77777777">
        <w:trPr>
          <w:trHeight w:val="516"/>
        </w:trPr>
        <w:tc>
          <w:tcPr>
            <w:tcW w:w="2107" w:type="dxa"/>
            <w:tcBorders>
              <w:top w:val="single" w:sz="4" w:space="0" w:color="000000"/>
              <w:left w:val="single" w:sz="4" w:space="0" w:color="000000"/>
              <w:bottom w:val="single" w:sz="4" w:space="0" w:color="000000"/>
              <w:right w:val="single" w:sz="4" w:space="0" w:color="000000"/>
            </w:tcBorders>
          </w:tcPr>
          <w:p w14:paraId="3D44F563" w14:textId="77777777" w:rsidR="009F5F6A" w:rsidRDefault="00962A10">
            <w:pPr>
              <w:widowControl w:val="0"/>
              <w:jc w:val="center"/>
              <w:rPr>
                <w:szCs w:val="22"/>
                <w:lang w:eastAsia="en-US"/>
              </w:rPr>
            </w:pPr>
            <w:r>
              <w:rPr>
                <w:szCs w:val="22"/>
                <w:lang w:eastAsia="en-US"/>
              </w:rPr>
              <w:t>25 mg</w:t>
            </w:r>
          </w:p>
        </w:tc>
        <w:tc>
          <w:tcPr>
            <w:tcW w:w="1224" w:type="dxa"/>
            <w:tcBorders>
              <w:top w:val="single" w:sz="4" w:space="0" w:color="000000"/>
              <w:left w:val="single" w:sz="4" w:space="0" w:color="000000"/>
              <w:bottom w:val="single" w:sz="4" w:space="0" w:color="000000"/>
              <w:right w:val="single" w:sz="4" w:space="0" w:color="000000"/>
            </w:tcBorders>
          </w:tcPr>
          <w:p w14:paraId="1986A977" w14:textId="77777777" w:rsidR="009F5F6A" w:rsidRDefault="00962A10">
            <w:pPr>
              <w:widowControl w:val="0"/>
              <w:jc w:val="center"/>
              <w:rPr>
                <w:szCs w:val="22"/>
                <w:lang w:eastAsia="en-US"/>
              </w:rPr>
            </w:pPr>
            <w:r>
              <w:rPr>
                <w:szCs w:val="22"/>
                <w:lang w:eastAsia="en-US"/>
              </w:rPr>
              <w:t>330</w:t>
            </w:r>
          </w:p>
        </w:tc>
        <w:tc>
          <w:tcPr>
            <w:tcW w:w="2340" w:type="dxa"/>
            <w:tcBorders>
              <w:top w:val="single" w:sz="4" w:space="0" w:color="000000"/>
              <w:left w:val="single" w:sz="4" w:space="0" w:color="000000"/>
              <w:bottom w:val="single" w:sz="4" w:space="0" w:color="000000"/>
              <w:right w:val="single" w:sz="4" w:space="0" w:color="000000"/>
            </w:tcBorders>
          </w:tcPr>
          <w:p w14:paraId="5E1FED2E" w14:textId="77777777" w:rsidR="009F5F6A" w:rsidRDefault="00962A10">
            <w:pPr>
              <w:widowControl w:val="0"/>
              <w:jc w:val="center"/>
              <w:rPr>
                <w:szCs w:val="22"/>
                <w:lang w:eastAsia="en-US"/>
              </w:rPr>
            </w:pPr>
            <w:r>
              <w:rPr>
                <w:szCs w:val="22"/>
                <w:lang w:eastAsia="en-US"/>
              </w:rPr>
              <w:t>118</w:t>
            </w:r>
          </w:p>
          <w:p w14:paraId="09DAEB56" w14:textId="77777777" w:rsidR="009F5F6A" w:rsidRDefault="00962A10">
            <w:pPr>
              <w:widowControl w:val="0"/>
              <w:jc w:val="center"/>
              <w:rPr>
                <w:szCs w:val="22"/>
                <w:lang w:eastAsia="en-US"/>
              </w:rPr>
            </w:pPr>
            <w:r>
              <w:rPr>
                <w:szCs w:val="22"/>
                <w:lang w:eastAsia="en-US"/>
              </w:rPr>
              <w:t>(109; 128)</w:t>
            </w:r>
          </w:p>
        </w:tc>
        <w:tc>
          <w:tcPr>
            <w:tcW w:w="2340" w:type="dxa"/>
            <w:tcBorders>
              <w:top w:val="single" w:sz="4" w:space="0" w:color="000000"/>
              <w:left w:val="single" w:sz="4" w:space="0" w:color="000000"/>
              <w:bottom w:val="single" w:sz="4" w:space="0" w:color="000000"/>
              <w:right w:val="single" w:sz="4" w:space="0" w:color="000000"/>
            </w:tcBorders>
          </w:tcPr>
          <w:p w14:paraId="2E82EBC1" w14:textId="77777777" w:rsidR="009F5F6A" w:rsidRDefault="00962A10">
            <w:pPr>
              <w:widowControl w:val="0"/>
              <w:jc w:val="center"/>
              <w:rPr>
                <w:szCs w:val="22"/>
                <w:lang w:eastAsia="en-US"/>
              </w:rPr>
            </w:pPr>
            <w:r>
              <w:rPr>
                <w:szCs w:val="22"/>
                <w:lang w:eastAsia="en-US"/>
              </w:rPr>
              <w:t>6,40</w:t>
            </w:r>
          </w:p>
          <w:p w14:paraId="6F9B16B7" w14:textId="77777777" w:rsidR="009F5F6A" w:rsidRDefault="00962A10">
            <w:pPr>
              <w:widowControl w:val="0"/>
              <w:jc w:val="center"/>
              <w:rPr>
                <w:szCs w:val="22"/>
                <w:lang w:eastAsia="en-US"/>
              </w:rPr>
            </w:pPr>
            <w:r>
              <w:rPr>
                <w:szCs w:val="22"/>
                <w:lang w:eastAsia="en-US"/>
              </w:rPr>
              <w:t>(5,97; 6,86)</w:t>
            </w:r>
          </w:p>
        </w:tc>
      </w:tr>
      <w:tr w:rsidR="009F5F6A" w14:paraId="62F0E2E6" w14:textId="77777777">
        <w:trPr>
          <w:trHeight w:val="516"/>
        </w:trPr>
        <w:tc>
          <w:tcPr>
            <w:tcW w:w="2107" w:type="dxa"/>
            <w:tcBorders>
              <w:top w:val="single" w:sz="4" w:space="0" w:color="000000"/>
              <w:left w:val="single" w:sz="4" w:space="0" w:color="000000"/>
              <w:bottom w:val="single" w:sz="4" w:space="0" w:color="000000"/>
              <w:right w:val="single" w:sz="4" w:space="0" w:color="000000"/>
            </w:tcBorders>
          </w:tcPr>
          <w:p w14:paraId="7EB61D39" w14:textId="77777777" w:rsidR="009F5F6A" w:rsidRDefault="00962A10">
            <w:pPr>
              <w:widowControl w:val="0"/>
              <w:jc w:val="center"/>
              <w:rPr>
                <w:szCs w:val="22"/>
                <w:lang w:eastAsia="en-US"/>
              </w:rPr>
            </w:pPr>
            <w:r>
              <w:rPr>
                <w:szCs w:val="22"/>
                <w:lang w:eastAsia="en-US"/>
              </w:rPr>
              <w:t>50 mg</w:t>
            </w:r>
          </w:p>
        </w:tc>
        <w:tc>
          <w:tcPr>
            <w:tcW w:w="1224" w:type="dxa"/>
            <w:tcBorders>
              <w:top w:val="single" w:sz="4" w:space="0" w:color="000000"/>
              <w:left w:val="single" w:sz="4" w:space="0" w:color="000000"/>
              <w:bottom w:val="single" w:sz="4" w:space="0" w:color="000000"/>
              <w:right w:val="single" w:sz="4" w:space="0" w:color="000000"/>
            </w:tcBorders>
          </w:tcPr>
          <w:p w14:paraId="2B8C0DD7" w14:textId="77777777" w:rsidR="009F5F6A" w:rsidRDefault="00962A10">
            <w:pPr>
              <w:widowControl w:val="0"/>
              <w:jc w:val="center"/>
              <w:rPr>
                <w:szCs w:val="22"/>
                <w:lang w:eastAsia="en-US"/>
              </w:rPr>
            </w:pPr>
            <w:r>
              <w:rPr>
                <w:szCs w:val="22"/>
                <w:lang w:eastAsia="en-US"/>
              </w:rPr>
              <w:t>119</w:t>
            </w:r>
          </w:p>
        </w:tc>
        <w:tc>
          <w:tcPr>
            <w:tcW w:w="2340" w:type="dxa"/>
            <w:tcBorders>
              <w:top w:val="single" w:sz="4" w:space="0" w:color="000000"/>
              <w:left w:val="single" w:sz="4" w:space="0" w:color="000000"/>
              <w:bottom w:val="single" w:sz="4" w:space="0" w:color="000000"/>
              <w:right w:val="single" w:sz="4" w:space="0" w:color="000000"/>
            </w:tcBorders>
          </w:tcPr>
          <w:p w14:paraId="36FBCDF1" w14:textId="77777777" w:rsidR="009F5F6A" w:rsidRDefault="00962A10">
            <w:pPr>
              <w:widowControl w:val="0"/>
              <w:jc w:val="center"/>
              <w:rPr>
                <w:szCs w:val="22"/>
                <w:lang w:eastAsia="en-US"/>
              </w:rPr>
            </w:pPr>
            <w:r>
              <w:rPr>
                <w:szCs w:val="22"/>
                <w:lang w:eastAsia="en-US"/>
              </w:rPr>
              <w:t>166</w:t>
            </w:r>
          </w:p>
          <w:p w14:paraId="75187269" w14:textId="77777777" w:rsidR="009F5F6A" w:rsidRDefault="00962A10">
            <w:pPr>
              <w:widowControl w:val="0"/>
              <w:jc w:val="center"/>
              <w:rPr>
                <w:szCs w:val="22"/>
                <w:lang w:eastAsia="en-US"/>
              </w:rPr>
            </w:pPr>
            <w:r>
              <w:rPr>
                <w:szCs w:val="22"/>
                <w:lang w:eastAsia="en-US"/>
              </w:rPr>
              <w:t>(143; 192)</w:t>
            </w:r>
          </w:p>
        </w:tc>
        <w:tc>
          <w:tcPr>
            <w:tcW w:w="2340" w:type="dxa"/>
            <w:tcBorders>
              <w:top w:val="single" w:sz="4" w:space="0" w:color="000000"/>
              <w:left w:val="single" w:sz="4" w:space="0" w:color="000000"/>
              <w:bottom w:val="single" w:sz="4" w:space="0" w:color="000000"/>
              <w:right w:val="single" w:sz="4" w:space="0" w:color="000000"/>
            </w:tcBorders>
          </w:tcPr>
          <w:p w14:paraId="45EA1A82" w14:textId="77777777" w:rsidR="009F5F6A" w:rsidRDefault="00962A10">
            <w:pPr>
              <w:widowControl w:val="0"/>
              <w:jc w:val="center"/>
              <w:rPr>
                <w:szCs w:val="22"/>
                <w:lang w:eastAsia="en-US"/>
              </w:rPr>
            </w:pPr>
            <w:r>
              <w:rPr>
                <w:szCs w:val="22"/>
                <w:lang w:eastAsia="en-US"/>
              </w:rPr>
              <w:t>9,08</w:t>
            </w:r>
          </w:p>
          <w:p w14:paraId="4107CA83" w14:textId="77777777" w:rsidR="009F5F6A" w:rsidRDefault="00962A10">
            <w:pPr>
              <w:widowControl w:val="0"/>
              <w:jc w:val="center"/>
              <w:rPr>
                <w:szCs w:val="22"/>
                <w:lang w:eastAsia="en-US"/>
              </w:rPr>
            </w:pPr>
            <w:r>
              <w:rPr>
                <w:szCs w:val="22"/>
                <w:lang w:eastAsia="en-US"/>
              </w:rPr>
              <w:t>(7,96; 10,35)</w:t>
            </w:r>
          </w:p>
        </w:tc>
      </w:tr>
      <w:tr w:rsidR="009F5F6A" w14:paraId="087F98F8" w14:textId="77777777">
        <w:trPr>
          <w:trHeight w:val="516"/>
        </w:trPr>
        <w:tc>
          <w:tcPr>
            <w:tcW w:w="2107" w:type="dxa"/>
            <w:tcBorders>
              <w:top w:val="single" w:sz="4" w:space="0" w:color="000000"/>
              <w:left w:val="single" w:sz="4" w:space="0" w:color="000000"/>
              <w:bottom w:val="single" w:sz="4" w:space="0" w:color="000000"/>
              <w:right w:val="single" w:sz="4" w:space="0" w:color="000000"/>
            </w:tcBorders>
          </w:tcPr>
          <w:p w14:paraId="4E3D6D31" w14:textId="77777777" w:rsidR="009F5F6A" w:rsidRDefault="00962A10">
            <w:pPr>
              <w:widowControl w:val="0"/>
              <w:jc w:val="center"/>
              <w:rPr>
                <w:szCs w:val="22"/>
                <w:lang w:eastAsia="en-US"/>
              </w:rPr>
            </w:pPr>
            <w:r>
              <w:rPr>
                <w:szCs w:val="22"/>
                <w:lang w:eastAsia="en-US"/>
              </w:rPr>
              <w:t>75 mg</w:t>
            </w:r>
          </w:p>
        </w:tc>
        <w:tc>
          <w:tcPr>
            <w:tcW w:w="1224" w:type="dxa"/>
            <w:tcBorders>
              <w:top w:val="single" w:sz="4" w:space="0" w:color="000000"/>
              <w:left w:val="single" w:sz="4" w:space="0" w:color="000000"/>
              <w:bottom w:val="single" w:sz="4" w:space="0" w:color="000000"/>
              <w:right w:val="single" w:sz="4" w:space="0" w:color="000000"/>
            </w:tcBorders>
          </w:tcPr>
          <w:p w14:paraId="2592D043" w14:textId="77777777" w:rsidR="009F5F6A" w:rsidRDefault="00962A10">
            <w:pPr>
              <w:widowControl w:val="0"/>
              <w:jc w:val="center"/>
              <w:rPr>
                <w:szCs w:val="22"/>
                <w:lang w:eastAsia="en-US"/>
              </w:rPr>
            </w:pPr>
            <w:r>
              <w:rPr>
                <w:szCs w:val="22"/>
                <w:lang w:eastAsia="en-US"/>
              </w:rPr>
              <w:t>45</w:t>
            </w:r>
          </w:p>
        </w:tc>
        <w:tc>
          <w:tcPr>
            <w:tcW w:w="2340" w:type="dxa"/>
            <w:tcBorders>
              <w:top w:val="single" w:sz="4" w:space="0" w:color="000000"/>
              <w:left w:val="single" w:sz="4" w:space="0" w:color="000000"/>
              <w:bottom w:val="single" w:sz="4" w:space="0" w:color="000000"/>
              <w:right w:val="single" w:sz="4" w:space="0" w:color="000000"/>
            </w:tcBorders>
          </w:tcPr>
          <w:p w14:paraId="0C4C5D8E" w14:textId="77777777" w:rsidR="009F5F6A" w:rsidRDefault="00962A10">
            <w:pPr>
              <w:widowControl w:val="0"/>
              <w:jc w:val="center"/>
              <w:rPr>
                <w:szCs w:val="22"/>
                <w:lang w:eastAsia="en-US"/>
              </w:rPr>
            </w:pPr>
            <w:r>
              <w:rPr>
                <w:szCs w:val="22"/>
                <w:lang w:eastAsia="en-US"/>
              </w:rPr>
              <w:t>301</w:t>
            </w:r>
          </w:p>
          <w:p w14:paraId="68ADC170" w14:textId="77777777" w:rsidR="009F5F6A" w:rsidRDefault="00962A10">
            <w:pPr>
              <w:widowControl w:val="0"/>
              <w:jc w:val="center"/>
              <w:rPr>
                <w:szCs w:val="22"/>
                <w:lang w:eastAsia="en-US"/>
              </w:rPr>
            </w:pPr>
            <w:r>
              <w:rPr>
                <w:szCs w:val="22"/>
                <w:lang w:eastAsia="en-US"/>
              </w:rPr>
              <w:t>(250; 363)</w:t>
            </w:r>
          </w:p>
        </w:tc>
        <w:tc>
          <w:tcPr>
            <w:tcW w:w="2340" w:type="dxa"/>
            <w:tcBorders>
              <w:top w:val="single" w:sz="4" w:space="0" w:color="000000"/>
              <w:left w:val="single" w:sz="4" w:space="0" w:color="000000"/>
              <w:bottom w:val="single" w:sz="4" w:space="0" w:color="000000"/>
              <w:right w:val="single" w:sz="4" w:space="0" w:color="000000"/>
            </w:tcBorders>
          </w:tcPr>
          <w:p w14:paraId="6CE2D002" w14:textId="77777777" w:rsidR="009F5F6A" w:rsidRDefault="00962A10">
            <w:pPr>
              <w:widowControl w:val="0"/>
              <w:jc w:val="center"/>
              <w:rPr>
                <w:szCs w:val="22"/>
                <w:lang w:eastAsia="en-US"/>
              </w:rPr>
            </w:pPr>
            <w:r>
              <w:rPr>
                <w:szCs w:val="22"/>
                <w:lang w:eastAsia="en-US"/>
              </w:rPr>
              <w:t>16,71</w:t>
            </w:r>
          </w:p>
          <w:p w14:paraId="5452D343" w14:textId="77777777" w:rsidR="009F5F6A" w:rsidRDefault="00962A10">
            <w:pPr>
              <w:widowControl w:val="0"/>
              <w:jc w:val="center"/>
              <w:rPr>
                <w:szCs w:val="22"/>
                <w:lang w:eastAsia="en-US"/>
              </w:rPr>
            </w:pPr>
            <w:r>
              <w:rPr>
                <w:szCs w:val="22"/>
                <w:lang w:eastAsia="en-US"/>
              </w:rPr>
              <w:t>(14,26; 19,58)</w:t>
            </w:r>
          </w:p>
        </w:tc>
      </w:tr>
      <w:tr w:rsidR="009F5F6A" w14:paraId="50A3D3C5" w14:textId="77777777">
        <w:trPr>
          <w:trHeight w:val="517"/>
        </w:trPr>
        <w:tc>
          <w:tcPr>
            <w:tcW w:w="2107" w:type="dxa"/>
            <w:tcBorders>
              <w:top w:val="single" w:sz="4" w:space="0" w:color="000000"/>
              <w:left w:val="single" w:sz="4" w:space="0" w:color="000000"/>
              <w:bottom w:val="single" w:sz="4" w:space="0" w:color="000000"/>
              <w:right w:val="single" w:sz="4" w:space="0" w:color="000000"/>
            </w:tcBorders>
          </w:tcPr>
          <w:p w14:paraId="221C1D97" w14:textId="77777777" w:rsidR="009F5F6A" w:rsidRDefault="00962A10">
            <w:pPr>
              <w:widowControl w:val="0"/>
              <w:jc w:val="center"/>
              <w:rPr>
                <w:szCs w:val="22"/>
                <w:lang w:eastAsia="en-US"/>
              </w:rPr>
            </w:pPr>
            <w:r>
              <w:rPr>
                <w:szCs w:val="22"/>
                <w:lang w:eastAsia="en-US"/>
              </w:rPr>
              <w:t>100 mg</w:t>
            </w:r>
          </w:p>
        </w:tc>
        <w:tc>
          <w:tcPr>
            <w:tcW w:w="1224" w:type="dxa"/>
            <w:tcBorders>
              <w:top w:val="single" w:sz="4" w:space="0" w:color="000000"/>
              <w:left w:val="single" w:sz="4" w:space="0" w:color="000000"/>
              <w:bottom w:val="single" w:sz="4" w:space="0" w:color="000000"/>
              <w:right w:val="single" w:sz="4" w:space="0" w:color="000000"/>
            </w:tcBorders>
          </w:tcPr>
          <w:p w14:paraId="2BA7E5E0" w14:textId="77777777" w:rsidR="009F5F6A" w:rsidRDefault="00962A10">
            <w:pPr>
              <w:widowControl w:val="0"/>
              <w:jc w:val="center"/>
              <w:rPr>
                <w:szCs w:val="22"/>
                <w:lang w:eastAsia="en-US"/>
              </w:rPr>
            </w:pPr>
            <w:r>
              <w:rPr>
                <w:szCs w:val="22"/>
                <w:lang w:eastAsia="en-US"/>
              </w:rPr>
              <w:t>96</w:t>
            </w:r>
          </w:p>
        </w:tc>
        <w:tc>
          <w:tcPr>
            <w:tcW w:w="2340" w:type="dxa"/>
            <w:tcBorders>
              <w:top w:val="single" w:sz="4" w:space="0" w:color="000000"/>
              <w:left w:val="single" w:sz="4" w:space="0" w:color="000000"/>
              <w:bottom w:val="single" w:sz="4" w:space="0" w:color="000000"/>
              <w:right w:val="single" w:sz="4" w:space="0" w:color="000000"/>
            </w:tcBorders>
          </w:tcPr>
          <w:p w14:paraId="632A88CE" w14:textId="77777777" w:rsidR="009F5F6A" w:rsidRDefault="00962A10">
            <w:pPr>
              <w:widowControl w:val="0"/>
              <w:jc w:val="center"/>
              <w:rPr>
                <w:szCs w:val="22"/>
                <w:lang w:eastAsia="en-US"/>
              </w:rPr>
            </w:pPr>
            <w:r>
              <w:rPr>
                <w:szCs w:val="22"/>
                <w:lang w:eastAsia="en-US"/>
              </w:rPr>
              <w:t>354</w:t>
            </w:r>
          </w:p>
          <w:p w14:paraId="71CF3D25" w14:textId="77777777" w:rsidR="009F5F6A" w:rsidRDefault="00962A10">
            <w:pPr>
              <w:widowControl w:val="0"/>
              <w:jc w:val="center"/>
              <w:rPr>
                <w:szCs w:val="22"/>
                <w:lang w:eastAsia="en-US"/>
              </w:rPr>
            </w:pPr>
            <w:r>
              <w:rPr>
                <w:szCs w:val="22"/>
                <w:lang w:eastAsia="en-US"/>
              </w:rPr>
              <w:t>(304; 411)</w:t>
            </w:r>
          </w:p>
        </w:tc>
        <w:tc>
          <w:tcPr>
            <w:tcW w:w="2340" w:type="dxa"/>
            <w:tcBorders>
              <w:top w:val="single" w:sz="4" w:space="0" w:color="000000"/>
              <w:left w:val="single" w:sz="4" w:space="0" w:color="000000"/>
              <w:bottom w:val="single" w:sz="4" w:space="0" w:color="000000"/>
              <w:right w:val="single" w:sz="4" w:space="0" w:color="000000"/>
            </w:tcBorders>
          </w:tcPr>
          <w:p w14:paraId="3669AD60" w14:textId="77777777" w:rsidR="009F5F6A" w:rsidRDefault="00962A10">
            <w:pPr>
              <w:widowControl w:val="0"/>
              <w:jc w:val="center"/>
              <w:rPr>
                <w:szCs w:val="22"/>
                <w:lang w:eastAsia="en-US"/>
              </w:rPr>
            </w:pPr>
            <w:r>
              <w:rPr>
                <w:szCs w:val="22"/>
                <w:lang w:eastAsia="en-US"/>
              </w:rPr>
              <w:t>19,19</w:t>
            </w:r>
          </w:p>
          <w:p w14:paraId="0F2D1C50" w14:textId="77777777" w:rsidR="009F5F6A" w:rsidRDefault="00962A10">
            <w:pPr>
              <w:widowControl w:val="0"/>
              <w:jc w:val="center"/>
              <w:rPr>
                <w:szCs w:val="22"/>
                <w:lang w:eastAsia="en-US"/>
              </w:rPr>
            </w:pPr>
            <w:r>
              <w:rPr>
                <w:szCs w:val="22"/>
                <w:lang w:eastAsia="en-US"/>
              </w:rPr>
              <w:t>(16,81; 21,91)</w:t>
            </w:r>
          </w:p>
        </w:tc>
      </w:tr>
    </w:tbl>
    <w:p w14:paraId="38001AF0" w14:textId="77777777" w:rsidR="009F5F6A" w:rsidRDefault="00962A10">
      <w:pPr>
        <w:spacing w:after="12" w:line="247" w:lineRule="auto"/>
        <w:ind w:left="151" w:right="14" w:hanging="9"/>
        <w:rPr>
          <w:sz w:val="20"/>
          <w:szCs w:val="22"/>
        </w:rPr>
      </w:pPr>
      <w:r>
        <w:rPr>
          <w:sz w:val="20"/>
          <w:szCs w:val="22"/>
        </w:rPr>
        <w:t xml:space="preserve">Mértani átlagként szerepeltetett adatok (95%-os CI). </w:t>
      </w:r>
    </w:p>
    <w:p w14:paraId="77163204" w14:textId="77777777" w:rsidR="009F5F6A" w:rsidRDefault="00962A10">
      <w:pPr>
        <w:spacing w:after="12" w:line="247" w:lineRule="auto"/>
        <w:ind w:left="151" w:right="14" w:hanging="9"/>
        <w:rPr>
          <w:sz w:val="20"/>
          <w:szCs w:val="22"/>
        </w:rPr>
      </w:pPr>
      <w:r>
        <w:rPr>
          <w:sz w:val="20"/>
          <w:szCs w:val="22"/>
        </w:rPr>
        <w:t xml:space="preserve">AUC </w:t>
      </w:r>
      <w:r>
        <w:rPr>
          <w:sz w:val="20"/>
          <w:szCs w:val="22"/>
          <w:vertAlign w:val="subscript"/>
        </w:rPr>
        <w:t>(0-</w:t>
      </w:r>
      <w:r>
        <w:rPr>
          <w:rFonts w:ascii="Segoe UI Symbol" w:eastAsia="Segoe UI Symbol" w:hAnsi="Segoe UI Symbol" w:cs="Segoe UI Symbol"/>
          <w:sz w:val="20"/>
          <w:szCs w:val="22"/>
          <w:vertAlign w:val="subscript"/>
        </w:rPr>
        <w:t>τ</w:t>
      </w:r>
      <w:r>
        <w:rPr>
          <w:sz w:val="20"/>
          <w:szCs w:val="22"/>
          <w:vertAlign w:val="subscript"/>
        </w:rPr>
        <w:t>)</w:t>
      </w:r>
      <w:r>
        <w:rPr>
          <w:sz w:val="20"/>
          <w:szCs w:val="22"/>
        </w:rPr>
        <w:t xml:space="preserve"> és C</w:t>
      </w:r>
      <w:r>
        <w:rPr>
          <w:sz w:val="20"/>
          <w:szCs w:val="22"/>
          <w:vertAlign w:val="subscript"/>
        </w:rPr>
        <w:t>max</w:t>
      </w:r>
      <w:r>
        <w:rPr>
          <w:sz w:val="20"/>
          <w:szCs w:val="22"/>
        </w:rPr>
        <w:t xml:space="preserve">-értékek a populációs farmakokinetika alapján, </w:t>
      </w:r>
      <w:r>
        <w:rPr>
          <w:i/>
          <w:iCs/>
          <w:sz w:val="20"/>
          <w:szCs w:val="22"/>
        </w:rPr>
        <w:t>post hoc</w:t>
      </w:r>
      <w:r>
        <w:rPr>
          <w:sz w:val="20"/>
          <w:szCs w:val="22"/>
        </w:rPr>
        <w:t xml:space="preserve"> becsléssel </w:t>
      </w:r>
      <w:proofErr w:type="gramStart"/>
      <w:r>
        <w:rPr>
          <w:sz w:val="20"/>
          <w:szCs w:val="22"/>
        </w:rPr>
        <w:t>minden</w:t>
      </w:r>
      <w:proofErr w:type="gramEnd"/>
      <w:r>
        <w:rPr>
          <w:sz w:val="20"/>
          <w:szCs w:val="22"/>
        </w:rPr>
        <w:t xml:space="preserve"> egyes</w:t>
      </w:r>
    </w:p>
    <w:p w14:paraId="2989B293" w14:textId="77777777" w:rsidR="009F5F6A" w:rsidRDefault="00962A10">
      <w:pPr>
        <w:spacing w:after="12" w:line="247" w:lineRule="auto"/>
        <w:ind w:left="151" w:right="14" w:hanging="9"/>
        <w:rPr>
          <w:sz w:val="20"/>
          <w:szCs w:val="22"/>
        </w:rPr>
      </w:pPr>
      <w:proofErr w:type="gramStart"/>
      <w:r>
        <w:rPr>
          <w:sz w:val="20"/>
          <w:szCs w:val="22"/>
        </w:rPr>
        <w:t>beteg</w:t>
      </w:r>
      <w:proofErr w:type="gramEnd"/>
      <w:r>
        <w:rPr>
          <w:sz w:val="20"/>
          <w:szCs w:val="22"/>
        </w:rPr>
        <w:t xml:space="preserve"> legmagasabb dózisához tartozó adatának figyelembe vételével</w:t>
      </w:r>
    </w:p>
    <w:p w14:paraId="22947344" w14:textId="77777777" w:rsidR="009F5F6A" w:rsidRDefault="009F5F6A">
      <w:pPr>
        <w:tabs>
          <w:tab w:val="clear" w:pos="567"/>
        </w:tabs>
        <w:autoSpaceDE w:val="0"/>
        <w:autoSpaceDN w:val="0"/>
        <w:adjustRightInd w:val="0"/>
        <w:spacing w:line="240" w:lineRule="auto"/>
        <w:rPr>
          <w:noProof/>
          <w:szCs w:val="22"/>
          <w:lang w:val="hu-HU"/>
        </w:rPr>
      </w:pPr>
    </w:p>
    <w:p w14:paraId="3416C495" w14:textId="77777777" w:rsidR="009F5F6A" w:rsidRDefault="00962A10">
      <w:pPr>
        <w:keepNext/>
        <w:keepLines/>
        <w:numPr>
          <w:ilvl w:val="12"/>
          <w:numId w:val="0"/>
        </w:numPr>
        <w:spacing w:line="240" w:lineRule="auto"/>
        <w:ind w:right="-2"/>
        <w:rPr>
          <w:noProof/>
          <w:szCs w:val="24"/>
          <w:u w:val="single"/>
          <w:lang w:val="hu-HU"/>
        </w:rPr>
      </w:pPr>
      <w:r>
        <w:rPr>
          <w:noProof/>
          <w:szCs w:val="24"/>
          <w:u w:val="single"/>
          <w:lang w:val="hu-HU"/>
        </w:rPr>
        <w:t>Felszívódás és biohasznosulás</w:t>
      </w:r>
    </w:p>
    <w:p w14:paraId="6880498A" w14:textId="77777777" w:rsidR="009F5F6A" w:rsidRDefault="009F5F6A">
      <w:pPr>
        <w:keepNext/>
        <w:keepLines/>
        <w:numPr>
          <w:ilvl w:val="12"/>
          <w:numId w:val="0"/>
        </w:numPr>
        <w:spacing w:line="240" w:lineRule="auto"/>
        <w:ind w:right="-2"/>
        <w:rPr>
          <w:noProof/>
          <w:szCs w:val="24"/>
          <w:u w:val="single"/>
          <w:lang w:val="hu-HU"/>
        </w:rPr>
      </w:pPr>
    </w:p>
    <w:p w14:paraId="1C9222EE" w14:textId="77777777" w:rsidR="009F5F6A" w:rsidRDefault="00962A10">
      <w:pPr>
        <w:keepNext/>
        <w:keepLines/>
        <w:tabs>
          <w:tab w:val="clear" w:pos="567"/>
        </w:tabs>
        <w:autoSpaceDE w:val="0"/>
        <w:autoSpaceDN w:val="0"/>
        <w:adjustRightInd w:val="0"/>
        <w:spacing w:line="240" w:lineRule="auto"/>
        <w:rPr>
          <w:noProof/>
          <w:szCs w:val="22"/>
          <w:u w:val="single"/>
          <w:lang w:val="hu-HU"/>
        </w:rPr>
      </w:pPr>
      <w:r>
        <w:rPr>
          <w:snapToGrid/>
          <w:szCs w:val="22"/>
          <w:lang w:val="hu-HU" w:eastAsia="en-GB"/>
        </w:rPr>
        <w:t>Az eltrombopag orális alkalmazás után 2-6 órával kialakuló csúcskoncentrációval szívódik fel. Az eltrombopag egyidejű alkalmazása antacidokkal és egyéb polivalens kationokat tartalmazó készítményekkel, így tejtermékekkel és ásványianyag-pótló készítményekkel, jelentősen csökkenti az eltrombopag expozícióját (lásd 4.2 pont)</w:t>
      </w:r>
      <w:r>
        <w:rPr>
          <w:i/>
          <w:iCs/>
          <w:snapToGrid/>
          <w:szCs w:val="22"/>
          <w:lang w:val="hu-HU" w:eastAsia="en-GB"/>
        </w:rPr>
        <w:t xml:space="preserve">. </w:t>
      </w:r>
      <w:r>
        <w:rPr>
          <w:snapToGrid/>
          <w:szCs w:val="22"/>
          <w:lang w:val="hu-HU" w:eastAsia="en-GB"/>
        </w:rPr>
        <w:t xml:space="preserve">Egy felnőttekkel végzett relatív biohasznosulási vizsgálatban az eltrombopag por belsőleges szuszpenzióhoz 22%-kal magasabb plazma </w:t>
      </w:r>
      <w:proofErr w:type="gramStart"/>
      <w:r>
        <w:rPr>
          <w:snapToGrid/>
          <w:szCs w:val="22"/>
          <w:lang w:val="hu-HU" w:eastAsia="en-GB"/>
        </w:rPr>
        <w:t>AUC</w:t>
      </w:r>
      <w:r>
        <w:rPr>
          <w:szCs w:val="22"/>
          <w:vertAlign w:val="subscript"/>
          <w:lang w:val="hu-HU"/>
        </w:rPr>
        <w:t>(</w:t>
      </w:r>
      <w:proofErr w:type="gramEnd"/>
      <w:r>
        <w:rPr>
          <w:szCs w:val="22"/>
          <w:vertAlign w:val="subscript"/>
          <w:lang w:val="hu-HU"/>
        </w:rPr>
        <w:t>0-∞)</w:t>
      </w:r>
      <w:r>
        <w:rPr>
          <w:snapToGrid/>
          <w:szCs w:val="22"/>
          <w:lang w:val="hu-HU" w:eastAsia="en-GB"/>
        </w:rPr>
        <w:t>-t eredményezett, mint a filmtabletta gyógyszerforma. Az abszolút orális biohasznosulást emberben nem határozták meg. A vizelettel történő kiválasztódás és a széklettel ürülő metabolitok alapján a gyógyszerrel kapcsolatos anyagok becsült orális abszorpciója 75 mg eltrombopag oldat egyszeri alkalmazása után legalább 52% volt.</w:t>
      </w:r>
    </w:p>
    <w:p w14:paraId="2D52B83D" w14:textId="77777777" w:rsidR="009F5F6A" w:rsidRDefault="009F5F6A">
      <w:pPr>
        <w:numPr>
          <w:ilvl w:val="12"/>
          <w:numId w:val="0"/>
        </w:numPr>
        <w:spacing w:line="240" w:lineRule="auto"/>
        <w:ind w:right="-2"/>
        <w:rPr>
          <w:noProof/>
          <w:szCs w:val="24"/>
          <w:u w:val="single"/>
          <w:lang w:val="hu-HU"/>
        </w:rPr>
      </w:pPr>
    </w:p>
    <w:p w14:paraId="5972C357" w14:textId="77777777" w:rsidR="009F5F6A" w:rsidRDefault="00962A10">
      <w:pPr>
        <w:numPr>
          <w:ilvl w:val="12"/>
          <w:numId w:val="0"/>
        </w:numPr>
        <w:spacing w:line="240" w:lineRule="auto"/>
        <w:ind w:right="-2"/>
        <w:rPr>
          <w:noProof/>
          <w:szCs w:val="24"/>
          <w:u w:val="single"/>
          <w:lang w:val="hu-HU"/>
        </w:rPr>
      </w:pPr>
      <w:r>
        <w:rPr>
          <w:noProof/>
          <w:szCs w:val="24"/>
          <w:u w:val="single"/>
          <w:lang w:val="hu-HU"/>
        </w:rPr>
        <w:t>Eloszlás</w:t>
      </w:r>
    </w:p>
    <w:p w14:paraId="22BCCFE0" w14:textId="77777777" w:rsidR="009F5F6A" w:rsidRDefault="009F5F6A">
      <w:pPr>
        <w:numPr>
          <w:ilvl w:val="12"/>
          <w:numId w:val="0"/>
        </w:numPr>
        <w:spacing w:line="240" w:lineRule="auto"/>
        <w:ind w:right="-2"/>
        <w:rPr>
          <w:noProof/>
          <w:szCs w:val="24"/>
          <w:u w:val="single"/>
          <w:lang w:val="hu-HU"/>
        </w:rPr>
      </w:pPr>
    </w:p>
    <w:p w14:paraId="407F9419" w14:textId="77777777" w:rsidR="009F5F6A" w:rsidRDefault="00962A10">
      <w:pPr>
        <w:tabs>
          <w:tab w:val="clear" w:pos="567"/>
        </w:tabs>
        <w:autoSpaceDE w:val="0"/>
        <w:autoSpaceDN w:val="0"/>
        <w:adjustRightInd w:val="0"/>
        <w:spacing w:line="240" w:lineRule="auto"/>
        <w:rPr>
          <w:noProof/>
          <w:szCs w:val="24"/>
          <w:u w:val="single"/>
          <w:lang w:val="hu-HU"/>
        </w:rPr>
      </w:pPr>
      <w:r>
        <w:rPr>
          <w:snapToGrid/>
          <w:szCs w:val="22"/>
          <w:lang w:val="hu-HU" w:eastAsia="en-GB"/>
        </w:rPr>
        <w:t>Az eltrombopag nagymértékben kötődik a humán plazmafehérjékhez (</w:t>
      </w:r>
      <w:proofErr w:type="gramStart"/>
      <w:r>
        <w:rPr>
          <w:snapToGrid/>
          <w:szCs w:val="22"/>
          <w:lang w:val="hu-HU" w:eastAsia="en-GB"/>
        </w:rPr>
        <w:t>&gt;99</w:t>
      </w:r>
      <w:proofErr w:type="gramEnd"/>
      <w:r>
        <w:rPr>
          <w:snapToGrid/>
          <w:szCs w:val="22"/>
          <w:lang w:val="hu-HU" w:eastAsia="en-GB"/>
        </w:rPr>
        <w:t>,9%), elsősorban az albuminhoz. Az eltrombopag a BCRP-nek szubsztrátja, de nem szubsztrátja a P-glikoproteinnek vagy az OATP1B1-nek.</w:t>
      </w:r>
    </w:p>
    <w:p w14:paraId="7961671C" w14:textId="77777777" w:rsidR="009F5F6A" w:rsidRDefault="009F5F6A">
      <w:pPr>
        <w:numPr>
          <w:ilvl w:val="12"/>
          <w:numId w:val="0"/>
        </w:numPr>
        <w:spacing w:line="240" w:lineRule="auto"/>
        <w:ind w:right="-2"/>
        <w:rPr>
          <w:noProof/>
          <w:szCs w:val="24"/>
          <w:u w:val="single"/>
          <w:lang w:val="hu-HU"/>
        </w:rPr>
      </w:pPr>
    </w:p>
    <w:p w14:paraId="28BD89D2" w14:textId="77777777" w:rsidR="009F5F6A" w:rsidRDefault="00962A10">
      <w:pPr>
        <w:numPr>
          <w:ilvl w:val="12"/>
          <w:numId w:val="0"/>
        </w:numPr>
        <w:spacing w:line="240" w:lineRule="auto"/>
        <w:ind w:right="-2"/>
        <w:rPr>
          <w:noProof/>
          <w:szCs w:val="24"/>
          <w:u w:val="single"/>
          <w:lang w:val="hu-HU"/>
        </w:rPr>
      </w:pPr>
      <w:r>
        <w:rPr>
          <w:noProof/>
          <w:szCs w:val="24"/>
          <w:u w:val="single"/>
          <w:lang w:val="hu-HU"/>
        </w:rPr>
        <w:t>Biotranszformáció</w:t>
      </w:r>
    </w:p>
    <w:p w14:paraId="0A5CFF74" w14:textId="77777777" w:rsidR="009F5F6A" w:rsidRDefault="009F5F6A">
      <w:pPr>
        <w:numPr>
          <w:ilvl w:val="12"/>
          <w:numId w:val="0"/>
        </w:numPr>
        <w:spacing w:line="240" w:lineRule="auto"/>
        <w:ind w:right="-2"/>
        <w:rPr>
          <w:noProof/>
          <w:szCs w:val="24"/>
          <w:u w:val="single"/>
          <w:lang w:val="hu-HU"/>
        </w:rPr>
      </w:pPr>
    </w:p>
    <w:p w14:paraId="2CC0C787" w14:textId="77777777" w:rsidR="009F5F6A" w:rsidRDefault="00962A10">
      <w:pPr>
        <w:tabs>
          <w:tab w:val="clear" w:pos="567"/>
        </w:tabs>
        <w:autoSpaceDE w:val="0"/>
        <w:autoSpaceDN w:val="0"/>
        <w:adjustRightInd w:val="0"/>
        <w:spacing w:line="240" w:lineRule="auto"/>
        <w:rPr>
          <w:noProof/>
          <w:szCs w:val="22"/>
          <w:u w:val="single"/>
          <w:lang w:val="hu-HU"/>
        </w:rPr>
      </w:pPr>
      <w:r>
        <w:rPr>
          <w:snapToGrid/>
          <w:szCs w:val="22"/>
          <w:lang w:val="hu-HU" w:eastAsia="en-GB"/>
        </w:rPr>
        <w:t>Az eltrombopag elsősorban hasadással, oxidációval, illetve glukuronsavval, glutationnal, vagy ciszteinnel történő konjugációval metabolizálódik. Egy humán radioizotópos vizsgálatban a plazma radiokarbon AUC</w:t>
      </w:r>
      <w:r>
        <w:rPr>
          <w:szCs w:val="22"/>
          <w:vertAlign w:val="subscript"/>
          <w:lang w:val="hu-HU"/>
        </w:rPr>
        <w:t>0-∞</w:t>
      </w:r>
      <w:r>
        <w:rPr>
          <w:snapToGrid/>
          <w:szCs w:val="22"/>
          <w:lang w:val="hu-HU" w:eastAsia="en-GB"/>
        </w:rPr>
        <w:t xml:space="preserve">-érték közel 64%-át az eltrombopag adta. Glükuronidációból és oxidációból származó kisebb metabolitokat is kimutattak. </w:t>
      </w:r>
      <w:r>
        <w:rPr>
          <w:i/>
          <w:iCs/>
          <w:snapToGrid/>
          <w:szCs w:val="22"/>
          <w:lang w:val="hu-HU" w:eastAsia="en-GB"/>
        </w:rPr>
        <w:t xml:space="preserve">In vitro </w:t>
      </w:r>
      <w:r>
        <w:rPr>
          <w:snapToGrid/>
          <w:szCs w:val="22"/>
          <w:lang w:val="hu-HU" w:eastAsia="en-GB"/>
        </w:rPr>
        <w:t>vizsgálatok arra utalnak, hogy a CYP1A2 és a CYP2C8 felelős az eltrombopag oxidatív metabolizmusáért. Az UDP-glükoronozil transzferázok, az UGT1A1 és UGT1A3 felelősek a glükuronidációért, és a gyomor-bélrendszer alsó traktusában található baktériumok felelősek a hasadási útvonalért.</w:t>
      </w:r>
    </w:p>
    <w:p w14:paraId="7AB35D55" w14:textId="77777777" w:rsidR="009F5F6A" w:rsidRDefault="009F5F6A">
      <w:pPr>
        <w:numPr>
          <w:ilvl w:val="12"/>
          <w:numId w:val="0"/>
        </w:numPr>
        <w:spacing w:line="240" w:lineRule="auto"/>
        <w:ind w:right="-2"/>
        <w:rPr>
          <w:noProof/>
          <w:szCs w:val="24"/>
          <w:u w:val="single"/>
          <w:lang w:val="hu-HU"/>
        </w:rPr>
      </w:pPr>
    </w:p>
    <w:p w14:paraId="4E10772C" w14:textId="77777777" w:rsidR="009F5F6A" w:rsidRDefault="00962A10">
      <w:pPr>
        <w:numPr>
          <w:ilvl w:val="12"/>
          <w:numId w:val="0"/>
        </w:numPr>
        <w:spacing w:line="240" w:lineRule="auto"/>
        <w:ind w:right="-2"/>
        <w:rPr>
          <w:noProof/>
          <w:szCs w:val="24"/>
          <w:u w:val="single"/>
          <w:lang w:val="hu-HU"/>
        </w:rPr>
      </w:pPr>
      <w:r>
        <w:rPr>
          <w:noProof/>
          <w:szCs w:val="24"/>
          <w:u w:val="single"/>
          <w:lang w:val="hu-HU"/>
        </w:rPr>
        <w:t>Elimináció</w:t>
      </w:r>
    </w:p>
    <w:p w14:paraId="68B89F09" w14:textId="77777777" w:rsidR="009F5F6A" w:rsidRDefault="009F5F6A">
      <w:pPr>
        <w:numPr>
          <w:ilvl w:val="12"/>
          <w:numId w:val="0"/>
        </w:numPr>
        <w:spacing w:line="240" w:lineRule="auto"/>
        <w:ind w:right="-2"/>
        <w:rPr>
          <w:noProof/>
          <w:szCs w:val="24"/>
          <w:u w:val="single"/>
          <w:lang w:val="hu-HU"/>
        </w:rPr>
      </w:pPr>
    </w:p>
    <w:p w14:paraId="0DBA0420" w14:textId="77777777" w:rsidR="009F5F6A" w:rsidRDefault="00962A10">
      <w:pPr>
        <w:tabs>
          <w:tab w:val="clear" w:pos="567"/>
        </w:tabs>
        <w:autoSpaceDE w:val="0"/>
        <w:autoSpaceDN w:val="0"/>
        <w:adjustRightInd w:val="0"/>
        <w:spacing w:line="240" w:lineRule="auto"/>
        <w:rPr>
          <w:noProof/>
          <w:szCs w:val="24"/>
          <w:u w:val="single"/>
          <w:lang w:val="hu-HU"/>
        </w:rPr>
      </w:pPr>
      <w:r>
        <w:rPr>
          <w:snapToGrid/>
          <w:szCs w:val="22"/>
          <w:lang w:val="hu-HU" w:eastAsia="en-GB"/>
        </w:rPr>
        <w:t>A felszívódott eltrombopag nagymértékben metabolizálódik. Elsősorban a széklettel ürül (59%), az adag 31%-a jelenik meg a vizeletben metabolitok formájában. A változatlan anyavegyület (eltrombopag) nem mutatható ki a vizeletben. Az adag közel 20%-</w:t>
      </w:r>
      <w:proofErr w:type="gramStart"/>
      <w:r>
        <w:rPr>
          <w:snapToGrid/>
          <w:szCs w:val="22"/>
          <w:lang w:val="hu-HU" w:eastAsia="en-GB"/>
        </w:rPr>
        <w:t>a</w:t>
      </w:r>
      <w:proofErr w:type="gramEnd"/>
      <w:r>
        <w:rPr>
          <w:snapToGrid/>
          <w:szCs w:val="22"/>
          <w:lang w:val="hu-HU" w:eastAsia="en-GB"/>
        </w:rPr>
        <w:t xml:space="preserve"> ürül a széklettel változatlan formában. Az eltrombopag plazma eliminációs felezési ideje megközelítőleg 21–32 óra.</w:t>
      </w:r>
    </w:p>
    <w:p w14:paraId="343CE9A9" w14:textId="77777777" w:rsidR="009F5F6A" w:rsidRDefault="009F5F6A">
      <w:pPr>
        <w:numPr>
          <w:ilvl w:val="12"/>
          <w:numId w:val="0"/>
        </w:numPr>
        <w:spacing w:line="240" w:lineRule="auto"/>
        <w:ind w:right="-2"/>
        <w:rPr>
          <w:noProof/>
          <w:szCs w:val="24"/>
          <w:u w:val="single"/>
          <w:lang w:val="hu-HU"/>
        </w:rPr>
      </w:pPr>
    </w:p>
    <w:p w14:paraId="1FDCCE6A"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Farmakokinetikai kölcsönhatások</w:t>
      </w:r>
    </w:p>
    <w:p w14:paraId="74E78010" w14:textId="77777777" w:rsidR="009F5F6A" w:rsidRDefault="009F5F6A">
      <w:pPr>
        <w:tabs>
          <w:tab w:val="clear" w:pos="567"/>
        </w:tabs>
        <w:autoSpaceDE w:val="0"/>
        <w:autoSpaceDN w:val="0"/>
        <w:adjustRightInd w:val="0"/>
        <w:spacing w:line="240" w:lineRule="auto"/>
        <w:rPr>
          <w:snapToGrid/>
          <w:szCs w:val="22"/>
          <w:lang w:val="hu-HU" w:eastAsia="en-GB"/>
        </w:rPr>
      </w:pPr>
    </w:p>
    <w:p w14:paraId="7028D18F"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Egy humán vizsgálat szerint, melyet radioizotóppal jelzett eltrombopaggal végeztek, a glükuronidáció csekély szerepet játszik az eltrombopag metabolizmusában. Emberi májmikroszómákkal végzett vizsgálatok az UGT1A1 és UGT1A3 enzimeket találták felelősnek az eltrombopag glükuronidációjáért. Az eltrombopag számos UGT enzim gátlószere volt </w:t>
      </w:r>
      <w:r>
        <w:rPr>
          <w:i/>
          <w:iCs/>
          <w:snapToGrid/>
          <w:szCs w:val="22"/>
          <w:lang w:val="hu-HU" w:eastAsia="en-GB"/>
        </w:rPr>
        <w:t>in vitro</w:t>
      </w:r>
      <w:r>
        <w:rPr>
          <w:snapToGrid/>
          <w:szCs w:val="22"/>
          <w:lang w:val="hu-HU" w:eastAsia="en-GB"/>
        </w:rPr>
        <w:t>. Glükuronidációval járó, klinikailag jelentős interakciók kialakulása nem várható, mivel az egyes UGT enzimek csekély szerepet játszanak az eltrombopag glükuronidációjában.</w:t>
      </w:r>
    </w:p>
    <w:p w14:paraId="68FC3C94" w14:textId="77777777" w:rsidR="009F5F6A" w:rsidRDefault="009F5F6A">
      <w:pPr>
        <w:tabs>
          <w:tab w:val="clear" w:pos="567"/>
        </w:tabs>
        <w:autoSpaceDE w:val="0"/>
        <w:autoSpaceDN w:val="0"/>
        <w:adjustRightInd w:val="0"/>
        <w:spacing w:line="240" w:lineRule="auto"/>
        <w:rPr>
          <w:snapToGrid/>
          <w:szCs w:val="22"/>
          <w:lang w:val="hu-HU" w:eastAsia="en-GB"/>
        </w:rPr>
      </w:pPr>
    </w:p>
    <w:p w14:paraId="2FACEDAE"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Az eltrombopag-dózis közel 21%-a mehet át oxidatív metabolizmuson. Emberi májmikroszómákkal végzett vizsgálatok a CYP1A2 és CYP2C8 izoenzimeket találták felelősnek az eltrombopag oxidációjáért. </w:t>
      </w:r>
      <w:r>
        <w:rPr>
          <w:i/>
          <w:iCs/>
          <w:snapToGrid/>
          <w:szCs w:val="22"/>
          <w:lang w:val="hu-HU" w:eastAsia="en-GB"/>
        </w:rPr>
        <w:t xml:space="preserve">In vitro </w:t>
      </w:r>
      <w:r>
        <w:rPr>
          <w:snapToGrid/>
          <w:szCs w:val="22"/>
          <w:lang w:val="hu-HU" w:eastAsia="en-GB"/>
        </w:rPr>
        <w:t xml:space="preserve">és </w:t>
      </w:r>
      <w:r>
        <w:rPr>
          <w:i/>
          <w:iCs/>
          <w:snapToGrid/>
          <w:szCs w:val="22"/>
          <w:lang w:val="hu-HU" w:eastAsia="en-GB"/>
        </w:rPr>
        <w:t xml:space="preserve">in vivo </w:t>
      </w:r>
      <w:r>
        <w:rPr>
          <w:snapToGrid/>
          <w:szCs w:val="22"/>
          <w:lang w:val="hu-HU" w:eastAsia="en-GB"/>
        </w:rPr>
        <w:t>adatok szerint az eltrombopag nem gátolja és nem is indukálja a CYP enzimeket (lásd 4.5 pont).</w:t>
      </w:r>
    </w:p>
    <w:p w14:paraId="182705FA" w14:textId="77777777" w:rsidR="009F5F6A" w:rsidRDefault="009F5F6A">
      <w:pPr>
        <w:tabs>
          <w:tab w:val="clear" w:pos="567"/>
        </w:tabs>
        <w:autoSpaceDE w:val="0"/>
        <w:autoSpaceDN w:val="0"/>
        <w:adjustRightInd w:val="0"/>
        <w:spacing w:line="240" w:lineRule="auto"/>
        <w:rPr>
          <w:i/>
          <w:iCs/>
          <w:snapToGrid/>
          <w:szCs w:val="22"/>
          <w:lang w:val="hu-HU" w:eastAsia="en-GB"/>
        </w:rPr>
      </w:pPr>
    </w:p>
    <w:p w14:paraId="2C1D1286" w14:textId="77777777" w:rsidR="009F5F6A" w:rsidRDefault="00962A10">
      <w:pPr>
        <w:tabs>
          <w:tab w:val="clear" w:pos="567"/>
        </w:tabs>
        <w:autoSpaceDE w:val="0"/>
        <w:autoSpaceDN w:val="0"/>
        <w:adjustRightInd w:val="0"/>
        <w:spacing w:line="240" w:lineRule="auto"/>
        <w:rPr>
          <w:snapToGrid/>
          <w:szCs w:val="22"/>
          <w:lang w:val="hu-HU" w:eastAsia="en-GB"/>
        </w:rPr>
      </w:pPr>
      <w:r>
        <w:rPr>
          <w:i/>
          <w:iCs/>
          <w:snapToGrid/>
          <w:szCs w:val="22"/>
          <w:lang w:val="hu-HU" w:eastAsia="en-GB"/>
        </w:rPr>
        <w:t xml:space="preserve">In vitro </w:t>
      </w:r>
      <w:r>
        <w:rPr>
          <w:snapToGrid/>
          <w:szCs w:val="22"/>
          <w:lang w:val="hu-HU" w:eastAsia="en-GB"/>
        </w:rPr>
        <w:t>vizsgálatokban kimutatták, hogy az eltrombopag az OATP1B1 transzporter és a BCRP transzporter gátlószere, továbbá egy klinikai gyógyszerkölcsönhatás vizsgálatban az eltrombopag növelte az OATP1B1 és BRCP-szubsztrát rozuvasztatin expozíciót (lásd 4.5 pont). Eltrombopaggal végzett klinikai vizsgálatokban a sztatinok dózisának 50%-os csökkentését javasolták.</w:t>
      </w:r>
    </w:p>
    <w:p w14:paraId="725C7C30" w14:textId="77777777" w:rsidR="009F5F6A" w:rsidRDefault="009F5F6A">
      <w:pPr>
        <w:tabs>
          <w:tab w:val="clear" w:pos="567"/>
        </w:tabs>
        <w:autoSpaceDE w:val="0"/>
        <w:autoSpaceDN w:val="0"/>
        <w:adjustRightInd w:val="0"/>
        <w:spacing w:line="240" w:lineRule="auto"/>
        <w:rPr>
          <w:snapToGrid/>
          <w:szCs w:val="22"/>
          <w:lang w:val="hu-HU" w:eastAsia="en-GB"/>
        </w:rPr>
      </w:pPr>
    </w:p>
    <w:p w14:paraId="611531A6"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Az eltrombopag kelátot képez a polivalens kationokkal, így a vassal, a kalciummal, a magnéziummal, az alumíniummal, a szelénnel és a cinkkel (lásd 4.2 és 4.5 pont).</w:t>
      </w:r>
    </w:p>
    <w:p w14:paraId="051EA305" w14:textId="77777777" w:rsidR="009F5F6A" w:rsidRDefault="009F5F6A">
      <w:pPr>
        <w:tabs>
          <w:tab w:val="clear" w:pos="567"/>
        </w:tabs>
        <w:autoSpaceDE w:val="0"/>
        <w:autoSpaceDN w:val="0"/>
        <w:adjustRightInd w:val="0"/>
        <w:spacing w:line="240" w:lineRule="auto"/>
        <w:rPr>
          <w:i/>
          <w:iCs/>
          <w:snapToGrid/>
          <w:szCs w:val="22"/>
          <w:lang w:val="hu-HU" w:eastAsia="en-GB"/>
        </w:rPr>
      </w:pPr>
    </w:p>
    <w:p w14:paraId="0360B802" w14:textId="77777777" w:rsidR="009F5F6A" w:rsidRDefault="00962A10">
      <w:pPr>
        <w:tabs>
          <w:tab w:val="clear" w:pos="567"/>
        </w:tabs>
        <w:autoSpaceDE w:val="0"/>
        <w:autoSpaceDN w:val="0"/>
        <w:adjustRightInd w:val="0"/>
        <w:spacing w:line="240" w:lineRule="auto"/>
        <w:rPr>
          <w:noProof/>
          <w:szCs w:val="22"/>
          <w:u w:val="single"/>
          <w:lang w:val="hu-HU"/>
        </w:rPr>
      </w:pPr>
      <w:r>
        <w:rPr>
          <w:i/>
          <w:iCs/>
          <w:snapToGrid/>
          <w:szCs w:val="22"/>
          <w:lang w:val="hu-HU" w:eastAsia="en-GB"/>
        </w:rPr>
        <w:t xml:space="preserve">In vitro </w:t>
      </w:r>
      <w:r>
        <w:rPr>
          <w:snapToGrid/>
          <w:szCs w:val="22"/>
          <w:lang w:val="hu-HU" w:eastAsia="en-GB"/>
        </w:rPr>
        <w:t>vizsgálatokban kimutatták, hogy az eltrombopag nem szubsztrátja az organikus anion-transzporter polipeptidnek, az OATP1B1-nek, de inhibitora annak (IC</w:t>
      </w:r>
      <w:r>
        <w:rPr>
          <w:snapToGrid/>
          <w:szCs w:val="22"/>
          <w:vertAlign w:val="subscript"/>
          <w:lang w:val="hu-HU" w:eastAsia="en-GB"/>
        </w:rPr>
        <w:t>50</w:t>
      </w:r>
      <w:r>
        <w:rPr>
          <w:snapToGrid/>
          <w:szCs w:val="22"/>
          <w:lang w:val="hu-HU" w:eastAsia="en-GB"/>
        </w:rPr>
        <w:t xml:space="preserve">-érték: 2,7 mikromól [1,2 mikrogramm/ml]). </w:t>
      </w:r>
      <w:r>
        <w:rPr>
          <w:i/>
          <w:iCs/>
          <w:snapToGrid/>
          <w:szCs w:val="22"/>
          <w:lang w:val="hu-HU" w:eastAsia="en-GB"/>
        </w:rPr>
        <w:t xml:space="preserve">In vitro </w:t>
      </w:r>
      <w:r>
        <w:rPr>
          <w:snapToGrid/>
          <w:szCs w:val="22"/>
          <w:lang w:val="hu-HU" w:eastAsia="en-GB"/>
        </w:rPr>
        <w:t>vizsgálatokban azt is kimutatták, hogy az eltrombopag az emlőrák rezisztencia fehérje (BCRP) szubsztrátja és inhibitora (IC</w:t>
      </w:r>
      <w:r>
        <w:rPr>
          <w:snapToGrid/>
          <w:szCs w:val="22"/>
          <w:vertAlign w:val="subscript"/>
          <w:lang w:val="hu-HU" w:eastAsia="en-GB"/>
        </w:rPr>
        <w:t>50</w:t>
      </w:r>
      <w:r>
        <w:rPr>
          <w:snapToGrid/>
          <w:szCs w:val="22"/>
          <w:lang w:val="hu-HU" w:eastAsia="en-GB"/>
        </w:rPr>
        <w:t>-érték: 2,7 mikromól [1,2 mikrogramm/ml])</w:t>
      </w:r>
      <w:r>
        <w:rPr>
          <w:i/>
          <w:iCs/>
          <w:snapToGrid/>
          <w:szCs w:val="22"/>
          <w:lang w:val="hu-HU" w:eastAsia="en-GB"/>
        </w:rPr>
        <w:t>.</w:t>
      </w:r>
    </w:p>
    <w:p w14:paraId="307FD941" w14:textId="77777777" w:rsidR="009F5F6A" w:rsidRDefault="009F5F6A">
      <w:pPr>
        <w:numPr>
          <w:ilvl w:val="12"/>
          <w:numId w:val="0"/>
        </w:numPr>
        <w:spacing w:line="240" w:lineRule="auto"/>
        <w:ind w:right="-2"/>
        <w:rPr>
          <w:noProof/>
          <w:szCs w:val="24"/>
          <w:u w:val="single"/>
          <w:lang w:val="hu-HU"/>
        </w:rPr>
      </w:pPr>
    </w:p>
    <w:p w14:paraId="33BE52C1"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Különleges betegcsoportok</w:t>
      </w:r>
    </w:p>
    <w:p w14:paraId="27797C2C" w14:textId="77777777" w:rsidR="009F5F6A" w:rsidRDefault="009F5F6A">
      <w:pPr>
        <w:tabs>
          <w:tab w:val="clear" w:pos="567"/>
        </w:tabs>
        <w:autoSpaceDE w:val="0"/>
        <w:autoSpaceDN w:val="0"/>
        <w:adjustRightInd w:val="0"/>
        <w:spacing w:line="240" w:lineRule="auto"/>
        <w:rPr>
          <w:i/>
          <w:iCs/>
          <w:snapToGrid/>
          <w:szCs w:val="22"/>
          <w:lang w:val="hu-HU" w:eastAsia="en-GB"/>
        </w:rPr>
      </w:pPr>
    </w:p>
    <w:p w14:paraId="7A9D7774"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Vesekárosodás</w:t>
      </w:r>
    </w:p>
    <w:p w14:paraId="05FC8452" w14:textId="77777777" w:rsidR="009F5F6A" w:rsidRDefault="009F5F6A">
      <w:pPr>
        <w:tabs>
          <w:tab w:val="clear" w:pos="567"/>
        </w:tabs>
        <w:autoSpaceDE w:val="0"/>
        <w:autoSpaceDN w:val="0"/>
        <w:adjustRightInd w:val="0"/>
        <w:spacing w:line="240" w:lineRule="auto"/>
        <w:rPr>
          <w:snapToGrid/>
          <w:szCs w:val="22"/>
          <w:lang w:val="hu-HU" w:eastAsia="en-GB"/>
        </w:rPr>
      </w:pPr>
    </w:p>
    <w:p w14:paraId="436CF5E9" w14:textId="77777777" w:rsidR="009F5F6A" w:rsidRDefault="00962A10">
      <w:pPr>
        <w:tabs>
          <w:tab w:val="clear" w:pos="567"/>
        </w:tabs>
        <w:autoSpaceDE w:val="0"/>
        <w:autoSpaceDN w:val="0"/>
        <w:adjustRightInd w:val="0"/>
        <w:spacing w:line="240" w:lineRule="auto"/>
        <w:rPr>
          <w:noProof/>
          <w:szCs w:val="22"/>
          <w:u w:val="single"/>
          <w:lang w:val="hu-HU"/>
        </w:rPr>
      </w:pPr>
      <w:r>
        <w:rPr>
          <w:snapToGrid/>
          <w:szCs w:val="22"/>
          <w:lang w:val="hu-HU" w:eastAsia="en-GB"/>
        </w:rPr>
        <w:t>Az eltrombopag farmakokinetikáját károsodott vesefunkciójú felnőtt betegeknél vizsgálták. Egyszeri 50 mg-os dózis adását követően az eltrombopag AUC</w:t>
      </w:r>
      <w:r>
        <w:rPr>
          <w:szCs w:val="22"/>
          <w:vertAlign w:val="subscript"/>
          <w:lang w:val="hu-HU"/>
        </w:rPr>
        <w:t>0-∞</w:t>
      </w:r>
      <w:r>
        <w:rPr>
          <w:snapToGrid/>
          <w:szCs w:val="22"/>
          <w:lang w:val="hu-HU" w:eastAsia="en-GB"/>
        </w:rPr>
        <w:t>-értéke közepes fokú vesekárosodásban szenvedő betegeknél 32%-36%-kal, súlyos vesekárosodásban szenvedő betegeknél 60%-kal volt alacsonyabb, mint az egészséges önkénteseknél. Nagyfokú változékonyság és jelentős átfedés volt az expozíciók terén a vesekárosodásban szenvedő betegek és az egészséges önkéntesek között.</w:t>
      </w:r>
      <w:r>
        <w:rPr>
          <w:rFonts w:eastAsiaTheme="minorEastAsia"/>
          <w:snapToGrid/>
          <w:sz w:val="24"/>
          <w:szCs w:val="24"/>
          <w:lang w:val="hu-HU" w:eastAsia="el-GR"/>
        </w:rPr>
        <w:t xml:space="preserve"> </w:t>
      </w:r>
      <w:r>
        <w:rPr>
          <w:snapToGrid/>
          <w:szCs w:val="22"/>
          <w:lang w:val="hu-HU" w:eastAsia="en-GB"/>
        </w:rPr>
        <w:t>Plazmafehérjékhez nem kötött eltrombopag (aktív) koncentrációkat ennél a fehérjékhez nagymértékben kötődő gyógyszernél nem mértek. Károsodott vesefunkciójú betegeknél az eltrombopag körültekintően alkalmazandó, a beteg szoros monitorozása mellett, pl. a szérum kreatininszintjének mérésével és/vagy vizeletvizsgálattal (lásd 4.2 pont). Az eltrombopag hatásosságát és biztonságosságát nem igazolták közepes fokú vagy súlyos fokú vesekárosodásban és májkárosodásban egyaránt szenvedő beteg esetében.</w:t>
      </w:r>
    </w:p>
    <w:p w14:paraId="4622C75B" w14:textId="77777777" w:rsidR="009F5F6A" w:rsidRDefault="009F5F6A">
      <w:pPr>
        <w:numPr>
          <w:ilvl w:val="12"/>
          <w:numId w:val="0"/>
        </w:numPr>
        <w:spacing w:line="240" w:lineRule="auto"/>
        <w:ind w:right="-2"/>
        <w:rPr>
          <w:noProof/>
          <w:szCs w:val="24"/>
          <w:u w:val="single"/>
          <w:lang w:val="hu-HU"/>
        </w:rPr>
      </w:pPr>
    </w:p>
    <w:p w14:paraId="3F46D47C"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Májkárosodás</w:t>
      </w:r>
    </w:p>
    <w:p w14:paraId="1B527E81" w14:textId="77777777" w:rsidR="009F5F6A" w:rsidRDefault="009F5F6A">
      <w:pPr>
        <w:tabs>
          <w:tab w:val="clear" w:pos="567"/>
        </w:tabs>
        <w:autoSpaceDE w:val="0"/>
        <w:autoSpaceDN w:val="0"/>
        <w:adjustRightInd w:val="0"/>
        <w:spacing w:line="240" w:lineRule="auto"/>
        <w:rPr>
          <w:snapToGrid/>
          <w:szCs w:val="22"/>
          <w:lang w:val="hu-HU" w:eastAsia="en-GB"/>
        </w:rPr>
      </w:pPr>
    </w:p>
    <w:p w14:paraId="46CBCC1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Az eltrombopag farmakokinetikáját májkárosodásban szenvedő felnőtt betegeknél vizsgálták, eltrombopag alkalmazása után. Egyszeri 50 mg-os dózis adását követően az eltrombopag AUC</w:t>
      </w:r>
      <w:r>
        <w:rPr>
          <w:szCs w:val="22"/>
          <w:vertAlign w:val="subscript"/>
          <w:lang w:val="hu-HU"/>
        </w:rPr>
        <w:t>0-∞</w:t>
      </w:r>
      <w:r>
        <w:rPr>
          <w:snapToGrid/>
          <w:szCs w:val="22"/>
          <w:lang w:val="hu-HU" w:eastAsia="en-GB"/>
        </w:rPr>
        <w:t>-értéke enyhe májkárosodásban szenvedő betegeknél 41%-kal, közepesen súlyos vagy súlyos májkárosodásban szenvedő betegeknél 80%-93%-kal volt magasabb, mint az egészséges önkénteseknél. Nagyfokú változékonyság és jelentős átfedés volt az expozíciók terén a májkárosodásban szenvedő betegek és az egészséges önkéntesek között. Plazmafehérjékhez nem kötött eltrombopag (aktív) koncentrációt ennél a fehérjékhez nagymértékben kötődő gyógyszernél nem mértek.</w:t>
      </w:r>
    </w:p>
    <w:p w14:paraId="13617529" w14:textId="77777777" w:rsidR="009F5F6A" w:rsidRDefault="009F5F6A">
      <w:pPr>
        <w:tabs>
          <w:tab w:val="clear" w:pos="567"/>
        </w:tabs>
        <w:autoSpaceDE w:val="0"/>
        <w:autoSpaceDN w:val="0"/>
        <w:adjustRightInd w:val="0"/>
        <w:spacing w:line="240" w:lineRule="auto"/>
        <w:rPr>
          <w:snapToGrid/>
          <w:szCs w:val="22"/>
          <w:lang w:val="hu-HU" w:eastAsia="en-GB"/>
        </w:rPr>
      </w:pPr>
    </w:p>
    <w:p w14:paraId="1CD8617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A májkárosodásnak az eltrombopag farmakokinetikájára gyakorolt, ismételt adagolást követő hatását egy populációs farmakokinetikai elemzés segítségével értékelték 28, egészséges önkéntesnél és 714 májkárosodásban szenvedő betegnél (673 HCV-s beteg és </w:t>
      </w:r>
      <w:r>
        <w:rPr>
          <w:lang w:val="hu-HU"/>
        </w:rPr>
        <w:t>41 egyéb</w:t>
      </w:r>
      <w:r>
        <w:rPr>
          <w:snapToGrid/>
          <w:szCs w:val="22"/>
          <w:lang w:val="hu-HU" w:eastAsia="en-GB"/>
        </w:rPr>
        <w:t xml:space="preserve"> etiológiájú krónikus májbetegségben szenvedő beteg). A 714 beteg közül 642-nél enyhe, 67-nél közepesen súlyos és 2-nél súlyos májkárosodás állt fenn. Egészséges önkéntesekkel összehasonlítva, az enyhe májkárosodásban szenvedő betegek </w:t>
      </w:r>
      <w:proofErr w:type="gramStart"/>
      <w:r>
        <w:rPr>
          <w:snapToGrid/>
          <w:szCs w:val="22"/>
          <w:lang w:val="hu-HU" w:eastAsia="en-GB"/>
        </w:rPr>
        <w:t>plazma-eltrombopag-AUC</w:t>
      </w:r>
      <w:r>
        <w:rPr>
          <w:szCs w:val="22"/>
          <w:vertAlign w:val="subscript"/>
          <w:lang w:val="hu-HU"/>
        </w:rPr>
        <w:t>(</w:t>
      </w:r>
      <w:proofErr w:type="gramEnd"/>
      <w:r>
        <w:rPr>
          <w:szCs w:val="22"/>
          <w:vertAlign w:val="subscript"/>
          <w:lang w:val="hu-HU"/>
        </w:rPr>
        <w:t>0-</w:t>
      </w:r>
      <w:r>
        <w:rPr>
          <w:rFonts w:ascii="Segoe UI Symbol" w:eastAsia="Segoe UI Symbol" w:hAnsi="Segoe UI Symbol" w:cs="Segoe UI Symbol"/>
          <w:szCs w:val="22"/>
          <w:vertAlign w:val="subscript"/>
        </w:rPr>
        <w:t>τ</w:t>
      </w:r>
      <w:r>
        <w:rPr>
          <w:szCs w:val="22"/>
          <w:vertAlign w:val="subscript"/>
          <w:lang w:val="hu-HU"/>
        </w:rPr>
        <w:t>)</w:t>
      </w:r>
      <w:r>
        <w:rPr>
          <w:snapToGrid/>
          <w:szCs w:val="22"/>
          <w:lang w:val="hu-HU" w:eastAsia="en-GB"/>
        </w:rPr>
        <w:t>-értékei hozzávetőleg 111%-kal (95%-os CI: 45%-283%), a középsúlyos májkárosodásban szenvedő betegek plazma-eltrombopag-AUC</w:t>
      </w:r>
      <w:r>
        <w:rPr>
          <w:szCs w:val="22"/>
          <w:vertAlign w:val="subscript"/>
          <w:lang w:val="hu-HU"/>
        </w:rPr>
        <w:t>(0-</w:t>
      </w:r>
      <w:r>
        <w:rPr>
          <w:rFonts w:ascii="Segoe UI Symbol" w:eastAsia="Segoe UI Symbol" w:hAnsi="Segoe UI Symbol" w:cs="Segoe UI Symbol"/>
          <w:szCs w:val="22"/>
          <w:vertAlign w:val="subscript"/>
        </w:rPr>
        <w:t>τ</w:t>
      </w:r>
      <w:r>
        <w:rPr>
          <w:szCs w:val="22"/>
          <w:vertAlign w:val="subscript"/>
          <w:lang w:val="hu-HU"/>
        </w:rPr>
        <w:t>)</w:t>
      </w:r>
      <w:r>
        <w:rPr>
          <w:snapToGrid/>
          <w:szCs w:val="22"/>
          <w:lang w:val="hu-HU" w:eastAsia="en-GB"/>
        </w:rPr>
        <w:t>-értékei hozzávetőleg 183%-kal (95%-os CI: 90%-459%) magasabbak voltak.</w:t>
      </w:r>
    </w:p>
    <w:p w14:paraId="341FD538" w14:textId="77777777" w:rsidR="009F5F6A" w:rsidRDefault="009F5F6A">
      <w:pPr>
        <w:tabs>
          <w:tab w:val="clear" w:pos="567"/>
        </w:tabs>
        <w:autoSpaceDE w:val="0"/>
        <w:autoSpaceDN w:val="0"/>
        <w:adjustRightInd w:val="0"/>
        <w:spacing w:line="240" w:lineRule="auto"/>
        <w:rPr>
          <w:snapToGrid/>
          <w:szCs w:val="22"/>
          <w:lang w:val="hu-HU" w:eastAsia="en-GB"/>
        </w:rPr>
      </w:pPr>
    </w:p>
    <w:p w14:paraId="444387A8" w14:textId="77777777" w:rsidR="009F5F6A" w:rsidRDefault="00962A10">
      <w:pPr>
        <w:tabs>
          <w:tab w:val="clear" w:pos="567"/>
        </w:tabs>
        <w:autoSpaceDE w:val="0"/>
        <w:autoSpaceDN w:val="0"/>
        <w:adjustRightInd w:val="0"/>
        <w:spacing w:line="240" w:lineRule="auto"/>
        <w:rPr>
          <w:noProof/>
          <w:szCs w:val="22"/>
          <w:u w:val="single"/>
          <w:lang w:val="hu-HU"/>
        </w:rPr>
      </w:pPr>
      <w:r>
        <w:rPr>
          <w:snapToGrid/>
          <w:szCs w:val="22"/>
          <w:lang w:val="hu-HU" w:eastAsia="en-GB"/>
        </w:rPr>
        <w:t>Ezért az eltrombopag nem adható májkárosodásban szenvedő ITP-s betegeknek (Child–Pugh pontszám ≥5), kivéve, ha a várható előny nagyobb, mint a vena portae thrombosis kimutatott kockázata (lásd 4.2 és 4.4 pont). A HCV-s betegeknél az eltrombopag-kezelést naponta egyszer 25 mg adaggal kell kezdeni (lásd 4.2 pont).</w:t>
      </w:r>
    </w:p>
    <w:p w14:paraId="6DB8085A" w14:textId="77777777" w:rsidR="009F5F6A" w:rsidRDefault="009F5F6A">
      <w:pPr>
        <w:numPr>
          <w:ilvl w:val="12"/>
          <w:numId w:val="0"/>
        </w:numPr>
        <w:spacing w:line="240" w:lineRule="auto"/>
        <w:ind w:right="-2"/>
        <w:rPr>
          <w:noProof/>
          <w:szCs w:val="24"/>
          <w:u w:val="single"/>
          <w:lang w:val="hu-HU"/>
        </w:rPr>
      </w:pPr>
    </w:p>
    <w:p w14:paraId="48255A1C"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Rassz</w:t>
      </w:r>
    </w:p>
    <w:p w14:paraId="5BFEAFEC" w14:textId="77777777" w:rsidR="009F5F6A" w:rsidRDefault="009F5F6A">
      <w:pPr>
        <w:tabs>
          <w:tab w:val="clear" w:pos="567"/>
        </w:tabs>
        <w:autoSpaceDE w:val="0"/>
        <w:autoSpaceDN w:val="0"/>
        <w:adjustRightInd w:val="0"/>
        <w:spacing w:line="240" w:lineRule="auto"/>
        <w:rPr>
          <w:snapToGrid/>
          <w:szCs w:val="22"/>
          <w:lang w:val="hu-HU" w:eastAsia="en-GB"/>
        </w:rPr>
      </w:pPr>
    </w:p>
    <w:p w14:paraId="54AFE313"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A kelet-ázsiai etnikumhoz tartozás hatását az eltrombopag farmakokinetikájára 111 egészséges önkéntessel (31 kelet-ázsiai) és 88 ITP-s beteggel (18 kelet-ázsiai) populációs farmakokinetikai elemzés segítségével értékelték. A populációs farmakokinetikai elemzés becslései alapján a keletázsiai ITP-s betegek </w:t>
      </w:r>
      <w:proofErr w:type="gramStart"/>
      <w:r>
        <w:rPr>
          <w:snapToGrid/>
          <w:szCs w:val="22"/>
          <w:lang w:val="hu-HU" w:eastAsia="en-GB"/>
        </w:rPr>
        <w:t>plazma-eltrombopag-AUC</w:t>
      </w:r>
      <w:r>
        <w:rPr>
          <w:szCs w:val="22"/>
          <w:vertAlign w:val="subscript"/>
          <w:lang w:val="hu-HU"/>
        </w:rPr>
        <w:t>(</w:t>
      </w:r>
      <w:proofErr w:type="gramEnd"/>
      <w:r>
        <w:rPr>
          <w:szCs w:val="22"/>
          <w:vertAlign w:val="subscript"/>
          <w:lang w:val="hu-HU"/>
        </w:rPr>
        <w:t>0-</w:t>
      </w:r>
      <w:r>
        <w:rPr>
          <w:rFonts w:ascii="Segoe UI Symbol" w:eastAsia="Segoe UI Symbol" w:hAnsi="Segoe UI Symbol" w:cs="Segoe UI Symbol"/>
          <w:szCs w:val="22"/>
          <w:vertAlign w:val="subscript"/>
        </w:rPr>
        <w:t>τ</w:t>
      </w:r>
      <w:r>
        <w:rPr>
          <w:szCs w:val="22"/>
          <w:vertAlign w:val="subscript"/>
          <w:lang w:val="hu-HU"/>
        </w:rPr>
        <w:t>)</w:t>
      </w:r>
      <w:r>
        <w:rPr>
          <w:snapToGrid/>
          <w:szCs w:val="22"/>
          <w:lang w:val="hu-HU" w:eastAsia="en-GB"/>
        </w:rPr>
        <w:t>-értékei közel 49%-kal magasabbak voltak, összehasonlítva a nem kelet-ázsiai betegekkel, akik főként kaukázusiak voltak (lásd 4.2 pont).</w:t>
      </w:r>
    </w:p>
    <w:p w14:paraId="7AA730C8" w14:textId="77777777" w:rsidR="009F5F6A" w:rsidRDefault="009F5F6A">
      <w:pPr>
        <w:tabs>
          <w:tab w:val="clear" w:pos="567"/>
        </w:tabs>
        <w:autoSpaceDE w:val="0"/>
        <w:autoSpaceDN w:val="0"/>
        <w:adjustRightInd w:val="0"/>
        <w:spacing w:line="240" w:lineRule="auto"/>
        <w:rPr>
          <w:snapToGrid/>
          <w:szCs w:val="22"/>
          <w:lang w:val="hu-HU" w:eastAsia="en-GB"/>
        </w:rPr>
      </w:pPr>
    </w:p>
    <w:p w14:paraId="7B076389" w14:textId="77777777" w:rsidR="009F5F6A" w:rsidRDefault="00962A10">
      <w:pPr>
        <w:tabs>
          <w:tab w:val="clear" w:pos="567"/>
        </w:tabs>
        <w:autoSpaceDE w:val="0"/>
        <w:autoSpaceDN w:val="0"/>
        <w:adjustRightInd w:val="0"/>
        <w:spacing w:line="240" w:lineRule="auto"/>
        <w:rPr>
          <w:noProof/>
          <w:szCs w:val="22"/>
          <w:u w:val="single"/>
          <w:lang w:val="hu-HU"/>
        </w:rPr>
      </w:pPr>
      <w:r>
        <w:rPr>
          <w:snapToGrid/>
          <w:szCs w:val="22"/>
          <w:lang w:val="hu-HU" w:eastAsia="en-GB"/>
        </w:rPr>
        <w:t>A kelet-/délkelet-ázsiai etnikumhoz tartozás hatását az eltrombopag farmakokinetikájára 635 HCV-s betegen (145 kelet-ázsiai és 69 délkelet-ázsiai) populációs farmakokinetikai elemzés segítségével értékelték. A populációs farmakokinetikai elemzés becslései alapján a kelet-/délkelet-ázsiai betegek plazma-eltrombopag-</w:t>
      </w:r>
      <w:r>
        <w:rPr>
          <w:szCs w:val="22"/>
          <w:lang w:val="hu-HU"/>
        </w:rPr>
        <w:t xml:space="preserve"> </w:t>
      </w:r>
      <w:proofErr w:type="gramStart"/>
      <w:r>
        <w:rPr>
          <w:szCs w:val="22"/>
          <w:lang w:val="hu-HU"/>
        </w:rPr>
        <w:t>AUC</w:t>
      </w:r>
      <w:r>
        <w:rPr>
          <w:szCs w:val="22"/>
          <w:vertAlign w:val="subscript"/>
          <w:lang w:val="hu-HU"/>
        </w:rPr>
        <w:t>(</w:t>
      </w:r>
      <w:proofErr w:type="gramEnd"/>
      <w:r>
        <w:rPr>
          <w:szCs w:val="22"/>
          <w:vertAlign w:val="subscript"/>
          <w:lang w:val="hu-HU"/>
        </w:rPr>
        <w:t>0-</w:t>
      </w:r>
      <w:r>
        <w:rPr>
          <w:szCs w:val="22"/>
          <w:vertAlign w:val="subscript"/>
        </w:rPr>
        <w:t>τ</w:t>
      </w:r>
      <w:r>
        <w:rPr>
          <w:szCs w:val="22"/>
          <w:vertAlign w:val="subscript"/>
          <w:lang w:val="hu-HU"/>
        </w:rPr>
        <w:t>)</w:t>
      </w:r>
      <w:r>
        <w:rPr>
          <w:snapToGrid/>
          <w:szCs w:val="22"/>
          <w:lang w:val="hu-HU" w:eastAsia="en-GB"/>
        </w:rPr>
        <w:t>-értékei közel 55%-kal magasabbak voltak, összehasonlítva az egyéb rasszba tartozó betegekkel, akik főként kaukázusiak voltak (lásd 4.2 pont).</w:t>
      </w:r>
    </w:p>
    <w:p w14:paraId="65827AC6" w14:textId="77777777" w:rsidR="009F5F6A" w:rsidRDefault="009F5F6A">
      <w:pPr>
        <w:numPr>
          <w:ilvl w:val="12"/>
          <w:numId w:val="0"/>
        </w:numPr>
        <w:spacing w:line="240" w:lineRule="auto"/>
        <w:ind w:right="-2"/>
        <w:rPr>
          <w:noProof/>
          <w:szCs w:val="24"/>
          <w:u w:val="single"/>
          <w:lang w:val="hu-HU"/>
        </w:rPr>
      </w:pPr>
    </w:p>
    <w:p w14:paraId="59ACEF72"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Nem</w:t>
      </w:r>
    </w:p>
    <w:p w14:paraId="5A6AC95F" w14:textId="77777777" w:rsidR="009F5F6A" w:rsidRDefault="009F5F6A">
      <w:pPr>
        <w:tabs>
          <w:tab w:val="clear" w:pos="567"/>
        </w:tabs>
        <w:autoSpaceDE w:val="0"/>
        <w:autoSpaceDN w:val="0"/>
        <w:adjustRightInd w:val="0"/>
        <w:spacing w:line="240" w:lineRule="auto"/>
        <w:rPr>
          <w:snapToGrid/>
          <w:szCs w:val="22"/>
          <w:lang w:val="hu-HU" w:eastAsia="en-GB"/>
        </w:rPr>
      </w:pPr>
    </w:p>
    <w:p w14:paraId="4DBC1D00"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nem hatását az eltrombopag farmakokinetikájára 111 egészséges önkéntessel (14 nő) és 88 ITP-s beteggel (57 nő) populációs farmakokinetikai elemzés segítségével értékelték. A populációs farmakokinetikai elemzés becslései alapján az ITP-s nőbetegek plazma-eltrombopag-</w:t>
      </w:r>
      <w:r>
        <w:rPr>
          <w:szCs w:val="22"/>
          <w:lang w:val="hu-HU"/>
        </w:rPr>
        <w:t xml:space="preserve"> </w:t>
      </w:r>
      <w:proofErr w:type="gramStart"/>
      <w:r>
        <w:rPr>
          <w:szCs w:val="22"/>
          <w:lang w:val="hu-HU"/>
        </w:rPr>
        <w:t>AUC</w:t>
      </w:r>
      <w:r>
        <w:rPr>
          <w:szCs w:val="22"/>
          <w:vertAlign w:val="subscript"/>
          <w:lang w:val="hu-HU"/>
        </w:rPr>
        <w:t>(</w:t>
      </w:r>
      <w:proofErr w:type="gramEnd"/>
      <w:r>
        <w:rPr>
          <w:szCs w:val="22"/>
          <w:vertAlign w:val="subscript"/>
          <w:lang w:val="hu-HU"/>
        </w:rPr>
        <w:t>0-</w:t>
      </w:r>
      <w:r>
        <w:rPr>
          <w:szCs w:val="22"/>
          <w:vertAlign w:val="subscript"/>
        </w:rPr>
        <w:t>τ</w:t>
      </w:r>
      <w:r>
        <w:rPr>
          <w:szCs w:val="22"/>
          <w:vertAlign w:val="subscript"/>
          <w:lang w:val="hu-HU"/>
        </w:rPr>
        <w:t>)</w:t>
      </w:r>
      <w:r>
        <w:rPr>
          <w:snapToGrid/>
          <w:szCs w:val="22"/>
          <w:lang w:val="hu-HU" w:eastAsia="en-GB"/>
        </w:rPr>
        <w:t>-értékei közel 23%-kal magasabbak voltak, összehasonlítva a férfi betegekkel, ha a testtömegkülönbségeket nem vesszük figyelembe.</w:t>
      </w:r>
    </w:p>
    <w:p w14:paraId="44B15A86" w14:textId="77777777" w:rsidR="009F5F6A" w:rsidRDefault="009F5F6A">
      <w:pPr>
        <w:tabs>
          <w:tab w:val="clear" w:pos="567"/>
        </w:tabs>
        <w:autoSpaceDE w:val="0"/>
        <w:autoSpaceDN w:val="0"/>
        <w:adjustRightInd w:val="0"/>
        <w:spacing w:line="240" w:lineRule="auto"/>
        <w:rPr>
          <w:snapToGrid/>
          <w:szCs w:val="22"/>
          <w:lang w:val="hu-HU" w:eastAsia="en-GB"/>
        </w:rPr>
      </w:pPr>
    </w:p>
    <w:p w14:paraId="62EA9221" w14:textId="77777777" w:rsidR="009F5F6A" w:rsidRDefault="00962A10">
      <w:pPr>
        <w:tabs>
          <w:tab w:val="clear" w:pos="567"/>
        </w:tabs>
        <w:autoSpaceDE w:val="0"/>
        <w:autoSpaceDN w:val="0"/>
        <w:adjustRightInd w:val="0"/>
        <w:spacing w:line="240" w:lineRule="auto"/>
        <w:rPr>
          <w:noProof/>
          <w:szCs w:val="22"/>
          <w:u w:val="single"/>
          <w:lang w:val="hu-HU"/>
        </w:rPr>
      </w:pPr>
      <w:r>
        <w:rPr>
          <w:snapToGrid/>
          <w:szCs w:val="22"/>
          <w:lang w:val="hu-HU" w:eastAsia="en-GB"/>
        </w:rPr>
        <w:t>A nem hatását az eltrombopag farmakokinetikájára 635 HCV-s beteggel (260 nő) populációs farmakokinetikai elemzés segítségével értékelték. A modell becslések alapján a HCV-s nőbetegek plazma-eltrombopag-</w:t>
      </w:r>
      <w:r>
        <w:rPr>
          <w:szCs w:val="22"/>
          <w:lang w:val="hu-HU"/>
        </w:rPr>
        <w:t xml:space="preserve"> </w:t>
      </w:r>
      <w:proofErr w:type="gramStart"/>
      <w:r>
        <w:rPr>
          <w:szCs w:val="22"/>
          <w:lang w:val="hu-HU"/>
        </w:rPr>
        <w:t>AUC</w:t>
      </w:r>
      <w:r>
        <w:rPr>
          <w:szCs w:val="22"/>
          <w:vertAlign w:val="subscript"/>
          <w:lang w:val="hu-HU"/>
        </w:rPr>
        <w:t>(</w:t>
      </w:r>
      <w:proofErr w:type="gramEnd"/>
      <w:r>
        <w:rPr>
          <w:szCs w:val="22"/>
          <w:vertAlign w:val="subscript"/>
          <w:lang w:val="hu-HU"/>
        </w:rPr>
        <w:t>0-</w:t>
      </w:r>
      <w:r>
        <w:rPr>
          <w:szCs w:val="22"/>
          <w:vertAlign w:val="subscript"/>
        </w:rPr>
        <w:t>τ</w:t>
      </w:r>
      <w:r>
        <w:rPr>
          <w:szCs w:val="22"/>
          <w:vertAlign w:val="subscript"/>
          <w:lang w:val="hu-HU"/>
        </w:rPr>
        <w:t>)</w:t>
      </w:r>
      <w:r>
        <w:rPr>
          <w:snapToGrid/>
          <w:szCs w:val="22"/>
          <w:lang w:val="hu-HU" w:eastAsia="en-GB"/>
        </w:rPr>
        <w:t>-értékei közel 41%-kal magasabbak voltak, mint a férfi betegeknél.</w:t>
      </w:r>
    </w:p>
    <w:p w14:paraId="5BF4F8D1" w14:textId="77777777" w:rsidR="009F5F6A" w:rsidRDefault="009F5F6A">
      <w:pPr>
        <w:numPr>
          <w:ilvl w:val="12"/>
          <w:numId w:val="0"/>
        </w:numPr>
        <w:spacing w:line="240" w:lineRule="auto"/>
        <w:ind w:right="-2"/>
        <w:rPr>
          <w:noProof/>
          <w:szCs w:val="24"/>
          <w:u w:val="single"/>
          <w:lang w:val="hu-HU"/>
        </w:rPr>
      </w:pPr>
    </w:p>
    <w:p w14:paraId="5FFA5B4A"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Életkor</w:t>
      </w:r>
    </w:p>
    <w:p w14:paraId="228D1F45" w14:textId="77777777" w:rsidR="009F5F6A" w:rsidRDefault="009F5F6A">
      <w:pPr>
        <w:tabs>
          <w:tab w:val="clear" w:pos="567"/>
        </w:tabs>
        <w:autoSpaceDE w:val="0"/>
        <w:autoSpaceDN w:val="0"/>
        <w:adjustRightInd w:val="0"/>
        <w:spacing w:line="240" w:lineRule="auto"/>
        <w:rPr>
          <w:snapToGrid/>
          <w:szCs w:val="22"/>
          <w:lang w:val="hu-HU" w:eastAsia="en-GB"/>
        </w:rPr>
      </w:pPr>
    </w:p>
    <w:p w14:paraId="1AF5576F" w14:textId="77777777" w:rsidR="009F5F6A" w:rsidRDefault="00962A10">
      <w:pPr>
        <w:tabs>
          <w:tab w:val="clear" w:pos="567"/>
        </w:tabs>
        <w:autoSpaceDE w:val="0"/>
        <w:autoSpaceDN w:val="0"/>
        <w:adjustRightInd w:val="0"/>
        <w:spacing w:line="240" w:lineRule="auto"/>
        <w:rPr>
          <w:noProof/>
          <w:szCs w:val="22"/>
          <w:u w:val="single"/>
          <w:lang w:val="hu-HU"/>
        </w:rPr>
      </w:pPr>
      <w:r>
        <w:rPr>
          <w:snapToGrid/>
          <w:szCs w:val="22"/>
          <w:lang w:val="hu-HU" w:eastAsia="en-GB"/>
        </w:rPr>
        <w:t>Az életkornak az eltrombopag farmakokinetikájára gyakorolt hatását populációs farmakokinetikai elemzés segítségével értékelték 19–74 éves korú, 28 egészséges önkéntesnél, 673 HCV-s betegnél és 41 egyéb etiológiájú krónikus májbetegségben szenvedő betegnél. Nem állnak rendelkezésre az eltrombopag alkalmazására vonatkozó farmakokinetikai adatok a ≥75 korúak esetében. A modell becslések alapján az idősebb betegek (≥65 éves) plazma-eltrombopag-</w:t>
      </w:r>
      <w:r>
        <w:rPr>
          <w:szCs w:val="22"/>
          <w:lang w:val="hu-HU"/>
        </w:rPr>
        <w:t xml:space="preserve"> </w:t>
      </w:r>
      <w:proofErr w:type="gramStart"/>
      <w:r>
        <w:rPr>
          <w:szCs w:val="22"/>
          <w:lang w:val="hu-HU"/>
        </w:rPr>
        <w:t>AUC</w:t>
      </w:r>
      <w:r>
        <w:rPr>
          <w:szCs w:val="22"/>
          <w:vertAlign w:val="subscript"/>
          <w:lang w:val="hu-HU"/>
        </w:rPr>
        <w:t>(</w:t>
      </w:r>
      <w:proofErr w:type="gramEnd"/>
      <w:r>
        <w:rPr>
          <w:szCs w:val="22"/>
          <w:vertAlign w:val="subscript"/>
          <w:lang w:val="hu-HU"/>
        </w:rPr>
        <w:t>0-</w:t>
      </w:r>
      <w:r>
        <w:rPr>
          <w:szCs w:val="22"/>
          <w:vertAlign w:val="subscript"/>
        </w:rPr>
        <w:t>τ</w:t>
      </w:r>
      <w:r>
        <w:rPr>
          <w:szCs w:val="22"/>
          <w:vertAlign w:val="subscript"/>
          <w:lang w:val="hu-HU"/>
        </w:rPr>
        <w:t>)</w:t>
      </w:r>
      <w:r>
        <w:rPr>
          <w:snapToGrid/>
          <w:szCs w:val="22"/>
          <w:lang w:val="hu-HU" w:eastAsia="en-GB"/>
        </w:rPr>
        <w:t>-értékei közel 41%-kal magasabbak voltak, mint a fiatalabb betegeknél (lásd 4.2 pont).</w:t>
      </w:r>
    </w:p>
    <w:p w14:paraId="51280E19" w14:textId="77777777" w:rsidR="009F5F6A" w:rsidRDefault="009F5F6A">
      <w:pPr>
        <w:numPr>
          <w:ilvl w:val="12"/>
          <w:numId w:val="0"/>
        </w:numPr>
        <w:spacing w:line="240" w:lineRule="auto"/>
        <w:ind w:right="-2"/>
        <w:rPr>
          <w:noProof/>
          <w:szCs w:val="24"/>
          <w:u w:val="single"/>
          <w:lang w:val="hu-HU"/>
        </w:rPr>
      </w:pPr>
    </w:p>
    <w:p w14:paraId="08B1A795"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Gyermekek és serdülők (1–18 éves korig)</w:t>
      </w:r>
    </w:p>
    <w:p w14:paraId="2276B215" w14:textId="77777777" w:rsidR="009F5F6A" w:rsidRDefault="009F5F6A">
      <w:pPr>
        <w:tabs>
          <w:tab w:val="clear" w:pos="567"/>
        </w:tabs>
        <w:autoSpaceDE w:val="0"/>
        <w:autoSpaceDN w:val="0"/>
        <w:adjustRightInd w:val="0"/>
        <w:spacing w:line="240" w:lineRule="auto"/>
        <w:rPr>
          <w:snapToGrid/>
          <w:szCs w:val="22"/>
          <w:lang w:val="hu-HU" w:eastAsia="en-GB"/>
        </w:rPr>
      </w:pPr>
    </w:p>
    <w:p w14:paraId="3E9A96E3"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naponta egyszer adott eltrombopag farmakokinetikai tulajdonságait 168 ITP-s gyermeknél és serdülőnél értékelték két vizsgálatban, a TRA108062/PETIT-ben és a TRA115450/PETIT-2-ben. Szájon át történő alkalmazást követően az eltrombopag látszólagos plazma-clearance-e (CL/F) a testtömeg növekedésével együtt növekedett. A rassznak és a nemnek az eltrombopag látszólagos plazma-clearance számításokra gyakorolt hatása a gyermek és serdülőkorú, valamint a felnőtt betegeknél konzisztens volt. Az ITP-s kelet-/délkelet-ázsiai gyermekeknél és serdülőknél megközelítőleg 43%-kal magasabbak voltak a plazma-eltrombopag-</w:t>
      </w:r>
      <w:r>
        <w:rPr>
          <w:szCs w:val="22"/>
          <w:lang w:val="hu-HU"/>
        </w:rPr>
        <w:t xml:space="preserve"> </w:t>
      </w:r>
      <w:proofErr w:type="gramStart"/>
      <w:r>
        <w:rPr>
          <w:szCs w:val="22"/>
          <w:lang w:val="hu-HU"/>
        </w:rPr>
        <w:t>AUC</w:t>
      </w:r>
      <w:r>
        <w:rPr>
          <w:szCs w:val="22"/>
          <w:vertAlign w:val="subscript"/>
          <w:lang w:val="hu-HU"/>
        </w:rPr>
        <w:t>(</w:t>
      </w:r>
      <w:proofErr w:type="gramEnd"/>
      <w:r>
        <w:rPr>
          <w:szCs w:val="22"/>
          <w:vertAlign w:val="subscript"/>
          <w:lang w:val="hu-HU"/>
        </w:rPr>
        <w:t>0-</w:t>
      </w:r>
      <w:r>
        <w:rPr>
          <w:rFonts w:ascii="Segoe UI Symbol" w:eastAsia="Segoe UI Symbol" w:hAnsi="Segoe UI Symbol" w:cs="Segoe UI Symbol"/>
          <w:szCs w:val="22"/>
          <w:vertAlign w:val="subscript"/>
        </w:rPr>
        <w:t>τ</w:t>
      </w:r>
      <w:r>
        <w:rPr>
          <w:szCs w:val="22"/>
          <w:vertAlign w:val="subscript"/>
          <w:lang w:val="hu-HU"/>
        </w:rPr>
        <w:t>)</w:t>
      </w:r>
      <w:r>
        <w:rPr>
          <w:snapToGrid/>
          <w:szCs w:val="22"/>
          <w:lang w:val="hu-HU" w:eastAsia="en-GB"/>
        </w:rPr>
        <w:t>-értékek, mint a nem ázsiai betegeknél. Az ITP-s lány gyermekeknél és serdülőknél megközelítőleg 25%-kal magasabbak voltak a plazma-eltrombopag-</w:t>
      </w:r>
      <w:r>
        <w:rPr>
          <w:szCs w:val="22"/>
          <w:lang w:val="hu-HU"/>
        </w:rPr>
        <w:t xml:space="preserve"> </w:t>
      </w:r>
      <w:proofErr w:type="gramStart"/>
      <w:r>
        <w:rPr>
          <w:szCs w:val="22"/>
          <w:lang w:val="hu-HU"/>
        </w:rPr>
        <w:t>AUC</w:t>
      </w:r>
      <w:r>
        <w:rPr>
          <w:szCs w:val="22"/>
          <w:vertAlign w:val="subscript"/>
          <w:lang w:val="hu-HU"/>
        </w:rPr>
        <w:t>(</w:t>
      </w:r>
      <w:proofErr w:type="gramEnd"/>
      <w:r>
        <w:rPr>
          <w:szCs w:val="22"/>
          <w:vertAlign w:val="subscript"/>
          <w:lang w:val="hu-HU"/>
        </w:rPr>
        <w:t>0-</w:t>
      </w:r>
      <w:r>
        <w:rPr>
          <w:rFonts w:ascii="Segoe UI Symbol" w:eastAsia="Segoe UI Symbol" w:hAnsi="Segoe UI Symbol" w:cs="Segoe UI Symbol"/>
          <w:szCs w:val="22"/>
          <w:vertAlign w:val="subscript"/>
        </w:rPr>
        <w:t>τ</w:t>
      </w:r>
      <w:r>
        <w:rPr>
          <w:szCs w:val="22"/>
          <w:vertAlign w:val="subscript"/>
          <w:lang w:val="hu-HU"/>
        </w:rPr>
        <w:t>)</w:t>
      </w:r>
      <w:r>
        <w:rPr>
          <w:snapToGrid/>
          <w:szCs w:val="22"/>
          <w:lang w:val="hu-HU" w:eastAsia="en-GB"/>
        </w:rPr>
        <w:t>-értékek, mint a fiú betegeknél.</w:t>
      </w:r>
    </w:p>
    <w:p w14:paraId="4B9B5257" w14:textId="77777777" w:rsidR="009F5F6A" w:rsidRDefault="009F5F6A">
      <w:pPr>
        <w:tabs>
          <w:tab w:val="clear" w:pos="567"/>
        </w:tabs>
        <w:autoSpaceDE w:val="0"/>
        <w:autoSpaceDN w:val="0"/>
        <w:adjustRightInd w:val="0"/>
        <w:spacing w:line="240" w:lineRule="auto"/>
        <w:rPr>
          <w:snapToGrid/>
          <w:szCs w:val="22"/>
          <w:lang w:val="hu-HU" w:eastAsia="en-GB"/>
        </w:rPr>
      </w:pPr>
    </w:p>
    <w:p w14:paraId="20B29F36" w14:textId="77777777" w:rsidR="009F5F6A" w:rsidRDefault="00962A10">
      <w:pPr>
        <w:tabs>
          <w:tab w:val="clear" w:pos="567"/>
        </w:tabs>
        <w:autoSpaceDE w:val="0"/>
        <w:autoSpaceDN w:val="0"/>
        <w:adjustRightInd w:val="0"/>
        <w:spacing w:line="240" w:lineRule="auto"/>
        <w:rPr>
          <w:noProof/>
          <w:szCs w:val="22"/>
          <w:u w:val="single"/>
          <w:lang w:val="hu-HU"/>
        </w:rPr>
      </w:pPr>
      <w:r>
        <w:rPr>
          <w:snapToGrid/>
          <w:szCs w:val="22"/>
          <w:lang w:val="hu-HU" w:eastAsia="en-GB"/>
        </w:rPr>
        <w:t>Az eltrombopag ITP-s gyermekeknél és serdülőknél észlelt farmakokinetikai paramétereit a 10. táblázat mutatja.</w:t>
      </w:r>
    </w:p>
    <w:p w14:paraId="7F9298A7" w14:textId="77777777" w:rsidR="009F5F6A" w:rsidRDefault="009F5F6A">
      <w:pPr>
        <w:numPr>
          <w:ilvl w:val="12"/>
          <w:numId w:val="0"/>
        </w:numPr>
        <w:tabs>
          <w:tab w:val="clear" w:pos="567"/>
        </w:tabs>
        <w:spacing w:line="240" w:lineRule="auto"/>
        <w:ind w:right="-2"/>
        <w:rPr>
          <w:noProof/>
          <w:szCs w:val="24"/>
          <w:u w:val="single"/>
          <w:lang w:val="hu-HU"/>
        </w:rPr>
      </w:pPr>
    </w:p>
    <w:p w14:paraId="35F74E28" w14:textId="77777777" w:rsidR="009F5F6A" w:rsidRDefault="00962A10">
      <w:pPr>
        <w:tabs>
          <w:tab w:val="clear" w:pos="567"/>
        </w:tabs>
        <w:autoSpaceDE w:val="0"/>
        <w:autoSpaceDN w:val="0"/>
        <w:adjustRightInd w:val="0"/>
        <w:spacing w:line="240" w:lineRule="auto"/>
        <w:ind w:left="1418" w:hanging="1418"/>
        <w:rPr>
          <w:noProof/>
          <w:szCs w:val="24"/>
          <w:u w:val="single"/>
          <w:lang w:val="hu-HU"/>
        </w:rPr>
      </w:pPr>
      <w:r>
        <w:rPr>
          <w:b/>
          <w:bCs/>
          <w:snapToGrid/>
          <w:szCs w:val="22"/>
          <w:lang w:val="hu-HU" w:eastAsia="en-GB"/>
        </w:rPr>
        <w:t>10. táblázat</w:t>
      </w:r>
      <w:r>
        <w:rPr>
          <w:b/>
          <w:bCs/>
          <w:snapToGrid/>
          <w:szCs w:val="22"/>
          <w:lang w:val="hu-HU" w:eastAsia="en-GB"/>
        </w:rPr>
        <w:tab/>
        <w:t xml:space="preserve">A dinamikus egyensúlyi állapotú plazma-eltrombopag farmakokinetikai paramétereinek mértani átlaga (95%-os CI) ITP-s gyermekeknél és </w:t>
      </w:r>
      <w:r>
        <w:rPr>
          <w:rFonts w:eastAsia="TimesNewRomanPS-BoldMT"/>
          <w:b/>
          <w:bCs/>
          <w:snapToGrid/>
          <w:szCs w:val="22"/>
          <w:lang w:val="hu-HU" w:eastAsia="en-GB"/>
        </w:rPr>
        <w:t xml:space="preserve">serdülőknél </w:t>
      </w:r>
      <w:r>
        <w:rPr>
          <w:b/>
          <w:bCs/>
          <w:snapToGrid/>
          <w:szCs w:val="22"/>
          <w:lang w:val="hu-HU" w:eastAsia="en-GB"/>
        </w:rPr>
        <w:t>(napi egyszeri 50 mg-os adagolási rend)</w:t>
      </w:r>
    </w:p>
    <w:p w14:paraId="6B7E2860" w14:textId="77777777" w:rsidR="009F5F6A" w:rsidRDefault="009F5F6A">
      <w:pPr>
        <w:numPr>
          <w:ilvl w:val="12"/>
          <w:numId w:val="0"/>
        </w:numPr>
        <w:spacing w:line="240" w:lineRule="auto"/>
        <w:ind w:right="-2"/>
        <w:rPr>
          <w:noProof/>
          <w:szCs w:val="24"/>
          <w:u w:val="single"/>
          <w:lang w:val="hu-HU"/>
        </w:rPr>
      </w:pPr>
    </w:p>
    <w:tbl>
      <w:tblPr>
        <w:tblW w:w="8652" w:type="dxa"/>
        <w:tblInd w:w="113" w:type="dxa"/>
        <w:tblCellMar>
          <w:top w:w="13" w:type="dxa"/>
          <w:right w:w="115" w:type="dxa"/>
        </w:tblCellMar>
        <w:tblLook w:val="04A0" w:firstRow="1" w:lastRow="0" w:firstColumn="1" w:lastColumn="0" w:noHBand="0" w:noVBand="1"/>
      </w:tblPr>
      <w:tblGrid>
        <w:gridCol w:w="3132"/>
        <w:gridCol w:w="2760"/>
        <w:gridCol w:w="2760"/>
      </w:tblGrid>
      <w:tr w:rsidR="009F5F6A" w14:paraId="12F361E8" w14:textId="77777777">
        <w:trPr>
          <w:trHeight w:val="532"/>
        </w:trPr>
        <w:tc>
          <w:tcPr>
            <w:tcW w:w="3132" w:type="dxa"/>
            <w:tcBorders>
              <w:top w:val="single" w:sz="4" w:space="0" w:color="000000"/>
              <w:left w:val="single" w:sz="4" w:space="0" w:color="000000"/>
              <w:bottom w:val="single" w:sz="4" w:space="0" w:color="000000"/>
              <w:right w:val="single" w:sz="4" w:space="0" w:color="000000"/>
            </w:tcBorders>
          </w:tcPr>
          <w:p w14:paraId="61DFCE87" w14:textId="77777777" w:rsidR="009F5F6A" w:rsidRDefault="00962A10">
            <w:pPr>
              <w:widowControl w:val="0"/>
              <w:rPr>
                <w:b/>
                <w:szCs w:val="22"/>
                <w:lang w:eastAsia="en-US"/>
              </w:rPr>
            </w:pPr>
            <w:r>
              <w:rPr>
                <w:b/>
                <w:szCs w:val="22"/>
                <w:lang w:eastAsia="en-US"/>
              </w:rPr>
              <w:t xml:space="preserve">Életkor </w:t>
            </w:r>
          </w:p>
        </w:tc>
        <w:tc>
          <w:tcPr>
            <w:tcW w:w="2760" w:type="dxa"/>
            <w:tcBorders>
              <w:top w:val="single" w:sz="4" w:space="0" w:color="000000"/>
              <w:left w:val="single" w:sz="4" w:space="0" w:color="000000"/>
              <w:bottom w:val="single" w:sz="4" w:space="0" w:color="000000"/>
              <w:right w:val="single" w:sz="4" w:space="0" w:color="000000"/>
            </w:tcBorders>
          </w:tcPr>
          <w:p w14:paraId="6203015C" w14:textId="77777777" w:rsidR="009F5F6A" w:rsidRDefault="00962A10">
            <w:pPr>
              <w:widowControl w:val="0"/>
              <w:jc w:val="center"/>
              <w:rPr>
                <w:b/>
                <w:szCs w:val="22"/>
                <w:lang w:eastAsia="en-US"/>
              </w:rPr>
            </w:pPr>
            <w:r>
              <w:rPr>
                <w:b/>
                <w:szCs w:val="22"/>
                <w:lang w:eastAsia="en-US"/>
              </w:rPr>
              <w:t>C</w:t>
            </w:r>
            <w:r>
              <w:rPr>
                <w:b/>
                <w:szCs w:val="22"/>
                <w:vertAlign w:val="subscript"/>
                <w:lang w:eastAsia="en-US"/>
              </w:rPr>
              <w:t>max</w:t>
            </w:r>
          </w:p>
          <w:p w14:paraId="28580AFA" w14:textId="77777777" w:rsidR="009F5F6A" w:rsidRDefault="00962A10">
            <w:pPr>
              <w:widowControl w:val="0"/>
              <w:jc w:val="center"/>
              <w:rPr>
                <w:b/>
                <w:szCs w:val="22"/>
                <w:lang w:eastAsia="en-US"/>
              </w:rPr>
            </w:pPr>
            <w:r>
              <w:rPr>
                <w:b/>
                <w:szCs w:val="22"/>
                <w:lang w:eastAsia="en-US"/>
              </w:rPr>
              <w:t>(mikrogramm/ml)</w:t>
            </w:r>
          </w:p>
        </w:tc>
        <w:tc>
          <w:tcPr>
            <w:tcW w:w="2760" w:type="dxa"/>
            <w:tcBorders>
              <w:top w:val="single" w:sz="4" w:space="0" w:color="000000"/>
              <w:left w:val="single" w:sz="4" w:space="0" w:color="000000"/>
              <w:bottom w:val="single" w:sz="4" w:space="0" w:color="000000"/>
              <w:right w:val="single" w:sz="4" w:space="0" w:color="000000"/>
            </w:tcBorders>
          </w:tcPr>
          <w:p w14:paraId="54A9E984" w14:textId="77777777" w:rsidR="009F5F6A" w:rsidRDefault="00962A10">
            <w:pPr>
              <w:widowControl w:val="0"/>
              <w:jc w:val="center"/>
              <w:rPr>
                <w:b/>
                <w:szCs w:val="22"/>
                <w:lang w:eastAsia="en-US"/>
              </w:rPr>
            </w:pPr>
            <w:r>
              <w:rPr>
                <w:b/>
                <w:szCs w:val="22"/>
                <w:lang w:eastAsia="en-US"/>
              </w:rPr>
              <w:t>AUC</w:t>
            </w:r>
            <w:r>
              <w:rPr>
                <w:b/>
                <w:szCs w:val="22"/>
                <w:vertAlign w:val="subscript"/>
                <w:lang w:eastAsia="en-US"/>
              </w:rPr>
              <w:t>(0-τ)</w:t>
            </w:r>
          </w:p>
          <w:p w14:paraId="15705ED9" w14:textId="77777777" w:rsidR="009F5F6A" w:rsidRDefault="00962A10">
            <w:pPr>
              <w:widowControl w:val="0"/>
              <w:jc w:val="center"/>
              <w:rPr>
                <w:b/>
                <w:szCs w:val="22"/>
                <w:lang w:eastAsia="en-US"/>
              </w:rPr>
            </w:pPr>
            <w:r>
              <w:rPr>
                <w:b/>
                <w:szCs w:val="22"/>
                <w:lang w:eastAsia="en-US"/>
              </w:rPr>
              <w:t>(mikrogramm</w:t>
            </w:r>
            <w:r>
              <w:rPr>
                <w:color w:val="000000"/>
                <w:szCs w:val="22"/>
              </w:rPr>
              <w:t>×</w:t>
            </w:r>
            <w:r>
              <w:rPr>
                <w:b/>
                <w:szCs w:val="22"/>
                <w:lang w:eastAsia="en-US"/>
              </w:rPr>
              <w:t>óra/ml)</w:t>
            </w:r>
          </w:p>
        </w:tc>
      </w:tr>
      <w:tr w:rsidR="009F5F6A" w14:paraId="5DCAD3A6" w14:textId="77777777">
        <w:trPr>
          <w:trHeight w:val="516"/>
        </w:trPr>
        <w:tc>
          <w:tcPr>
            <w:tcW w:w="3132" w:type="dxa"/>
            <w:tcBorders>
              <w:top w:val="single" w:sz="4" w:space="0" w:color="000000"/>
              <w:left w:val="single" w:sz="4" w:space="0" w:color="000000"/>
              <w:bottom w:val="single" w:sz="4" w:space="0" w:color="000000"/>
              <w:right w:val="single" w:sz="4" w:space="0" w:color="000000"/>
            </w:tcBorders>
          </w:tcPr>
          <w:p w14:paraId="1DFFC82A" w14:textId="77777777" w:rsidR="009F5F6A" w:rsidRDefault="00962A10">
            <w:pPr>
              <w:widowControl w:val="0"/>
              <w:rPr>
                <w:szCs w:val="22"/>
                <w:lang w:eastAsia="en-US"/>
              </w:rPr>
            </w:pPr>
            <w:r>
              <w:rPr>
                <w:szCs w:val="22"/>
                <w:lang w:eastAsia="en-US"/>
              </w:rPr>
              <w:t>12-18 év (n = 62)</w:t>
            </w:r>
          </w:p>
        </w:tc>
        <w:tc>
          <w:tcPr>
            <w:tcW w:w="2760" w:type="dxa"/>
            <w:tcBorders>
              <w:top w:val="single" w:sz="4" w:space="0" w:color="000000"/>
              <w:left w:val="single" w:sz="4" w:space="0" w:color="000000"/>
              <w:bottom w:val="single" w:sz="4" w:space="0" w:color="000000"/>
              <w:right w:val="single" w:sz="4" w:space="0" w:color="000000"/>
            </w:tcBorders>
          </w:tcPr>
          <w:p w14:paraId="78AEC6A6" w14:textId="77777777" w:rsidR="009F5F6A" w:rsidRDefault="00962A10">
            <w:pPr>
              <w:widowControl w:val="0"/>
              <w:jc w:val="center"/>
              <w:rPr>
                <w:szCs w:val="22"/>
                <w:lang w:eastAsia="en-US"/>
              </w:rPr>
            </w:pPr>
            <w:r>
              <w:rPr>
                <w:szCs w:val="22"/>
                <w:lang w:eastAsia="en-US"/>
              </w:rPr>
              <w:t>6,80</w:t>
            </w:r>
          </w:p>
          <w:p w14:paraId="6407D4E0" w14:textId="77777777" w:rsidR="009F5F6A" w:rsidRDefault="00962A10">
            <w:pPr>
              <w:widowControl w:val="0"/>
              <w:jc w:val="center"/>
              <w:rPr>
                <w:szCs w:val="22"/>
                <w:lang w:eastAsia="en-US"/>
              </w:rPr>
            </w:pPr>
            <w:r>
              <w:rPr>
                <w:szCs w:val="22"/>
                <w:lang w:eastAsia="en-US"/>
              </w:rPr>
              <w:t>(6,17; 7,50)</w:t>
            </w:r>
          </w:p>
        </w:tc>
        <w:tc>
          <w:tcPr>
            <w:tcW w:w="2760" w:type="dxa"/>
            <w:tcBorders>
              <w:top w:val="single" w:sz="4" w:space="0" w:color="000000"/>
              <w:left w:val="single" w:sz="4" w:space="0" w:color="000000"/>
              <w:bottom w:val="single" w:sz="4" w:space="0" w:color="000000"/>
              <w:right w:val="single" w:sz="4" w:space="0" w:color="000000"/>
            </w:tcBorders>
          </w:tcPr>
          <w:p w14:paraId="1B7E77E9" w14:textId="77777777" w:rsidR="009F5F6A" w:rsidRDefault="00962A10">
            <w:pPr>
              <w:widowControl w:val="0"/>
              <w:jc w:val="center"/>
              <w:rPr>
                <w:szCs w:val="22"/>
                <w:lang w:eastAsia="en-US"/>
              </w:rPr>
            </w:pPr>
            <w:r>
              <w:rPr>
                <w:szCs w:val="22"/>
                <w:lang w:eastAsia="en-US"/>
              </w:rPr>
              <w:t>103 (91,1; 116)</w:t>
            </w:r>
          </w:p>
        </w:tc>
      </w:tr>
      <w:tr w:rsidR="009F5F6A" w14:paraId="0D3BA100" w14:textId="77777777">
        <w:trPr>
          <w:trHeight w:val="516"/>
        </w:trPr>
        <w:tc>
          <w:tcPr>
            <w:tcW w:w="3132" w:type="dxa"/>
            <w:tcBorders>
              <w:top w:val="single" w:sz="4" w:space="0" w:color="000000"/>
              <w:left w:val="single" w:sz="4" w:space="0" w:color="000000"/>
              <w:bottom w:val="single" w:sz="4" w:space="0" w:color="000000"/>
              <w:right w:val="single" w:sz="4" w:space="0" w:color="000000"/>
            </w:tcBorders>
          </w:tcPr>
          <w:p w14:paraId="49267560" w14:textId="77777777" w:rsidR="009F5F6A" w:rsidRDefault="00962A10">
            <w:pPr>
              <w:widowControl w:val="0"/>
              <w:rPr>
                <w:szCs w:val="22"/>
                <w:lang w:eastAsia="en-US"/>
              </w:rPr>
            </w:pPr>
            <w:r>
              <w:rPr>
                <w:szCs w:val="22"/>
                <w:lang w:eastAsia="en-US"/>
              </w:rPr>
              <w:t>6-11 év (n = 68)</w:t>
            </w:r>
          </w:p>
        </w:tc>
        <w:tc>
          <w:tcPr>
            <w:tcW w:w="2760" w:type="dxa"/>
            <w:tcBorders>
              <w:top w:val="single" w:sz="4" w:space="0" w:color="000000"/>
              <w:left w:val="single" w:sz="4" w:space="0" w:color="000000"/>
              <w:bottom w:val="single" w:sz="4" w:space="0" w:color="000000"/>
              <w:right w:val="single" w:sz="4" w:space="0" w:color="000000"/>
            </w:tcBorders>
          </w:tcPr>
          <w:p w14:paraId="6371B732" w14:textId="77777777" w:rsidR="009F5F6A" w:rsidRDefault="00962A10">
            <w:pPr>
              <w:widowControl w:val="0"/>
              <w:jc w:val="center"/>
              <w:rPr>
                <w:szCs w:val="22"/>
                <w:lang w:eastAsia="en-US"/>
              </w:rPr>
            </w:pPr>
            <w:r>
              <w:rPr>
                <w:szCs w:val="22"/>
                <w:lang w:eastAsia="en-US"/>
              </w:rPr>
              <w:t>10,3</w:t>
            </w:r>
          </w:p>
          <w:p w14:paraId="1C8DD268" w14:textId="77777777" w:rsidR="009F5F6A" w:rsidRDefault="00962A10">
            <w:pPr>
              <w:widowControl w:val="0"/>
              <w:jc w:val="center"/>
              <w:rPr>
                <w:szCs w:val="22"/>
                <w:lang w:eastAsia="en-US"/>
              </w:rPr>
            </w:pPr>
            <w:r>
              <w:rPr>
                <w:szCs w:val="22"/>
                <w:lang w:eastAsia="en-US"/>
              </w:rPr>
              <w:t>(9,42; 11,2)</w:t>
            </w:r>
          </w:p>
        </w:tc>
        <w:tc>
          <w:tcPr>
            <w:tcW w:w="2760" w:type="dxa"/>
            <w:tcBorders>
              <w:top w:val="single" w:sz="4" w:space="0" w:color="000000"/>
              <w:left w:val="single" w:sz="4" w:space="0" w:color="000000"/>
              <w:bottom w:val="single" w:sz="4" w:space="0" w:color="000000"/>
              <w:right w:val="single" w:sz="4" w:space="0" w:color="000000"/>
            </w:tcBorders>
          </w:tcPr>
          <w:p w14:paraId="07CDA013" w14:textId="77777777" w:rsidR="009F5F6A" w:rsidRDefault="00962A10">
            <w:pPr>
              <w:widowControl w:val="0"/>
              <w:jc w:val="center"/>
              <w:rPr>
                <w:szCs w:val="22"/>
                <w:lang w:eastAsia="en-US"/>
              </w:rPr>
            </w:pPr>
            <w:r>
              <w:rPr>
                <w:szCs w:val="22"/>
                <w:lang w:eastAsia="en-US"/>
              </w:rPr>
              <w:t>153</w:t>
            </w:r>
          </w:p>
          <w:p w14:paraId="7682A688" w14:textId="77777777" w:rsidR="009F5F6A" w:rsidRDefault="00962A10">
            <w:pPr>
              <w:widowControl w:val="0"/>
              <w:jc w:val="center"/>
              <w:rPr>
                <w:szCs w:val="22"/>
                <w:lang w:eastAsia="en-US"/>
              </w:rPr>
            </w:pPr>
            <w:r>
              <w:rPr>
                <w:szCs w:val="22"/>
                <w:lang w:eastAsia="en-US"/>
              </w:rPr>
              <w:t>(137; 170)</w:t>
            </w:r>
          </w:p>
        </w:tc>
      </w:tr>
      <w:tr w:rsidR="009F5F6A" w14:paraId="4093905C" w14:textId="77777777">
        <w:trPr>
          <w:trHeight w:val="517"/>
        </w:trPr>
        <w:tc>
          <w:tcPr>
            <w:tcW w:w="3132" w:type="dxa"/>
            <w:tcBorders>
              <w:top w:val="single" w:sz="4" w:space="0" w:color="000000"/>
              <w:left w:val="single" w:sz="4" w:space="0" w:color="000000"/>
              <w:bottom w:val="single" w:sz="4" w:space="0" w:color="000000"/>
              <w:right w:val="single" w:sz="4" w:space="0" w:color="000000"/>
            </w:tcBorders>
          </w:tcPr>
          <w:p w14:paraId="439C3E90" w14:textId="77777777" w:rsidR="009F5F6A" w:rsidRDefault="00962A10">
            <w:pPr>
              <w:widowControl w:val="0"/>
              <w:rPr>
                <w:szCs w:val="22"/>
                <w:lang w:eastAsia="en-US"/>
              </w:rPr>
            </w:pPr>
            <w:r>
              <w:rPr>
                <w:szCs w:val="22"/>
                <w:lang w:eastAsia="en-US"/>
              </w:rPr>
              <w:t>1-5 év (n = 38)</w:t>
            </w:r>
          </w:p>
        </w:tc>
        <w:tc>
          <w:tcPr>
            <w:tcW w:w="2760" w:type="dxa"/>
            <w:tcBorders>
              <w:top w:val="single" w:sz="4" w:space="0" w:color="000000"/>
              <w:left w:val="single" w:sz="4" w:space="0" w:color="000000"/>
              <w:bottom w:val="single" w:sz="4" w:space="0" w:color="000000"/>
              <w:right w:val="single" w:sz="4" w:space="0" w:color="000000"/>
            </w:tcBorders>
          </w:tcPr>
          <w:p w14:paraId="5C18F1AD" w14:textId="77777777" w:rsidR="009F5F6A" w:rsidRDefault="00962A10">
            <w:pPr>
              <w:widowControl w:val="0"/>
              <w:jc w:val="center"/>
              <w:rPr>
                <w:szCs w:val="22"/>
                <w:lang w:eastAsia="en-US"/>
              </w:rPr>
            </w:pPr>
            <w:r>
              <w:rPr>
                <w:szCs w:val="22"/>
                <w:lang w:eastAsia="en-US"/>
              </w:rPr>
              <w:t>11,6</w:t>
            </w:r>
          </w:p>
          <w:p w14:paraId="43FC721C" w14:textId="77777777" w:rsidR="009F5F6A" w:rsidRDefault="00962A10">
            <w:pPr>
              <w:widowControl w:val="0"/>
              <w:jc w:val="center"/>
              <w:rPr>
                <w:szCs w:val="22"/>
                <w:lang w:eastAsia="en-US"/>
              </w:rPr>
            </w:pPr>
            <w:r>
              <w:rPr>
                <w:szCs w:val="22"/>
                <w:lang w:eastAsia="en-US"/>
              </w:rPr>
              <w:t>(10,4; 12,9)</w:t>
            </w:r>
          </w:p>
        </w:tc>
        <w:tc>
          <w:tcPr>
            <w:tcW w:w="2760" w:type="dxa"/>
            <w:tcBorders>
              <w:top w:val="single" w:sz="4" w:space="0" w:color="000000"/>
              <w:left w:val="single" w:sz="4" w:space="0" w:color="000000"/>
              <w:bottom w:val="single" w:sz="4" w:space="0" w:color="000000"/>
              <w:right w:val="single" w:sz="4" w:space="0" w:color="000000"/>
            </w:tcBorders>
          </w:tcPr>
          <w:p w14:paraId="46B2641A" w14:textId="77777777" w:rsidR="009F5F6A" w:rsidRDefault="00962A10">
            <w:pPr>
              <w:widowControl w:val="0"/>
              <w:jc w:val="center"/>
              <w:rPr>
                <w:szCs w:val="22"/>
                <w:lang w:eastAsia="en-US"/>
              </w:rPr>
            </w:pPr>
            <w:r>
              <w:rPr>
                <w:szCs w:val="22"/>
                <w:lang w:eastAsia="en-US"/>
              </w:rPr>
              <w:t>162</w:t>
            </w:r>
          </w:p>
          <w:p w14:paraId="44B721AC" w14:textId="77777777" w:rsidR="009F5F6A" w:rsidRDefault="00962A10">
            <w:pPr>
              <w:widowControl w:val="0"/>
              <w:jc w:val="center"/>
              <w:rPr>
                <w:szCs w:val="22"/>
                <w:lang w:eastAsia="en-US"/>
              </w:rPr>
            </w:pPr>
            <w:r>
              <w:rPr>
                <w:szCs w:val="22"/>
                <w:lang w:eastAsia="en-US"/>
              </w:rPr>
              <w:t>(139; 187)</w:t>
            </w:r>
          </w:p>
        </w:tc>
      </w:tr>
    </w:tbl>
    <w:p w14:paraId="78160132" w14:textId="77777777" w:rsidR="009F5F6A" w:rsidRDefault="00962A10">
      <w:pPr>
        <w:spacing w:after="12" w:line="247" w:lineRule="auto"/>
        <w:ind w:left="-6" w:right="14" w:hanging="9"/>
        <w:rPr>
          <w:sz w:val="20"/>
          <w:szCs w:val="22"/>
        </w:rPr>
      </w:pPr>
      <w:proofErr w:type="gramStart"/>
      <w:r>
        <w:rPr>
          <w:sz w:val="20"/>
          <w:szCs w:val="22"/>
        </w:rPr>
        <w:t>Az</w:t>
      </w:r>
      <w:proofErr w:type="gramEnd"/>
      <w:r>
        <w:rPr>
          <w:sz w:val="20"/>
          <w:szCs w:val="22"/>
        </w:rPr>
        <w:t xml:space="preserve"> adatok mértani átlagban (95%-os CI) vannak megadva. Az </w:t>
      </w:r>
      <w:proofErr w:type="gramStart"/>
      <w:r>
        <w:rPr>
          <w:sz w:val="20"/>
          <w:szCs w:val="22"/>
        </w:rPr>
        <w:t>AUC</w:t>
      </w:r>
      <w:r>
        <w:rPr>
          <w:sz w:val="20"/>
          <w:szCs w:val="22"/>
          <w:vertAlign w:val="subscript"/>
        </w:rPr>
        <w:t>(</w:t>
      </w:r>
      <w:proofErr w:type="gramEnd"/>
      <w:r>
        <w:rPr>
          <w:sz w:val="20"/>
          <w:szCs w:val="22"/>
          <w:vertAlign w:val="subscript"/>
        </w:rPr>
        <w:t>0-τ)</w:t>
      </w:r>
      <w:r>
        <w:rPr>
          <w:sz w:val="20"/>
          <w:szCs w:val="22"/>
        </w:rPr>
        <w:t xml:space="preserve"> és a C</w:t>
      </w:r>
      <w:r>
        <w:rPr>
          <w:sz w:val="20"/>
          <w:szCs w:val="22"/>
          <w:vertAlign w:val="subscript"/>
        </w:rPr>
        <w:t>max</w:t>
      </w:r>
      <w:r>
        <w:rPr>
          <w:sz w:val="20"/>
          <w:szCs w:val="22"/>
        </w:rPr>
        <w:t xml:space="preserve"> populációs farmakokinetikai </w:t>
      </w:r>
      <w:r>
        <w:rPr>
          <w:i/>
          <w:iCs/>
          <w:sz w:val="20"/>
          <w:szCs w:val="22"/>
        </w:rPr>
        <w:t>post hoc</w:t>
      </w:r>
      <w:r>
        <w:rPr>
          <w:sz w:val="20"/>
          <w:szCs w:val="22"/>
        </w:rPr>
        <w:t xml:space="preserve"> becsléseken alapul (95%CI).</w:t>
      </w:r>
    </w:p>
    <w:p w14:paraId="7F38CAF4" w14:textId="77777777" w:rsidR="009F5F6A" w:rsidRDefault="009F5F6A">
      <w:pPr>
        <w:numPr>
          <w:ilvl w:val="12"/>
          <w:numId w:val="0"/>
        </w:numPr>
        <w:spacing w:line="240" w:lineRule="auto"/>
        <w:ind w:right="-2"/>
        <w:rPr>
          <w:noProof/>
          <w:szCs w:val="24"/>
          <w:u w:val="single"/>
          <w:lang w:val="hu-HU"/>
        </w:rPr>
      </w:pPr>
    </w:p>
    <w:p w14:paraId="40CEF325"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5.3</w:t>
      </w:r>
      <w:r>
        <w:rPr>
          <w:rFonts w:eastAsia="Times New Roman"/>
          <w:b/>
          <w:noProof/>
          <w:snapToGrid/>
          <w:szCs w:val="22"/>
          <w:lang w:val="hu-HU" w:eastAsia="en-US"/>
        </w:rPr>
        <w:tab/>
        <w:t>A preklinikai biztonságossági vizsgálatok eredményei</w:t>
      </w:r>
    </w:p>
    <w:p w14:paraId="5E5299B2" w14:textId="77777777" w:rsidR="009F5F6A" w:rsidRDefault="009F5F6A">
      <w:pPr>
        <w:spacing w:line="240" w:lineRule="auto"/>
        <w:ind w:left="567" w:hanging="567"/>
        <w:outlineLvl w:val="0"/>
        <w:rPr>
          <w:b/>
          <w:lang w:val="hu-HU"/>
        </w:rPr>
      </w:pPr>
    </w:p>
    <w:p w14:paraId="21DF37E7"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Farmakológiai biztonságossági és ismételt adagolású dózistoxicitási jellemzők</w:t>
      </w:r>
    </w:p>
    <w:p w14:paraId="0B706486" w14:textId="77777777" w:rsidR="009F5F6A" w:rsidRDefault="009F5F6A">
      <w:pPr>
        <w:tabs>
          <w:tab w:val="clear" w:pos="567"/>
        </w:tabs>
        <w:autoSpaceDE w:val="0"/>
        <w:autoSpaceDN w:val="0"/>
        <w:adjustRightInd w:val="0"/>
        <w:spacing w:line="240" w:lineRule="auto"/>
        <w:rPr>
          <w:snapToGrid/>
          <w:szCs w:val="22"/>
          <w:lang w:val="hu-HU" w:eastAsia="en-GB"/>
        </w:rPr>
      </w:pPr>
    </w:p>
    <w:p w14:paraId="71CD26B8" w14:textId="77777777" w:rsidR="009F5F6A" w:rsidRDefault="00962A10">
      <w:pPr>
        <w:tabs>
          <w:tab w:val="clear" w:pos="567"/>
        </w:tabs>
        <w:autoSpaceDE w:val="0"/>
        <w:autoSpaceDN w:val="0"/>
        <w:adjustRightInd w:val="0"/>
        <w:spacing w:line="240" w:lineRule="auto"/>
        <w:rPr>
          <w:b/>
          <w:lang w:val="hu-HU"/>
        </w:rPr>
      </w:pPr>
      <w:r>
        <w:rPr>
          <w:snapToGrid/>
          <w:szCs w:val="22"/>
          <w:lang w:val="hu-HU" w:eastAsia="en-GB"/>
        </w:rPr>
        <w:t>Egyedülálló TPO-receptorspecificitása miatt az eltrombopag nem fokozza a vérlemezke-termelést egérben, patkányban vagy kutyában. Ezért az ilyen állatoktól származó adatok, beleértve a reprodukciós és karcinogenitási vizsgálatokat, nem teljesen modellezik az eltrombopag farmakológiájával kapcsolatos lehetséges mellékhatásokat embernél.</w:t>
      </w:r>
    </w:p>
    <w:p w14:paraId="665349F7" w14:textId="77777777" w:rsidR="009F5F6A" w:rsidRDefault="009F5F6A">
      <w:pPr>
        <w:spacing w:line="240" w:lineRule="auto"/>
        <w:ind w:left="567" w:hanging="567"/>
        <w:outlineLvl w:val="0"/>
        <w:rPr>
          <w:b/>
          <w:lang w:val="hu-HU"/>
        </w:rPr>
      </w:pPr>
    </w:p>
    <w:p w14:paraId="244982F1" w14:textId="77777777" w:rsidR="009F5F6A" w:rsidRDefault="00962A10">
      <w:pPr>
        <w:tabs>
          <w:tab w:val="clear" w:pos="567"/>
        </w:tabs>
        <w:autoSpaceDE w:val="0"/>
        <w:autoSpaceDN w:val="0"/>
        <w:adjustRightInd w:val="0"/>
        <w:spacing w:line="240" w:lineRule="auto"/>
        <w:rPr>
          <w:b/>
          <w:lang w:val="hu-HU"/>
        </w:rPr>
      </w:pPr>
      <w:r>
        <w:rPr>
          <w:snapToGrid/>
          <w:szCs w:val="22"/>
          <w:lang w:val="hu-HU" w:eastAsia="en-GB"/>
        </w:rPr>
        <w:t xml:space="preserve">A kezeléssel összefüggésben lévő szürkehályogot észleltek rágcsálóknál, mely adag- és idő-függő volt. Az AUC alapján számított, 75 mg/nap adagot kapó, felnőtt ITP-s betegeken alapuló humán klinikai expozíció ≥6-szorosánál, illetve 100 mg/nap adagot kapó, felnőtt HCV-s betegeken alapuló humán klinikai expozíció </w:t>
      </w:r>
      <w:proofErr w:type="gramStart"/>
      <w:r>
        <w:rPr>
          <w:snapToGrid/>
          <w:szCs w:val="22"/>
          <w:lang w:val="hu-HU" w:eastAsia="en-GB"/>
        </w:rPr>
        <w:t>3-szorosánál</w:t>
      </w:r>
      <w:proofErr w:type="gramEnd"/>
      <w:r>
        <w:rPr>
          <w:snapToGrid/>
          <w:szCs w:val="22"/>
          <w:lang w:val="hu-HU" w:eastAsia="en-GB"/>
        </w:rPr>
        <w:t xml:space="preserve"> egereknél 6 hét után, patkányoknál 28 hét után figyeltek meg szürkehályogot. Az AUC alapján számított, 75 mg/nap adagot kapó ITP-s betegeken alapuló humán klinikai expozíció </w:t>
      </w:r>
      <w:r>
        <w:rPr>
          <w:rFonts w:ascii="Segoe UI Symbol" w:eastAsia="Segoe UI Symbol" w:hAnsi="Segoe UI Symbol" w:cs="Segoe UI Symbol"/>
          <w:szCs w:val="22"/>
          <w:lang w:val="hu-HU"/>
        </w:rPr>
        <w:t>≥</w:t>
      </w:r>
      <w:r>
        <w:rPr>
          <w:snapToGrid/>
          <w:szCs w:val="22"/>
          <w:lang w:val="hu-HU" w:eastAsia="en-GB"/>
        </w:rPr>
        <w:t xml:space="preserve">4-szeresénél, illetve 100 mg/nap adagot kapó HCV-s betegeken alapuló humán klinikai expozíció 2-szeresénél egereknél 13 hét után, patkányoknál 39 hét után figyeltek meg szürkehályogot. Az AUC alapján az ITP-s gyermekeknél és serdülőknél a napi 75 mg-os, maximális humán klinikai expozíció 9-szeresének megfelelő, nem tolerálható dózisokban a 4. és 32. nap között (az adagolási időszak végén megközelítőleg egy kétéves gyermeknek felel meg) adagolva, az elválasztás előtt álló fiatal patkányoknál ocularis opacitást észleltek (szövettani vizsgálatot nem végeztek). Ugyanakkor az AUC alapján az ITP-s gyermekeknél és serdülőknél a humán klinikai expozíció 5-szörösének megfelelő, tolerálható dózisokban fiatal patkányoknak adva cataractát nem figyeltek meg. Felnőtt kutyáknál 52 hét után nem észleltek szürkehályogot (az AUC alapján számított, 75 mg/nap adagot kapó felnőtt vagy gyermek és </w:t>
      </w:r>
      <w:proofErr w:type="gramStart"/>
      <w:r>
        <w:rPr>
          <w:snapToGrid/>
          <w:szCs w:val="22"/>
          <w:lang w:val="hu-HU" w:eastAsia="en-GB"/>
        </w:rPr>
        <w:t>serdülő korú</w:t>
      </w:r>
      <w:proofErr w:type="gramEnd"/>
      <w:r>
        <w:rPr>
          <w:snapToGrid/>
          <w:szCs w:val="22"/>
          <w:lang w:val="hu-HU" w:eastAsia="en-GB"/>
        </w:rPr>
        <w:t xml:space="preserve"> ITP-s betegeken alapuló humán klinikai expozíció 2-szeresénél, amely egyenértékű a 100 mg/nap adagot kapó HCV-s betegeken alapuló humán klinikai expozícióval).</w:t>
      </w:r>
    </w:p>
    <w:p w14:paraId="333114D8" w14:textId="77777777" w:rsidR="009F5F6A" w:rsidRDefault="009F5F6A">
      <w:pPr>
        <w:spacing w:line="240" w:lineRule="auto"/>
        <w:ind w:left="567" w:hanging="567"/>
        <w:outlineLvl w:val="0"/>
        <w:rPr>
          <w:b/>
          <w:lang w:val="hu-HU"/>
        </w:rPr>
      </w:pPr>
    </w:p>
    <w:p w14:paraId="7CF96C45" w14:textId="77777777" w:rsidR="009F5F6A" w:rsidRDefault="00962A10">
      <w:pPr>
        <w:tabs>
          <w:tab w:val="clear" w:pos="567"/>
        </w:tabs>
        <w:autoSpaceDE w:val="0"/>
        <w:autoSpaceDN w:val="0"/>
        <w:adjustRightInd w:val="0"/>
        <w:spacing w:line="240" w:lineRule="auto"/>
        <w:rPr>
          <w:b/>
          <w:lang w:val="hu-HU"/>
        </w:rPr>
      </w:pPr>
      <w:r>
        <w:rPr>
          <w:snapToGrid/>
          <w:szCs w:val="22"/>
          <w:lang w:val="hu-HU" w:eastAsia="en-GB"/>
        </w:rPr>
        <w:t xml:space="preserve">Legfeljebb 14 napig tartó vizsgálatokban renalis tubularis toxicitást figyeltek meg egérnél és patkánynál, rendszerint megbetegedést és halált okozó expozícióknál. Tubularis toxicitást egy 2 éves orális karcinogenitási vizsgálatban is megfigyeltek egérnél, napi 25, 75 és 150 mg/ttkg adagoknál. Alacsonyabb dózisoknál a hatások kevésbé voltak súlyosak, és azokat regerenatív elváltozások sora jellemezte. A legalacsonyabb dózisnál az expozíció az AUC alapján számított, 75 mg/nap adagot kapó felnőtt vagy gyermek és </w:t>
      </w:r>
      <w:proofErr w:type="gramStart"/>
      <w:r>
        <w:rPr>
          <w:snapToGrid/>
          <w:szCs w:val="22"/>
          <w:lang w:val="hu-HU" w:eastAsia="en-GB"/>
        </w:rPr>
        <w:t>serdülő korú</w:t>
      </w:r>
      <w:proofErr w:type="gramEnd"/>
      <w:r>
        <w:rPr>
          <w:snapToGrid/>
          <w:szCs w:val="22"/>
          <w:lang w:val="hu-HU" w:eastAsia="en-GB"/>
        </w:rPr>
        <w:t xml:space="preserve"> ITP-s betegeken alapuló humán klinikai expozíció 1,2-szerese vagy 0,8-szerese, illetve 100 mg/nap adagot kapó HCV-s betegeken alapuló humán klinikai expozíció 0,6-szorosa volt. Nem tapasztaltak renális hatásokat patkánynál 28 hét után, kutyáknál 52 hét után, az AUC alapján számított 75 mg/nap adagot kapó felnőtt ITP-s betegeken alapuló humán klinikai expozíció 4- illetve 2-szeresénél, valamint gyermek és </w:t>
      </w:r>
      <w:proofErr w:type="gramStart"/>
      <w:r>
        <w:rPr>
          <w:snapToGrid/>
          <w:szCs w:val="22"/>
          <w:lang w:val="hu-HU" w:eastAsia="en-GB"/>
        </w:rPr>
        <w:t>serdülő korú</w:t>
      </w:r>
      <w:proofErr w:type="gramEnd"/>
      <w:r>
        <w:rPr>
          <w:snapToGrid/>
          <w:szCs w:val="22"/>
          <w:lang w:val="hu-HU" w:eastAsia="en-GB"/>
        </w:rPr>
        <w:t xml:space="preserve"> ITP-s betegeken alapuló humán klinikai expozíció 3- illetve 2-szeresénél, amely egyenértékű a 100 mg/nap adagot kapó HCV-s betegeken alapuló humán klinikai expozícióval.</w:t>
      </w:r>
    </w:p>
    <w:p w14:paraId="07BB900D" w14:textId="77777777" w:rsidR="009F5F6A" w:rsidRDefault="009F5F6A">
      <w:pPr>
        <w:spacing w:line="240" w:lineRule="auto"/>
        <w:ind w:left="567" w:hanging="567"/>
        <w:outlineLvl w:val="0"/>
        <w:rPr>
          <w:b/>
          <w:lang w:val="hu-HU"/>
        </w:rPr>
      </w:pPr>
    </w:p>
    <w:p w14:paraId="4191F54D" w14:textId="77777777" w:rsidR="009F5F6A" w:rsidRDefault="00962A10">
      <w:pPr>
        <w:tabs>
          <w:tab w:val="clear" w:pos="567"/>
        </w:tabs>
        <w:autoSpaceDE w:val="0"/>
        <w:autoSpaceDN w:val="0"/>
        <w:adjustRightInd w:val="0"/>
        <w:spacing w:line="240" w:lineRule="auto"/>
        <w:rPr>
          <w:b/>
          <w:lang w:val="hu-HU"/>
        </w:rPr>
      </w:pPr>
      <w:r>
        <w:rPr>
          <w:snapToGrid/>
          <w:szCs w:val="22"/>
          <w:lang w:val="hu-HU" w:eastAsia="en-GB"/>
        </w:rPr>
        <w:t xml:space="preserve">Hepatocyta degenerációt és/vagy nekrózist figyeltek meg egérnél, patkánynál és kutyáknál, gyakran a szérum-májenzimszintek emelkedésével együtt, megbetegedést vagy halált okozó, illetve rosszul tolerált dózisoknál. Tartós kezelés során patkánynál (28 hét) illetve kutyánál (52 hét) nem észleltek hepatikus hatásokat az AUC alapján számított, 75 mg/nap adagot kapó felnőtt ITP-s betegeken alapuló humán klinikai expozíció 4- illetve 2-szeresénél, valamint gyermek és </w:t>
      </w:r>
      <w:proofErr w:type="gramStart"/>
      <w:r>
        <w:rPr>
          <w:snapToGrid/>
          <w:szCs w:val="22"/>
          <w:lang w:val="hu-HU" w:eastAsia="en-GB"/>
        </w:rPr>
        <w:t>serdülő korú</w:t>
      </w:r>
      <w:proofErr w:type="gramEnd"/>
      <w:r>
        <w:rPr>
          <w:snapToGrid/>
          <w:szCs w:val="22"/>
          <w:lang w:val="hu-HU" w:eastAsia="en-GB"/>
        </w:rPr>
        <w:t xml:space="preserve"> ITP-s betegeken alapuló humán klinikai expozíció 3- vagy 2-szeresénél, amely egyenértékű a 100 mg/nap adagot kapó HCV-s betegeken alapuló humán klinikai expozícióval.</w:t>
      </w:r>
    </w:p>
    <w:p w14:paraId="177C55C1" w14:textId="77777777" w:rsidR="009F5F6A" w:rsidRDefault="009F5F6A">
      <w:pPr>
        <w:spacing w:line="240" w:lineRule="auto"/>
        <w:ind w:left="567" w:hanging="567"/>
        <w:outlineLvl w:val="0"/>
        <w:rPr>
          <w:b/>
          <w:lang w:val="hu-HU"/>
        </w:rPr>
      </w:pPr>
    </w:p>
    <w:p w14:paraId="17F28B3B" w14:textId="77777777" w:rsidR="009F5F6A" w:rsidRDefault="00962A10">
      <w:pPr>
        <w:tabs>
          <w:tab w:val="clear" w:pos="567"/>
        </w:tabs>
        <w:autoSpaceDE w:val="0"/>
        <w:autoSpaceDN w:val="0"/>
        <w:adjustRightInd w:val="0"/>
        <w:spacing w:line="240" w:lineRule="auto"/>
        <w:rPr>
          <w:b/>
          <w:lang w:val="hu-HU"/>
        </w:rPr>
      </w:pPr>
      <w:r>
        <w:rPr>
          <w:snapToGrid/>
          <w:szCs w:val="22"/>
          <w:lang w:val="hu-HU" w:eastAsia="en-GB"/>
        </w:rPr>
        <w:t xml:space="preserve">Rövid távú vizsgálatokban, patkányoknál és kutyáknál, a rosszul tolerált dózisoknál (az AUC alapján számított, 75 mg/nap adagot kapó felnőtt vagy gyermek és </w:t>
      </w:r>
      <w:proofErr w:type="gramStart"/>
      <w:r>
        <w:rPr>
          <w:snapToGrid/>
          <w:szCs w:val="22"/>
          <w:lang w:val="hu-HU" w:eastAsia="en-GB"/>
        </w:rPr>
        <w:t>serdülő korú</w:t>
      </w:r>
      <w:proofErr w:type="gramEnd"/>
      <w:r>
        <w:rPr>
          <w:snapToGrid/>
          <w:szCs w:val="22"/>
          <w:lang w:val="hu-HU" w:eastAsia="en-GB"/>
        </w:rPr>
        <w:t xml:space="preserve"> ITP-s betegeken alapuló humán klinikai expozíció több mint 10-szerese vagy több mint 7-szerese, illetve 100 mg/nap adagot kapó HCV-s betegeken alapuló humán klinikai expozíció &gt;4-szerese) a retikulocitaszám csökkenését és regeneratív csontvelő erythroid hyperplasiát (csak patkányoknál) figyeltek meg. </w:t>
      </w:r>
      <w:proofErr w:type="gramStart"/>
      <w:r>
        <w:rPr>
          <w:snapToGrid/>
          <w:szCs w:val="22"/>
          <w:lang w:val="hu-HU" w:eastAsia="en-GB"/>
        </w:rPr>
        <w:t>Nem voltak figyelemre méltó hatások a vörösvértest tömeget és a retikulocitaszámot illetően patkánynál legfeljebb 28 hétig tartó, kutyánál legfeljebb 52 hétig tartó és egérnél legfeljebb 2 évig tartó kezelés során a legnagyobb tolerált adagoknál, melyek az AUC alapján számított, 75 mg/nap adagot kapó felnőtt vagy gyermek és serdülő korú ITP-s betegeken alapuló humán klinikai expozíció 2-4-szeresét, illetve 100 mg/nap adagot kapó HCV-s betegeken alapuló humán klinikai expozíció ≤2-szeresét tették ki.</w:t>
      </w:r>
      <w:proofErr w:type="gramEnd"/>
    </w:p>
    <w:p w14:paraId="4ED4202A" w14:textId="77777777" w:rsidR="009F5F6A" w:rsidRDefault="009F5F6A">
      <w:pPr>
        <w:spacing w:line="240" w:lineRule="auto"/>
        <w:ind w:left="567" w:hanging="567"/>
        <w:outlineLvl w:val="0"/>
        <w:rPr>
          <w:b/>
          <w:lang w:val="hu-HU"/>
        </w:rPr>
      </w:pPr>
    </w:p>
    <w:p w14:paraId="3AE2BAE8" w14:textId="77777777" w:rsidR="009F5F6A" w:rsidRDefault="00962A10">
      <w:pPr>
        <w:tabs>
          <w:tab w:val="clear" w:pos="567"/>
        </w:tabs>
        <w:autoSpaceDE w:val="0"/>
        <w:autoSpaceDN w:val="0"/>
        <w:adjustRightInd w:val="0"/>
        <w:spacing w:line="240" w:lineRule="auto"/>
        <w:rPr>
          <w:b/>
          <w:lang w:val="hu-HU"/>
        </w:rPr>
      </w:pPr>
      <w:r>
        <w:rPr>
          <w:snapToGrid/>
          <w:szCs w:val="22"/>
          <w:lang w:val="hu-HU" w:eastAsia="en-GB"/>
        </w:rPr>
        <w:t xml:space="preserve">Egy 28 hetes toxicitási vizsgálatban endostealis hyperostosist figyeltek meg patkányoknál napi 60 mg/ttkg nem tolerált dózisnál (az AUC alapján számított, 75 mg/nap adagot kapó felnőtt vagy gyermek és </w:t>
      </w:r>
      <w:proofErr w:type="gramStart"/>
      <w:r>
        <w:rPr>
          <w:snapToGrid/>
          <w:szCs w:val="22"/>
          <w:lang w:val="hu-HU" w:eastAsia="en-GB"/>
        </w:rPr>
        <w:t>serdülő korú</w:t>
      </w:r>
      <w:proofErr w:type="gramEnd"/>
      <w:r>
        <w:rPr>
          <w:snapToGrid/>
          <w:szCs w:val="22"/>
          <w:lang w:val="hu-HU" w:eastAsia="en-GB"/>
        </w:rPr>
        <w:t xml:space="preserve"> ITP-s betegeken alapuló humán klinikai expozíció 6-szorosa vagy 4-szerese, illetve 100 mg/nap adagot kapó HCV-s betegeken alapuló humán klinikai expozíció 3-szorosa). Élethosszig tartó (2 éves) expozíciónál nem figyeltek meg csont elváltozásokat egérben illetve patkánynál az AUC alapján számított, 75 mg/nap adagot kapó felnőtt vagy gyermek és </w:t>
      </w:r>
      <w:proofErr w:type="gramStart"/>
      <w:r>
        <w:rPr>
          <w:snapToGrid/>
          <w:szCs w:val="22"/>
          <w:lang w:val="hu-HU" w:eastAsia="en-GB"/>
        </w:rPr>
        <w:t>serdülő korú</w:t>
      </w:r>
      <w:proofErr w:type="gramEnd"/>
      <w:r>
        <w:rPr>
          <w:snapToGrid/>
          <w:szCs w:val="22"/>
          <w:lang w:val="hu-HU" w:eastAsia="en-GB"/>
        </w:rPr>
        <w:t xml:space="preserve"> ITP-s betegeken alapuló humán klinikai expozíció 4-szeresénél vagy 2-szeresénél, illetve 100 mg/nap adagot kapó HCV-s betegeken alapuló humán klinikai expozíció 2-szeresénél.</w:t>
      </w:r>
    </w:p>
    <w:p w14:paraId="27293358" w14:textId="77777777" w:rsidR="009F5F6A" w:rsidRDefault="009F5F6A">
      <w:pPr>
        <w:spacing w:line="240" w:lineRule="auto"/>
        <w:ind w:left="567" w:hanging="567"/>
        <w:outlineLvl w:val="0"/>
        <w:rPr>
          <w:b/>
          <w:lang w:val="hu-HU"/>
        </w:rPr>
      </w:pPr>
    </w:p>
    <w:p w14:paraId="72A3815F"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Karcinogenitás és mutagenitás</w:t>
      </w:r>
    </w:p>
    <w:p w14:paraId="05A70184" w14:textId="77777777" w:rsidR="009F5F6A" w:rsidRDefault="009F5F6A">
      <w:pPr>
        <w:tabs>
          <w:tab w:val="clear" w:pos="567"/>
        </w:tabs>
        <w:autoSpaceDE w:val="0"/>
        <w:autoSpaceDN w:val="0"/>
        <w:adjustRightInd w:val="0"/>
        <w:spacing w:line="240" w:lineRule="auto"/>
        <w:rPr>
          <w:snapToGrid/>
          <w:szCs w:val="22"/>
          <w:lang w:val="hu-HU" w:eastAsia="en-GB"/>
        </w:rPr>
      </w:pPr>
    </w:p>
    <w:p w14:paraId="72F1DCEC" w14:textId="77777777" w:rsidR="009F5F6A" w:rsidRDefault="00962A10">
      <w:pPr>
        <w:tabs>
          <w:tab w:val="clear" w:pos="567"/>
        </w:tabs>
        <w:autoSpaceDE w:val="0"/>
        <w:autoSpaceDN w:val="0"/>
        <w:adjustRightInd w:val="0"/>
        <w:spacing w:line="240" w:lineRule="auto"/>
        <w:rPr>
          <w:b/>
          <w:szCs w:val="22"/>
          <w:lang w:val="hu-HU"/>
        </w:rPr>
      </w:pPr>
      <w:r>
        <w:rPr>
          <w:snapToGrid/>
          <w:szCs w:val="22"/>
          <w:lang w:val="hu-HU" w:eastAsia="en-GB"/>
        </w:rPr>
        <w:t xml:space="preserve">Az eltrombopag nem volt karcinogén egérben legfeljebb napi 75 mg/ttkg-os adagoknál és patkánynál legfeljebb napi 40 mg/ttkg-os adagoknál (az AUC alapján számított, 75 mg/nap adagot kapó felnőtt vagy gyermek és </w:t>
      </w:r>
      <w:proofErr w:type="gramStart"/>
      <w:r>
        <w:rPr>
          <w:snapToGrid/>
          <w:szCs w:val="22"/>
          <w:lang w:val="hu-HU" w:eastAsia="en-GB"/>
        </w:rPr>
        <w:t>serdülő korú</w:t>
      </w:r>
      <w:proofErr w:type="gramEnd"/>
      <w:r>
        <w:rPr>
          <w:snapToGrid/>
          <w:szCs w:val="22"/>
          <w:lang w:val="hu-HU" w:eastAsia="en-GB"/>
        </w:rPr>
        <w:t xml:space="preserve"> ITP-s betegeken alapuló humán klinikai expozíciók legfeljebb 4-szerese vagy 2-szerese, illetve 100 mg/nap adagot kapó HCV-s betegeken alapuló humán klinikai expozíció 2-szerese). Az eltrombopag nem volt mutagén vagy klasztogén egy bakteriális mutációs kísérletsorozatban, illetve két </w:t>
      </w:r>
      <w:r>
        <w:rPr>
          <w:i/>
          <w:iCs/>
          <w:snapToGrid/>
          <w:szCs w:val="22"/>
          <w:lang w:val="hu-HU" w:eastAsia="en-GB"/>
        </w:rPr>
        <w:t xml:space="preserve">in vivo </w:t>
      </w:r>
      <w:r>
        <w:rPr>
          <w:snapToGrid/>
          <w:szCs w:val="22"/>
          <w:lang w:val="hu-HU" w:eastAsia="en-GB"/>
        </w:rPr>
        <w:t>kísérletsorozatban patkányoknál (mikronucleus és nem betervezett DNS szintézis, a C</w:t>
      </w:r>
      <w:r>
        <w:rPr>
          <w:snapToGrid/>
          <w:szCs w:val="22"/>
          <w:vertAlign w:val="subscript"/>
          <w:lang w:val="hu-HU" w:eastAsia="en-GB"/>
        </w:rPr>
        <w:t>max</w:t>
      </w:r>
      <w:r>
        <w:rPr>
          <w:snapToGrid/>
          <w:szCs w:val="22"/>
          <w:lang w:val="hu-HU" w:eastAsia="en-GB"/>
        </w:rPr>
        <w:t xml:space="preserve"> alapján számított, 75 mg/nap adagot kapó felnőtt vagy gyermek és </w:t>
      </w:r>
      <w:proofErr w:type="gramStart"/>
      <w:r>
        <w:rPr>
          <w:snapToGrid/>
          <w:szCs w:val="22"/>
          <w:lang w:val="hu-HU" w:eastAsia="en-GB"/>
        </w:rPr>
        <w:t>serdülő korú</w:t>
      </w:r>
      <w:proofErr w:type="gramEnd"/>
      <w:r>
        <w:rPr>
          <w:snapToGrid/>
          <w:szCs w:val="22"/>
          <w:lang w:val="hu-HU" w:eastAsia="en-GB"/>
        </w:rPr>
        <w:t xml:space="preserve"> ITP-s betegeken alapuló humán klinikai expozíció 10-szeresénél vagy 8-szorosánál, illetve 100 mg/nap adagot kapó HCV-s betegeken alapuló humán klinikai expozíció 7-szeresénél). Az </w:t>
      </w:r>
      <w:r>
        <w:rPr>
          <w:i/>
          <w:iCs/>
          <w:snapToGrid/>
          <w:szCs w:val="22"/>
          <w:lang w:val="hu-HU" w:eastAsia="en-GB"/>
        </w:rPr>
        <w:t xml:space="preserve">in vitro </w:t>
      </w:r>
      <w:r>
        <w:rPr>
          <w:snapToGrid/>
          <w:szCs w:val="22"/>
          <w:lang w:val="hu-HU" w:eastAsia="en-GB"/>
        </w:rPr>
        <w:t xml:space="preserve">egér limfóma tesztsorozatban az eltrombopag marginálisan pozitív volt (a mutációk gyakoriságának </w:t>
      </w:r>
      <w:proofErr w:type="gramStart"/>
      <w:r>
        <w:rPr>
          <w:snapToGrid/>
          <w:szCs w:val="22"/>
          <w:lang w:val="hu-HU" w:eastAsia="en-GB"/>
        </w:rPr>
        <w:t>kevesebb</w:t>
      </w:r>
      <w:proofErr w:type="gramEnd"/>
      <w:r>
        <w:rPr>
          <w:snapToGrid/>
          <w:szCs w:val="22"/>
          <w:lang w:val="hu-HU" w:eastAsia="en-GB"/>
        </w:rPr>
        <w:t xml:space="preserve"> mint 3-szoros növekedése). Ezek az </w:t>
      </w:r>
      <w:r>
        <w:rPr>
          <w:i/>
          <w:iCs/>
          <w:snapToGrid/>
          <w:szCs w:val="22"/>
          <w:lang w:val="hu-HU" w:eastAsia="en-GB"/>
        </w:rPr>
        <w:t xml:space="preserve">in vitro </w:t>
      </w:r>
      <w:r>
        <w:rPr>
          <w:snapToGrid/>
          <w:szCs w:val="22"/>
          <w:lang w:val="hu-HU" w:eastAsia="en-GB"/>
        </w:rPr>
        <w:t xml:space="preserve">és </w:t>
      </w:r>
      <w:r>
        <w:rPr>
          <w:i/>
          <w:iCs/>
          <w:snapToGrid/>
          <w:szCs w:val="22"/>
          <w:lang w:val="hu-HU" w:eastAsia="en-GB"/>
        </w:rPr>
        <w:t xml:space="preserve">in vivo </w:t>
      </w:r>
      <w:r>
        <w:rPr>
          <w:snapToGrid/>
          <w:szCs w:val="22"/>
          <w:lang w:val="hu-HU" w:eastAsia="en-GB"/>
        </w:rPr>
        <w:t>hatások arra utalnak, hogy az eltrombopag nem jelent genotoxikus kockázatot az emberre.</w:t>
      </w:r>
    </w:p>
    <w:p w14:paraId="43B53DE0" w14:textId="77777777" w:rsidR="009F5F6A" w:rsidRDefault="009F5F6A">
      <w:pPr>
        <w:spacing w:line="240" w:lineRule="auto"/>
        <w:ind w:left="567" w:hanging="567"/>
        <w:outlineLvl w:val="0"/>
        <w:rPr>
          <w:b/>
          <w:lang w:val="hu-HU"/>
        </w:rPr>
      </w:pPr>
    </w:p>
    <w:p w14:paraId="1B1382D5"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Reprodukciós toxicitás</w:t>
      </w:r>
    </w:p>
    <w:p w14:paraId="568EF1A8" w14:textId="77777777" w:rsidR="009F5F6A" w:rsidRDefault="009F5F6A">
      <w:pPr>
        <w:tabs>
          <w:tab w:val="clear" w:pos="567"/>
        </w:tabs>
        <w:autoSpaceDE w:val="0"/>
        <w:autoSpaceDN w:val="0"/>
        <w:adjustRightInd w:val="0"/>
        <w:spacing w:line="240" w:lineRule="auto"/>
        <w:rPr>
          <w:snapToGrid/>
          <w:szCs w:val="22"/>
          <w:lang w:val="hu-HU" w:eastAsia="en-GB"/>
        </w:rPr>
      </w:pPr>
    </w:p>
    <w:p w14:paraId="44D9906C" w14:textId="77777777" w:rsidR="009F5F6A" w:rsidRDefault="00962A10">
      <w:pPr>
        <w:tabs>
          <w:tab w:val="clear" w:pos="567"/>
        </w:tabs>
        <w:autoSpaceDE w:val="0"/>
        <w:autoSpaceDN w:val="0"/>
        <w:adjustRightInd w:val="0"/>
        <w:spacing w:line="240" w:lineRule="auto"/>
        <w:rPr>
          <w:b/>
          <w:szCs w:val="22"/>
          <w:lang w:val="hu-HU"/>
        </w:rPr>
      </w:pPr>
      <w:r>
        <w:rPr>
          <w:snapToGrid/>
          <w:szCs w:val="22"/>
          <w:lang w:val="hu-HU" w:eastAsia="en-GB"/>
        </w:rPr>
        <w:t xml:space="preserve">Az eltrombopag nem befolyásolta a nőstény fertilitást, a korai embrionális fejlődést, vagy az embriofoetalis fejlődést patkányoknál, legfeljebb napi 20 mg/ttkg-os adagoknál (az AUC alapján számított, 75 mg/nap adagot kapó felnőtt vagy serdülő (12-18 éves) ITP-s betegeken alapuló humán klinikai expozíció 2-szerese, amely egyenértékű a 100 mg/nap adagot kapó HCV-s betegeken alapuló humán klinikai expozícióval). Ugyancsak nem befolyásolta az embriofoetalis fejlődést nyulaknál legfeljebb napi 150 mg/ttkg-os adagoknál, amely a legmagasabb vizsgált dózis volt (az AUC alapján számított, 75 mg/nap adagot kapó ITP-s és 100 mg/nap adagot kapó HCV-s betegeken alapuló humán klinikai expozíció 0,3-0,5-szöröse). </w:t>
      </w:r>
      <w:proofErr w:type="gramStart"/>
      <w:r>
        <w:rPr>
          <w:snapToGrid/>
          <w:szCs w:val="22"/>
          <w:lang w:val="hu-HU" w:eastAsia="en-GB"/>
        </w:rPr>
        <w:t>Mindazonáltal, az anyára nézve toxikus, napi 60 mg/ttkg dózisoknál (az AUC alapján számított, 75 mg/nap adagot kapó ITP-s betegeken alapuló humán klinikai expozíció 6-szorosa, illetve 100 mg/nap adagot kapó HCV-s betegeken alapuló humán klinikai expozíció 3-szorosa) az eltrombopag-kezelés patkányoknál az embrió elhalálozásával (megnövekedett pre- és post-implantációs veszteség), csökkent magzati testsúllyal és a terhes méh súlyának csökkenésével járt együtt a nőstény fertilitás vizsgálatban, és a nyaki borda ritka előfordulásával, valamint csökkent magzati testtömeggel járt együtt az embriofoetalis</w:t>
      </w:r>
      <w:proofErr w:type="gramEnd"/>
      <w:r>
        <w:rPr>
          <w:snapToGrid/>
          <w:szCs w:val="22"/>
          <w:lang w:val="hu-HU" w:eastAsia="en-GB"/>
        </w:rPr>
        <w:t xml:space="preserve"> </w:t>
      </w:r>
      <w:proofErr w:type="gramStart"/>
      <w:r>
        <w:rPr>
          <w:snapToGrid/>
          <w:szCs w:val="22"/>
          <w:lang w:val="hu-HU" w:eastAsia="en-GB"/>
        </w:rPr>
        <w:t>fejlődési</w:t>
      </w:r>
      <w:proofErr w:type="gramEnd"/>
      <w:r>
        <w:rPr>
          <w:snapToGrid/>
          <w:szCs w:val="22"/>
          <w:lang w:val="hu-HU" w:eastAsia="en-GB"/>
        </w:rPr>
        <w:t xml:space="preserve"> vizsgálatban. Az eltrombopag csak akkor alkalmazható terhesség alatt, ha a kezelés várható előnye ellensúlyozza a magzatra vonatkozó lehetséges kockázatot (lásd 4.6 pont). Az eltrombopag nem befolyásolta a hím fertilitást patkányoknál legfeljebb napi 40 mg/ttkg-os adagoknál, amely a legmagasabb vizsgált dózis volt (az AUC alapján számított, 75 mg/nap adagot kapó ITP-s betegeken alapuló humán klinikai expozíció 3-szorosa, illetve 100 mg/nap adagot kapó HCV-s betegeken alapuló humán klinikai expozíció 2-szerese). Patkányokon végzett pre- és postnatalis fejlődési vizsgálatban nem toxikus anyai dózisoknál (napi 10 és 20 mg/ttkg) nem találtak nemkívánatos hatást az F</w:t>
      </w:r>
      <w:r>
        <w:rPr>
          <w:snapToGrid/>
          <w:szCs w:val="22"/>
          <w:vertAlign w:val="subscript"/>
          <w:lang w:val="hu-HU" w:eastAsia="en-GB"/>
        </w:rPr>
        <w:t>0</w:t>
      </w:r>
      <w:r>
        <w:rPr>
          <w:snapToGrid/>
          <w:szCs w:val="22"/>
          <w:lang w:val="hu-HU" w:eastAsia="en-GB"/>
        </w:rPr>
        <w:t xml:space="preserve"> nőstény patkányok vemhességére, ellésére és szoptatására, valamint az utódok (F</w:t>
      </w:r>
      <w:r>
        <w:rPr>
          <w:snapToGrid/>
          <w:szCs w:val="22"/>
          <w:vertAlign w:val="subscript"/>
          <w:lang w:val="hu-HU" w:eastAsia="en-GB"/>
        </w:rPr>
        <w:t>1</w:t>
      </w:r>
      <w:r>
        <w:rPr>
          <w:snapToGrid/>
          <w:szCs w:val="22"/>
          <w:lang w:val="hu-HU" w:eastAsia="en-GB"/>
        </w:rPr>
        <w:t>) növekedésére, fejlődésére, idegi-viselkedési vagy reprodukciós funkcióira. Az F</w:t>
      </w:r>
      <w:r>
        <w:rPr>
          <w:snapToGrid/>
          <w:szCs w:val="22"/>
          <w:vertAlign w:val="subscript"/>
          <w:lang w:val="hu-HU" w:eastAsia="en-GB"/>
        </w:rPr>
        <w:t>0</w:t>
      </w:r>
      <w:r>
        <w:rPr>
          <w:snapToGrid/>
          <w:szCs w:val="22"/>
          <w:lang w:val="hu-HU" w:eastAsia="en-GB"/>
        </w:rPr>
        <w:t xml:space="preserve"> anyáknál történő gyógyszeralkalmazást követően az eltrombopagot az összes F</w:t>
      </w:r>
      <w:r>
        <w:rPr>
          <w:snapToGrid/>
          <w:szCs w:val="22"/>
          <w:vertAlign w:val="subscript"/>
          <w:lang w:val="hu-HU" w:eastAsia="en-GB"/>
        </w:rPr>
        <w:t>1</w:t>
      </w:r>
      <w:r>
        <w:rPr>
          <w:snapToGrid/>
          <w:szCs w:val="22"/>
          <w:lang w:val="hu-HU" w:eastAsia="en-GB"/>
        </w:rPr>
        <w:t xml:space="preserve"> patkánykölyök plazmájában kimutatták a teljes 22 órás mintavételi idő alatt, ami arra utal, hogy a patkánykölykök eltrombopag expozícióját valószínűleg a szoptatás eredményezte.</w:t>
      </w:r>
    </w:p>
    <w:p w14:paraId="698669A1" w14:textId="77777777" w:rsidR="009F5F6A" w:rsidRDefault="009F5F6A">
      <w:pPr>
        <w:spacing w:line="240" w:lineRule="auto"/>
        <w:ind w:left="567" w:hanging="567"/>
        <w:outlineLvl w:val="0"/>
        <w:rPr>
          <w:b/>
          <w:lang w:val="hu-HU"/>
        </w:rPr>
      </w:pPr>
    </w:p>
    <w:p w14:paraId="648F42FE"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Fototoxicitás</w:t>
      </w:r>
    </w:p>
    <w:p w14:paraId="6709EDA0" w14:textId="77777777" w:rsidR="009F5F6A" w:rsidRDefault="009F5F6A">
      <w:pPr>
        <w:tabs>
          <w:tab w:val="clear" w:pos="567"/>
        </w:tabs>
        <w:autoSpaceDE w:val="0"/>
        <w:autoSpaceDN w:val="0"/>
        <w:adjustRightInd w:val="0"/>
        <w:spacing w:line="240" w:lineRule="auto"/>
        <w:rPr>
          <w:snapToGrid/>
          <w:szCs w:val="22"/>
          <w:lang w:val="hu-HU" w:eastAsia="en-GB"/>
        </w:rPr>
      </w:pPr>
    </w:p>
    <w:p w14:paraId="02EE0DC9" w14:textId="77777777" w:rsidR="009F5F6A" w:rsidRDefault="00962A10">
      <w:pPr>
        <w:tabs>
          <w:tab w:val="clear" w:pos="567"/>
        </w:tabs>
        <w:autoSpaceDE w:val="0"/>
        <w:autoSpaceDN w:val="0"/>
        <w:adjustRightInd w:val="0"/>
        <w:spacing w:line="240" w:lineRule="auto"/>
        <w:rPr>
          <w:b/>
          <w:lang w:val="hu-HU"/>
        </w:rPr>
      </w:pPr>
      <w:proofErr w:type="gramStart"/>
      <w:r>
        <w:rPr>
          <w:snapToGrid/>
          <w:szCs w:val="22"/>
          <w:lang w:val="hu-HU" w:eastAsia="en-GB"/>
        </w:rPr>
        <w:t xml:space="preserve">Az eltrombopaggal végzett </w:t>
      </w:r>
      <w:r>
        <w:rPr>
          <w:i/>
          <w:iCs/>
          <w:snapToGrid/>
          <w:szCs w:val="22"/>
          <w:lang w:val="hu-HU" w:eastAsia="en-GB"/>
        </w:rPr>
        <w:t xml:space="preserve">in vitro </w:t>
      </w:r>
      <w:r>
        <w:rPr>
          <w:snapToGrid/>
          <w:szCs w:val="22"/>
          <w:lang w:val="hu-HU" w:eastAsia="en-GB"/>
        </w:rPr>
        <w:t xml:space="preserve">vizsgálatok felvetik a fototoxicitás kockázatának lehetőségét; azonban rágcsálóknál nem volt látható jele bőr-fototoxicitásnak (az AUC alapján számított, 75 mg/nap adagot kapó felnőtt vagy gyermek és serdülő korú ITP-s betegeken alapuló humán klinikai expozíció 10-szerese vagy 7-szerese, illetve 100 mg/nap adagot kapó HCV-s betegeken alapuló humán klinikai expozíció 5-szöröse) vagy szem-fototoxicitásnak (az AUC alapján számított, 75 mg/nap adagot kapó felnőtt vagy gyermek és serdülőkorú ITP-s betegeken alapuló humán klinikai expozíció </w:t>
      </w:r>
      <w:r>
        <w:rPr>
          <w:rFonts w:ascii="Segoe UI Symbol" w:eastAsia="Segoe UI Symbol" w:hAnsi="Segoe UI Symbol" w:cs="Segoe UI Symbol"/>
          <w:szCs w:val="22"/>
          <w:lang w:val="hu-HU"/>
        </w:rPr>
        <w:t>≥ </w:t>
      </w:r>
      <w:r>
        <w:rPr>
          <w:snapToGrid/>
          <w:szCs w:val="22"/>
          <w:lang w:val="hu-HU" w:eastAsia="en-GB"/>
        </w:rPr>
        <w:t>4-szerese, illetve 100 mg/nap</w:t>
      </w:r>
      <w:proofErr w:type="gramEnd"/>
      <w:r>
        <w:rPr>
          <w:snapToGrid/>
          <w:szCs w:val="22"/>
          <w:lang w:val="hu-HU" w:eastAsia="en-GB"/>
        </w:rPr>
        <w:t xml:space="preserve"> </w:t>
      </w:r>
      <w:proofErr w:type="gramStart"/>
      <w:r>
        <w:rPr>
          <w:snapToGrid/>
          <w:szCs w:val="22"/>
          <w:lang w:val="hu-HU" w:eastAsia="en-GB"/>
        </w:rPr>
        <w:t>adagot</w:t>
      </w:r>
      <w:proofErr w:type="gramEnd"/>
      <w:r>
        <w:rPr>
          <w:snapToGrid/>
          <w:szCs w:val="22"/>
          <w:lang w:val="hu-HU" w:eastAsia="en-GB"/>
        </w:rPr>
        <w:t xml:space="preserve"> kapó HCV-s betegeken alapuló humán klinikai expozíció 3-szorosa). Továbbá, egy klinikai farmakológiai vizsgálatban 36 személynél nem volt bizonyíték arra, hogy a fényérzékenység fokozódott volna 75 mg eltrombopag adagolása után. Ezt a késleltetett fototoxicitási index segítségével mérték. Mindazonáltal, a fényallergia potenciális kockázata nem zárható ki, mivel nem végezhető specifikus preklinikai vizsgálat.</w:t>
      </w:r>
    </w:p>
    <w:p w14:paraId="019398C3" w14:textId="77777777" w:rsidR="009F5F6A" w:rsidRDefault="009F5F6A">
      <w:pPr>
        <w:spacing w:line="240" w:lineRule="auto"/>
        <w:ind w:left="567" w:hanging="567"/>
        <w:outlineLvl w:val="0"/>
        <w:rPr>
          <w:b/>
          <w:lang w:val="hu-HU"/>
        </w:rPr>
      </w:pPr>
    </w:p>
    <w:p w14:paraId="165821EC"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Fiatal állatokkal végzett vizsgálatok</w:t>
      </w:r>
    </w:p>
    <w:p w14:paraId="4E1A243C" w14:textId="77777777" w:rsidR="009F5F6A" w:rsidRDefault="009F5F6A">
      <w:pPr>
        <w:tabs>
          <w:tab w:val="clear" w:pos="567"/>
        </w:tabs>
        <w:autoSpaceDE w:val="0"/>
        <w:autoSpaceDN w:val="0"/>
        <w:adjustRightInd w:val="0"/>
        <w:spacing w:line="240" w:lineRule="auto"/>
        <w:rPr>
          <w:snapToGrid/>
          <w:szCs w:val="22"/>
          <w:lang w:val="hu-HU" w:eastAsia="en-GB"/>
        </w:rPr>
      </w:pPr>
    </w:p>
    <w:p w14:paraId="5BECDFC7" w14:textId="77777777" w:rsidR="009F5F6A" w:rsidRDefault="00962A10">
      <w:pPr>
        <w:tabs>
          <w:tab w:val="clear" w:pos="567"/>
        </w:tabs>
        <w:autoSpaceDE w:val="0"/>
        <w:autoSpaceDN w:val="0"/>
        <w:adjustRightInd w:val="0"/>
        <w:spacing w:line="240" w:lineRule="auto"/>
        <w:rPr>
          <w:rFonts w:eastAsia="Times New Roman"/>
          <w:noProof/>
          <w:snapToGrid/>
          <w:szCs w:val="22"/>
          <w:u w:val="single"/>
          <w:lang w:val="hu-HU" w:eastAsia="en-US"/>
        </w:rPr>
      </w:pPr>
      <w:r>
        <w:rPr>
          <w:snapToGrid/>
          <w:szCs w:val="22"/>
          <w:lang w:val="hu-HU" w:eastAsia="en-GB"/>
        </w:rPr>
        <w:t>Nem tolerálható dózisokban adagolva, az elválasztás előtt álló fiatal patkányoknál ocularis opacitást észleltek. Tolerálható dózisoknál nem figyeltek meg ocularis opacitást (lásd fent a „Farmakológiai biztonságossági és ismételt adagolású dózistoxicitási jellemzők” c. alpontot). Következésképpen, az AUC alapján meghatározott expozíciós határokat figyelembe véve az eltrombopaggal összefüggő szürkehályog kialakulásának kockázatát gyermek és serdülőkorú betegeknél nem lehet kizárni. A fiatal patkányoknál nem észleltek arra utaló eredményeket, hogy az eltrombopag-kezelés mellett nagyobb a toxicitás kockázata az ITP-s gyermek és serdülőkorú betegeknél, mint a felnőtteknél.</w:t>
      </w:r>
    </w:p>
    <w:p w14:paraId="2951BA5F" w14:textId="77777777" w:rsidR="009F5F6A" w:rsidRDefault="009F5F6A">
      <w:pPr>
        <w:spacing w:line="240" w:lineRule="auto"/>
        <w:rPr>
          <w:lang w:val="hu-HU"/>
        </w:rPr>
      </w:pPr>
    </w:p>
    <w:p w14:paraId="3F67A9A0" w14:textId="77777777" w:rsidR="009F5F6A" w:rsidRDefault="009F5F6A">
      <w:pPr>
        <w:spacing w:line="240" w:lineRule="auto"/>
        <w:rPr>
          <w:lang w:val="hu-HU"/>
        </w:rPr>
      </w:pPr>
    </w:p>
    <w:p w14:paraId="06E3342C"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w:t>
      </w:r>
      <w:r>
        <w:rPr>
          <w:rFonts w:eastAsia="Times New Roman"/>
          <w:b/>
          <w:noProof/>
          <w:snapToGrid/>
          <w:szCs w:val="22"/>
          <w:lang w:val="hu-HU" w:eastAsia="en-US"/>
        </w:rPr>
        <w:tab/>
        <w:t>GYÓGYSZERÉSZETI JELLEMZŐK</w:t>
      </w:r>
    </w:p>
    <w:p w14:paraId="555535AE" w14:textId="77777777" w:rsidR="009F5F6A" w:rsidRDefault="009F5F6A">
      <w:pPr>
        <w:spacing w:line="240" w:lineRule="auto"/>
        <w:ind w:left="567" w:hanging="567"/>
        <w:outlineLvl w:val="0"/>
        <w:rPr>
          <w:b/>
          <w:lang w:val="hu-HU"/>
        </w:rPr>
      </w:pPr>
    </w:p>
    <w:p w14:paraId="40F928CE"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6.1</w:t>
      </w:r>
      <w:r>
        <w:rPr>
          <w:rFonts w:eastAsia="Times New Roman"/>
          <w:b/>
          <w:noProof/>
          <w:snapToGrid/>
          <w:szCs w:val="22"/>
          <w:lang w:val="hu-HU" w:eastAsia="en-US"/>
        </w:rPr>
        <w:tab/>
        <w:t>Segédanyagok felsorolása</w:t>
      </w:r>
    </w:p>
    <w:p w14:paraId="319F4373" w14:textId="77777777" w:rsidR="009F5F6A" w:rsidRDefault="009F5F6A">
      <w:pPr>
        <w:spacing w:line="240" w:lineRule="auto"/>
        <w:rPr>
          <w:rFonts w:eastAsia="Times New Roman"/>
          <w:noProof/>
          <w:snapToGrid/>
          <w:szCs w:val="22"/>
          <w:lang w:val="hu-HU" w:eastAsia="en-US"/>
        </w:rPr>
      </w:pPr>
    </w:p>
    <w:p w14:paraId="45EB59BC"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25 mg filmtabletta</w:t>
      </w:r>
    </w:p>
    <w:p w14:paraId="70DE5BA8" w14:textId="77777777" w:rsidR="009F5F6A" w:rsidRDefault="009F5F6A">
      <w:pPr>
        <w:widowControl w:val="0"/>
        <w:spacing w:line="240" w:lineRule="auto"/>
        <w:rPr>
          <w:rFonts w:eastAsia="Times New Roman"/>
          <w:noProof/>
          <w:snapToGrid/>
          <w:szCs w:val="22"/>
          <w:lang w:val="hu-HU" w:eastAsia="en-US"/>
        </w:rPr>
      </w:pPr>
    </w:p>
    <w:p w14:paraId="1D6F3E7C" w14:textId="77777777" w:rsidR="009F5F6A" w:rsidRDefault="00962A10">
      <w:pPr>
        <w:ind w:left="1560" w:hanging="1560"/>
        <w:rPr>
          <w:i/>
          <w:szCs w:val="22"/>
          <w:u w:val="single"/>
          <w:lang w:val="hu-HU"/>
        </w:rPr>
      </w:pPr>
      <w:r>
        <w:rPr>
          <w:i/>
          <w:szCs w:val="22"/>
          <w:u w:val="single"/>
          <w:lang w:val="hu-HU"/>
        </w:rPr>
        <w:t>Tablettamag</w:t>
      </w:r>
    </w:p>
    <w:p w14:paraId="4FBCD7AA" w14:textId="77777777" w:rsidR="009F5F6A" w:rsidRDefault="00962A10">
      <w:pPr>
        <w:suppressAutoHyphens/>
        <w:ind w:right="-2"/>
        <w:rPr>
          <w:szCs w:val="22"/>
          <w:lang w:val="hu-HU"/>
        </w:rPr>
      </w:pPr>
      <w:r>
        <w:rPr>
          <w:szCs w:val="22"/>
          <w:lang w:val="hu-HU"/>
        </w:rPr>
        <w:t>magnézium</w:t>
      </w:r>
      <w:r>
        <w:rPr>
          <w:szCs w:val="22"/>
          <w:lang w:val="hu-HU"/>
        </w:rPr>
        <w:noBreakHyphen/>
        <w:t>sztearát</w:t>
      </w:r>
    </w:p>
    <w:p w14:paraId="1AAA6C94" w14:textId="77777777" w:rsidR="009F5F6A" w:rsidRDefault="00962A10">
      <w:pPr>
        <w:suppressAutoHyphens/>
        <w:ind w:right="-2"/>
        <w:rPr>
          <w:szCs w:val="22"/>
          <w:lang w:val="hu-HU"/>
        </w:rPr>
      </w:pPr>
      <w:proofErr w:type="gramStart"/>
      <w:r>
        <w:rPr>
          <w:szCs w:val="22"/>
          <w:lang w:val="hu-HU"/>
        </w:rPr>
        <w:t>mannit</w:t>
      </w:r>
      <w:proofErr w:type="gramEnd"/>
    </w:p>
    <w:p w14:paraId="171418C0" w14:textId="77777777" w:rsidR="009F5F6A" w:rsidRDefault="00962A10">
      <w:pPr>
        <w:suppressAutoHyphens/>
        <w:ind w:right="-2"/>
        <w:rPr>
          <w:szCs w:val="22"/>
          <w:lang w:val="hu-HU"/>
        </w:rPr>
      </w:pPr>
      <w:proofErr w:type="gramStart"/>
      <w:r>
        <w:rPr>
          <w:szCs w:val="22"/>
          <w:lang w:val="hu-HU"/>
        </w:rPr>
        <w:t>mikrokristályos</w:t>
      </w:r>
      <w:proofErr w:type="gramEnd"/>
      <w:r>
        <w:rPr>
          <w:szCs w:val="22"/>
          <w:lang w:val="hu-HU"/>
        </w:rPr>
        <w:t xml:space="preserve"> cellulóz</w:t>
      </w:r>
    </w:p>
    <w:p w14:paraId="79062CF4" w14:textId="77777777" w:rsidR="009F5F6A" w:rsidRDefault="00962A10">
      <w:pPr>
        <w:suppressAutoHyphens/>
        <w:ind w:right="-2"/>
        <w:rPr>
          <w:szCs w:val="22"/>
          <w:lang w:val="hu-HU"/>
        </w:rPr>
      </w:pPr>
      <w:r>
        <w:rPr>
          <w:szCs w:val="22"/>
          <w:lang w:val="hu-HU"/>
        </w:rPr>
        <w:t>povidon</w:t>
      </w:r>
    </w:p>
    <w:p w14:paraId="7CF7771C" w14:textId="77777777" w:rsidR="009F5F6A" w:rsidRDefault="00962A10">
      <w:pPr>
        <w:suppressAutoHyphens/>
        <w:ind w:right="-2"/>
        <w:rPr>
          <w:szCs w:val="22"/>
          <w:lang w:val="hu-HU"/>
        </w:rPr>
      </w:pPr>
      <w:r>
        <w:rPr>
          <w:szCs w:val="22"/>
          <w:lang w:val="hu-HU"/>
        </w:rPr>
        <w:t>karboximetilkeményítő-nátrium (A típus)</w:t>
      </w:r>
    </w:p>
    <w:p w14:paraId="3CA171B8" w14:textId="127657F8" w:rsidR="009F5F6A" w:rsidRDefault="00962A10">
      <w:pPr>
        <w:suppressAutoHyphens/>
        <w:ind w:right="-2"/>
        <w:rPr>
          <w:szCs w:val="22"/>
          <w:lang w:val="hu-HU"/>
        </w:rPr>
      </w:pPr>
      <w:r>
        <w:rPr>
          <w:szCs w:val="22"/>
          <w:lang w:val="hu-HU"/>
        </w:rPr>
        <w:t>hidroxipropilcellulóz</w:t>
      </w:r>
    </w:p>
    <w:p w14:paraId="2FBE28C4" w14:textId="77777777" w:rsidR="00F26BB7" w:rsidRDefault="00F26BB7">
      <w:pPr>
        <w:suppressAutoHyphens/>
        <w:ind w:right="-2"/>
        <w:rPr>
          <w:szCs w:val="22"/>
          <w:lang w:val="hu-HU"/>
        </w:rPr>
      </w:pPr>
    </w:p>
    <w:p w14:paraId="14EA2AC8" w14:textId="77777777" w:rsidR="009F5F6A" w:rsidRDefault="00962A10">
      <w:pPr>
        <w:suppressAutoHyphens/>
        <w:ind w:right="-2"/>
        <w:rPr>
          <w:i/>
          <w:szCs w:val="22"/>
          <w:u w:val="single"/>
          <w:lang w:val="hu-HU"/>
        </w:rPr>
      </w:pPr>
      <w:r>
        <w:rPr>
          <w:i/>
          <w:szCs w:val="22"/>
          <w:u w:val="single"/>
          <w:lang w:val="hu-HU"/>
        </w:rPr>
        <w:t>Tabletta bevonat</w:t>
      </w:r>
    </w:p>
    <w:p w14:paraId="7677F420" w14:textId="77777777" w:rsidR="009F5F6A" w:rsidRDefault="00962A10">
      <w:pPr>
        <w:suppressAutoHyphens/>
        <w:ind w:right="-2"/>
        <w:rPr>
          <w:szCs w:val="22"/>
          <w:lang w:val="hu-HU"/>
        </w:rPr>
      </w:pPr>
      <w:r>
        <w:rPr>
          <w:szCs w:val="22"/>
          <w:lang w:val="hu-HU"/>
        </w:rPr>
        <w:t>hipromellóz</w:t>
      </w:r>
    </w:p>
    <w:p w14:paraId="72DD55AD" w14:textId="7EFA693A" w:rsidR="009F5F6A" w:rsidRDefault="00962A10">
      <w:pPr>
        <w:suppressAutoHyphens/>
        <w:ind w:right="-2"/>
        <w:rPr>
          <w:szCs w:val="22"/>
          <w:lang w:val="hu-HU"/>
        </w:rPr>
      </w:pPr>
      <w:r>
        <w:rPr>
          <w:szCs w:val="22"/>
          <w:lang w:val="hu-HU"/>
        </w:rPr>
        <w:t>makrogol</w:t>
      </w:r>
    </w:p>
    <w:p w14:paraId="302CB6F9" w14:textId="77777777" w:rsidR="009F5F6A" w:rsidRDefault="00962A10">
      <w:pPr>
        <w:suppressAutoHyphens/>
        <w:ind w:right="-2"/>
        <w:rPr>
          <w:szCs w:val="22"/>
          <w:lang w:val="hu-HU"/>
        </w:rPr>
      </w:pPr>
      <w:proofErr w:type="gramStart"/>
      <w:r>
        <w:rPr>
          <w:szCs w:val="22"/>
          <w:lang w:val="hu-HU"/>
        </w:rPr>
        <w:t>talkum</w:t>
      </w:r>
      <w:proofErr w:type="gramEnd"/>
    </w:p>
    <w:p w14:paraId="3E74424D" w14:textId="77777777" w:rsidR="009F5F6A" w:rsidRDefault="00962A10">
      <w:pPr>
        <w:suppressAutoHyphens/>
        <w:ind w:right="-2"/>
        <w:rPr>
          <w:szCs w:val="22"/>
          <w:lang w:val="hu-HU"/>
        </w:rPr>
      </w:pPr>
      <w:proofErr w:type="gramStart"/>
      <w:r>
        <w:rPr>
          <w:szCs w:val="22"/>
          <w:lang w:val="hu-HU"/>
        </w:rPr>
        <w:t>titán-dioxid</w:t>
      </w:r>
      <w:proofErr w:type="gramEnd"/>
      <w:r>
        <w:rPr>
          <w:szCs w:val="22"/>
          <w:lang w:val="hu-HU"/>
        </w:rPr>
        <w:t xml:space="preserve"> (E171)</w:t>
      </w:r>
    </w:p>
    <w:p w14:paraId="0D2067A1" w14:textId="77777777" w:rsidR="009F5F6A" w:rsidRDefault="009F5F6A">
      <w:pPr>
        <w:widowControl w:val="0"/>
        <w:spacing w:line="240" w:lineRule="auto"/>
        <w:rPr>
          <w:rFonts w:eastAsia="Times New Roman"/>
          <w:noProof/>
          <w:snapToGrid/>
          <w:szCs w:val="22"/>
          <w:lang w:val="hu-HU" w:eastAsia="en-US"/>
        </w:rPr>
      </w:pPr>
    </w:p>
    <w:p w14:paraId="2F34554B"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50 mg filmtabletta</w:t>
      </w:r>
    </w:p>
    <w:p w14:paraId="05B8F4DE" w14:textId="77777777" w:rsidR="009F5F6A" w:rsidRDefault="009F5F6A">
      <w:pPr>
        <w:widowControl w:val="0"/>
        <w:spacing w:line="240" w:lineRule="auto"/>
        <w:rPr>
          <w:rFonts w:eastAsia="Times New Roman"/>
          <w:noProof/>
          <w:snapToGrid/>
          <w:szCs w:val="22"/>
          <w:lang w:val="hu-HU" w:eastAsia="en-US"/>
        </w:rPr>
      </w:pPr>
    </w:p>
    <w:p w14:paraId="23969B3A" w14:textId="77777777" w:rsidR="009F5F6A" w:rsidRDefault="00962A10">
      <w:pPr>
        <w:ind w:left="1560" w:hanging="1560"/>
        <w:rPr>
          <w:i/>
          <w:szCs w:val="22"/>
          <w:u w:val="single"/>
          <w:lang w:val="hu-HU"/>
        </w:rPr>
      </w:pPr>
      <w:r>
        <w:rPr>
          <w:i/>
          <w:szCs w:val="22"/>
          <w:u w:val="single"/>
          <w:lang w:val="hu-HU"/>
        </w:rPr>
        <w:t>Tablettamag</w:t>
      </w:r>
    </w:p>
    <w:p w14:paraId="63CDCAD9" w14:textId="77777777" w:rsidR="009F5F6A" w:rsidRDefault="00962A10">
      <w:pPr>
        <w:suppressAutoHyphens/>
        <w:ind w:right="-2"/>
        <w:rPr>
          <w:szCs w:val="22"/>
          <w:lang w:val="hu-HU"/>
        </w:rPr>
      </w:pPr>
      <w:r>
        <w:rPr>
          <w:szCs w:val="22"/>
          <w:lang w:val="hu-HU"/>
        </w:rPr>
        <w:t>magnézium</w:t>
      </w:r>
      <w:r>
        <w:rPr>
          <w:szCs w:val="22"/>
          <w:lang w:val="hu-HU"/>
        </w:rPr>
        <w:noBreakHyphen/>
        <w:t>sztearát</w:t>
      </w:r>
    </w:p>
    <w:p w14:paraId="68EBCB4F" w14:textId="77777777" w:rsidR="009F5F6A" w:rsidRDefault="00962A10">
      <w:pPr>
        <w:suppressAutoHyphens/>
        <w:ind w:right="-2"/>
        <w:rPr>
          <w:szCs w:val="22"/>
          <w:lang w:val="hu-HU"/>
        </w:rPr>
      </w:pPr>
      <w:proofErr w:type="gramStart"/>
      <w:r>
        <w:rPr>
          <w:szCs w:val="22"/>
          <w:lang w:val="hu-HU"/>
        </w:rPr>
        <w:t>mannit</w:t>
      </w:r>
      <w:proofErr w:type="gramEnd"/>
    </w:p>
    <w:p w14:paraId="38E385CB" w14:textId="77777777" w:rsidR="009F5F6A" w:rsidRDefault="00962A10">
      <w:pPr>
        <w:suppressAutoHyphens/>
        <w:ind w:right="-2"/>
        <w:rPr>
          <w:szCs w:val="22"/>
          <w:lang w:val="hu-HU"/>
        </w:rPr>
      </w:pPr>
      <w:proofErr w:type="gramStart"/>
      <w:r>
        <w:rPr>
          <w:szCs w:val="22"/>
          <w:lang w:val="hu-HU"/>
        </w:rPr>
        <w:t>mikrokristályos</w:t>
      </w:r>
      <w:proofErr w:type="gramEnd"/>
      <w:r>
        <w:rPr>
          <w:szCs w:val="22"/>
          <w:lang w:val="hu-HU"/>
        </w:rPr>
        <w:t xml:space="preserve"> cellulóz</w:t>
      </w:r>
    </w:p>
    <w:p w14:paraId="0B908C66" w14:textId="77777777" w:rsidR="009F5F6A" w:rsidRDefault="00962A10">
      <w:pPr>
        <w:suppressAutoHyphens/>
        <w:ind w:right="-2"/>
        <w:rPr>
          <w:szCs w:val="22"/>
          <w:lang w:val="hu-HU"/>
        </w:rPr>
      </w:pPr>
      <w:r>
        <w:rPr>
          <w:szCs w:val="22"/>
          <w:lang w:val="hu-HU"/>
        </w:rPr>
        <w:t>povidon</w:t>
      </w:r>
    </w:p>
    <w:p w14:paraId="4366DBC1" w14:textId="77777777" w:rsidR="009F5F6A" w:rsidRDefault="00962A10">
      <w:pPr>
        <w:suppressAutoHyphens/>
        <w:ind w:right="-2"/>
        <w:rPr>
          <w:szCs w:val="22"/>
          <w:lang w:val="hu-HU"/>
        </w:rPr>
      </w:pPr>
      <w:r>
        <w:rPr>
          <w:szCs w:val="22"/>
          <w:lang w:val="hu-HU"/>
        </w:rPr>
        <w:t>karboximetilkeményítő-nátrium (A típus)</w:t>
      </w:r>
    </w:p>
    <w:p w14:paraId="5C094584" w14:textId="391640C5" w:rsidR="009F5F6A" w:rsidRDefault="00962A10">
      <w:pPr>
        <w:suppressAutoHyphens/>
        <w:ind w:right="-2"/>
        <w:rPr>
          <w:szCs w:val="22"/>
          <w:lang w:val="hu-HU"/>
        </w:rPr>
      </w:pPr>
      <w:r>
        <w:rPr>
          <w:szCs w:val="22"/>
          <w:lang w:val="hu-HU"/>
        </w:rPr>
        <w:t>hidroxipropilcellulóz</w:t>
      </w:r>
    </w:p>
    <w:p w14:paraId="6ABCC0F4" w14:textId="77777777" w:rsidR="009F5F6A" w:rsidRDefault="009F5F6A">
      <w:pPr>
        <w:suppressAutoHyphens/>
        <w:ind w:right="-2"/>
        <w:rPr>
          <w:szCs w:val="22"/>
          <w:lang w:val="hu-HU"/>
        </w:rPr>
      </w:pPr>
    </w:p>
    <w:p w14:paraId="66432EF9" w14:textId="77777777" w:rsidR="009F5F6A" w:rsidRDefault="00962A10">
      <w:pPr>
        <w:suppressAutoHyphens/>
        <w:ind w:right="-2"/>
        <w:rPr>
          <w:i/>
          <w:szCs w:val="22"/>
          <w:u w:val="single"/>
          <w:lang w:val="hu-HU"/>
        </w:rPr>
      </w:pPr>
      <w:r>
        <w:rPr>
          <w:i/>
          <w:szCs w:val="22"/>
          <w:u w:val="single"/>
          <w:lang w:val="hu-HU"/>
        </w:rPr>
        <w:t>Tabletta bevonat</w:t>
      </w:r>
    </w:p>
    <w:p w14:paraId="3A6DFA99" w14:textId="77777777" w:rsidR="009F5F6A" w:rsidRDefault="00962A10">
      <w:pPr>
        <w:suppressAutoHyphens/>
        <w:ind w:right="-2"/>
        <w:rPr>
          <w:szCs w:val="22"/>
          <w:lang w:val="hu-HU"/>
        </w:rPr>
      </w:pPr>
      <w:r>
        <w:rPr>
          <w:szCs w:val="22"/>
          <w:lang w:val="hu-HU"/>
        </w:rPr>
        <w:t>hipromellóz</w:t>
      </w:r>
    </w:p>
    <w:p w14:paraId="283387E4" w14:textId="44F60856" w:rsidR="009F5F6A" w:rsidRDefault="00962A10">
      <w:pPr>
        <w:suppressAutoHyphens/>
        <w:ind w:right="-2"/>
        <w:rPr>
          <w:szCs w:val="22"/>
          <w:lang w:val="hu-HU"/>
        </w:rPr>
      </w:pPr>
      <w:r>
        <w:rPr>
          <w:szCs w:val="22"/>
          <w:lang w:val="hu-HU"/>
        </w:rPr>
        <w:t>makrogol</w:t>
      </w:r>
    </w:p>
    <w:p w14:paraId="5BF0F42B" w14:textId="77777777" w:rsidR="009F5F6A" w:rsidRDefault="00962A10">
      <w:pPr>
        <w:suppressAutoHyphens/>
        <w:ind w:right="-2"/>
        <w:rPr>
          <w:szCs w:val="22"/>
          <w:lang w:val="hu-HU"/>
        </w:rPr>
      </w:pPr>
      <w:proofErr w:type="gramStart"/>
      <w:r>
        <w:rPr>
          <w:szCs w:val="22"/>
          <w:lang w:val="hu-HU"/>
        </w:rPr>
        <w:t>talkum</w:t>
      </w:r>
      <w:proofErr w:type="gramEnd"/>
    </w:p>
    <w:p w14:paraId="45D3F441" w14:textId="77777777" w:rsidR="009F5F6A" w:rsidRDefault="00962A10">
      <w:pPr>
        <w:suppressAutoHyphens/>
        <w:ind w:right="-2"/>
        <w:rPr>
          <w:szCs w:val="22"/>
          <w:lang w:val="hu-HU"/>
        </w:rPr>
      </w:pPr>
      <w:proofErr w:type="gramStart"/>
      <w:r>
        <w:rPr>
          <w:szCs w:val="22"/>
          <w:lang w:val="hu-HU"/>
        </w:rPr>
        <w:t>titán-dioxid</w:t>
      </w:r>
      <w:proofErr w:type="gramEnd"/>
      <w:r>
        <w:rPr>
          <w:szCs w:val="22"/>
          <w:lang w:val="hu-HU"/>
        </w:rPr>
        <w:t xml:space="preserve"> (E171)</w:t>
      </w:r>
    </w:p>
    <w:p w14:paraId="6F4E4B42" w14:textId="77777777" w:rsidR="009F5F6A" w:rsidRDefault="00962A10">
      <w:pPr>
        <w:suppressAutoHyphens/>
        <w:ind w:right="-2"/>
        <w:rPr>
          <w:szCs w:val="22"/>
          <w:lang w:val="hu-HU"/>
        </w:rPr>
      </w:pPr>
      <w:proofErr w:type="gramStart"/>
      <w:r>
        <w:rPr>
          <w:szCs w:val="22"/>
          <w:lang w:val="hu-HU"/>
        </w:rPr>
        <w:t>vörös</w:t>
      </w:r>
      <w:proofErr w:type="gramEnd"/>
      <w:r>
        <w:rPr>
          <w:szCs w:val="22"/>
          <w:lang w:val="hu-HU"/>
        </w:rPr>
        <w:t xml:space="preserve"> vas-oxid (E172)</w:t>
      </w:r>
    </w:p>
    <w:p w14:paraId="29AA2787" w14:textId="77777777" w:rsidR="009F5F6A" w:rsidRDefault="00962A10">
      <w:pPr>
        <w:suppressAutoHyphens/>
        <w:ind w:right="-2"/>
        <w:rPr>
          <w:szCs w:val="22"/>
          <w:lang w:val="hu-HU"/>
        </w:rPr>
      </w:pPr>
      <w:proofErr w:type="gramStart"/>
      <w:r>
        <w:rPr>
          <w:szCs w:val="22"/>
          <w:lang w:val="hu-HU"/>
        </w:rPr>
        <w:t>sárga</w:t>
      </w:r>
      <w:proofErr w:type="gramEnd"/>
      <w:r>
        <w:rPr>
          <w:szCs w:val="22"/>
          <w:lang w:val="hu-HU"/>
        </w:rPr>
        <w:t xml:space="preserve"> vas-oxid (E172)</w:t>
      </w:r>
    </w:p>
    <w:p w14:paraId="7FBB25F4" w14:textId="77777777" w:rsidR="009F5F6A" w:rsidRDefault="00962A10">
      <w:pPr>
        <w:suppressAutoHyphens/>
        <w:ind w:right="-2"/>
        <w:rPr>
          <w:szCs w:val="22"/>
          <w:lang w:val="hu-HU"/>
        </w:rPr>
      </w:pPr>
      <w:r>
        <w:rPr>
          <w:szCs w:val="22"/>
          <w:lang w:val="hu-HU"/>
        </w:rPr>
        <w:t>indigókármin (E132)</w:t>
      </w:r>
    </w:p>
    <w:p w14:paraId="49ABFF85" w14:textId="77777777" w:rsidR="009F5F6A" w:rsidRDefault="009F5F6A">
      <w:pPr>
        <w:widowControl w:val="0"/>
        <w:spacing w:line="240" w:lineRule="auto"/>
        <w:rPr>
          <w:rFonts w:eastAsia="Times New Roman"/>
          <w:noProof/>
          <w:snapToGrid/>
          <w:szCs w:val="22"/>
          <w:lang w:val="hu-HU" w:eastAsia="en-US"/>
        </w:rPr>
      </w:pPr>
    </w:p>
    <w:p w14:paraId="66767126"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75 mg filmtabletta</w:t>
      </w:r>
    </w:p>
    <w:p w14:paraId="68DFA4DB" w14:textId="77777777" w:rsidR="009F5F6A" w:rsidRDefault="009F5F6A">
      <w:pPr>
        <w:widowControl w:val="0"/>
        <w:spacing w:line="240" w:lineRule="auto"/>
        <w:rPr>
          <w:rFonts w:eastAsia="Times New Roman"/>
          <w:noProof/>
          <w:snapToGrid/>
          <w:szCs w:val="22"/>
          <w:lang w:val="hu-HU" w:eastAsia="en-US"/>
        </w:rPr>
      </w:pPr>
    </w:p>
    <w:p w14:paraId="66C44E88" w14:textId="77777777" w:rsidR="009F5F6A" w:rsidRDefault="00962A10">
      <w:pPr>
        <w:ind w:left="1560" w:hanging="1560"/>
        <w:rPr>
          <w:i/>
          <w:szCs w:val="22"/>
          <w:u w:val="single"/>
          <w:lang w:val="hu-HU"/>
        </w:rPr>
      </w:pPr>
      <w:r>
        <w:rPr>
          <w:i/>
          <w:szCs w:val="22"/>
          <w:u w:val="single"/>
          <w:lang w:val="hu-HU"/>
        </w:rPr>
        <w:t>Tablettamag</w:t>
      </w:r>
    </w:p>
    <w:p w14:paraId="1405A39B" w14:textId="77777777" w:rsidR="009F5F6A" w:rsidRDefault="00962A10">
      <w:pPr>
        <w:suppressAutoHyphens/>
        <w:ind w:right="-2"/>
        <w:rPr>
          <w:szCs w:val="22"/>
          <w:lang w:val="hu-HU"/>
        </w:rPr>
      </w:pPr>
      <w:r>
        <w:rPr>
          <w:szCs w:val="22"/>
          <w:lang w:val="hu-HU"/>
        </w:rPr>
        <w:t>magnézium</w:t>
      </w:r>
      <w:r>
        <w:rPr>
          <w:szCs w:val="22"/>
          <w:lang w:val="hu-HU"/>
        </w:rPr>
        <w:noBreakHyphen/>
        <w:t>sztearát</w:t>
      </w:r>
    </w:p>
    <w:p w14:paraId="37622FE0" w14:textId="77777777" w:rsidR="009F5F6A" w:rsidRDefault="00962A10">
      <w:pPr>
        <w:suppressAutoHyphens/>
        <w:ind w:right="-2"/>
        <w:rPr>
          <w:szCs w:val="22"/>
          <w:lang w:val="hu-HU"/>
        </w:rPr>
      </w:pPr>
      <w:proofErr w:type="gramStart"/>
      <w:r>
        <w:rPr>
          <w:szCs w:val="22"/>
          <w:lang w:val="hu-HU"/>
        </w:rPr>
        <w:t>mannit</w:t>
      </w:r>
      <w:proofErr w:type="gramEnd"/>
    </w:p>
    <w:p w14:paraId="4CD3718D" w14:textId="77777777" w:rsidR="009F5F6A" w:rsidRDefault="00962A10">
      <w:pPr>
        <w:suppressAutoHyphens/>
        <w:ind w:right="-2"/>
        <w:rPr>
          <w:szCs w:val="22"/>
          <w:lang w:val="hu-HU"/>
        </w:rPr>
      </w:pPr>
      <w:proofErr w:type="gramStart"/>
      <w:r>
        <w:rPr>
          <w:szCs w:val="22"/>
          <w:lang w:val="hu-HU"/>
        </w:rPr>
        <w:t>mikrokristályos</w:t>
      </w:r>
      <w:proofErr w:type="gramEnd"/>
      <w:r>
        <w:rPr>
          <w:szCs w:val="22"/>
          <w:lang w:val="hu-HU"/>
        </w:rPr>
        <w:t xml:space="preserve"> cellulóz</w:t>
      </w:r>
    </w:p>
    <w:p w14:paraId="66B80B82" w14:textId="77777777" w:rsidR="009F5F6A" w:rsidRDefault="00962A10">
      <w:pPr>
        <w:suppressAutoHyphens/>
        <w:ind w:right="-2"/>
        <w:rPr>
          <w:szCs w:val="22"/>
          <w:lang w:val="hu-HU"/>
        </w:rPr>
      </w:pPr>
      <w:r>
        <w:rPr>
          <w:szCs w:val="22"/>
          <w:lang w:val="hu-HU"/>
        </w:rPr>
        <w:t>povidon</w:t>
      </w:r>
    </w:p>
    <w:p w14:paraId="3D9E5989" w14:textId="77777777" w:rsidR="009F5F6A" w:rsidRDefault="00962A10">
      <w:pPr>
        <w:suppressAutoHyphens/>
        <w:ind w:right="-2"/>
        <w:rPr>
          <w:szCs w:val="22"/>
          <w:lang w:val="hu-HU"/>
        </w:rPr>
      </w:pPr>
      <w:r>
        <w:rPr>
          <w:szCs w:val="22"/>
          <w:lang w:val="hu-HU"/>
        </w:rPr>
        <w:t>karboximetilkeményítő-nátrium (A típus)</w:t>
      </w:r>
    </w:p>
    <w:p w14:paraId="7EDDB867" w14:textId="764AE07E" w:rsidR="009F5F6A" w:rsidRDefault="00962A10">
      <w:pPr>
        <w:suppressAutoHyphens/>
        <w:ind w:right="-2"/>
        <w:rPr>
          <w:szCs w:val="22"/>
          <w:lang w:val="hu-HU"/>
        </w:rPr>
      </w:pPr>
      <w:r>
        <w:rPr>
          <w:szCs w:val="22"/>
          <w:lang w:val="hu-HU"/>
        </w:rPr>
        <w:t>hidroxipropilcellulóz</w:t>
      </w:r>
    </w:p>
    <w:p w14:paraId="1AF84D3E" w14:textId="77777777" w:rsidR="009F5F6A" w:rsidRDefault="009F5F6A">
      <w:pPr>
        <w:suppressAutoHyphens/>
        <w:ind w:right="-2"/>
        <w:rPr>
          <w:szCs w:val="22"/>
          <w:lang w:val="hu-HU"/>
        </w:rPr>
      </w:pPr>
    </w:p>
    <w:p w14:paraId="42B806E2" w14:textId="77777777" w:rsidR="009F5F6A" w:rsidRDefault="00962A10">
      <w:pPr>
        <w:suppressAutoHyphens/>
        <w:ind w:right="-2"/>
        <w:rPr>
          <w:i/>
          <w:szCs w:val="22"/>
          <w:u w:val="single"/>
          <w:lang w:val="hu-HU"/>
        </w:rPr>
      </w:pPr>
      <w:r>
        <w:rPr>
          <w:i/>
          <w:szCs w:val="22"/>
          <w:u w:val="single"/>
          <w:lang w:val="hu-HU"/>
        </w:rPr>
        <w:t>Tabletta bevonat</w:t>
      </w:r>
    </w:p>
    <w:p w14:paraId="28ECF142" w14:textId="77777777" w:rsidR="009F5F6A" w:rsidRDefault="00962A10">
      <w:pPr>
        <w:suppressAutoHyphens/>
        <w:ind w:right="-2"/>
        <w:rPr>
          <w:szCs w:val="22"/>
          <w:lang w:val="hu-HU"/>
        </w:rPr>
      </w:pPr>
      <w:r>
        <w:rPr>
          <w:szCs w:val="22"/>
          <w:lang w:val="hu-HU"/>
        </w:rPr>
        <w:t>hipromellóz</w:t>
      </w:r>
    </w:p>
    <w:p w14:paraId="24F02CB2" w14:textId="6F2EF684" w:rsidR="009F5F6A" w:rsidRDefault="00962A10">
      <w:pPr>
        <w:suppressAutoHyphens/>
        <w:ind w:right="-2"/>
        <w:rPr>
          <w:szCs w:val="22"/>
          <w:lang w:val="hu-HU"/>
        </w:rPr>
      </w:pPr>
      <w:r>
        <w:rPr>
          <w:szCs w:val="22"/>
          <w:lang w:val="hu-HU"/>
        </w:rPr>
        <w:t>makrogol</w:t>
      </w:r>
    </w:p>
    <w:p w14:paraId="2CEF7997" w14:textId="77777777" w:rsidR="009F5F6A" w:rsidRDefault="00962A10">
      <w:pPr>
        <w:suppressAutoHyphens/>
        <w:ind w:right="-2"/>
        <w:rPr>
          <w:szCs w:val="22"/>
          <w:lang w:val="hu-HU"/>
        </w:rPr>
      </w:pPr>
      <w:proofErr w:type="gramStart"/>
      <w:r>
        <w:rPr>
          <w:szCs w:val="22"/>
          <w:lang w:val="hu-HU"/>
        </w:rPr>
        <w:t>talkum</w:t>
      </w:r>
      <w:proofErr w:type="gramEnd"/>
    </w:p>
    <w:p w14:paraId="7A184FEC" w14:textId="77777777" w:rsidR="009F5F6A" w:rsidRDefault="00962A10">
      <w:pPr>
        <w:suppressAutoHyphens/>
        <w:ind w:right="-2"/>
        <w:rPr>
          <w:szCs w:val="22"/>
          <w:lang w:val="hu-HU"/>
        </w:rPr>
      </w:pPr>
      <w:proofErr w:type="gramStart"/>
      <w:r>
        <w:rPr>
          <w:szCs w:val="22"/>
          <w:lang w:val="hu-HU"/>
        </w:rPr>
        <w:t>titán-dioxid</w:t>
      </w:r>
      <w:proofErr w:type="gramEnd"/>
      <w:r>
        <w:rPr>
          <w:szCs w:val="22"/>
          <w:lang w:val="hu-HU"/>
        </w:rPr>
        <w:t xml:space="preserve"> (E171)</w:t>
      </w:r>
    </w:p>
    <w:p w14:paraId="11BF082C" w14:textId="77777777" w:rsidR="009F5F6A" w:rsidRDefault="00962A10">
      <w:pPr>
        <w:suppressAutoHyphens/>
        <w:ind w:right="-2"/>
        <w:rPr>
          <w:szCs w:val="22"/>
          <w:lang w:val="hu-HU"/>
        </w:rPr>
      </w:pPr>
      <w:proofErr w:type="gramStart"/>
      <w:r>
        <w:rPr>
          <w:szCs w:val="22"/>
          <w:lang w:val="hu-HU"/>
        </w:rPr>
        <w:t>vörös</w:t>
      </w:r>
      <w:proofErr w:type="gramEnd"/>
      <w:r>
        <w:rPr>
          <w:szCs w:val="22"/>
          <w:lang w:val="hu-HU"/>
        </w:rPr>
        <w:t xml:space="preserve"> vas-oxid (E172)</w:t>
      </w:r>
    </w:p>
    <w:p w14:paraId="68A94823" w14:textId="77777777" w:rsidR="009F5F6A" w:rsidRDefault="00962A10">
      <w:pPr>
        <w:suppressAutoHyphens/>
        <w:ind w:right="-2"/>
        <w:rPr>
          <w:szCs w:val="22"/>
          <w:lang w:val="hu-HU"/>
        </w:rPr>
      </w:pPr>
      <w:r>
        <w:rPr>
          <w:szCs w:val="22"/>
          <w:lang w:val="hu-HU"/>
        </w:rPr>
        <w:t>indigókármin (E132)</w:t>
      </w:r>
    </w:p>
    <w:p w14:paraId="414163D8" w14:textId="77777777" w:rsidR="009F5F6A" w:rsidRDefault="009F5F6A">
      <w:pPr>
        <w:spacing w:line="240" w:lineRule="auto"/>
        <w:rPr>
          <w:rFonts w:eastAsia="Times New Roman"/>
          <w:noProof/>
          <w:snapToGrid/>
          <w:szCs w:val="22"/>
          <w:lang w:val="hu-HU" w:eastAsia="en-US"/>
        </w:rPr>
      </w:pPr>
    </w:p>
    <w:p w14:paraId="04A03C59"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6.2</w:t>
      </w:r>
      <w:r>
        <w:rPr>
          <w:rFonts w:eastAsia="Times New Roman"/>
          <w:b/>
          <w:noProof/>
          <w:snapToGrid/>
          <w:szCs w:val="22"/>
          <w:lang w:val="hu-HU" w:eastAsia="en-US"/>
        </w:rPr>
        <w:tab/>
        <w:t>Inkompatibilitások</w:t>
      </w:r>
    </w:p>
    <w:p w14:paraId="1237E4DF" w14:textId="77777777" w:rsidR="009F5F6A" w:rsidRDefault="009F5F6A">
      <w:pPr>
        <w:spacing w:line="240" w:lineRule="auto"/>
        <w:rPr>
          <w:rFonts w:eastAsia="Times New Roman"/>
          <w:noProof/>
          <w:snapToGrid/>
          <w:szCs w:val="22"/>
          <w:lang w:val="hu-HU" w:eastAsia="en-US"/>
        </w:rPr>
      </w:pPr>
    </w:p>
    <w:p w14:paraId="0553FDE1" w14:textId="77777777"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Nem értelmezhető.</w:t>
      </w:r>
    </w:p>
    <w:p w14:paraId="023F636E" w14:textId="77777777" w:rsidR="009F5F6A" w:rsidRDefault="009F5F6A">
      <w:pPr>
        <w:tabs>
          <w:tab w:val="clear" w:pos="567"/>
          <w:tab w:val="left" w:pos="2280"/>
        </w:tabs>
        <w:spacing w:line="240" w:lineRule="auto"/>
        <w:rPr>
          <w:lang w:val="hu-HU"/>
        </w:rPr>
      </w:pPr>
    </w:p>
    <w:p w14:paraId="54D61966"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6.3</w:t>
      </w:r>
      <w:r>
        <w:rPr>
          <w:rFonts w:eastAsia="Times New Roman"/>
          <w:b/>
          <w:noProof/>
          <w:snapToGrid/>
          <w:szCs w:val="22"/>
          <w:lang w:val="hu-HU" w:eastAsia="en-US"/>
        </w:rPr>
        <w:tab/>
        <w:t>Felhasználhatósági időtartam</w:t>
      </w:r>
    </w:p>
    <w:p w14:paraId="34993EDE" w14:textId="77777777" w:rsidR="009F5F6A" w:rsidRDefault="009F5F6A">
      <w:pPr>
        <w:spacing w:line="240" w:lineRule="auto"/>
        <w:rPr>
          <w:rFonts w:eastAsia="Times New Roman"/>
          <w:noProof/>
          <w:snapToGrid/>
          <w:szCs w:val="22"/>
          <w:lang w:val="hu-HU" w:eastAsia="en-US"/>
        </w:rPr>
      </w:pPr>
    </w:p>
    <w:p w14:paraId="760D88D6" w14:textId="4927CA23"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4 év</w:t>
      </w:r>
    </w:p>
    <w:p w14:paraId="004770CF" w14:textId="77777777" w:rsidR="009F5F6A" w:rsidRDefault="009F5F6A">
      <w:pPr>
        <w:spacing w:line="240" w:lineRule="auto"/>
        <w:rPr>
          <w:rFonts w:eastAsia="Times New Roman"/>
          <w:noProof/>
          <w:snapToGrid/>
          <w:szCs w:val="22"/>
          <w:lang w:val="hu-HU" w:eastAsia="en-US"/>
        </w:rPr>
      </w:pPr>
    </w:p>
    <w:p w14:paraId="4FBF5A70"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6.4</w:t>
      </w:r>
      <w:r>
        <w:rPr>
          <w:rFonts w:eastAsia="Times New Roman"/>
          <w:b/>
          <w:noProof/>
          <w:snapToGrid/>
          <w:szCs w:val="22"/>
          <w:lang w:val="hu-HU" w:eastAsia="en-US"/>
        </w:rPr>
        <w:tab/>
        <w:t>Különleges tárolási előírások</w:t>
      </w:r>
    </w:p>
    <w:p w14:paraId="7AFD5F17" w14:textId="77777777" w:rsidR="009F5F6A" w:rsidRDefault="009F5F6A">
      <w:pPr>
        <w:spacing w:line="240" w:lineRule="auto"/>
        <w:ind w:left="567" w:hanging="567"/>
        <w:outlineLvl w:val="0"/>
        <w:rPr>
          <w:b/>
          <w:lang w:val="hu-HU"/>
        </w:rPr>
      </w:pPr>
    </w:p>
    <w:p w14:paraId="6535ECDD" w14:textId="77777777"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Ez a gyógyszer nem igényel különleges tárolást.</w:t>
      </w:r>
    </w:p>
    <w:p w14:paraId="60CCCFB2" w14:textId="77777777" w:rsidR="009F5F6A" w:rsidRDefault="009F5F6A">
      <w:pPr>
        <w:spacing w:line="240" w:lineRule="auto"/>
        <w:rPr>
          <w:rFonts w:eastAsia="Times New Roman"/>
          <w:noProof/>
          <w:snapToGrid/>
          <w:szCs w:val="22"/>
          <w:lang w:val="hu-HU" w:eastAsia="en-US"/>
        </w:rPr>
      </w:pPr>
    </w:p>
    <w:p w14:paraId="2C48D1B5"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6.5</w:t>
      </w:r>
      <w:r>
        <w:rPr>
          <w:rFonts w:eastAsia="Times New Roman"/>
          <w:b/>
          <w:noProof/>
          <w:snapToGrid/>
          <w:szCs w:val="22"/>
          <w:lang w:val="hu-HU" w:eastAsia="en-US"/>
        </w:rPr>
        <w:tab/>
        <w:t xml:space="preserve">Csomagolás típusa és kiszerelése </w:t>
      </w:r>
    </w:p>
    <w:p w14:paraId="00A1D1C4" w14:textId="77777777" w:rsidR="009F5F6A" w:rsidRDefault="009F5F6A">
      <w:pPr>
        <w:spacing w:line="240" w:lineRule="auto"/>
        <w:rPr>
          <w:rFonts w:eastAsia="Times New Roman"/>
          <w:noProof/>
          <w:snapToGrid/>
          <w:szCs w:val="22"/>
          <w:lang w:val="hu-HU" w:eastAsia="en-US"/>
        </w:rPr>
      </w:pPr>
    </w:p>
    <w:p w14:paraId="5AF90AD8" w14:textId="77777777" w:rsidR="009F5F6A" w:rsidRDefault="00962A10">
      <w:pPr>
        <w:widowControl w:val="0"/>
        <w:rPr>
          <w:lang w:val="hu-HU"/>
        </w:rPr>
      </w:pPr>
      <w:r>
        <w:rPr>
          <w:lang w:val="hu-HU"/>
        </w:rPr>
        <w:t>14, 28, 56 és 84 filmtabletták OPA/Al/PVC//Al naptárjelzéses buborékcsomagolásban és dobozban.</w:t>
      </w:r>
    </w:p>
    <w:p w14:paraId="1F21D49E" w14:textId="77777777" w:rsidR="009F5F6A" w:rsidRDefault="00962A10">
      <w:pPr>
        <w:widowControl w:val="0"/>
        <w:rPr>
          <w:lang w:val="hu-HU"/>
        </w:rPr>
      </w:pPr>
      <w:r>
        <w:rPr>
          <w:lang w:val="hu-HU"/>
        </w:rPr>
        <w:t>84 darab (3 csomag 28 darabos) filmtabletta OPA/Al/PVC//Al buborékcsomagolásban és gyűjtőcsomagolásban.</w:t>
      </w:r>
    </w:p>
    <w:p w14:paraId="6FE66FA9" w14:textId="77777777" w:rsidR="009F5F6A" w:rsidRDefault="009F5F6A">
      <w:pPr>
        <w:spacing w:line="240" w:lineRule="auto"/>
        <w:rPr>
          <w:rFonts w:eastAsia="Times New Roman"/>
          <w:noProof/>
          <w:snapToGrid/>
          <w:szCs w:val="22"/>
          <w:lang w:val="hu-HU" w:eastAsia="en-US"/>
        </w:rPr>
      </w:pPr>
    </w:p>
    <w:p w14:paraId="7656A46C" w14:textId="77777777"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Nem feltétlenül mindegyik kiszerelés kerül kereskedelmi forgalomba.</w:t>
      </w:r>
    </w:p>
    <w:p w14:paraId="74EEB127" w14:textId="77777777" w:rsidR="009F5F6A" w:rsidRDefault="009F5F6A">
      <w:pPr>
        <w:spacing w:line="240" w:lineRule="auto"/>
        <w:rPr>
          <w:rFonts w:eastAsia="Times New Roman"/>
          <w:noProof/>
          <w:snapToGrid/>
          <w:szCs w:val="22"/>
          <w:lang w:val="hu-HU" w:eastAsia="en-US"/>
        </w:rPr>
      </w:pPr>
    </w:p>
    <w:p w14:paraId="040F10FE" w14:textId="77777777" w:rsidR="009F5F6A" w:rsidRDefault="00962A10">
      <w:pPr>
        <w:rPr>
          <w:noProof/>
          <w:szCs w:val="22"/>
          <w:lang w:val="hu-HU" w:eastAsia="en-US"/>
        </w:rPr>
      </w:pPr>
      <w:r>
        <w:rPr>
          <w:rFonts w:eastAsia="Times New Roman"/>
          <w:b/>
          <w:noProof/>
          <w:snapToGrid/>
          <w:szCs w:val="22"/>
          <w:lang w:val="hu-HU" w:eastAsia="en-US"/>
        </w:rPr>
        <w:t>6.6</w:t>
      </w:r>
      <w:r>
        <w:rPr>
          <w:rFonts w:eastAsia="Times New Roman"/>
          <w:b/>
          <w:noProof/>
          <w:snapToGrid/>
          <w:szCs w:val="22"/>
          <w:lang w:val="hu-HU" w:eastAsia="en-US"/>
        </w:rPr>
        <w:tab/>
        <w:t>A megsemmisítésre vonatkozó különleges óvintézkedések</w:t>
      </w:r>
      <w:r>
        <w:rPr>
          <w:rFonts w:eastAsiaTheme="minorEastAsia"/>
          <w:bCs/>
          <w:caps/>
          <w:szCs w:val="22"/>
          <w:lang w:val="hu-HU" w:eastAsia="el-GR"/>
        </w:rPr>
        <w:t xml:space="preserve"> </w:t>
      </w:r>
      <w:r>
        <w:rPr>
          <w:b/>
          <w:bCs/>
          <w:noProof/>
          <w:szCs w:val="22"/>
          <w:lang w:val="hu-HU" w:eastAsia="en-US"/>
        </w:rPr>
        <w:t>és egyéb, a készítmény kezelésével kapcsolatos információk</w:t>
      </w:r>
    </w:p>
    <w:p w14:paraId="510BA26F" w14:textId="77777777" w:rsidR="009F5F6A" w:rsidRDefault="009F5F6A">
      <w:pPr>
        <w:spacing w:line="240" w:lineRule="auto"/>
        <w:ind w:left="567" w:hanging="567"/>
        <w:outlineLvl w:val="0"/>
        <w:rPr>
          <w:rFonts w:eastAsia="Times New Roman"/>
          <w:b/>
          <w:noProof/>
          <w:snapToGrid/>
          <w:szCs w:val="22"/>
          <w:lang w:val="hu-HU" w:eastAsia="en-US"/>
        </w:rPr>
      </w:pPr>
    </w:p>
    <w:p w14:paraId="46636513" w14:textId="77777777" w:rsidR="009F5F6A" w:rsidRDefault="009F5F6A">
      <w:pPr>
        <w:spacing w:line="240" w:lineRule="auto"/>
        <w:ind w:left="567" w:hanging="567"/>
        <w:outlineLvl w:val="0"/>
        <w:rPr>
          <w:rFonts w:eastAsia="Times New Roman"/>
          <w:b/>
          <w:noProof/>
          <w:snapToGrid/>
          <w:szCs w:val="22"/>
          <w:lang w:val="hu-HU" w:eastAsia="en-US"/>
        </w:rPr>
      </w:pPr>
    </w:p>
    <w:p w14:paraId="6E296131" w14:textId="77777777"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Bármilyen fel nem használt gyógyszer, illetve hulladékanyag megsemmisítését a gyógyszerekre vonatkozó előírások szerint kell végrehajtani.</w:t>
      </w:r>
    </w:p>
    <w:p w14:paraId="44828618" w14:textId="77777777" w:rsidR="009F5F6A" w:rsidRDefault="009F5F6A">
      <w:pPr>
        <w:spacing w:line="240" w:lineRule="auto"/>
        <w:ind w:left="567" w:hanging="567"/>
        <w:outlineLvl w:val="0"/>
        <w:rPr>
          <w:b/>
          <w:lang w:val="hu-HU"/>
        </w:rPr>
      </w:pPr>
    </w:p>
    <w:p w14:paraId="5E5F12C5" w14:textId="77777777" w:rsidR="009F5F6A" w:rsidRDefault="00962A10">
      <w:pPr>
        <w:pStyle w:val="Nincstrkz"/>
        <w:rPr>
          <w:rFonts w:cs="Times New Roman"/>
        </w:rPr>
      </w:pPr>
      <w:r>
        <w:rPr>
          <w:rFonts w:cs="Times New Roman"/>
          <w:b/>
        </w:rPr>
        <w:t>Megjegyzés:</w:t>
      </w:r>
      <w:r>
        <w:rPr>
          <w:rFonts w:cs="Times New Roman"/>
        </w:rPr>
        <w:t xml:space="preserve"> </w:t>
      </w:r>
      <w:r>
        <w:rPr>
          <w:rFonts w:cs="Times New Roman"/>
          <w:b/>
        </w:rPr>
        <w:sym w:font="Wingdings" w:char="F058"/>
      </w:r>
      <w:r>
        <w:rPr>
          <w:rFonts w:cs="Times New Roman"/>
        </w:rPr>
        <w:t xml:space="preserve"> </w:t>
      </w:r>
      <w:r>
        <w:rPr>
          <w:rFonts w:cs="Times New Roman"/>
          <w:b/>
        </w:rPr>
        <w:t>(egy keresztes)</w:t>
      </w:r>
    </w:p>
    <w:p w14:paraId="005FF76C" w14:textId="77777777" w:rsidR="009F5F6A" w:rsidRDefault="00962A10">
      <w:pPr>
        <w:pStyle w:val="Nincstrkz"/>
      </w:pPr>
      <w:r>
        <w:rPr>
          <w:rFonts w:cs="Times New Roman"/>
          <w:b/>
        </w:rPr>
        <w:t>Osztályozás:</w:t>
      </w:r>
      <w:r>
        <w:rPr>
          <w:rFonts w:cs="Times New Roman"/>
        </w:rPr>
        <w:t xml:space="preserve"> II./2 csoport: kizárólag orvosi rendelvényhez kötött gyógyszer osztályba, a (2) cb) pontja szerint szakorvosi/kórházi diagnózist követő folyamatos szakorvosi ellenőrzés mellett alkalmazható gyógyszer (Sz)</w:t>
      </w:r>
    </w:p>
    <w:p w14:paraId="7CA39444" w14:textId="77777777" w:rsidR="009F5F6A" w:rsidRDefault="009F5F6A">
      <w:pPr>
        <w:pStyle w:val="Szvegtrzs"/>
        <w:kinsoku w:val="0"/>
        <w:overflowPunct w:val="0"/>
        <w:spacing w:before="1"/>
      </w:pPr>
    </w:p>
    <w:p w14:paraId="2A7BF116" w14:textId="77777777" w:rsidR="009F5F6A" w:rsidRDefault="009F5F6A">
      <w:pPr>
        <w:spacing w:line="240" w:lineRule="auto"/>
        <w:ind w:left="567" w:hanging="567"/>
        <w:outlineLvl w:val="0"/>
        <w:rPr>
          <w:rFonts w:eastAsia="Times New Roman"/>
          <w:b/>
          <w:noProof/>
          <w:snapToGrid/>
          <w:szCs w:val="22"/>
          <w:lang w:val="hu-HU" w:eastAsia="en-US"/>
        </w:rPr>
      </w:pPr>
    </w:p>
    <w:p w14:paraId="6FDCAEEF"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7.</w:t>
      </w:r>
      <w:r>
        <w:rPr>
          <w:rFonts w:eastAsia="Times New Roman"/>
          <w:b/>
          <w:noProof/>
          <w:snapToGrid/>
          <w:szCs w:val="22"/>
          <w:lang w:val="hu-HU" w:eastAsia="en-US"/>
        </w:rPr>
        <w:tab/>
        <w:t>A FORGALOMBA HOZATALI ENGEDÉLY JOGOSULTJA</w:t>
      </w:r>
    </w:p>
    <w:p w14:paraId="002FEDC8" w14:textId="77777777" w:rsidR="009F5F6A" w:rsidRDefault="009F5F6A">
      <w:pPr>
        <w:spacing w:line="240" w:lineRule="auto"/>
        <w:ind w:left="567" w:hanging="567"/>
        <w:outlineLvl w:val="0"/>
        <w:rPr>
          <w:b/>
          <w:lang w:val="hu-HU"/>
        </w:rPr>
      </w:pPr>
    </w:p>
    <w:p w14:paraId="49C1B4F2" w14:textId="77777777" w:rsidR="009F5F6A" w:rsidRDefault="00962A10">
      <w:pPr>
        <w:widowControl w:val="0"/>
        <w:rPr>
          <w:lang w:val="hu-HU"/>
        </w:rPr>
      </w:pPr>
      <w:r>
        <w:rPr>
          <w:lang w:val="hu-HU"/>
        </w:rPr>
        <w:t>KRKA, d.d</w:t>
      </w:r>
      <w:proofErr w:type="gramStart"/>
      <w:r>
        <w:rPr>
          <w:lang w:val="hu-HU"/>
        </w:rPr>
        <w:t>.,</w:t>
      </w:r>
      <w:proofErr w:type="gramEnd"/>
      <w:r>
        <w:rPr>
          <w:lang w:val="hu-HU"/>
        </w:rPr>
        <w:t xml:space="preserve"> Novo mesto</w:t>
      </w:r>
    </w:p>
    <w:p w14:paraId="274796F6" w14:textId="77777777" w:rsidR="009F5F6A" w:rsidRDefault="00962A10">
      <w:pPr>
        <w:widowControl w:val="0"/>
        <w:rPr>
          <w:lang w:val="hu-HU"/>
        </w:rPr>
      </w:pPr>
      <w:r>
        <w:rPr>
          <w:lang w:val="hu-HU"/>
        </w:rPr>
        <w:t>Šmarješka cesta 6</w:t>
      </w:r>
    </w:p>
    <w:p w14:paraId="00772494" w14:textId="77777777" w:rsidR="009F5F6A" w:rsidRDefault="00962A10">
      <w:pPr>
        <w:widowControl w:val="0"/>
        <w:rPr>
          <w:lang w:val="hu-HU"/>
        </w:rPr>
      </w:pPr>
      <w:r>
        <w:rPr>
          <w:lang w:val="hu-HU"/>
        </w:rPr>
        <w:t>8501 Novo mesto</w:t>
      </w:r>
    </w:p>
    <w:p w14:paraId="75C2E0A2" w14:textId="77777777" w:rsidR="009F5F6A" w:rsidRDefault="00962A10">
      <w:pPr>
        <w:widowControl w:val="0"/>
        <w:rPr>
          <w:lang w:val="hu-HU"/>
        </w:rPr>
      </w:pPr>
      <w:r>
        <w:rPr>
          <w:lang w:val="hu-HU"/>
        </w:rPr>
        <w:t>Szlovénia</w:t>
      </w:r>
    </w:p>
    <w:p w14:paraId="5030A0C3" w14:textId="77777777" w:rsidR="009F5F6A" w:rsidRDefault="009F5F6A">
      <w:pPr>
        <w:spacing w:line="240" w:lineRule="auto"/>
        <w:ind w:left="567" w:hanging="567"/>
        <w:outlineLvl w:val="0"/>
        <w:rPr>
          <w:b/>
          <w:lang w:val="hu-HU"/>
        </w:rPr>
      </w:pPr>
    </w:p>
    <w:p w14:paraId="74942C3B" w14:textId="77777777" w:rsidR="009F5F6A" w:rsidRDefault="009F5F6A">
      <w:pPr>
        <w:spacing w:line="240" w:lineRule="auto"/>
        <w:ind w:left="567" w:hanging="567"/>
        <w:outlineLvl w:val="0"/>
        <w:rPr>
          <w:b/>
          <w:lang w:val="hu-HU"/>
        </w:rPr>
      </w:pPr>
    </w:p>
    <w:p w14:paraId="7371DA01"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8.</w:t>
      </w:r>
      <w:r>
        <w:rPr>
          <w:rFonts w:eastAsia="Times New Roman"/>
          <w:b/>
          <w:noProof/>
          <w:snapToGrid/>
          <w:szCs w:val="22"/>
          <w:lang w:val="hu-HU" w:eastAsia="en-US"/>
        </w:rPr>
        <w:tab/>
        <w:t>A FORGALOMBA HOZATALI ENGEDÉLY SZÁMA(I)</w:t>
      </w:r>
    </w:p>
    <w:p w14:paraId="71C53AE4" w14:textId="77777777" w:rsidR="009F5F6A" w:rsidRDefault="009F5F6A">
      <w:pPr>
        <w:spacing w:line="240" w:lineRule="auto"/>
        <w:ind w:left="567" w:hanging="567"/>
        <w:outlineLvl w:val="0"/>
        <w:rPr>
          <w:b/>
          <w:lang w:val="hu-HU"/>
        </w:rPr>
      </w:pPr>
    </w:p>
    <w:p w14:paraId="367137A3" w14:textId="77777777" w:rsidR="009F5F6A" w:rsidRDefault="00962A10">
      <w:pPr>
        <w:tabs>
          <w:tab w:val="clear" w:pos="567"/>
        </w:tabs>
        <w:spacing w:line="240" w:lineRule="auto"/>
        <w:rPr>
          <w:rFonts w:eastAsia="Calibri"/>
          <w:b/>
          <w:bCs/>
          <w:snapToGrid/>
          <w:szCs w:val="22"/>
          <w:u w:val="single"/>
          <w:lang w:val="hu-HU" w:eastAsia="en-US"/>
        </w:rPr>
      </w:pPr>
      <w:r>
        <w:rPr>
          <w:rFonts w:eastAsia="Calibri"/>
          <w:b/>
          <w:bCs/>
          <w:snapToGrid/>
          <w:szCs w:val="22"/>
          <w:u w:val="single"/>
          <w:lang w:val="hu-HU" w:eastAsia="en-US"/>
        </w:rPr>
        <w:t xml:space="preserve">Eltrombopag Krka 25 mg filmtabletta </w:t>
      </w:r>
    </w:p>
    <w:p w14:paraId="307036F7" w14:textId="77777777" w:rsidR="009F5F6A" w:rsidRDefault="00962A10">
      <w:pPr>
        <w:tabs>
          <w:tab w:val="clear" w:pos="567"/>
        </w:tabs>
        <w:spacing w:line="240" w:lineRule="auto"/>
        <w:jc w:val="both"/>
        <w:rPr>
          <w:rFonts w:eastAsia="Calibri"/>
          <w:snapToGrid/>
          <w:sz w:val="24"/>
          <w:szCs w:val="24"/>
          <w:lang w:val="hu-HU" w:eastAsia="hu-HU"/>
        </w:rPr>
      </w:pPr>
      <w:r>
        <w:rPr>
          <w:rFonts w:eastAsia="Calibri"/>
          <w:snapToGrid/>
          <w:szCs w:val="22"/>
          <w:lang w:val="hu-HU" w:eastAsia="en-US"/>
        </w:rPr>
        <w:t xml:space="preserve">OGYI-T-24479/01  14×            OPA/Al/PVC//Al </w:t>
      </w:r>
      <w:r>
        <w:rPr>
          <w:lang w:val="hu-HU"/>
        </w:rPr>
        <w:t xml:space="preserve">naptárjelzéses </w:t>
      </w:r>
      <w:r>
        <w:rPr>
          <w:rFonts w:eastAsia="Calibri"/>
          <w:snapToGrid/>
          <w:szCs w:val="22"/>
          <w:lang w:val="hu-HU" w:eastAsia="en-US"/>
        </w:rPr>
        <w:t>buborékcsomagolásban</w:t>
      </w:r>
    </w:p>
    <w:p w14:paraId="5BF977E6"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OGYI-T-24479/02  28×            OPA/Al/PVC//Al </w:t>
      </w:r>
      <w:r>
        <w:rPr>
          <w:lang w:val="hu-HU"/>
        </w:rPr>
        <w:t xml:space="preserve">naptárjelzéses </w:t>
      </w:r>
      <w:r>
        <w:rPr>
          <w:rFonts w:eastAsia="Calibri"/>
          <w:snapToGrid/>
          <w:szCs w:val="22"/>
          <w:lang w:val="hu-HU" w:eastAsia="en-US"/>
        </w:rPr>
        <w:t xml:space="preserve">buborékcsomagolásban </w:t>
      </w:r>
    </w:p>
    <w:p w14:paraId="0C79880D"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OGYI-T-24479/03  56×            OPA/Al/PVC//Al </w:t>
      </w:r>
      <w:r>
        <w:rPr>
          <w:lang w:val="hu-HU"/>
        </w:rPr>
        <w:t xml:space="preserve">naptárjelzéses </w:t>
      </w:r>
      <w:r>
        <w:rPr>
          <w:rFonts w:eastAsia="Calibri"/>
          <w:snapToGrid/>
          <w:szCs w:val="22"/>
          <w:lang w:val="hu-HU" w:eastAsia="en-US"/>
        </w:rPr>
        <w:t>buborékcsomagolásban</w:t>
      </w:r>
    </w:p>
    <w:p w14:paraId="2D6517DE"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OGYI-T-24479/04  84×            OPA/Al/PVC//Al </w:t>
      </w:r>
      <w:r>
        <w:rPr>
          <w:lang w:val="hu-HU"/>
        </w:rPr>
        <w:t xml:space="preserve">naptárjelzéses </w:t>
      </w:r>
      <w:r>
        <w:rPr>
          <w:rFonts w:eastAsia="Calibri"/>
          <w:snapToGrid/>
          <w:szCs w:val="22"/>
          <w:lang w:val="hu-HU" w:eastAsia="en-US"/>
        </w:rPr>
        <w:t>buborékcsomagolásban</w:t>
      </w:r>
    </w:p>
    <w:p w14:paraId="1A515B85" w14:textId="77777777" w:rsidR="009F5F6A" w:rsidRDefault="00962A10">
      <w:pPr>
        <w:tabs>
          <w:tab w:val="clear" w:pos="567"/>
        </w:tabs>
        <w:spacing w:line="240" w:lineRule="auto"/>
        <w:jc w:val="both"/>
        <w:rPr>
          <w:rFonts w:eastAsia="Calibri"/>
          <w:b/>
          <w:bCs/>
          <w:snapToGrid/>
          <w:szCs w:val="22"/>
          <w:lang w:val="hu-HU" w:eastAsia="en-US"/>
        </w:rPr>
      </w:pPr>
      <w:r>
        <w:rPr>
          <w:rFonts w:eastAsia="Calibri"/>
          <w:snapToGrid/>
          <w:szCs w:val="22"/>
          <w:lang w:val="hu-HU" w:eastAsia="en-US"/>
        </w:rPr>
        <w:t>OGYI-T-24479/05  84× (3×28)  OPA/Al/PVC//Al buborékcsomagolásban (gyűjtőcsomagolásban)</w:t>
      </w:r>
    </w:p>
    <w:p w14:paraId="3E30B5D0" w14:textId="77777777" w:rsidR="009F5F6A" w:rsidRDefault="009F5F6A">
      <w:pPr>
        <w:tabs>
          <w:tab w:val="clear" w:pos="567"/>
        </w:tabs>
        <w:spacing w:line="240" w:lineRule="auto"/>
        <w:jc w:val="both"/>
        <w:rPr>
          <w:rFonts w:eastAsia="Calibri"/>
          <w:b/>
          <w:bCs/>
          <w:snapToGrid/>
          <w:szCs w:val="22"/>
          <w:lang w:val="hu-HU" w:eastAsia="en-US"/>
        </w:rPr>
      </w:pPr>
    </w:p>
    <w:p w14:paraId="6DBBC4C0" w14:textId="77777777" w:rsidR="009F5F6A" w:rsidRDefault="00962A10">
      <w:pPr>
        <w:tabs>
          <w:tab w:val="clear" w:pos="567"/>
        </w:tabs>
        <w:spacing w:line="240" w:lineRule="auto"/>
        <w:rPr>
          <w:rFonts w:eastAsia="Calibri"/>
          <w:b/>
          <w:bCs/>
          <w:snapToGrid/>
          <w:szCs w:val="22"/>
          <w:u w:val="single"/>
          <w:lang w:val="hu-HU" w:eastAsia="en-US"/>
        </w:rPr>
      </w:pPr>
      <w:r>
        <w:rPr>
          <w:rFonts w:eastAsia="Calibri"/>
          <w:b/>
          <w:bCs/>
          <w:snapToGrid/>
          <w:szCs w:val="22"/>
          <w:u w:val="single"/>
          <w:lang w:val="hu-HU" w:eastAsia="en-US"/>
        </w:rPr>
        <w:t xml:space="preserve">Eltrombopag Krka 50 mg filmtabletta </w:t>
      </w:r>
    </w:p>
    <w:p w14:paraId="5777F1EF" w14:textId="77777777" w:rsidR="009F5F6A" w:rsidRDefault="00962A10">
      <w:pPr>
        <w:tabs>
          <w:tab w:val="clear" w:pos="567"/>
        </w:tabs>
        <w:spacing w:line="240" w:lineRule="auto"/>
        <w:jc w:val="both"/>
        <w:rPr>
          <w:rFonts w:eastAsia="Calibri"/>
          <w:snapToGrid/>
          <w:sz w:val="24"/>
          <w:szCs w:val="24"/>
          <w:lang w:val="hu-HU" w:eastAsia="hu-HU"/>
        </w:rPr>
      </w:pPr>
      <w:r>
        <w:rPr>
          <w:rFonts w:eastAsia="Calibri"/>
          <w:snapToGrid/>
          <w:szCs w:val="22"/>
          <w:lang w:val="hu-HU" w:eastAsia="en-US"/>
        </w:rPr>
        <w:t xml:space="preserve">OGYI-T-24479/06  14×            OPA/Al/PVC//Al </w:t>
      </w:r>
      <w:r>
        <w:rPr>
          <w:lang w:val="hu-HU"/>
        </w:rPr>
        <w:t xml:space="preserve">naptárjelzéses </w:t>
      </w:r>
      <w:r>
        <w:rPr>
          <w:rFonts w:eastAsia="Calibri"/>
          <w:snapToGrid/>
          <w:szCs w:val="22"/>
          <w:lang w:val="hu-HU" w:eastAsia="en-US"/>
        </w:rPr>
        <w:t>buborékcsomagolásban</w:t>
      </w:r>
    </w:p>
    <w:p w14:paraId="2F894527"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OGYI-T-24479/07  28×            OPA/Al/PVC//Al </w:t>
      </w:r>
      <w:r>
        <w:rPr>
          <w:lang w:val="hu-HU"/>
        </w:rPr>
        <w:t xml:space="preserve">naptárjelzéses </w:t>
      </w:r>
      <w:r>
        <w:rPr>
          <w:rFonts w:eastAsia="Calibri"/>
          <w:snapToGrid/>
          <w:szCs w:val="22"/>
          <w:lang w:val="hu-HU" w:eastAsia="en-US"/>
        </w:rPr>
        <w:t>buborékcsomagolásban</w:t>
      </w:r>
    </w:p>
    <w:p w14:paraId="402EAF27"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OGYI-T-24479/08  56×            OPA/Al/PVC//Al </w:t>
      </w:r>
      <w:r>
        <w:rPr>
          <w:lang w:val="hu-HU"/>
        </w:rPr>
        <w:t xml:space="preserve">naptárjelzéses </w:t>
      </w:r>
      <w:r>
        <w:rPr>
          <w:rFonts w:eastAsia="Calibri"/>
          <w:snapToGrid/>
          <w:szCs w:val="22"/>
          <w:lang w:val="hu-HU" w:eastAsia="en-US"/>
        </w:rPr>
        <w:t>buborékcsomagolásban</w:t>
      </w:r>
    </w:p>
    <w:p w14:paraId="5A0237AB"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OGYI-T-24479/09  84×            OPA/Al/PVC//Al </w:t>
      </w:r>
      <w:r>
        <w:rPr>
          <w:lang w:val="hu-HU"/>
        </w:rPr>
        <w:t xml:space="preserve">naptárjelzéses </w:t>
      </w:r>
      <w:r>
        <w:rPr>
          <w:rFonts w:eastAsia="Calibri"/>
          <w:snapToGrid/>
          <w:szCs w:val="22"/>
          <w:lang w:val="hu-HU" w:eastAsia="en-US"/>
        </w:rPr>
        <w:t>buborékcsomagolásban</w:t>
      </w:r>
    </w:p>
    <w:p w14:paraId="221E866C"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OGYI-T-24479/10  84× (3×28)  OPA/Al/PVC//Al buborékcsomagolásban (gyűjtőcsomagolásban)</w:t>
      </w:r>
    </w:p>
    <w:p w14:paraId="081794E9" w14:textId="77777777" w:rsidR="009F5F6A" w:rsidRDefault="009F5F6A">
      <w:pPr>
        <w:tabs>
          <w:tab w:val="clear" w:pos="567"/>
        </w:tabs>
        <w:spacing w:line="240" w:lineRule="auto"/>
        <w:jc w:val="both"/>
        <w:rPr>
          <w:rFonts w:eastAsia="Calibri"/>
          <w:snapToGrid/>
          <w:szCs w:val="22"/>
          <w:lang w:val="hu-HU" w:eastAsia="en-US"/>
        </w:rPr>
      </w:pPr>
    </w:p>
    <w:p w14:paraId="0BB8608D" w14:textId="77777777" w:rsidR="009F5F6A" w:rsidRDefault="00962A10">
      <w:pPr>
        <w:tabs>
          <w:tab w:val="clear" w:pos="567"/>
        </w:tabs>
        <w:spacing w:line="240" w:lineRule="auto"/>
        <w:rPr>
          <w:rFonts w:eastAsia="Calibri"/>
          <w:b/>
          <w:bCs/>
          <w:snapToGrid/>
          <w:sz w:val="24"/>
          <w:szCs w:val="24"/>
          <w:u w:val="single"/>
          <w:lang w:val="hu-HU" w:eastAsia="en-US"/>
        </w:rPr>
      </w:pPr>
      <w:r>
        <w:rPr>
          <w:rFonts w:eastAsia="Calibri"/>
          <w:b/>
          <w:bCs/>
          <w:snapToGrid/>
          <w:szCs w:val="22"/>
          <w:u w:val="single"/>
          <w:lang w:val="hu-HU" w:eastAsia="en-US"/>
        </w:rPr>
        <w:t>Eltrombopag Krka 75 mg filmtabletta</w:t>
      </w:r>
    </w:p>
    <w:p w14:paraId="3B5CB3A6" w14:textId="77777777" w:rsidR="009F5F6A" w:rsidRDefault="00962A10">
      <w:pPr>
        <w:tabs>
          <w:tab w:val="clear" w:pos="567"/>
        </w:tabs>
        <w:spacing w:line="240" w:lineRule="auto"/>
        <w:jc w:val="both"/>
        <w:rPr>
          <w:rFonts w:eastAsia="Calibri"/>
          <w:snapToGrid/>
          <w:sz w:val="24"/>
          <w:szCs w:val="24"/>
          <w:lang w:val="hu-HU" w:eastAsia="hu-HU"/>
        </w:rPr>
      </w:pPr>
      <w:r>
        <w:rPr>
          <w:rFonts w:eastAsia="Calibri"/>
          <w:snapToGrid/>
          <w:szCs w:val="22"/>
          <w:lang w:val="hu-HU" w:eastAsia="en-US"/>
        </w:rPr>
        <w:t xml:space="preserve">OGYI-T-24479/11  14×            OPA/Al/PVC//Al </w:t>
      </w:r>
      <w:r>
        <w:rPr>
          <w:lang w:val="hu-HU"/>
        </w:rPr>
        <w:t xml:space="preserve">naptárjelzéses </w:t>
      </w:r>
      <w:r>
        <w:rPr>
          <w:rFonts w:eastAsia="Calibri"/>
          <w:snapToGrid/>
          <w:szCs w:val="22"/>
          <w:lang w:val="hu-HU" w:eastAsia="en-US"/>
        </w:rPr>
        <w:t>buborékcsomagolásban</w:t>
      </w:r>
    </w:p>
    <w:p w14:paraId="6E64CA82"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OGYI-T-24479/12  28×            OPA/Al/PVC//Al </w:t>
      </w:r>
      <w:r>
        <w:rPr>
          <w:lang w:val="hu-HU"/>
        </w:rPr>
        <w:t xml:space="preserve">naptárjelzéses </w:t>
      </w:r>
      <w:r>
        <w:rPr>
          <w:rFonts w:eastAsia="Calibri"/>
          <w:snapToGrid/>
          <w:szCs w:val="22"/>
          <w:lang w:val="hu-HU" w:eastAsia="en-US"/>
        </w:rPr>
        <w:t>buborékcsomagolásban</w:t>
      </w:r>
    </w:p>
    <w:p w14:paraId="2BB9C9F3"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OGYI-T-24479/13  56×            OPA/Al/PVC//Al </w:t>
      </w:r>
      <w:r>
        <w:rPr>
          <w:lang w:val="hu-HU"/>
        </w:rPr>
        <w:t xml:space="preserve">naptárjelzéses </w:t>
      </w:r>
      <w:r>
        <w:rPr>
          <w:rFonts w:eastAsia="Calibri"/>
          <w:snapToGrid/>
          <w:szCs w:val="22"/>
          <w:lang w:val="hu-HU" w:eastAsia="en-US"/>
        </w:rPr>
        <w:t>buborékcsomagolásban</w:t>
      </w:r>
    </w:p>
    <w:p w14:paraId="11853856"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OGYI-T-24479/14  84×            OPA/Al/PVC//Al </w:t>
      </w:r>
      <w:r>
        <w:rPr>
          <w:lang w:val="hu-HU"/>
        </w:rPr>
        <w:t xml:space="preserve">naptárjelzéses </w:t>
      </w:r>
      <w:r>
        <w:rPr>
          <w:rFonts w:eastAsia="Calibri"/>
          <w:snapToGrid/>
          <w:szCs w:val="22"/>
          <w:lang w:val="hu-HU" w:eastAsia="en-US"/>
        </w:rPr>
        <w:t>buborékcsomagolásban</w:t>
      </w:r>
    </w:p>
    <w:p w14:paraId="3ECEF28A" w14:textId="77777777" w:rsidR="009F5F6A" w:rsidRDefault="00962A10">
      <w:pPr>
        <w:tabs>
          <w:tab w:val="clear" w:pos="567"/>
        </w:tabs>
        <w:spacing w:line="240" w:lineRule="auto"/>
        <w:jc w:val="both"/>
        <w:rPr>
          <w:rFonts w:eastAsia="Calibri"/>
          <w:b/>
          <w:bCs/>
          <w:snapToGrid/>
          <w:szCs w:val="22"/>
          <w:lang w:val="hu-HU" w:eastAsia="en-US"/>
        </w:rPr>
      </w:pPr>
      <w:r>
        <w:rPr>
          <w:rFonts w:eastAsia="Calibri"/>
          <w:snapToGrid/>
          <w:szCs w:val="22"/>
          <w:lang w:val="hu-HU" w:eastAsia="en-US"/>
        </w:rPr>
        <w:t>OGYI-T-24479/15  84× (3×28)  OPA/Al/PVC//Al buborékcsomagolásban (gyűjtőcsomagolásban)</w:t>
      </w:r>
    </w:p>
    <w:p w14:paraId="243B73EC" w14:textId="77777777" w:rsidR="009F5F6A" w:rsidRDefault="009F5F6A">
      <w:pPr>
        <w:spacing w:line="240" w:lineRule="auto"/>
        <w:ind w:left="567" w:hanging="567"/>
        <w:outlineLvl w:val="0"/>
        <w:rPr>
          <w:b/>
          <w:lang w:val="hu-HU"/>
        </w:rPr>
      </w:pPr>
    </w:p>
    <w:p w14:paraId="17DAEBC5" w14:textId="77777777" w:rsidR="009F5F6A" w:rsidRDefault="009F5F6A">
      <w:pPr>
        <w:spacing w:line="240" w:lineRule="auto"/>
        <w:ind w:left="567" w:hanging="567"/>
        <w:outlineLvl w:val="0"/>
        <w:rPr>
          <w:b/>
          <w:lang w:val="hu-HU"/>
        </w:rPr>
      </w:pPr>
    </w:p>
    <w:p w14:paraId="44939F89" w14:textId="77777777" w:rsidR="009F5F6A" w:rsidRDefault="00962A10">
      <w:pPr>
        <w:spacing w:line="240" w:lineRule="auto"/>
        <w:ind w:left="567" w:hanging="567"/>
        <w:outlineLvl w:val="0"/>
        <w:rPr>
          <w:b/>
          <w:lang w:val="hu-HU"/>
        </w:rPr>
      </w:pPr>
      <w:r>
        <w:rPr>
          <w:rFonts w:eastAsia="Times New Roman"/>
          <w:b/>
          <w:noProof/>
          <w:snapToGrid/>
          <w:szCs w:val="22"/>
          <w:lang w:val="hu-HU" w:eastAsia="en-US"/>
        </w:rPr>
        <w:t>9.</w:t>
      </w:r>
      <w:r>
        <w:rPr>
          <w:rFonts w:eastAsia="Times New Roman"/>
          <w:b/>
          <w:noProof/>
          <w:snapToGrid/>
          <w:szCs w:val="22"/>
          <w:lang w:val="hu-HU" w:eastAsia="en-US"/>
        </w:rPr>
        <w:tab/>
        <w:t>A FORGALOMBA HOZATALI ENGEDÉLY ELSŐ KIADÁSÁNAK/ MEGÚJÍTÁSÁNAK</w:t>
      </w:r>
      <w:r>
        <w:rPr>
          <w:b/>
          <w:lang w:val="hu-HU"/>
        </w:rPr>
        <w:t xml:space="preserve"> DÁTUMA</w:t>
      </w:r>
    </w:p>
    <w:p w14:paraId="6E5C22BC" w14:textId="77777777" w:rsidR="009F5F6A" w:rsidRDefault="009F5F6A">
      <w:pPr>
        <w:spacing w:line="240" w:lineRule="auto"/>
        <w:rPr>
          <w:rFonts w:eastAsia="Times New Roman"/>
          <w:noProof/>
          <w:snapToGrid/>
          <w:szCs w:val="22"/>
          <w:lang w:val="hu-HU" w:eastAsia="en-US"/>
        </w:rPr>
      </w:pPr>
    </w:p>
    <w:p w14:paraId="5FAD6993" w14:textId="77777777"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A forgalomba hozatali engedély első kiadásának dátuma: 2024. november 05.</w:t>
      </w:r>
    </w:p>
    <w:p w14:paraId="1AB8202B" w14:textId="77777777" w:rsidR="009F5F6A" w:rsidRDefault="009F5F6A">
      <w:pPr>
        <w:spacing w:line="240" w:lineRule="auto"/>
        <w:rPr>
          <w:rFonts w:eastAsia="Times New Roman"/>
          <w:noProof/>
          <w:snapToGrid/>
          <w:szCs w:val="22"/>
          <w:lang w:val="hu-HU" w:eastAsia="en-US"/>
        </w:rPr>
      </w:pPr>
    </w:p>
    <w:p w14:paraId="24B6DD73" w14:textId="77777777" w:rsidR="009F5F6A" w:rsidRDefault="009F5F6A">
      <w:pPr>
        <w:spacing w:line="240" w:lineRule="auto"/>
        <w:rPr>
          <w:rFonts w:eastAsia="Times New Roman"/>
          <w:noProof/>
          <w:snapToGrid/>
          <w:szCs w:val="22"/>
          <w:lang w:val="hu-HU" w:eastAsia="en-US"/>
        </w:rPr>
      </w:pPr>
    </w:p>
    <w:p w14:paraId="165A57BA" w14:textId="77777777" w:rsidR="009F5F6A" w:rsidRDefault="00962A10">
      <w:pPr>
        <w:spacing w:line="240" w:lineRule="auto"/>
        <w:ind w:left="567" w:hanging="567"/>
        <w:outlineLvl w:val="0"/>
        <w:rPr>
          <w:b/>
          <w:lang w:val="hu-HU"/>
        </w:rPr>
      </w:pPr>
      <w:r>
        <w:rPr>
          <w:rFonts w:eastAsia="Times New Roman"/>
          <w:b/>
          <w:noProof/>
          <w:snapToGrid/>
          <w:szCs w:val="22"/>
          <w:lang w:val="hu-HU" w:eastAsia="en-US"/>
        </w:rPr>
        <w:t>10.</w:t>
      </w:r>
      <w:r>
        <w:rPr>
          <w:rFonts w:eastAsia="Times New Roman"/>
          <w:b/>
          <w:noProof/>
          <w:snapToGrid/>
          <w:szCs w:val="22"/>
          <w:lang w:val="hu-HU" w:eastAsia="en-US"/>
        </w:rPr>
        <w:tab/>
        <w:t>A SZÖVEG ELLENŐRZÉSÉNEK DÁTUMA</w:t>
      </w:r>
    </w:p>
    <w:p w14:paraId="1744AB52" w14:textId="77777777" w:rsidR="007D2DE6" w:rsidRDefault="007D2DE6" w:rsidP="00533649">
      <w:pPr>
        <w:spacing w:line="240" w:lineRule="auto"/>
        <w:ind w:left="567" w:hanging="567"/>
        <w:outlineLvl w:val="0"/>
        <w:rPr>
          <w:b/>
          <w:lang w:val="hu-HU"/>
        </w:rPr>
      </w:pPr>
    </w:p>
    <w:p w14:paraId="3E923797" w14:textId="49DEB96E" w:rsidR="007D2DE6" w:rsidRPr="00533649" w:rsidRDefault="007D2DE6">
      <w:pPr>
        <w:spacing w:line="240" w:lineRule="auto"/>
        <w:ind w:left="567" w:hanging="567"/>
        <w:outlineLvl w:val="0"/>
        <w:rPr>
          <w:lang w:val="hu-HU"/>
        </w:rPr>
      </w:pPr>
      <w:r w:rsidRPr="00533649">
        <w:rPr>
          <w:lang w:val="hu-HU"/>
        </w:rPr>
        <w:t xml:space="preserve">2025. december </w:t>
      </w:r>
      <w:r w:rsidR="00533649">
        <w:rPr>
          <w:lang w:val="hu-HU"/>
        </w:rPr>
        <w:t>14.</w:t>
      </w:r>
      <w:bookmarkStart w:id="2" w:name="_GoBack"/>
      <w:bookmarkEnd w:id="2"/>
    </w:p>
    <w:p w14:paraId="27376EFD" w14:textId="53CED0AB" w:rsidR="009F5F6A" w:rsidRDefault="009F5F6A" w:rsidP="00533649">
      <w:pPr>
        <w:spacing w:line="240" w:lineRule="auto"/>
        <w:ind w:left="567" w:hanging="567"/>
        <w:outlineLvl w:val="0"/>
        <w:rPr>
          <w:i/>
          <w:iCs/>
          <w:lang w:val="hu-HU"/>
        </w:rPr>
      </w:pPr>
    </w:p>
    <w:sectPr w:rsidR="009F5F6A">
      <w:headerReference w:type="default" r:id="rId8"/>
      <w:footerReference w:type="default" r:id="rId9"/>
      <w:footerReference w:type="first" r:id="rId10"/>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09154" w14:textId="77777777" w:rsidR="005A3ED0" w:rsidRDefault="005A3ED0">
      <w:pPr>
        <w:spacing w:line="240" w:lineRule="auto"/>
      </w:pPr>
      <w:r>
        <w:separator/>
      </w:r>
    </w:p>
  </w:endnote>
  <w:endnote w:type="continuationSeparator" w:id="0">
    <w:p w14:paraId="1409A7B1" w14:textId="77777777" w:rsidR="005A3ED0" w:rsidRDefault="005A3E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w:panose1 w:val="020F0502020204030204"/>
    <w:charset w:val="EE"/>
    <w:family w:val="swiss"/>
    <w:pitch w:val="variable"/>
    <w:sig w:usb0="E4002EFF" w:usb1="C000247B" w:usb2="00000009" w:usb3="00000000" w:csb0="000001FF" w:csb1="00000000"/>
  </w:font>
  <w:font w:name="TimesNewRomanPSMT">
    <w:altName w:val="Yu Gothic"/>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TimesNewRomanPS-BoldMT">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F5B52" w14:textId="77777777" w:rsidR="009F5F6A" w:rsidRDefault="00962A10">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25E91" w14:textId="77777777" w:rsidR="007D2DE6" w:rsidRDefault="00C67DB1">
    <w:pPr>
      <w:pStyle w:val="llb"/>
      <w:tabs>
        <w:tab w:val="right" w:pos="8931"/>
      </w:tabs>
      <w:ind w:right="96"/>
      <w:rPr>
        <w:rFonts w:ascii="Times New Roman" w:hAnsi="Times New Roman"/>
        <w:sz w:val="18"/>
        <w:szCs w:val="18"/>
      </w:rPr>
    </w:pPr>
    <w:r w:rsidRPr="00C67DB1">
      <w:rPr>
        <w:rFonts w:ascii="Times New Roman" w:hAnsi="Times New Roman"/>
        <w:sz w:val="18"/>
        <w:szCs w:val="18"/>
      </w:rPr>
      <w:t>NNGYK/ETGY/3500/2026</w:t>
    </w:r>
  </w:p>
  <w:p w14:paraId="19870E18" w14:textId="46223872" w:rsidR="007D2DE6" w:rsidRDefault="007D2DE6">
    <w:pPr>
      <w:pStyle w:val="llb"/>
      <w:tabs>
        <w:tab w:val="right" w:pos="8931"/>
      </w:tabs>
      <w:ind w:right="96"/>
      <w:rPr>
        <w:rFonts w:ascii="Times New Roman" w:hAnsi="Times New Roman"/>
        <w:sz w:val="18"/>
        <w:szCs w:val="18"/>
      </w:rPr>
    </w:pPr>
    <w:r>
      <w:rPr>
        <w:rFonts w:ascii="Times New Roman" w:hAnsi="Times New Roman"/>
        <w:sz w:val="18"/>
        <w:szCs w:val="18"/>
      </w:rPr>
      <w:t>NNGYK/ETGY/16230</w:t>
    </w:r>
    <w:r w:rsidRPr="007D2DE6">
      <w:rPr>
        <w:rFonts w:ascii="Times New Roman" w:hAnsi="Times New Roman"/>
        <w:sz w:val="18"/>
        <w:szCs w:val="18"/>
      </w:rPr>
      <w:t>/2026</w:t>
    </w:r>
  </w:p>
  <w:p w14:paraId="7FE17A99" w14:textId="1E2D50E7" w:rsidR="009F5F6A" w:rsidRDefault="007D2DE6">
    <w:pPr>
      <w:pStyle w:val="llb"/>
      <w:tabs>
        <w:tab w:val="right" w:pos="8931"/>
      </w:tabs>
      <w:ind w:right="96"/>
      <w:rPr>
        <w:rFonts w:ascii="Times New Roman" w:hAnsi="Times New Roman"/>
        <w:sz w:val="18"/>
        <w:szCs w:val="18"/>
      </w:rPr>
    </w:pPr>
    <w:r w:rsidRPr="007D2DE6">
      <w:rPr>
        <w:rFonts w:ascii="Times New Roman" w:hAnsi="Times New Roman"/>
        <w:sz w:val="18"/>
        <w:szCs w:val="18"/>
      </w:rPr>
      <w:t>NNGYK/ETGY/16232/2026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ED7401" w14:textId="77777777" w:rsidR="005A3ED0" w:rsidRDefault="005A3ED0">
      <w:pPr>
        <w:spacing w:line="240" w:lineRule="auto"/>
      </w:pPr>
      <w:r>
        <w:separator/>
      </w:r>
    </w:p>
  </w:footnote>
  <w:footnote w:type="continuationSeparator" w:id="0">
    <w:p w14:paraId="567624DA" w14:textId="77777777" w:rsidR="005A3ED0" w:rsidRDefault="005A3ED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6995922"/>
      <w:docPartObj>
        <w:docPartGallery w:val="Page Numbers (Top of Page)"/>
        <w:docPartUnique/>
      </w:docPartObj>
    </w:sdtPr>
    <w:sdtEndPr>
      <w:rPr>
        <w:sz w:val="18"/>
        <w:szCs w:val="18"/>
      </w:rPr>
    </w:sdtEndPr>
    <w:sdtContent>
      <w:p w14:paraId="53105914" w14:textId="61D955A5" w:rsidR="009F5F6A" w:rsidRDefault="00962A10">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33649" w:rsidRPr="00533649">
          <w:rPr>
            <w:noProof/>
            <w:sz w:val="18"/>
            <w:szCs w:val="18"/>
            <w:lang w:val="hu-HU"/>
          </w:rPr>
          <w:t>35</w:t>
        </w:r>
        <w:r>
          <w:rPr>
            <w:sz w:val="18"/>
            <w:szCs w:val="18"/>
          </w:rPr>
          <w:fldChar w:fldCharType="end"/>
        </w:r>
      </w:p>
    </w:sdtContent>
  </w:sdt>
  <w:p w14:paraId="353625B7" w14:textId="77777777" w:rsidR="009F5F6A" w:rsidRDefault="009F5F6A">
    <w:pPr>
      <w:pStyle w:val="lfej"/>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0040F"/>
    <w:multiLevelType w:val="multilevel"/>
    <w:tmpl w:val="00000892"/>
    <w:lvl w:ilvl="0">
      <w:start w:val="6"/>
      <w:numFmt w:val="decimal"/>
      <w:lvlText w:val="%1."/>
      <w:lvlJc w:val="left"/>
      <w:pPr>
        <w:ind w:left="686" w:hanging="568"/>
      </w:pPr>
      <w:rPr>
        <w:rFonts w:ascii="Times New Roman" w:hAnsi="Times New Roman" w:cs="Times New Roman"/>
        <w:b/>
        <w:bCs/>
        <w:w w:val="99"/>
        <w:sz w:val="22"/>
        <w:szCs w:val="22"/>
      </w:rPr>
    </w:lvl>
    <w:lvl w:ilvl="1">
      <w:start w:val="1"/>
      <w:numFmt w:val="decimal"/>
      <w:lvlText w:val="%1.%2"/>
      <w:lvlJc w:val="left"/>
      <w:pPr>
        <w:ind w:left="686" w:hanging="568"/>
      </w:pPr>
      <w:rPr>
        <w:rFonts w:ascii="Times New Roman" w:hAnsi="Times New Roman" w:cs="Times New Roman"/>
        <w:b/>
        <w:bCs/>
        <w:w w:val="99"/>
        <w:sz w:val="22"/>
        <w:szCs w:val="22"/>
      </w:rPr>
    </w:lvl>
    <w:lvl w:ilvl="2">
      <w:numFmt w:val="bullet"/>
      <w:lvlText w:val="•"/>
      <w:lvlJc w:val="left"/>
      <w:pPr>
        <w:ind w:left="2334" w:hanging="568"/>
      </w:pPr>
    </w:lvl>
    <w:lvl w:ilvl="3">
      <w:numFmt w:val="bullet"/>
      <w:lvlText w:val="•"/>
      <w:lvlJc w:val="left"/>
      <w:pPr>
        <w:ind w:left="3158" w:hanging="568"/>
      </w:pPr>
    </w:lvl>
    <w:lvl w:ilvl="4">
      <w:numFmt w:val="bullet"/>
      <w:lvlText w:val="•"/>
      <w:lvlJc w:val="left"/>
      <w:pPr>
        <w:ind w:left="3981" w:hanging="568"/>
      </w:pPr>
    </w:lvl>
    <w:lvl w:ilvl="5">
      <w:numFmt w:val="bullet"/>
      <w:lvlText w:val="•"/>
      <w:lvlJc w:val="left"/>
      <w:pPr>
        <w:ind w:left="4805" w:hanging="568"/>
      </w:pPr>
    </w:lvl>
    <w:lvl w:ilvl="6">
      <w:numFmt w:val="bullet"/>
      <w:lvlText w:val="•"/>
      <w:lvlJc w:val="left"/>
      <w:pPr>
        <w:ind w:left="5629" w:hanging="568"/>
      </w:pPr>
    </w:lvl>
    <w:lvl w:ilvl="7">
      <w:numFmt w:val="bullet"/>
      <w:lvlText w:val="•"/>
      <w:lvlJc w:val="left"/>
      <w:pPr>
        <w:ind w:left="6453" w:hanging="568"/>
      </w:pPr>
    </w:lvl>
    <w:lvl w:ilvl="8">
      <w:numFmt w:val="bullet"/>
      <w:lvlText w:val="•"/>
      <w:lvlJc w:val="left"/>
      <w:pPr>
        <w:ind w:left="7277" w:hanging="568"/>
      </w:pPr>
    </w:lvl>
  </w:abstractNum>
  <w:abstractNum w:abstractNumId="12" w15:restartNumberingAfterBreak="0">
    <w:nsid w:val="000900ED"/>
    <w:multiLevelType w:val="hybridMultilevel"/>
    <w:tmpl w:val="3D08C984"/>
    <w:lvl w:ilvl="0" w:tplc="C4662922">
      <w:start w:val="1"/>
      <w:numFmt w:val="bullet"/>
      <w:pStyle w:val="Cmsor1"/>
      <w:lvlText w:val=""/>
      <w:lvlJc w:val="left"/>
      <w:pPr>
        <w:tabs>
          <w:tab w:val="num" w:pos="360"/>
        </w:tabs>
        <w:ind w:left="360" w:hanging="360"/>
      </w:pPr>
      <w:rPr>
        <w:rFonts w:ascii="Symbol" w:hAnsi="Symbol" w:hint="default"/>
      </w:rPr>
    </w:lvl>
    <w:lvl w:ilvl="1" w:tplc="5A003414" w:tentative="1">
      <w:start w:val="1"/>
      <w:numFmt w:val="bullet"/>
      <w:pStyle w:val="Cmsor2"/>
      <w:lvlText w:val="o"/>
      <w:lvlJc w:val="left"/>
      <w:pPr>
        <w:tabs>
          <w:tab w:val="num" w:pos="1080"/>
        </w:tabs>
        <w:ind w:left="1080" w:hanging="360"/>
      </w:pPr>
      <w:rPr>
        <w:rFonts w:ascii="Courier New" w:hAnsi="Courier New" w:hint="default"/>
      </w:rPr>
    </w:lvl>
    <w:lvl w:ilvl="2" w:tplc="639CD1EA" w:tentative="1">
      <w:start w:val="1"/>
      <w:numFmt w:val="bullet"/>
      <w:pStyle w:val="Cmsor3"/>
      <w:lvlText w:val=""/>
      <w:lvlJc w:val="left"/>
      <w:pPr>
        <w:tabs>
          <w:tab w:val="num" w:pos="1800"/>
        </w:tabs>
        <w:ind w:left="1800" w:hanging="360"/>
      </w:pPr>
      <w:rPr>
        <w:rFonts w:ascii="Wingdings" w:hAnsi="Wingdings" w:hint="default"/>
      </w:rPr>
    </w:lvl>
    <w:lvl w:ilvl="3" w:tplc="73201A5C" w:tentative="1">
      <w:start w:val="1"/>
      <w:numFmt w:val="bullet"/>
      <w:pStyle w:val="Cmsor4"/>
      <w:lvlText w:val=""/>
      <w:lvlJc w:val="left"/>
      <w:pPr>
        <w:tabs>
          <w:tab w:val="num" w:pos="2520"/>
        </w:tabs>
        <w:ind w:left="2520" w:hanging="360"/>
      </w:pPr>
      <w:rPr>
        <w:rFonts w:ascii="Symbol" w:hAnsi="Symbol" w:hint="default"/>
      </w:rPr>
    </w:lvl>
    <w:lvl w:ilvl="4" w:tplc="99A86DE2" w:tentative="1">
      <w:start w:val="1"/>
      <w:numFmt w:val="bullet"/>
      <w:pStyle w:val="Cmsor5"/>
      <w:lvlText w:val="o"/>
      <w:lvlJc w:val="left"/>
      <w:pPr>
        <w:tabs>
          <w:tab w:val="num" w:pos="3240"/>
        </w:tabs>
        <w:ind w:left="3240" w:hanging="360"/>
      </w:pPr>
      <w:rPr>
        <w:rFonts w:ascii="Courier New" w:hAnsi="Courier New" w:hint="default"/>
      </w:rPr>
    </w:lvl>
    <w:lvl w:ilvl="5" w:tplc="F252D1F4" w:tentative="1">
      <w:start w:val="1"/>
      <w:numFmt w:val="bullet"/>
      <w:pStyle w:val="Cmsor6"/>
      <w:lvlText w:val=""/>
      <w:lvlJc w:val="left"/>
      <w:pPr>
        <w:tabs>
          <w:tab w:val="num" w:pos="3960"/>
        </w:tabs>
        <w:ind w:left="3960" w:hanging="360"/>
      </w:pPr>
      <w:rPr>
        <w:rFonts w:ascii="Wingdings" w:hAnsi="Wingdings" w:hint="default"/>
      </w:rPr>
    </w:lvl>
    <w:lvl w:ilvl="6" w:tplc="28106FC4" w:tentative="1">
      <w:start w:val="1"/>
      <w:numFmt w:val="bullet"/>
      <w:pStyle w:val="Cmsor7"/>
      <w:lvlText w:val=""/>
      <w:lvlJc w:val="left"/>
      <w:pPr>
        <w:tabs>
          <w:tab w:val="num" w:pos="4680"/>
        </w:tabs>
        <w:ind w:left="4680" w:hanging="360"/>
      </w:pPr>
      <w:rPr>
        <w:rFonts w:ascii="Symbol" w:hAnsi="Symbol" w:hint="default"/>
      </w:rPr>
    </w:lvl>
    <w:lvl w:ilvl="7" w:tplc="4CF84B94" w:tentative="1">
      <w:start w:val="1"/>
      <w:numFmt w:val="bullet"/>
      <w:pStyle w:val="Cmsor8"/>
      <w:lvlText w:val="o"/>
      <w:lvlJc w:val="left"/>
      <w:pPr>
        <w:tabs>
          <w:tab w:val="num" w:pos="5400"/>
        </w:tabs>
        <w:ind w:left="5400" w:hanging="360"/>
      </w:pPr>
      <w:rPr>
        <w:rFonts w:ascii="Courier New" w:hAnsi="Courier New" w:hint="default"/>
      </w:rPr>
    </w:lvl>
    <w:lvl w:ilvl="8" w:tplc="E62CC65C" w:tentative="1">
      <w:start w:val="1"/>
      <w:numFmt w:val="bullet"/>
      <w:pStyle w:val="Cmsor9"/>
      <w:lvlText w:val=""/>
      <w:lvlJc w:val="left"/>
      <w:pPr>
        <w:tabs>
          <w:tab w:val="num" w:pos="6120"/>
        </w:tabs>
        <w:ind w:left="6120" w:hanging="360"/>
      </w:pPr>
      <w:rPr>
        <w:rFonts w:ascii="Wingdings" w:hAnsi="Wingdings" w:hint="default"/>
      </w:rPr>
    </w:lvl>
  </w:abstractNum>
  <w:abstractNum w:abstractNumId="13"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05874684"/>
    <w:multiLevelType w:val="hybridMultilevel"/>
    <w:tmpl w:val="789C5BEC"/>
    <w:lvl w:ilvl="0" w:tplc="0F523BD2">
      <w:start w:val="1"/>
      <w:numFmt w:val="bullet"/>
      <w:lvlText w:val=""/>
      <w:lvlJc w:val="left"/>
      <w:pPr>
        <w:tabs>
          <w:tab w:val="num" w:pos="567"/>
        </w:tabs>
        <w:ind w:left="567" w:hanging="567"/>
      </w:pPr>
      <w:rPr>
        <w:rFonts w:ascii="Symbol" w:hAnsi="Symbol" w:hint="default"/>
      </w:rPr>
    </w:lvl>
    <w:lvl w:ilvl="1" w:tplc="384C3240" w:tentative="1">
      <w:start w:val="1"/>
      <w:numFmt w:val="bullet"/>
      <w:lvlText w:val="o"/>
      <w:lvlJc w:val="left"/>
      <w:pPr>
        <w:tabs>
          <w:tab w:val="num" w:pos="1440"/>
        </w:tabs>
        <w:ind w:left="1440" w:hanging="360"/>
      </w:pPr>
      <w:rPr>
        <w:rFonts w:ascii="Courier New" w:hAnsi="Courier New" w:hint="default"/>
      </w:rPr>
    </w:lvl>
    <w:lvl w:ilvl="2" w:tplc="1A80E02C" w:tentative="1">
      <w:start w:val="1"/>
      <w:numFmt w:val="bullet"/>
      <w:lvlText w:val=""/>
      <w:lvlJc w:val="left"/>
      <w:pPr>
        <w:tabs>
          <w:tab w:val="num" w:pos="2160"/>
        </w:tabs>
        <w:ind w:left="2160" w:hanging="360"/>
      </w:pPr>
      <w:rPr>
        <w:rFonts w:ascii="Wingdings" w:hAnsi="Wingdings" w:hint="default"/>
      </w:rPr>
    </w:lvl>
    <w:lvl w:ilvl="3" w:tplc="A2A89510" w:tentative="1">
      <w:start w:val="1"/>
      <w:numFmt w:val="bullet"/>
      <w:lvlText w:val=""/>
      <w:lvlJc w:val="left"/>
      <w:pPr>
        <w:tabs>
          <w:tab w:val="num" w:pos="2880"/>
        </w:tabs>
        <w:ind w:left="2880" w:hanging="360"/>
      </w:pPr>
      <w:rPr>
        <w:rFonts w:ascii="Symbol" w:hAnsi="Symbol" w:hint="default"/>
      </w:rPr>
    </w:lvl>
    <w:lvl w:ilvl="4" w:tplc="17C41608" w:tentative="1">
      <w:start w:val="1"/>
      <w:numFmt w:val="bullet"/>
      <w:lvlText w:val="o"/>
      <w:lvlJc w:val="left"/>
      <w:pPr>
        <w:tabs>
          <w:tab w:val="num" w:pos="3600"/>
        </w:tabs>
        <w:ind w:left="3600" w:hanging="360"/>
      </w:pPr>
      <w:rPr>
        <w:rFonts w:ascii="Courier New" w:hAnsi="Courier New" w:hint="default"/>
      </w:rPr>
    </w:lvl>
    <w:lvl w:ilvl="5" w:tplc="A394F488" w:tentative="1">
      <w:start w:val="1"/>
      <w:numFmt w:val="bullet"/>
      <w:lvlText w:val=""/>
      <w:lvlJc w:val="left"/>
      <w:pPr>
        <w:tabs>
          <w:tab w:val="num" w:pos="4320"/>
        </w:tabs>
        <w:ind w:left="4320" w:hanging="360"/>
      </w:pPr>
      <w:rPr>
        <w:rFonts w:ascii="Wingdings" w:hAnsi="Wingdings" w:hint="default"/>
      </w:rPr>
    </w:lvl>
    <w:lvl w:ilvl="6" w:tplc="A176DA7C" w:tentative="1">
      <w:start w:val="1"/>
      <w:numFmt w:val="bullet"/>
      <w:lvlText w:val=""/>
      <w:lvlJc w:val="left"/>
      <w:pPr>
        <w:tabs>
          <w:tab w:val="num" w:pos="5040"/>
        </w:tabs>
        <w:ind w:left="5040" w:hanging="360"/>
      </w:pPr>
      <w:rPr>
        <w:rFonts w:ascii="Symbol" w:hAnsi="Symbol" w:hint="default"/>
      </w:rPr>
    </w:lvl>
    <w:lvl w:ilvl="7" w:tplc="8658798C" w:tentative="1">
      <w:start w:val="1"/>
      <w:numFmt w:val="bullet"/>
      <w:lvlText w:val="o"/>
      <w:lvlJc w:val="left"/>
      <w:pPr>
        <w:tabs>
          <w:tab w:val="num" w:pos="5760"/>
        </w:tabs>
        <w:ind w:left="5760" w:hanging="360"/>
      </w:pPr>
      <w:rPr>
        <w:rFonts w:ascii="Courier New" w:hAnsi="Courier New" w:hint="default"/>
      </w:rPr>
    </w:lvl>
    <w:lvl w:ilvl="8" w:tplc="5FA48ED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9C44CC1"/>
    <w:multiLevelType w:val="hybridMultilevel"/>
    <w:tmpl w:val="7FF2C56E"/>
    <w:lvl w:ilvl="0" w:tplc="831C301C">
      <w:start w:val="1"/>
      <w:numFmt w:val="bullet"/>
      <w:lvlText w:val=""/>
      <w:lvlJc w:val="left"/>
      <w:pPr>
        <w:tabs>
          <w:tab w:val="num" w:pos="720"/>
        </w:tabs>
        <w:ind w:left="720" w:hanging="360"/>
      </w:pPr>
      <w:rPr>
        <w:rFonts w:ascii="Symbol" w:hAnsi="Symbol" w:hint="default"/>
      </w:rPr>
    </w:lvl>
    <w:lvl w:ilvl="1" w:tplc="2A80F866" w:tentative="1">
      <w:start w:val="1"/>
      <w:numFmt w:val="bullet"/>
      <w:lvlText w:val="o"/>
      <w:lvlJc w:val="left"/>
      <w:pPr>
        <w:tabs>
          <w:tab w:val="num" w:pos="1440"/>
        </w:tabs>
        <w:ind w:left="1440" w:hanging="360"/>
      </w:pPr>
      <w:rPr>
        <w:rFonts w:ascii="Courier New" w:hAnsi="Courier New" w:hint="default"/>
      </w:rPr>
    </w:lvl>
    <w:lvl w:ilvl="2" w:tplc="2104F9DC" w:tentative="1">
      <w:start w:val="1"/>
      <w:numFmt w:val="bullet"/>
      <w:lvlText w:val=""/>
      <w:lvlJc w:val="left"/>
      <w:pPr>
        <w:tabs>
          <w:tab w:val="num" w:pos="2160"/>
        </w:tabs>
        <w:ind w:left="2160" w:hanging="360"/>
      </w:pPr>
      <w:rPr>
        <w:rFonts w:ascii="Wingdings" w:hAnsi="Wingdings" w:hint="default"/>
      </w:rPr>
    </w:lvl>
    <w:lvl w:ilvl="3" w:tplc="1A56CF00" w:tentative="1">
      <w:start w:val="1"/>
      <w:numFmt w:val="bullet"/>
      <w:lvlText w:val=""/>
      <w:lvlJc w:val="left"/>
      <w:pPr>
        <w:tabs>
          <w:tab w:val="num" w:pos="2880"/>
        </w:tabs>
        <w:ind w:left="2880" w:hanging="360"/>
      </w:pPr>
      <w:rPr>
        <w:rFonts w:ascii="Symbol" w:hAnsi="Symbol" w:hint="default"/>
      </w:rPr>
    </w:lvl>
    <w:lvl w:ilvl="4" w:tplc="CE0C5C9A" w:tentative="1">
      <w:start w:val="1"/>
      <w:numFmt w:val="bullet"/>
      <w:lvlText w:val="o"/>
      <w:lvlJc w:val="left"/>
      <w:pPr>
        <w:tabs>
          <w:tab w:val="num" w:pos="3600"/>
        </w:tabs>
        <w:ind w:left="3600" w:hanging="360"/>
      </w:pPr>
      <w:rPr>
        <w:rFonts w:ascii="Courier New" w:hAnsi="Courier New" w:hint="default"/>
      </w:rPr>
    </w:lvl>
    <w:lvl w:ilvl="5" w:tplc="108E67EC" w:tentative="1">
      <w:start w:val="1"/>
      <w:numFmt w:val="bullet"/>
      <w:lvlText w:val=""/>
      <w:lvlJc w:val="left"/>
      <w:pPr>
        <w:tabs>
          <w:tab w:val="num" w:pos="4320"/>
        </w:tabs>
        <w:ind w:left="4320" w:hanging="360"/>
      </w:pPr>
      <w:rPr>
        <w:rFonts w:ascii="Wingdings" w:hAnsi="Wingdings" w:hint="default"/>
      </w:rPr>
    </w:lvl>
    <w:lvl w:ilvl="6" w:tplc="5E1CBA8E" w:tentative="1">
      <w:start w:val="1"/>
      <w:numFmt w:val="bullet"/>
      <w:lvlText w:val=""/>
      <w:lvlJc w:val="left"/>
      <w:pPr>
        <w:tabs>
          <w:tab w:val="num" w:pos="5040"/>
        </w:tabs>
        <w:ind w:left="5040" w:hanging="360"/>
      </w:pPr>
      <w:rPr>
        <w:rFonts w:ascii="Symbol" w:hAnsi="Symbol" w:hint="default"/>
      </w:rPr>
    </w:lvl>
    <w:lvl w:ilvl="7" w:tplc="944E18C2" w:tentative="1">
      <w:start w:val="1"/>
      <w:numFmt w:val="bullet"/>
      <w:lvlText w:val="o"/>
      <w:lvlJc w:val="left"/>
      <w:pPr>
        <w:tabs>
          <w:tab w:val="num" w:pos="5760"/>
        </w:tabs>
        <w:ind w:left="5760" w:hanging="360"/>
      </w:pPr>
      <w:rPr>
        <w:rFonts w:ascii="Courier New" w:hAnsi="Courier New" w:hint="default"/>
      </w:rPr>
    </w:lvl>
    <w:lvl w:ilvl="8" w:tplc="3902896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A3551B5"/>
    <w:multiLevelType w:val="multilevel"/>
    <w:tmpl w:val="A47C99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9" w15:restartNumberingAfterBreak="0">
    <w:nsid w:val="2E541609"/>
    <w:multiLevelType w:val="hybridMultilevel"/>
    <w:tmpl w:val="1E5AABE8"/>
    <w:lvl w:ilvl="0" w:tplc="BE4E2BEE">
      <w:start w:val="1"/>
      <w:numFmt w:val="decimal"/>
      <w:lvlText w:val="%1."/>
      <w:lvlJc w:val="left"/>
      <w:pPr>
        <w:tabs>
          <w:tab w:val="num" w:pos="570"/>
        </w:tabs>
        <w:ind w:left="570" w:hanging="570"/>
      </w:pPr>
      <w:rPr>
        <w:rFonts w:cs="Times New Roman" w:hint="default"/>
      </w:rPr>
    </w:lvl>
    <w:lvl w:ilvl="1" w:tplc="B7EA098C" w:tentative="1">
      <w:start w:val="1"/>
      <w:numFmt w:val="lowerLetter"/>
      <w:lvlText w:val="%2."/>
      <w:lvlJc w:val="left"/>
      <w:pPr>
        <w:tabs>
          <w:tab w:val="num" w:pos="1080"/>
        </w:tabs>
        <w:ind w:left="1080" w:hanging="360"/>
      </w:pPr>
      <w:rPr>
        <w:rFonts w:cs="Times New Roman"/>
      </w:rPr>
    </w:lvl>
    <w:lvl w:ilvl="2" w:tplc="B188460E" w:tentative="1">
      <w:start w:val="1"/>
      <w:numFmt w:val="lowerRoman"/>
      <w:lvlText w:val="%3."/>
      <w:lvlJc w:val="right"/>
      <w:pPr>
        <w:tabs>
          <w:tab w:val="num" w:pos="1800"/>
        </w:tabs>
        <w:ind w:left="1800" w:hanging="180"/>
      </w:pPr>
      <w:rPr>
        <w:rFonts w:cs="Times New Roman"/>
      </w:rPr>
    </w:lvl>
    <w:lvl w:ilvl="3" w:tplc="FCCA8668" w:tentative="1">
      <w:start w:val="1"/>
      <w:numFmt w:val="decimal"/>
      <w:lvlText w:val="%4."/>
      <w:lvlJc w:val="left"/>
      <w:pPr>
        <w:tabs>
          <w:tab w:val="num" w:pos="2520"/>
        </w:tabs>
        <w:ind w:left="2520" w:hanging="360"/>
      </w:pPr>
      <w:rPr>
        <w:rFonts w:cs="Times New Roman"/>
      </w:rPr>
    </w:lvl>
    <w:lvl w:ilvl="4" w:tplc="DDF8367A" w:tentative="1">
      <w:start w:val="1"/>
      <w:numFmt w:val="lowerLetter"/>
      <w:lvlText w:val="%5."/>
      <w:lvlJc w:val="left"/>
      <w:pPr>
        <w:tabs>
          <w:tab w:val="num" w:pos="3240"/>
        </w:tabs>
        <w:ind w:left="3240" w:hanging="360"/>
      </w:pPr>
      <w:rPr>
        <w:rFonts w:cs="Times New Roman"/>
      </w:rPr>
    </w:lvl>
    <w:lvl w:ilvl="5" w:tplc="7924C9F8" w:tentative="1">
      <w:start w:val="1"/>
      <w:numFmt w:val="lowerRoman"/>
      <w:lvlText w:val="%6."/>
      <w:lvlJc w:val="right"/>
      <w:pPr>
        <w:tabs>
          <w:tab w:val="num" w:pos="3960"/>
        </w:tabs>
        <w:ind w:left="3960" w:hanging="180"/>
      </w:pPr>
      <w:rPr>
        <w:rFonts w:cs="Times New Roman"/>
      </w:rPr>
    </w:lvl>
    <w:lvl w:ilvl="6" w:tplc="C148685A" w:tentative="1">
      <w:start w:val="1"/>
      <w:numFmt w:val="decimal"/>
      <w:lvlText w:val="%7."/>
      <w:lvlJc w:val="left"/>
      <w:pPr>
        <w:tabs>
          <w:tab w:val="num" w:pos="4680"/>
        </w:tabs>
        <w:ind w:left="4680" w:hanging="360"/>
      </w:pPr>
      <w:rPr>
        <w:rFonts w:cs="Times New Roman"/>
      </w:rPr>
    </w:lvl>
    <w:lvl w:ilvl="7" w:tplc="E3A4A930" w:tentative="1">
      <w:start w:val="1"/>
      <w:numFmt w:val="lowerLetter"/>
      <w:lvlText w:val="%8."/>
      <w:lvlJc w:val="left"/>
      <w:pPr>
        <w:tabs>
          <w:tab w:val="num" w:pos="5400"/>
        </w:tabs>
        <w:ind w:left="5400" w:hanging="360"/>
      </w:pPr>
      <w:rPr>
        <w:rFonts w:cs="Times New Roman"/>
      </w:rPr>
    </w:lvl>
    <w:lvl w:ilvl="8" w:tplc="11F2D044" w:tentative="1">
      <w:start w:val="1"/>
      <w:numFmt w:val="lowerRoman"/>
      <w:lvlText w:val="%9."/>
      <w:lvlJc w:val="right"/>
      <w:pPr>
        <w:tabs>
          <w:tab w:val="num" w:pos="6120"/>
        </w:tabs>
        <w:ind w:left="6120" w:hanging="180"/>
      </w:pPr>
      <w:rPr>
        <w:rFonts w:cs="Times New Roman"/>
      </w:rPr>
    </w:lvl>
  </w:abstractNum>
  <w:abstractNum w:abstractNumId="20"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1"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2" w15:restartNumberingAfterBreak="0">
    <w:nsid w:val="4A810019"/>
    <w:multiLevelType w:val="singleLevel"/>
    <w:tmpl w:val="FFFFFFFF"/>
    <w:lvl w:ilvl="0">
      <w:start w:val="1"/>
      <w:numFmt w:val="bullet"/>
      <w:lvlText w:val="-"/>
      <w:lvlJc w:val="left"/>
      <w:pPr>
        <w:ind w:left="1800" w:hanging="360"/>
      </w:pPr>
    </w:lvl>
  </w:abstractNum>
  <w:abstractNum w:abstractNumId="23" w15:restartNumberingAfterBreak="0">
    <w:nsid w:val="4E19681A"/>
    <w:multiLevelType w:val="hybridMultilevel"/>
    <w:tmpl w:val="FF5AE1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00F0A91"/>
    <w:multiLevelType w:val="hybridMultilevel"/>
    <w:tmpl w:val="2B94116C"/>
    <w:lvl w:ilvl="0" w:tplc="A56C9206">
      <w:start w:val="1"/>
      <w:numFmt w:val="decimal"/>
      <w:lvlText w:val="%1."/>
      <w:lvlJc w:val="left"/>
      <w:pPr>
        <w:tabs>
          <w:tab w:val="num" w:pos="720"/>
        </w:tabs>
        <w:ind w:left="720" w:hanging="360"/>
      </w:pPr>
    </w:lvl>
    <w:lvl w:ilvl="1" w:tplc="8BFCA658" w:tentative="1">
      <w:start w:val="1"/>
      <w:numFmt w:val="lowerLetter"/>
      <w:lvlText w:val="%2."/>
      <w:lvlJc w:val="left"/>
      <w:pPr>
        <w:tabs>
          <w:tab w:val="num" w:pos="1440"/>
        </w:tabs>
        <w:ind w:left="1440" w:hanging="360"/>
      </w:pPr>
    </w:lvl>
    <w:lvl w:ilvl="2" w:tplc="2D1C1AE8" w:tentative="1">
      <w:start w:val="1"/>
      <w:numFmt w:val="lowerRoman"/>
      <w:lvlText w:val="%3."/>
      <w:lvlJc w:val="right"/>
      <w:pPr>
        <w:tabs>
          <w:tab w:val="num" w:pos="2160"/>
        </w:tabs>
        <w:ind w:left="2160" w:hanging="180"/>
      </w:pPr>
    </w:lvl>
    <w:lvl w:ilvl="3" w:tplc="92D2F422" w:tentative="1">
      <w:start w:val="1"/>
      <w:numFmt w:val="decimal"/>
      <w:lvlText w:val="%4."/>
      <w:lvlJc w:val="left"/>
      <w:pPr>
        <w:tabs>
          <w:tab w:val="num" w:pos="2880"/>
        </w:tabs>
        <w:ind w:left="2880" w:hanging="360"/>
      </w:pPr>
    </w:lvl>
    <w:lvl w:ilvl="4" w:tplc="820EC830" w:tentative="1">
      <w:start w:val="1"/>
      <w:numFmt w:val="lowerLetter"/>
      <w:lvlText w:val="%5."/>
      <w:lvlJc w:val="left"/>
      <w:pPr>
        <w:tabs>
          <w:tab w:val="num" w:pos="3600"/>
        </w:tabs>
        <w:ind w:left="3600" w:hanging="360"/>
      </w:pPr>
    </w:lvl>
    <w:lvl w:ilvl="5" w:tplc="5694BBD6" w:tentative="1">
      <w:start w:val="1"/>
      <w:numFmt w:val="lowerRoman"/>
      <w:lvlText w:val="%6."/>
      <w:lvlJc w:val="right"/>
      <w:pPr>
        <w:tabs>
          <w:tab w:val="num" w:pos="4320"/>
        </w:tabs>
        <w:ind w:left="4320" w:hanging="180"/>
      </w:pPr>
    </w:lvl>
    <w:lvl w:ilvl="6" w:tplc="7E0C2C64" w:tentative="1">
      <w:start w:val="1"/>
      <w:numFmt w:val="decimal"/>
      <w:lvlText w:val="%7."/>
      <w:lvlJc w:val="left"/>
      <w:pPr>
        <w:tabs>
          <w:tab w:val="num" w:pos="5040"/>
        </w:tabs>
        <w:ind w:left="5040" w:hanging="360"/>
      </w:pPr>
    </w:lvl>
    <w:lvl w:ilvl="7" w:tplc="696270C6" w:tentative="1">
      <w:start w:val="1"/>
      <w:numFmt w:val="lowerLetter"/>
      <w:lvlText w:val="%8."/>
      <w:lvlJc w:val="left"/>
      <w:pPr>
        <w:tabs>
          <w:tab w:val="num" w:pos="5760"/>
        </w:tabs>
        <w:ind w:left="5760" w:hanging="360"/>
      </w:pPr>
    </w:lvl>
    <w:lvl w:ilvl="8" w:tplc="D1C86C4C" w:tentative="1">
      <w:start w:val="1"/>
      <w:numFmt w:val="lowerRoman"/>
      <w:lvlText w:val="%9."/>
      <w:lvlJc w:val="right"/>
      <w:pPr>
        <w:tabs>
          <w:tab w:val="num" w:pos="6480"/>
        </w:tabs>
        <w:ind w:left="6480" w:hanging="180"/>
      </w:pPr>
    </w:lvl>
  </w:abstractNum>
  <w:abstractNum w:abstractNumId="25" w15:restartNumberingAfterBreak="0">
    <w:nsid w:val="560C4365"/>
    <w:multiLevelType w:val="singleLevel"/>
    <w:tmpl w:val="FFFFFFFF"/>
    <w:lvl w:ilvl="0">
      <w:start w:val="1"/>
      <w:numFmt w:val="bullet"/>
      <w:lvlText w:val="-"/>
      <w:lvlJc w:val="left"/>
      <w:pPr>
        <w:ind w:left="1800" w:hanging="360"/>
      </w:pPr>
    </w:lvl>
  </w:abstractNum>
  <w:abstractNum w:abstractNumId="26" w15:restartNumberingAfterBreak="0">
    <w:nsid w:val="58B56C73"/>
    <w:multiLevelType w:val="hybridMultilevel"/>
    <w:tmpl w:val="5BA42128"/>
    <w:lvl w:ilvl="0" w:tplc="6F42A174">
      <w:start w:val="2"/>
      <w:numFmt w:val="decimal"/>
      <w:lvlText w:val="%1."/>
      <w:lvlJc w:val="left"/>
      <w:pPr>
        <w:tabs>
          <w:tab w:val="num" w:pos="570"/>
        </w:tabs>
        <w:ind w:left="570" w:hanging="570"/>
      </w:pPr>
      <w:rPr>
        <w:rFonts w:cs="Times New Roman" w:hint="default"/>
      </w:rPr>
    </w:lvl>
    <w:lvl w:ilvl="1" w:tplc="54E67D16" w:tentative="1">
      <w:start w:val="1"/>
      <w:numFmt w:val="lowerLetter"/>
      <w:lvlText w:val="%2."/>
      <w:lvlJc w:val="left"/>
      <w:pPr>
        <w:tabs>
          <w:tab w:val="num" w:pos="1080"/>
        </w:tabs>
        <w:ind w:left="1080" w:hanging="360"/>
      </w:pPr>
      <w:rPr>
        <w:rFonts w:cs="Times New Roman"/>
      </w:rPr>
    </w:lvl>
    <w:lvl w:ilvl="2" w:tplc="11EC0450" w:tentative="1">
      <w:start w:val="1"/>
      <w:numFmt w:val="lowerRoman"/>
      <w:lvlText w:val="%3."/>
      <w:lvlJc w:val="right"/>
      <w:pPr>
        <w:tabs>
          <w:tab w:val="num" w:pos="1800"/>
        </w:tabs>
        <w:ind w:left="1800" w:hanging="180"/>
      </w:pPr>
      <w:rPr>
        <w:rFonts w:cs="Times New Roman"/>
      </w:rPr>
    </w:lvl>
    <w:lvl w:ilvl="3" w:tplc="D8E2FB44" w:tentative="1">
      <w:start w:val="1"/>
      <w:numFmt w:val="decimal"/>
      <w:lvlText w:val="%4."/>
      <w:lvlJc w:val="left"/>
      <w:pPr>
        <w:tabs>
          <w:tab w:val="num" w:pos="2520"/>
        </w:tabs>
        <w:ind w:left="2520" w:hanging="360"/>
      </w:pPr>
      <w:rPr>
        <w:rFonts w:cs="Times New Roman"/>
      </w:rPr>
    </w:lvl>
    <w:lvl w:ilvl="4" w:tplc="FFAE6E7C" w:tentative="1">
      <w:start w:val="1"/>
      <w:numFmt w:val="lowerLetter"/>
      <w:lvlText w:val="%5."/>
      <w:lvlJc w:val="left"/>
      <w:pPr>
        <w:tabs>
          <w:tab w:val="num" w:pos="3240"/>
        </w:tabs>
        <w:ind w:left="3240" w:hanging="360"/>
      </w:pPr>
      <w:rPr>
        <w:rFonts w:cs="Times New Roman"/>
      </w:rPr>
    </w:lvl>
    <w:lvl w:ilvl="5" w:tplc="FA66A108" w:tentative="1">
      <w:start w:val="1"/>
      <w:numFmt w:val="lowerRoman"/>
      <w:lvlText w:val="%6."/>
      <w:lvlJc w:val="right"/>
      <w:pPr>
        <w:tabs>
          <w:tab w:val="num" w:pos="3960"/>
        </w:tabs>
        <w:ind w:left="3960" w:hanging="180"/>
      </w:pPr>
      <w:rPr>
        <w:rFonts w:cs="Times New Roman"/>
      </w:rPr>
    </w:lvl>
    <w:lvl w:ilvl="6" w:tplc="56F4478E" w:tentative="1">
      <w:start w:val="1"/>
      <w:numFmt w:val="decimal"/>
      <w:lvlText w:val="%7."/>
      <w:lvlJc w:val="left"/>
      <w:pPr>
        <w:tabs>
          <w:tab w:val="num" w:pos="4680"/>
        </w:tabs>
        <w:ind w:left="4680" w:hanging="360"/>
      </w:pPr>
      <w:rPr>
        <w:rFonts w:cs="Times New Roman"/>
      </w:rPr>
    </w:lvl>
    <w:lvl w:ilvl="7" w:tplc="8D629048" w:tentative="1">
      <w:start w:val="1"/>
      <w:numFmt w:val="lowerLetter"/>
      <w:lvlText w:val="%8."/>
      <w:lvlJc w:val="left"/>
      <w:pPr>
        <w:tabs>
          <w:tab w:val="num" w:pos="5400"/>
        </w:tabs>
        <w:ind w:left="5400" w:hanging="360"/>
      </w:pPr>
      <w:rPr>
        <w:rFonts w:cs="Times New Roman"/>
      </w:rPr>
    </w:lvl>
    <w:lvl w:ilvl="8" w:tplc="80AA734A" w:tentative="1">
      <w:start w:val="1"/>
      <w:numFmt w:val="lowerRoman"/>
      <w:lvlText w:val="%9."/>
      <w:lvlJc w:val="right"/>
      <w:pPr>
        <w:tabs>
          <w:tab w:val="num" w:pos="6120"/>
        </w:tabs>
        <w:ind w:left="6120" w:hanging="180"/>
      </w:pPr>
      <w:rPr>
        <w:rFonts w:cs="Times New Roman"/>
      </w:rPr>
    </w:lvl>
  </w:abstractNum>
  <w:abstractNum w:abstractNumId="27" w15:restartNumberingAfterBreak="0">
    <w:nsid w:val="5CB13BD7"/>
    <w:multiLevelType w:val="hybridMultilevel"/>
    <w:tmpl w:val="E8CED8CC"/>
    <w:lvl w:ilvl="0" w:tplc="25709944">
      <w:start w:val="1"/>
      <w:numFmt w:val="upperLetter"/>
      <w:lvlText w:val="%1."/>
      <w:lvlJc w:val="left"/>
      <w:pPr>
        <w:tabs>
          <w:tab w:val="num" w:pos="720"/>
        </w:tabs>
        <w:ind w:left="720" w:hanging="360"/>
      </w:pPr>
      <w:rPr>
        <w:rFonts w:hint="default"/>
      </w:rPr>
    </w:lvl>
    <w:lvl w:ilvl="1" w:tplc="57747F58" w:tentative="1">
      <w:start w:val="1"/>
      <w:numFmt w:val="lowerLetter"/>
      <w:lvlText w:val="%2."/>
      <w:lvlJc w:val="left"/>
      <w:pPr>
        <w:tabs>
          <w:tab w:val="num" w:pos="1440"/>
        </w:tabs>
        <w:ind w:left="1440" w:hanging="360"/>
      </w:pPr>
    </w:lvl>
    <w:lvl w:ilvl="2" w:tplc="B900C094" w:tentative="1">
      <w:start w:val="1"/>
      <w:numFmt w:val="lowerRoman"/>
      <w:lvlText w:val="%3."/>
      <w:lvlJc w:val="right"/>
      <w:pPr>
        <w:tabs>
          <w:tab w:val="num" w:pos="2160"/>
        </w:tabs>
        <w:ind w:left="2160" w:hanging="180"/>
      </w:pPr>
    </w:lvl>
    <w:lvl w:ilvl="3" w:tplc="63D209D8" w:tentative="1">
      <w:start w:val="1"/>
      <w:numFmt w:val="decimal"/>
      <w:lvlText w:val="%4."/>
      <w:lvlJc w:val="left"/>
      <w:pPr>
        <w:tabs>
          <w:tab w:val="num" w:pos="2880"/>
        </w:tabs>
        <w:ind w:left="2880" w:hanging="360"/>
      </w:pPr>
    </w:lvl>
    <w:lvl w:ilvl="4" w:tplc="EB3E4888" w:tentative="1">
      <w:start w:val="1"/>
      <w:numFmt w:val="lowerLetter"/>
      <w:lvlText w:val="%5."/>
      <w:lvlJc w:val="left"/>
      <w:pPr>
        <w:tabs>
          <w:tab w:val="num" w:pos="3600"/>
        </w:tabs>
        <w:ind w:left="3600" w:hanging="360"/>
      </w:pPr>
    </w:lvl>
    <w:lvl w:ilvl="5" w:tplc="F3663B94" w:tentative="1">
      <w:start w:val="1"/>
      <w:numFmt w:val="lowerRoman"/>
      <w:lvlText w:val="%6."/>
      <w:lvlJc w:val="right"/>
      <w:pPr>
        <w:tabs>
          <w:tab w:val="num" w:pos="4320"/>
        </w:tabs>
        <w:ind w:left="4320" w:hanging="180"/>
      </w:pPr>
    </w:lvl>
    <w:lvl w:ilvl="6" w:tplc="2BE43B6E" w:tentative="1">
      <w:start w:val="1"/>
      <w:numFmt w:val="decimal"/>
      <w:lvlText w:val="%7."/>
      <w:lvlJc w:val="left"/>
      <w:pPr>
        <w:tabs>
          <w:tab w:val="num" w:pos="5040"/>
        </w:tabs>
        <w:ind w:left="5040" w:hanging="360"/>
      </w:pPr>
    </w:lvl>
    <w:lvl w:ilvl="7" w:tplc="4BD82794" w:tentative="1">
      <w:start w:val="1"/>
      <w:numFmt w:val="lowerLetter"/>
      <w:lvlText w:val="%8."/>
      <w:lvlJc w:val="left"/>
      <w:pPr>
        <w:tabs>
          <w:tab w:val="num" w:pos="5760"/>
        </w:tabs>
        <w:ind w:left="5760" w:hanging="360"/>
      </w:pPr>
    </w:lvl>
    <w:lvl w:ilvl="8" w:tplc="D5A4B250" w:tentative="1">
      <w:start w:val="1"/>
      <w:numFmt w:val="lowerRoman"/>
      <w:lvlText w:val="%9."/>
      <w:lvlJc w:val="right"/>
      <w:pPr>
        <w:tabs>
          <w:tab w:val="num" w:pos="6480"/>
        </w:tabs>
        <w:ind w:left="6480" w:hanging="180"/>
      </w:pPr>
    </w:lvl>
  </w:abstractNum>
  <w:abstractNum w:abstractNumId="28" w15:restartNumberingAfterBreak="0">
    <w:nsid w:val="60E7432F"/>
    <w:multiLevelType w:val="hybridMultilevel"/>
    <w:tmpl w:val="83C82ADE"/>
    <w:lvl w:ilvl="0" w:tplc="8070E360">
      <w:start w:val="25"/>
      <w:numFmt w:val="bullet"/>
      <w:lvlText w:val=""/>
      <w:lvlJc w:val="left"/>
      <w:pPr>
        <w:ind w:left="345" w:hanging="360"/>
      </w:pPr>
      <w:rPr>
        <w:rFonts w:ascii="Symbol" w:eastAsia="SimSun" w:hAnsi="Symbol" w:cs="Times New Roman" w:hint="default"/>
      </w:rPr>
    </w:lvl>
    <w:lvl w:ilvl="1" w:tplc="040E0003" w:tentative="1">
      <w:start w:val="1"/>
      <w:numFmt w:val="bullet"/>
      <w:lvlText w:val="o"/>
      <w:lvlJc w:val="left"/>
      <w:pPr>
        <w:ind w:left="1065" w:hanging="360"/>
      </w:pPr>
      <w:rPr>
        <w:rFonts w:ascii="Courier New" w:hAnsi="Courier New" w:cs="Courier New" w:hint="default"/>
      </w:rPr>
    </w:lvl>
    <w:lvl w:ilvl="2" w:tplc="040E0005" w:tentative="1">
      <w:start w:val="1"/>
      <w:numFmt w:val="bullet"/>
      <w:lvlText w:val=""/>
      <w:lvlJc w:val="left"/>
      <w:pPr>
        <w:ind w:left="1785" w:hanging="360"/>
      </w:pPr>
      <w:rPr>
        <w:rFonts w:ascii="Wingdings" w:hAnsi="Wingdings" w:hint="default"/>
      </w:rPr>
    </w:lvl>
    <w:lvl w:ilvl="3" w:tplc="040E0001" w:tentative="1">
      <w:start w:val="1"/>
      <w:numFmt w:val="bullet"/>
      <w:lvlText w:val=""/>
      <w:lvlJc w:val="left"/>
      <w:pPr>
        <w:ind w:left="2505" w:hanging="360"/>
      </w:pPr>
      <w:rPr>
        <w:rFonts w:ascii="Symbol" w:hAnsi="Symbol" w:hint="default"/>
      </w:rPr>
    </w:lvl>
    <w:lvl w:ilvl="4" w:tplc="040E0003" w:tentative="1">
      <w:start w:val="1"/>
      <w:numFmt w:val="bullet"/>
      <w:lvlText w:val="o"/>
      <w:lvlJc w:val="left"/>
      <w:pPr>
        <w:ind w:left="3225" w:hanging="360"/>
      </w:pPr>
      <w:rPr>
        <w:rFonts w:ascii="Courier New" w:hAnsi="Courier New" w:cs="Courier New" w:hint="default"/>
      </w:rPr>
    </w:lvl>
    <w:lvl w:ilvl="5" w:tplc="040E0005" w:tentative="1">
      <w:start w:val="1"/>
      <w:numFmt w:val="bullet"/>
      <w:lvlText w:val=""/>
      <w:lvlJc w:val="left"/>
      <w:pPr>
        <w:ind w:left="3945" w:hanging="360"/>
      </w:pPr>
      <w:rPr>
        <w:rFonts w:ascii="Wingdings" w:hAnsi="Wingdings" w:hint="default"/>
      </w:rPr>
    </w:lvl>
    <w:lvl w:ilvl="6" w:tplc="040E0001" w:tentative="1">
      <w:start w:val="1"/>
      <w:numFmt w:val="bullet"/>
      <w:lvlText w:val=""/>
      <w:lvlJc w:val="left"/>
      <w:pPr>
        <w:ind w:left="4665" w:hanging="360"/>
      </w:pPr>
      <w:rPr>
        <w:rFonts w:ascii="Symbol" w:hAnsi="Symbol" w:hint="default"/>
      </w:rPr>
    </w:lvl>
    <w:lvl w:ilvl="7" w:tplc="040E0003" w:tentative="1">
      <w:start w:val="1"/>
      <w:numFmt w:val="bullet"/>
      <w:lvlText w:val="o"/>
      <w:lvlJc w:val="left"/>
      <w:pPr>
        <w:ind w:left="5385" w:hanging="360"/>
      </w:pPr>
      <w:rPr>
        <w:rFonts w:ascii="Courier New" w:hAnsi="Courier New" w:cs="Courier New" w:hint="default"/>
      </w:rPr>
    </w:lvl>
    <w:lvl w:ilvl="8" w:tplc="040E0005" w:tentative="1">
      <w:start w:val="1"/>
      <w:numFmt w:val="bullet"/>
      <w:lvlText w:val=""/>
      <w:lvlJc w:val="left"/>
      <w:pPr>
        <w:ind w:left="6105" w:hanging="360"/>
      </w:pPr>
      <w:rPr>
        <w:rFonts w:ascii="Wingdings" w:hAnsi="Wingdings" w:hint="default"/>
      </w:rPr>
    </w:lvl>
  </w:abstractNum>
  <w:abstractNum w:abstractNumId="29" w15:restartNumberingAfterBreak="0">
    <w:nsid w:val="61682C0E"/>
    <w:multiLevelType w:val="hybridMultilevel"/>
    <w:tmpl w:val="9B7452CE"/>
    <w:lvl w:ilvl="0" w:tplc="24426B70">
      <w:start w:val="1"/>
      <w:numFmt w:val="lowerLetter"/>
      <w:lvlText w:val="%1"/>
      <w:lvlJc w:val="left"/>
      <w:pPr>
        <w:ind w:left="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57027E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8C2C9D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CDA6FD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9828C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B8CF38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12600C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174B40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34CC19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32" w15:restartNumberingAfterBreak="0">
    <w:nsid w:val="68D61D5E"/>
    <w:multiLevelType w:val="multilevel"/>
    <w:tmpl w:val="BBA420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5" w15:restartNumberingAfterBreak="0">
    <w:nsid w:val="72AB50F1"/>
    <w:multiLevelType w:val="hybridMultilevel"/>
    <w:tmpl w:val="64CEA6CC"/>
    <w:lvl w:ilvl="0" w:tplc="A7562358">
      <w:start w:val="1"/>
      <w:numFmt w:val="decimal"/>
      <w:lvlText w:val="%1)"/>
      <w:lvlJc w:val="left"/>
      <w:pPr>
        <w:ind w:left="720" w:hanging="360"/>
      </w:pPr>
      <w:rPr>
        <w:rFonts w:cs="Times New Roman" w:hint="default"/>
      </w:rPr>
    </w:lvl>
    <w:lvl w:ilvl="1" w:tplc="49DAB330" w:tentative="1">
      <w:start w:val="1"/>
      <w:numFmt w:val="lowerLetter"/>
      <w:lvlText w:val="%2."/>
      <w:lvlJc w:val="left"/>
      <w:pPr>
        <w:ind w:left="1440" w:hanging="360"/>
      </w:pPr>
      <w:rPr>
        <w:rFonts w:cs="Times New Roman"/>
      </w:rPr>
    </w:lvl>
    <w:lvl w:ilvl="2" w:tplc="E9809796" w:tentative="1">
      <w:start w:val="1"/>
      <w:numFmt w:val="lowerRoman"/>
      <w:lvlText w:val="%3."/>
      <w:lvlJc w:val="right"/>
      <w:pPr>
        <w:ind w:left="2160" w:hanging="180"/>
      </w:pPr>
      <w:rPr>
        <w:rFonts w:cs="Times New Roman"/>
      </w:rPr>
    </w:lvl>
    <w:lvl w:ilvl="3" w:tplc="CD12A6C8" w:tentative="1">
      <w:start w:val="1"/>
      <w:numFmt w:val="decimal"/>
      <w:lvlText w:val="%4."/>
      <w:lvlJc w:val="left"/>
      <w:pPr>
        <w:ind w:left="2880" w:hanging="360"/>
      </w:pPr>
      <w:rPr>
        <w:rFonts w:cs="Times New Roman"/>
      </w:rPr>
    </w:lvl>
    <w:lvl w:ilvl="4" w:tplc="C8C23AF6" w:tentative="1">
      <w:start w:val="1"/>
      <w:numFmt w:val="lowerLetter"/>
      <w:lvlText w:val="%5."/>
      <w:lvlJc w:val="left"/>
      <w:pPr>
        <w:ind w:left="3600" w:hanging="360"/>
      </w:pPr>
      <w:rPr>
        <w:rFonts w:cs="Times New Roman"/>
      </w:rPr>
    </w:lvl>
    <w:lvl w:ilvl="5" w:tplc="5BB6DD02" w:tentative="1">
      <w:start w:val="1"/>
      <w:numFmt w:val="lowerRoman"/>
      <w:lvlText w:val="%6."/>
      <w:lvlJc w:val="right"/>
      <w:pPr>
        <w:ind w:left="4320" w:hanging="180"/>
      </w:pPr>
      <w:rPr>
        <w:rFonts w:cs="Times New Roman"/>
      </w:rPr>
    </w:lvl>
    <w:lvl w:ilvl="6" w:tplc="26EC9AE2" w:tentative="1">
      <w:start w:val="1"/>
      <w:numFmt w:val="decimal"/>
      <w:lvlText w:val="%7."/>
      <w:lvlJc w:val="left"/>
      <w:pPr>
        <w:ind w:left="5040" w:hanging="360"/>
      </w:pPr>
      <w:rPr>
        <w:rFonts w:cs="Times New Roman"/>
      </w:rPr>
    </w:lvl>
    <w:lvl w:ilvl="7" w:tplc="50F420A8" w:tentative="1">
      <w:start w:val="1"/>
      <w:numFmt w:val="lowerLetter"/>
      <w:lvlText w:val="%8."/>
      <w:lvlJc w:val="left"/>
      <w:pPr>
        <w:ind w:left="5760" w:hanging="360"/>
      </w:pPr>
      <w:rPr>
        <w:rFonts w:cs="Times New Roman"/>
      </w:rPr>
    </w:lvl>
    <w:lvl w:ilvl="8" w:tplc="29A2B6B8" w:tentative="1">
      <w:start w:val="1"/>
      <w:numFmt w:val="lowerRoman"/>
      <w:lvlText w:val="%9."/>
      <w:lvlJc w:val="right"/>
      <w:pPr>
        <w:ind w:left="6480" w:hanging="180"/>
      </w:pPr>
      <w:rPr>
        <w:rFonts w:cs="Times New Roman"/>
      </w:rPr>
    </w:lvl>
  </w:abstractNum>
  <w:abstractNum w:abstractNumId="36" w15:restartNumberingAfterBreak="0">
    <w:nsid w:val="76487040"/>
    <w:multiLevelType w:val="hybridMultilevel"/>
    <w:tmpl w:val="D3DC2A38"/>
    <w:lvl w:ilvl="0" w:tplc="333CD18E">
      <w:numFmt w:val="bullet"/>
      <w:lvlText w:val="•"/>
      <w:lvlJc w:val="left"/>
      <w:pPr>
        <w:ind w:left="720" w:hanging="360"/>
      </w:pPr>
      <w:rPr>
        <w:rFonts w:ascii="Times New Roman" w:eastAsia="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7A100D28"/>
    <w:multiLevelType w:val="hybridMultilevel"/>
    <w:tmpl w:val="979479BE"/>
    <w:lvl w:ilvl="0" w:tplc="FDDC82A2">
      <w:start w:val="1"/>
      <w:numFmt w:val="upperLetter"/>
      <w:lvlText w:val="%1."/>
      <w:lvlJc w:val="left"/>
      <w:pPr>
        <w:ind w:left="5670" w:hanging="5670"/>
      </w:pPr>
      <w:rPr>
        <w:b/>
      </w:rPr>
    </w:lvl>
    <w:lvl w:ilvl="1" w:tplc="1D1E60F0">
      <w:start w:val="17"/>
      <w:numFmt w:val="decimal"/>
      <w:lvlText w:val="%2."/>
      <w:lvlJc w:val="left"/>
      <w:pPr>
        <w:ind w:left="1650" w:hanging="570"/>
      </w:pPr>
      <w:rPr>
        <w:b/>
        <w:i w:val="0"/>
      </w:rPr>
    </w:lvl>
    <w:lvl w:ilvl="2" w:tplc="3296ED98">
      <w:start w:val="1"/>
      <w:numFmt w:val="lowerRoman"/>
      <w:lvlText w:val="%3."/>
      <w:lvlJc w:val="right"/>
      <w:pPr>
        <w:ind w:left="2160" w:hanging="180"/>
      </w:pPr>
    </w:lvl>
    <w:lvl w:ilvl="3" w:tplc="8BFA898C">
      <w:start w:val="1"/>
      <w:numFmt w:val="decimal"/>
      <w:lvlText w:val="%4."/>
      <w:lvlJc w:val="left"/>
      <w:pPr>
        <w:ind w:left="2880" w:hanging="360"/>
      </w:pPr>
    </w:lvl>
    <w:lvl w:ilvl="4" w:tplc="4404D27E">
      <w:start w:val="1"/>
      <w:numFmt w:val="lowerLetter"/>
      <w:lvlText w:val="%5."/>
      <w:lvlJc w:val="left"/>
      <w:pPr>
        <w:ind w:left="3600" w:hanging="360"/>
      </w:pPr>
    </w:lvl>
    <w:lvl w:ilvl="5" w:tplc="D83AE4F0">
      <w:start w:val="1"/>
      <w:numFmt w:val="lowerRoman"/>
      <w:lvlText w:val="%6."/>
      <w:lvlJc w:val="right"/>
      <w:pPr>
        <w:ind w:left="4320" w:hanging="180"/>
      </w:pPr>
    </w:lvl>
    <w:lvl w:ilvl="6" w:tplc="6AD269B8">
      <w:start w:val="1"/>
      <w:numFmt w:val="decimal"/>
      <w:lvlText w:val="%7."/>
      <w:lvlJc w:val="left"/>
      <w:pPr>
        <w:ind w:left="5040" w:hanging="360"/>
      </w:pPr>
    </w:lvl>
    <w:lvl w:ilvl="7" w:tplc="40B48DFC">
      <w:start w:val="1"/>
      <w:numFmt w:val="lowerLetter"/>
      <w:lvlText w:val="%8."/>
      <w:lvlJc w:val="left"/>
      <w:pPr>
        <w:ind w:left="5760" w:hanging="360"/>
      </w:pPr>
    </w:lvl>
    <w:lvl w:ilvl="8" w:tplc="85C42DE8">
      <w:start w:val="1"/>
      <w:numFmt w:val="lowerRoman"/>
      <w:lvlText w:val="%9."/>
      <w:lvlJc w:val="right"/>
      <w:pPr>
        <w:ind w:left="6480" w:hanging="180"/>
      </w:pPr>
    </w:lvl>
  </w:abstractNum>
  <w:num w:numId="1">
    <w:abstractNumId w:val="13"/>
  </w:num>
  <w:num w:numId="2">
    <w:abstractNumId w:val="30"/>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31"/>
  </w:num>
  <w:num w:numId="6">
    <w:abstractNumId w:val="26"/>
  </w:num>
  <w:num w:numId="7">
    <w:abstractNumId w:val="19"/>
  </w:num>
  <w:num w:numId="8">
    <w:abstractNumId w:val="21"/>
  </w:num>
  <w:num w:numId="9">
    <w:abstractNumId w:val="35"/>
  </w:num>
  <w:num w:numId="10">
    <w:abstractNumId w:val="12"/>
  </w:num>
  <w:num w:numId="11">
    <w:abstractNumId w:val="33"/>
  </w:num>
  <w:num w:numId="12">
    <w:abstractNumId w:val="20"/>
  </w:num>
  <w:num w:numId="13">
    <w:abstractNumId w:val="18"/>
  </w:num>
  <w:num w:numId="14">
    <w:abstractNumId w:val="16"/>
  </w:num>
  <w:num w:numId="15">
    <w:abstractNumId w:val="0"/>
    <w:lvlOverride w:ilvl="0">
      <w:lvl w:ilvl="0">
        <w:start w:val="1"/>
        <w:numFmt w:val="bullet"/>
        <w:lvlText w:val="-"/>
        <w:lvlJc w:val="left"/>
        <w:pPr>
          <w:ind w:left="360" w:hanging="360"/>
        </w:pPr>
      </w:lvl>
    </w:lvlOverride>
  </w:num>
  <w:num w:numId="16">
    <w:abstractNumId w:val="34"/>
  </w:num>
  <w:num w:numId="17">
    <w:abstractNumId w:val="22"/>
  </w:num>
  <w:num w:numId="18">
    <w:abstractNumId w:val="25"/>
  </w:num>
  <w:num w:numId="19">
    <w:abstractNumId w:val="15"/>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24"/>
  </w:num>
  <w:num w:numId="40">
    <w:abstractNumId w:val="14"/>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27"/>
  </w:num>
  <w:num w:numId="43">
    <w:abstractNumId w:val="37"/>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num>
  <w:num w:numId="45">
    <w:abstractNumId w:val="36"/>
  </w:num>
  <w:num w:numId="46">
    <w:abstractNumId w:val="29"/>
  </w:num>
  <w:num w:numId="47">
    <w:abstractNumId w:val="11"/>
  </w:num>
  <w:num w:numId="48">
    <w:abstractNumId w:val="32"/>
  </w:num>
  <w:num w:numId="49">
    <w:abstractNumId w:val="17"/>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activeWritingStyle w:appName="MSWord" w:lang="de-DE" w:vendorID="64" w:dllVersion="6"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hu-HU" w:vendorID="64" w:dllVersion="0"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9F5F6A"/>
    <w:rsid w:val="0009395B"/>
    <w:rsid w:val="001A3B4D"/>
    <w:rsid w:val="002440F3"/>
    <w:rsid w:val="0028334D"/>
    <w:rsid w:val="00331078"/>
    <w:rsid w:val="00444304"/>
    <w:rsid w:val="00533649"/>
    <w:rsid w:val="005652B1"/>
    <w:rsid w:val="005A3ED0"/>
    <w:rsid w:val="005E68C2"/>
    <w:rsid w:val="006E2320"/>
    <w:rsid w:val="007D2DE6"/>
    <w:rsid w:val="00962A10"/>
    <w:rsid w:val="009F5F6A"/>
    <w:rsid w:val="00C67DB1"/>
    <w:rsid w:val="00DF6F1D"/>
    <w:rsid w:val="00EC65C4"/>
    <w:rsid w:val="00F26BB7"/>
  </w:rsids>
  <m:mathPr>
    <m:mathFont m:val="Cambria Math"/>
    <m:brkBin m:val="before"/>
    <m:brkBinSub m:val="--"/>
    <m:smallFrac m:val="0"/>
    <m:dispDef/>
    <m:lMargin m:val="0"/>
    <m:rMargin m:val="0"/>
    <m:defJc m:val="centerGroup"/>
    <m:wrapRight/>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B0D2085"/>
  <w15:docId w15:val="{1F7718AF-1E5F-4F14-8C8C-67CDBA0C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line="260" w:lineRule="exact"/>
    </w:pPr>
    <w:rPr>
      <w:snapToGrid w:val="0"/>
      <w:sz w:val="22"/>
      <w:lang w:eastAsia="zh-CN"/>
    </w:rPr>
  </w:style>
  <w:style w:type="paragraph" w:styleId="Cmsor1">
    <w:name w:val="heading 1"/>
    <w:basedOn w:val="Norml"/>
    <w:next w:val="Norml"/>
    <w:link w:val="Cmsor1Char"/>
    <w:qFormat/>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pPr>
      <w:tabs>
        <w:tab w:val="center" w:pos="4536"/>
        <w:tab w:val="right" w:pos="8306"/>
      </w:tabs>
    </w:pPr>
    <w:rPr>
      <w:rFonts w:ascii="Arial" w:hAnsi="Arial"/>
      <w:noProof/>
      <w:sz w:val="16"/>
      <w:lang w:val="en-US"/>
    </w:rPr>
  </w:style>
  <w:style w:type="character" w:customStyle="1" w:styleId="llbChar">
    <w:name w:val="Élőláb Char"/>
    <w:link w:val="llb"/>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pPr>
      <w:spacing w:line="240" w:lineRule="auto"/>
    </w:pPr>
    <w:rPr>
      <w:rFonts w:ascii="Tahoma" w:hAnsi="Tahoma" w:cs="Tahoma"/>
      <w:sz w:val="16"/>
      <w:szCs w:val="16"/>
    </w:rPr>
  </w:style>
  <w:style w:type="character" w:customStyle="1" w:styleId="BuborkszvegChar">
    <w:name w:val="Buborékszöveg Char"/>
    <w:link w:val="Buborkszveg"/>
    <w:rPr>
      <w:rFonts w:ascii="Tahoma" w:hAnsi="Tahoma" w:cs="Tahoma"/>
      <w:snapToGrid w:val="0"/>
      <w:sz w:val="16"/>
      <w:szCs w:val="16"/>
      <w:lang w:val="en-GB"/>
    </w:rPr>
  </w:style>
  <w:style w:type="paragraph" w:styleId="lfej">
    <w:name w:val="header"/>
    <w:basedOn w:val="Norml"/>
    <w:link w:val="lfejChar"/>
    <w:uiPriority w:val="99"/>
    <w:pPr>
      <w:tabs>
        <w:tab w:val="clear" w:pos="567"/>
        <w:tab w:val="center" w:pos="4320"/>
        <w:tab w:val="right" w:pos="8640"/>
      </w:tabs>
    </w:pPr>
  </w:style>
  <w:style w:type="character" w:styleId="Jegyzethivatkozs">
    <w:name w:val="annotation reference"/>
    <w:uiPriority w:val="99"/>
    <w:semiHidden/>
    <w:rPr>
      <w:sz w:val="16"/>
      <w:szCs w:val="16"/>
    </w:rPr>
  </w:style>
  <w:style w:type="paragraph" w:styleId="Jegyzetszveg">
    <w:name w:val="annotation text"/>
    <w:basedOn w:val="Norml"/>
    <w:semiHidden/>
    <w:rPr>
      <w:sz w:val="20"/>
    </w:rPr>
  </w:style>
  <w:style w:type="paragraph" w:styleId="Megjegyzstrgya">
    <w:name w:val="annotation subject"/>
    <w:basedOn w:val="Jegyzetszveg"/>
    <w:next w:val="Jegyzetszveg"/>
    <w:semiHidden/>
    <w:rPr>
      <w:b/>
      <w:bCs/>
    </w:rPr>
  </w:style>
  <w:style w:type="paragraph" w:customStyle="1" w:styleId="EMEAEnBodyText">
    <w:name w:val="EMEA En Body Text"/>
    <w:basedOn w:val="Norml"/>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Pr>
      <w:rFonts w:eastAsia="Times New Roman"/>
      <w:b/>
      <w:caps/>
      <w:sz w:val="26"/>
    </w:rPr>
  </w:style>
  <w:style w:type="character" w:customStyle="1" w:styleId="Cmsor2Char">
    <w:name w:val="Címsor 2 Char"/>
    <w:link w:val="Cmsor2"/>
    <w:rPr>
      <w:rFonts w:ascii="Helvetica" w:eastAsia="Times New Roman" w:hAnsi="Helvetica"/>
      <w:b/>
      <w:i/>
      <w:sz w:val="24"/>
      <w:lang w:val="hu-HU"/>
    </w:rPr>
  </w:style>
  <w:style w:type="character" w:customStyle="1" w:styleId="Cmsor3Char">
    <w:name w:val="Címsor 3 Char"/>
    <w:link w:val="Cmsor3"/>
    <w:rPr>
      <w:rFonts w:eastAsia="Times New Roman"/>
      <w:b/>
      <w:kern w:val="1"/>
      <w:sz w:val="24"/>
    </w:rPr>
  </w:style>
  <w:style w:type="character" w:customStyle="1" w:styleId="Cmsor4Char">
    <w:name w:val="Címsor 4 Char"/>
    <w:link w:val="Cmsor4"/>
    <w:rPr>
      <w:rFonts w:eastAsia="Times New Roman"/>
      <w:b/>
      <w:sz w:val="22"/>
    </w:rPr>
  </w:style>
  <w:style w:type="character" w:customStyle="1" w:styleId="Cmsor5Char">
    <w:name w:val="Címsor 5 Char"/>
    <w:link w:val="Cmsor5"/>
    <w:rPr>
      <w:rFonts w:eastAsia="Times New Roman"/>
      <w:sz w:val="22"/>
    </w:rPr>
  </w:style>
  <w:style w:type="character" w:customStyle="1" w:styleId="Cmsor6Char">
    <w:name w:val="Címsor 6 Char"/>
    <w:link w:val="Cmsor6"/>
    <w:rPr>
      <w:rFonts w:eastAsia="Times New Roman"/>
      <w:i/>
      <w:sz w:val="22"/>
      <w:lang w:val="hu-HU"/>
    </w:rPr>
  </w:style>
  <w:style w:type="character" w:customStyle="1" w:styleId="Cmsor7Char">
    <w:name w:val="Címsor 7 Char"/>
    <w:link w:val="Cmsor7"/>
    <w:rPr>
      <w:rFonts w:eastAsia="Times New Roman"/>
      <w:i/>
      <w:sz w:val="22"/>
      <w:lang w:val="hu-HU"/>
    </w:rPr>
  </w:style>
  <w:style w:type="character" w:customStyle="1" w:styleId="Cmsor8Char">
    <w:name w:val="Címsor 8 Char"/>
    <w:link w:val="Cmsor8"/>
    <w:rPr>
      <w:rFonts w:eastAsia="Times New Roman"/>
      <w:b/>
      <w:i/>
      <w:sz w:val="22"/>
      <w:lang w:val="hu-HU"/>
    </w:rPr>
  </w:style>
  <w:style w:type="character" w:customStyle="1" w:styleId="Cmsor9Char">
    <w:name w:val="Címsor 9 Char"/>
    <w:link w:val="Cmsor9"/>
    <w:rPr>
      <w:rFonts w:eastAsia="Times New Roman"/>
      <w:b/>
      <w:i/>
      <w:sz w:val="22"/>
      <w:lang w:val="hu-HU"/>
    </w:rPr>
  </w:style>
  <w:style w:type="character" w:styleId="Mrltotthiperhivatkozs">
    <w:name w:val="FollowedHyperlink"/>
    <w:rPr>
      <w:color w:val="800080"/>
      <w:u w:val="single"/>
    </w:rPr>
  </w:style>
  <w:style w:type="paragraph" w:styleId="Szvegtrzs">
    <w:name w:val="Body Text"/>
    <w:basedOn w:val="Norml"/>
    <w:link w:val="SzvegtrzsChar"/>
    <w:pPr>
      <w:tabs>
        <w:tab w:val="clear" w:pos="567"/>
      </w:tabs>
      <w:suppressAutoHyphens/>
    </w:pPr>
    <w:rPr>
      <w:rFonts w:eastAsia="Times New Roman"/>
      <w:b/>
      <w:i/>
      <w:snapToGrid/>
      <w:lang w:val="hu-HU"/>
    </w:rPr>
  </w:style>
  <w:style w:type="character" w:customStyle="1" w:styleId="SzvegtrzsChar">
    <w:name w:val="Szövegtörzs Char"/>
    <w:link w:val="Szvegtrzs"/>
    <w:rPr>
      <w:rFonts w:eastAsia="Times New Roman"/>
      <w:b/>
      <w:i/>
      <w:sz w:val="22"/>
      <w:lang w:val="hu-HU"/>
    </w:rPr>
  </w:style>
  <w:style w:type="paragraph" w:styleId="Lista">
    <w:name w:val="List"/>
    <w:basedOn w:val="Szvegtrzs"/>
    <w:rPr>
      <w:rFonts w:cs="Tahoma"/>
    </w:rPr>
  </w:style>
  <w:style w:type="paragraph" w:styleId="Szvegtrzsbehzssal">
    <w:name w:val="Body Text Indent"/>
    <w:basedOn w:val="Norml"/>
    <w:link w:val="SzvegtrzsbehzssalChar"/>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Pr>
      <w:rFonts w:eastAsia="Times New Roman"/>
      <w:b/>
      <w:color w:val="808080"/>
      <w:sz w:val="22"/>
      <w:lang w:val="hu-HU"/>
    </w:rPr>
  </w:style>
  <w:style w:type="paragraph" w:styleId="Bortkcm">
    <w:name w:val="envelope address"/>
    <w:basedOn w:val="Norml"/>
    <w:next w:val="Szvegtrzs"/>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pPr>
      <w:tabs>
        <w:tab w:val="clear" w:pos="567"/>
      </w:tabs>
      <w:suppressAutoHyphens/>
    </w:pPr>
    <w:rPr>
      <w:rFonts w:eastAsia="Times New Roman"/>
      <w:snapToGrid/>
      <w:sz w:val="20"/>
      <w:lang w:val="hu-HU"/>
    </w:rPr>
  </w:style>
  <w:style w:type="character" w:customStyle="1" w:styleId="LbjegyzetszvegChar">
    <w:name w:val="Lábjegyzetszöveg Char"/>
    <w:link w:val="Lbjegyzetszveg"/>
    <w:rPr>
      <w:rFonts w:eastAsia="Times New Roman"/>
      <w:lang w:val="hu-HU"/>
    </w:rPr>
  </w:style>
  <w:style w:type="paragraph" w:styleId="Vgjegyzetszvege">
    <w:name w:val="endnote text"/>
    <w:basedOn w:val="Norml"/>
    <w:next w:val="Norml"/>
    <w:link w:val="VgjegyzetszvegeChar"/>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Pr>
      <w:rFonts w:eastAsia="Times New Roman"/>
      <w:sz w:val="22"/>
      <w:lang w:val="hu-HU"/>
    </w:rPr>
  </w:style>
  <w:style w:type="paragraph" w:styleId="Szvegblokk">
    <w:name w:val="Block Text"/>
    <w:basedOn w:val="Norml"/>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pPr>
      <w:tabs>
        <w:tab w:val="clear" w:pos="567"/>
      </w:tabs>
      <w:suppressAutoHyphens/>
    </w:pPr>
    <w:rPr>
      <w:rFonts w:ascii="Tahoma" w:eastAsia="Times New Roman" w:hAnsi="Tahoma" w:cs="Tahoma"/>
      <w:snapToGrid/>
      <w:sz w:val="16"/>
      <w:szCs w:val="16"/>
      <w:lang w:val="hu-HU"/>
    </w:rPr>
  </w:style>
  <w:style w:type="table" w:customStyle="1" w:styleId="TableGrid">
    <w:name w:val="TableGrid"/>
    <w:rPr>
      <w:rFonts w:asciiTheme="minorHAnsi" w:eastAsiaTheme="minorEastAsia" w:hAnsiTheme="minorHAnsi" w:cstheme="minorBidi"/>
      <w:sz w:val="22"/>
      <w:szCs w:val="22"/>
      <w:lang w:val="sl-SI" w:eastAsia="sl-SI"/>
    </w:rPr>
    <w:tblPr>
      <w:tblCellMar>
        <w:top w:w="0" w:type="dxa"/>
        <w:left w:w="0" w:type="dxa"/>
        <w:bottom w:w="0" w:type="dxa"/>
        <w:right w:w="0" w:type="dxa"/>
      </w:tblCellMar>
    </w:tblPr>
  </w:style>
  <w:style w:type="paragraph" w:styleId="Listaszerbekezds">
    <w:name w:val="List Paragraph"/>
    <w:basedOn w:val="Norml"/>
    <w:uiPriority w:val="34"/>
    <w:qFormat/>
    <w:pPr>
      <w:ind w:left="720"/>
      <w:contextualSpacing/>
    </w:pPr>
  </w:style>
  <w:style w:type="table" w:customStyle="1" w:styleId="TableGrid1">
    <w:name w:val="TableGrid1"/>
    <w:rPr>
      <w:rFonts w:asciiTheme="minorHAnsi" w:eastAsiaTheme="minorEastAsia" w:hAnsiTheme="minorHAnsi" w:cstheme="minorBidi"/>
      <w:sz w:val="22"/>
      <w:szCs w:val="22"/>
      <w:lang w:val="en-US" w:eastAsia="en-US"/>
    </w:rPr>
    <w:tblPr>
      <w:tblCellMar>
        <w:top w:w="0" w:type="dxa"/>
        <w:left w:w="0" w:type="dxa"/>
        <w:bottom w:w="0" w:type="dxa"/>
        <w:right w:w="0" w:type="dxa"/>
      </w:tblCellMar>
    </w:tblPr>
  </w:style>
  <w:style w:type="character" w:customStyle="1" w:styleId="lfejChar">
    <w:name w:val="Élőfej Char"/>
    <w:basedOn w:val="Bekezdsalapbettpusa"/>
    <w:link w:val="lfej"/>
    <w:uiPriority w:val="99"/>
    <w:rPr>
      <w:snapToGrid w:val="0"/>
      <w:sz w:val="22"/>
      <w:lang w:eastAsia="zh-CN"/>
    </w:rPr>
  </w:style>
  <w:style w:type="paragraph" w:styleId="Nincstrkz">
    <w:name w:val="No Spacing"/>
    <w:uiPriority w:val="1"/>
    <w:qFormat/>
    <w:rPr>
      <w:rFonts w:eastAsiaTheme="minorHAnsi" w:cstheme="minorBidi"/>
      <w:sz w:val="22"/>
      <w:szCs w:val="22"/>
      <w:lang w:val="hu-HU" w:eastAsia="en-US"/>
    </w:rPr>
  </w:style>
  <w:style w:type="paragraph" w:styleId="Vltozat">
    <w:name w:val="Revision"/>
    <w:hidden/>
    <w:uiPriority w:val="99"/>
    <w:semiHidden/>
    <w:rPr>
      <w:snapToGrid w:val="0"/>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077514">
      <w:bodyDiv w:val="1"/>
      <w:marLeft w:val="0"/>
      <w:marRight w:val="0"/>
      <w:marTop w:val="0"/>
      <w:marBottom w:val="0"/>
      <w:divBdr>
        <w:top w:val="none" w:sz="0" w:space="0" w:color="auto"/>
        <w:left w:val="none" w:sz="0" w:space="0" w:color="auto"/>
        <w:bottom w:val="none" w:sz="0" w:space="0" w:color="auto"/>
        <w:right w:val="none" w:sz="0" w:space="0" w:color="auto"/>
      </w:divBdr>
    </w:div>
    <w:div w:id="679040527">
      <w:bodyDiv w:val="1"/>
      <w:marLeft w:val="0"/>
      <w:marRight w:val="0"/>
      <w:marTop w:val="0"/>
      <w:marBottom w:val="0"/>
      <w:divBdr>
        <w:top w:val="none" w:sz="0" w:space="0" w:color="auto"/>
        <w:left w:val="none" w:sz="0" w:space="0" w:color="auto"/>
        <w:bottom w:val="none" w:sz="0" w:space="0" w:color="auto"/>
        <w:right w:val="none" w:sz="0" w:space="0" w:color="auto"/>
      </w:divBdr>
    </w:div>
    <w:div w:id="890263110">
      <w:bodyDiv w:val="1"/>
      <w:marLeft w:val="0"/>
      <w:marRight w:val="0"/>
      <w:marTop w:val="0"/>
      <w:marBottom w:val="0"/>
      <w:divBdr>
        <w:top w:val="none" w:sz="0" w:space="0" w:color="auto"/>
        <w:left w:val="none" w:sz="0" w:space="0" w:color="auto"/>
        <w:bottom w:val="none" w:sz="0" w:space="0" w:color="auto"/>
        <w:right w:val="none" w:sz="0" w:space="0" w:color="auto"/>
      </w:divBdr>
    </w:div>
    <w:div w:id="1053777250">
      <w:bodyDiv w:val="1"/>
      <w:marLeft w:val="0"/>
      <w:marRight w:val="0"/>
      <w:marTop w:val="0"/>
      <w:marBottom w:val="0"/>
      <w:divBdr>
        <w:top w:val="none" w:sz="0" w:space="0" w:color="auto"/>
        <w:left w:val="none" w:sz="0" w:space="0" w:color="auto"/>
        <w:bottom w:val="none" w:sz="0" w:space="0" w:color="auto"/>
        <w:right w:val="none" w:sz="0" w:space="0" w:color="auto"/>
      </w:divBdr>
    </w:div>
    <w:div w:id="15689988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37</Pages>
  <Words>14253</Words>
  <Characters>102137</Characters>
  <Application>Microsoft Office Word</Application>
  <DocSecurity>0</DocSecurity>
  <Lines>851</Lines>
  <Paragraphs>232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mutual-recognition-decentralised-referral-pi-template-version-42_en_CLEAN_HU</vt:lpstr>
      <vt:lpstr>Hreferralspcclean_hu</vt:lpstr>
    </vt:vector>
  </TitlesOfParts>
  <Company>CDT</Company>
  <LinksUpToDate>false</LinksUpToDate>
  <CharactersWithSpaces>116158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mutual-recognition-decentralised-referral-pi-template-version-42_en_CLEAN_HU</dc:title>
  <dc:creator>CDT</dc:creator>
  <cp:lastModifiedBy>HU_OGYI_7.1</cp:lastModifiedBy>
  <cp:revision>6</cp:revision>
  <dcterms:created xsi:type="dcterms:W3CDTF">2026-04-13T13:41:00Z</dcterms:created>
  <dcterms:modified xsi:type="dcterms:W3CDTF">2026-07-13T10:11:00Z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
  </property>
  <property fmtid="{D5CDD505-2E9C-101B-9397-08002B2CF9AE}" pid="3" name="DM_Author">
    <vt:lpwstr/>
  </property>
  <property fmtid="{D5CDD505-2E9C-101B-9397-08002B2CF9AE}" pid="4" name="DM_Authors">
    <vt:lpwstr/>
  </property>
  <property fmtid="{D5CDD505-2E9C-101B-9397-08002B2CF9AE}" pid="5" name="DM_Category">
    <vt:lpwstr/>
  </property>
  <property fmtid="{D5CDD505-2E9C-101B-9397-08002B2CF9AE}" pid="6" name="DM_Creation_Date">
    <vt:lpwstr/>
  </property>
  <property fmtid="{D5CDD505-2E9C-101B-9397-08002B2CF9AE}" pid="7" name="DM_Creator_Name">
    <vt:lpwstr/>
  </property>
  <property fmtid="{D5CDD505-2E9C-101B-9397-08002B2CF9AE}" pid="8" name="DM_DocRefId">
    <vt:lpwstr/>
  </property>
  <property fmtid="{D5CDD505-2E9C-101B-9397-08002B2CF9AE}" pid="9" name="DM_emea_bcc">
    <vt:lpwstr/>
  </property>
  <property fmtid="{D5CDD505-2E9C-101B-9397-08002B2CF9AE}" pid="10" name="DM_emea_cc">
    <vt:lpwstr/>
  </property>
  <property fmtid="{D5CDD505-2E9C-101B-9397-08002B2CF9AE}" pid="11" name="DM_emea_doc_category">
    <vt:lpwstr/>
  </property>
  <property fmtid="{D5CDD505-2E9C-101B-9397-08002B2CF9AE}" pid="12" name="DM_emea_doc_lang">
    <vt:lpwstr/>
  </property>
  <property fmtid="{D5CDD505-2E9C-101B-9397-08002B2CF9AE}" pid="13" name="DM_emea_doc_number">
    <vt:lpwstr/>
  </property>
  <property fmtid="{D5CDD505-2E9C-101B-9397-08002B2CF9AE}" pid="14" name="DM_emea_doc_ref_id">
    <vt:lpwstr/>
  </property>
  <property fmtid="{D5CDD505-2E9C-101B-9397-08002B2CF9AE}" pid="15" name="DM_emea_from">
    <vt:lpwstr/>
  </property>
  <property fmtid="{D5CDD505-2E9C-101B-9397-08002B2CF9AE}" pid="16" name="DM_emea_internal_label">
    <vt:lpwstr/>
  </property>
  <property fmtid="{D5CDD505-2E9C-101B-9397-08002B2CF9AE}" pid="17" name="DM_emea_legal_date">
    <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
  </property>
  <property fmtid="{D5CDD505-2E9C-101B-9397-08002B2CF9AE}" pid="29" name="DM_emea_to">
    <vt:lpwstr/>
  </property>
  <property fmtid="{D5CDD505-2E9C-101B-9397-08002B2CF9AE}" pid="30" name="DM_emea_year">
    <vt:lpwstr/>
  </property>
  <property fmtid="{D5CDD505-2E9C-101B-9397-08002B2CF9AE}" pid="31" name="DM_Keywords">
    <vt:lpwstr/>
  </property>
  <property fmtid="{D5CDD505-2E9C-101B-9397-08002B2CF9AE}" pid="32" name="DM_Language">
    <vt:lpwstr/>
  </property>
  <property fmtid="{D5CDD505-2E9C-101B-9397-08002B2CF9AE}" pid="33" name="DM_Modifer_Name">
    <vt:lpwstr/>
  </property>
  <property fmtid="{D5CDD505-2E9C-101B-9397-08002B2CF9AE}" pid="34" name="DM_Modified_Date">
    <vt:lpwstr/>
  </property>
  <property fmtid="{D5CDD505-2E9C-101B-9397-08002B2CF9AE}" pid="35" name="DM_Modifier_Name">
    <vt:lpwstr/>
  </property>
  <property fmtid="{D5CDD505-2E9C-101B-9397-08002B2CF9AE}" pid="36" name="DM_Modify_Date">
    <vt:lpwstr/>
  </property>
  <property fmtid="{D5CDD505-2E9C-101B-9397-08002B2CF9AE}" pid="37" name="DM_Name">
    <vt:lpwstr/>
  </property>
  <property fmtid="{D5CDD505-2E9C-101B-9397-08002B2CF9AE}" pid="38" name="DM_Owner">
    <vt:lpwstr/>
  </property>
  <property fmtid="{D5CDD505-2E9C-101B-9397-08002B2CF9AE}" pid="39" name="DM_Path">
    <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
  </property>
  <property fmtid="{D5CDD505-2E9C-101B-9397-08002B2CF9AE}" pid="44" name="DM_Version">
    <vt:lpwstr/>
  </property>
  <property fmtid="{D5CDD505-2E9C-101B-9397-08002B2CF9AE}" pid="45" name="JobId">
    <vt:lpwstr/>
  </property>
  <property fmtid="{D5CDD505-2E9C-101B-9397-08002B2CF9AE}" pid="46" name="MSIP_Label_afe1b31d-cec0-4074-b4bd-f07689e43d84_ActionId">
    <vt:lpwstr/>
  </property>
  <property fmtid="{D5CDD505-2E9C-101B-9397-08002B2CF9AE}" pid="47" name="MSIP_Label_afe1b31d-cec0-4074-b4bd-f07689e43d84_Application">
    <vt:lpwstr/>
  </property>
  <property fmtid="{D5CDD505-2E9C-101B-9397-08002B2CF9AE}" pid="48" name="MSIP_Label_afe1b31d-cec0-4074-b4bd-f07689e43d84_Enabled">
    <vt:lpwstr/>
  </property>
  <property fmtid="{D5CDD505-2E9C-101B-9397-08002B2CF9AE}" pid="49" name="MSIP_Label_afe1b31d-cec0-4074-b4bd-f07689e43d84_Extended_MSFT_Method">
    <vt:lpwstr/>
  </property>
  <property fmtid="{D5CDD505-2E9C-101B-9397-08002B2CF9AE}" pid="50" name="MSIP_Label_afe1b31d-cec0-4074-b4bd-f07689e43d84_Name">
    <vt:lpwstr/>
  </property>
  <property fmtid="{D5CDD505-2E9C-101B-9397-08002B2CF9AE}" pid="51" name="MSIP_Label_afe1b31d-cec0-4074-b4bd-f07689e43d84_Owner">
    <vt:lpwstr/>
  </property>
  <property fmtid="{D5CDD505-2E9C-101B-9397-08002B2CF9AE}" pid="52" name="MSIP_Label_afe1b31d-cec0-4074-b4bd-f07689e43d84_SetDate">
    <vt:lpwstr/>
  </property>
  <property fmtid="{D5CDD505-2E9C-101B-9397-08002B2CF9AE}" pid="53" name="MSIP_Label_afe1b31d-cec0-4074-b4bd-f07689e43d84_SiteId">
    <vt:lpwstr/>
  </property>
  <property fmtid="{D5CDD505-2E9C-101B-9397-08002B2CF9AE}" pid="54" name="MSIP_Label_0eea11ca-d417-4147-80ed-01a58412c458_Enabled">
    <vt:lpwstr/>
  </property>
  <property fmtid="{D5CDD505-2E9C-101B-9397-08002B2CF9AE}" pid="55" name="MSIP_Label_0eea11ca-d417-4147-80ed-01a58412c458_SetDate">
    <vt:lpwstr/>
  </property>
  <property fmtid="{D5CDD505-2E9C-101B-9397-08002B2CF9AE}" pid="56" name="MSIP_Label_0eea11ca-d417-4147-80ed-01a58412c458_Method">
    <vt:lpwstr/>
  </property>
  <property fmtid="{D5CDD505-2E9C-101B-9397-08002B2CF9AE}" pid="57" name="MSIP_Label_0eea11ca-d417-4147-80ed-01a58412c458_Name">
    <vt:lpwstr/>
  </property>
  <property fmtid="{D5CDD505-2E9C-101B-9397-08002B2CF9AE}" pid="58" name="MSIP_Label_0eea11ca-d417-4147-80ed-01a58412c458_SiteId">
    <vt:lpwstr/>
  </property>
  <property fmtid="{D5CDD505-2E9C-101B-9397-08002B2CF9AE}" pid="59" name="MSIP_Label_0eea11ca-d417-4147-80ed-01a58412c458_ActionId">
    <vt:lpwstr/>
  </property>
  <property fmtid="{D5CDD505-2E9C-101B-9397-08002B2CF9AE}" pid="60" name="MSIP_Label_0eea11ca-d417-4147-80ed-01a58412c458_ContentBits">
    <vt:lpwstr/>
  </property>
</Properties>
</file>