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BE4B0" w14:textId="2310B903" w:rsidR="00F5603F" w:rsidRPr="00E86C85" w:rsidRDefault="00A15F63" w:rsidP="00E86C85">
      <w:pPr>
        <w:pStyle w:val="Cmsor1"/>
      </w:pPr>
      <w:r>
        <w:t>1</w:t>
      </w:r>
      <w:r w:rsidR="009106D9" w:rsidRPr="009106D9">
        <w:t xml:space="preserve"> </w:t>
      </w:r>
      <w:r w:rsidR="009106D9" w:rsidRPr="009106D9">
        <w:tab/>
      </w:r>
      <w:r w:rsidR="00612B56" w:rsidRPr="009106D9">
        <w:t>A</w:t>
      </w:r>
      <w:r w:rsidR="00612B56" w:rsidRPr="00E86C85">
        <w:t xml:space="preserve"> GYÓGYSZER NEVE</w:t>
      </w:r>
    </w:p>
    <w:p w14:paraId="2910EB9C" w14:textId="77777777" w:rsidR="00F5603F" w:rsidRPr="00EF71F8" w:rsidRDefault="00F5603F" w:rsidP="009106D9">
      <w:pPr>
        <w:rPr>
          <w:rFonts w:ascii="Times New Roman" w:eastAsia="Times New Roman" w:hAnsi="Times New Roman" w:cs="Times New Roman"/>
          <w:b/>
          <w:bCs/>
        </w:rPr>
      </w:pPr>
    </w:p>
    <w:p w14:paraId="092B97F1" w14:textId="1A88177B" w:rsidR="00F5603F" w:rsidRPr="00EF71F8" w:rsidRDefault="000C5067" w:rsidP="009106D9">
      <w:pPr>
        <w:pStyle w:val="Szvegtrzs"/>
        <w:ind w:left="0"/>
        <w:rPr>
          <w:rFonts w:cs="Times New Roman"/>
          <w:spacing w:val="-1"/>
        </w:rPr>
      </w:pPr>
      <w:bookmarkStart w:id="0" w:name="_Hlk178608212"/>
      <w:r>
        <w:rPr>
          <w:rFonts w:eastAsia="TimesNewRomanPSMT" w:cs="Times New Roman"/>
          <w:lang w:val="hu-HU"/>
        </w:rPr>
        <w:t xml:space="preserve">Nintedanib Onkogen </w:t>
      </w:r>
      <w:bookmarkEnd w:id="0"/>
      <w:r w:rsidRPr="000C5067">
        <w:rPr>
          <w:rFonts w:eastAsia="TimesNewRomanPSMT" w:cs="Times New Roman"/>
          <w:lang w:val="hu-HU"/>
        </w:rPr>
        <w:t>100</w:t>
      </w:r>
      <w:r w:rsidR="00796BA3">
        <w:rPr>
          <w:rFonts w:eastAsia="TimesNewRomanPSMT" w:cs="Times New Roman"/>
          <w:lang w:val="hu-HU"/>
        </w:rPr>
        <w:t> </w:t>
      </w:r>
      <w:r w:rsidRPr="000C5067">
        <w:rPr>
          <w:rFonts w:eastAsia="TimesNewRomanPSMT" w:cs="Times New Roman"/>
          <w:lang w:val="hu-HU"/>
        </w:rPr>
        <w:t>mg</w:t>
      </w:r>
      <w:r w:rsidR="00676EDE">
        <w:rPr>
          <w:rFonts w:eastAsia="TimesNewRomanPSMT" w:cs="Times New Roman"/>
          <w:lang w:val="hu-HU"/>
        </w:rPr>
        <w:t> </w:t>
      </w:r>
      <w:r w:rsidRPr="000C5067">
        <w:rPr>
          <w:rFonts w:eastAsia="TimesNewRomanPSMT" w:cs="Times New Roman"/>
          <w:lang w:val="hu-HU"/>
        </w:rPr>
        <w:t>lágy kapszula</w:t>
      </w:r>
    </w:p>
    <w:p w14:paraId="6870B67A" w14:textId="0C4EB38B" w:rsidR="00F5603F" w:rsidRDefault="000C5067" w:rsidP="009106D9">
      <w:pPr>
        <w:rPr>
          <w:rFonts w:ascii="Times New Roman" w:eastAsia="TimesNewRomanPSMT" w:hAnsi="Times New Roman" w:cs="Times New Roman"/>
          <w:lang w:val="hu-HU"/>
        </w:rPr>
      </w:pPr>
      <w:r w:rsidRPr="000C5067">
        <w:rPr>
          <w:rFonts w:ascii="Times New Roman" w:eastAsia="TimesNewRomanPSMT" w:hAnsi="Times New Roman" w:cs="Times New Roman"/>
          <w:lang w:val="hu-HU"/>
        </w:rPr>
        <w:t>Nintedanib Onkogen 1</w:t>
      </w:r>
      <w:r>
        <w:rPr>
          <w:rFonts w:ascii="Times New Roman" w:eastAsia="TimesNewRomanPSMT" w:hAnsi="Times New Roman" w:cs="Times New Roman"/>
          <w:lang w:val="hu-HU"/>
        </w:rPr>
        <w:t>5</w:t>
      </w:r>
      <w:r w:rsidRPr="000C5067">
        <w:rPr>
          <w:rFonts w:ascii="Times New Roman" w:eastAsia="TimesNewRomanPSMT" w:hAnsi="Times New Roman" w:cs="Times New Roman"/>
          <w:lang w:val="hu-HU"/>
        </w:rPr>
        <w:t>0</w:t>
      </w:r>
      <w:r w:rsidR="008853CF">
        <w:rPr>
          <w:rFonts w:ascii="Times New Roman" w:eastAsia="TimesNewRomanPSMT" w:hAnsi="Times New Roman" w:cs="Times New Roman"/>
          <w:lang w:val="hu-HU"/>
        </w:rPr>
        <w:t> </w:t>
      </w:r>
      <w:r w:rsidRPr="000C5067">
        <w:rPr>
          <w:rFonts w:ascii="Times New Roman" w:eastAsia="TimesNewRomanPSMT" w:hAnsi="Times New Roman" w:cs="Times New Roman"/>
          <w:lang w:val="hu-HU"/>
        </w:rPr>
        <w:t>mg</w:t>
      </w:r>
      <w:r w:rsidR="00676EDE">
        <w:rPr>
          <w:rFonts w:ascii="Times New Roman" w:eastAsia="TimesNewRomanPSMT" w:hAnsi="Times New Roman" w:cs="Times New Roman"/>
          <w:lang w:val="hu-HU"/>
        </w:rPr>
        <w:t> </w:t>
      </w:r>
      <w:r w:rsidRPr="000C5067">
        <w:rPr>
          <w:rFonts w:ascii="Times New Roman" w:eastAsia="TimesNewRomanPSMT" w:hAnsi="Times New Roman" w:cs="Times New Roman"/>
          <w:lang w:val="hu-HU"/>
        </w:rPr>
        <w:t>lágy kapszula</w:t>
      </w:r>
    </w:p>
    <w:p w14:paraId="4715582C" w14:textId="77777777" w:rsidR="00A05FFE" w:rsidRDefault="00A05FFE" w:rsidP="009106D9">
      <w:pPr>
        <w:rPr>
          <w:rFonts w:ascii="Times New Roman" w:eastAsia="TimesNewRomanPSMT" w:hAnsi="Times New Roman" w:cs="Times New Roman"/>
          <w:lang w:val="hu-HU"/>
        </w:rPr>
      </w:pPr>
    </w:p>
    <w:p w14:paraId="18E47D15" w14:textId="77777777" w:rsidR="00A05FFE" w:rsidRPr="00EF71F8" w:rsidRDefault="00A05FFE" w:rsidP="009106D9">
      <w:pPr>
        <w:rPr>
          <w:rFonts w:ascii="Times New Roman" w:eastAsia="Times New Roman" w:hAnsi="Times New Roman" w:cs="Times New Roman"/>
        </w:rPr>
      </w:pPr>
    </w:p>
    <w:p w14:paraId="109F5417" w14:textId="799D562C" w:rsidR="00F5603F" w:rsidRPr="009106D9" w:rsidRDefault="009106D9" w:rsidP="009106D9">
      <w:pPr>
        <w:pStyle w:val="Cmsor1"/>
      </w:pPr>
      <w:r>
        <w:t>2.</w:t>
      </w:r>
      <w:r>
        <w:tab/>
      </w:r>
      <w:r w:rsidR="00612B56" w:rsidRPr="009106D9">
        <w:t>MINŐSÉGI ÉS</w:t>
      </w:r>
      <w:r w:rsidR="00612B56" w:rsidRPr="00E86C85">
        <w:t xml:space="preserve"> </w:t>
      </w:r>
      <w:r w:rsidR="00612B56" w:rsidRPr="009106D9">
        <w:t>MENNYISÉGI</w:t>
      </w:r>
      <w:r w:rsidR="00612B56" w:rsidRPr="00E86C85">
        <w:t xml:space="preserve"> </w:t>
      </w:r>
      <w:r w:rsidR="00612B56" w:rsidRPr="009106D9">
        <w:t>ÖSSZETÉTEL</w:t>
      </w:r>
    </w:p>
    <w:p w14:paraId="4B69B871" w14:textId="77777777" w:rsidR="00F5603F" w:rsidRPr="00EF71F8" w:rsidRDefault="00F5603F" w:rsidP="009106D9">
      <w:pPr>
        <w:rPr>
          <w:rFonts w:ascii="Times New Roman" w:eastAsia="Times New Roman" w:hAnsi="Times New Roman" w:cs="Times New Roman"/>
          <w:b/>
          <w:bCs/>
        </w:rPr>
      </w:pPr>
    </w:p>
    <w:p w14:paraId="2826A320" w14:textId="424A8EF9" w:rsidR="00104D2D" w:rsidRPr="00104D2D" w:rsidRDefault="00575956" w:rsidP="00575956">
      <w:pPr>
        <w:pStyle w:val="Szvegtrzs"/>
        <w:ind w:left="0"/>
        <w:rPr>
          <w:rFonts w:eastAsia="TimesNewRomanPSMT" w:cs="Times New Roman"/>
          <w:u w:val="single"/>
          <w:lang w:val="hu-HU"/>
        </w:rPr>
      </w:pPr>
      <w:r w:rsidRPr="00575956">
        <w:rPr>
          <w:rFonts w:eastAsia="TimesNewRomanPSMT" w:cs="Times New Roman"/>
          <w:u w:val="single"/>
          <w:lang w:val="hu-HU"/>
        </w:rPr>
        <w:t>Nintedanib Onkogen</w:t>
      </w:r>
      <w:r w:rsidR="00104D2D" w:rsidRPr="00104D2D">
        <w:rPr>
          <w:rFonts w:eastAsia="TimesNewRomanPSMT" w:cs="Times New Roman"/>
          <w:u w:val="single"/>
          <w:lang w:val="hu-HU"/>
        </w:rPr>
        <w:t xml:space="preserve"> 100</w:t>
      </w:r>
      <w:r w:rsidR="008853CF">
        <w:rPr>
          <w:rFonts w:eastAsia="TimesNewRomanPSMT" w:cs="Times New Roman"/>
          <w:lang w:val="hu-HU"/>
        </w:rPr>
        <w:t> </w:t>
      </w:r>
      <w:r w:rsidR="00104D2D" w:rsidRPr="00104D2D">
        <w:rPr>
          <w:rFonts w:eastAsia="TimesNewRomanPSMT" w:cs="Times New Roman"/>
          <w:u w:val="single"/>
          <w:lang w:val="hu-HU"/>
        </w:rPr>
        <w:t>mg lágy kapszula</w:t>
      </w:r>
    </w:p>
    <w:p w14:paraId="6D4CC589" w14:textId="76B3A360" w:rsidR="00104D2D" w:rsidRPr="00575956" w:rsidRDefault="00104D2D" w:rsidP="00575956">
      <w:pPr>
        <w:pStyle w:val="Szvegtrzs"/>
        <w:ind w:left="0"/>
        <w:rPr>
          <w:rFonts w:eastAsia="TimesNewRomanPSMT" w:cs="Times New Roman"/>
          <w:lang w:val="hu-HU"/>
        </w:rPr>
      </w:pPr>
      <w:r w:rsidRPr="00575956">
        <w:rPr>
          <w:rFonts w:eastAsia="TimesNewRomanPSMT" w:cs="Times New Roman"/>
          <w:lang w:val="hu-HU"/>
        </w:rPr>
        <w:t>100</w:t>
      </w:r>
      <w:r w:rsidR="008853CF">
        <w:rPr>
          <w:rFonts w:eastAsia="TimesNewRomanPSMT" w:cs="Times New Roman"/>
          <w:lang w:val="hu-HU"/>
        </w:rPr>
        <w:t> </w:t>
      </w:r>
      <w:r w:rsidRPr="00575956">
        <w:rPr>
          <w:rFonts w:eastAsia="TimesNewRomanPSMT" w:cs="Times New Roman"/>
          <w:lang w:val="hu-HU"/>
        </w:rPr>
        <w:t>mg nintedanibot tartalmaz lágy kapszulánként (ezilát formájában)</w:t>
      </w:r>
      <w:r w:rsidR="00A15F63">
        <w:rPr>
          <w:rFonts w:eastAsia="TimesNewRomanPSMT" w:cs="Times New Roman"/>
          <w:lang w:val="hu-HU"/>
        </w:rPr>
        <w:t>.</w:t>
      </w:r>
    </w:p>
    <w:p w14:paraId="7457AB7F" w14:textId="77777777" w:rsidR="00507A66" w:rsidRDefault="00507A66" w:rsidP="00575956">
      <w:pPr>
        <w:pStyle w:val="Szvegtrzs"/>
        <w:ind w:left="0"/>
        <w:rPr>
          <w:rFonts w:eastAsia="TimesNewRomanPSMT" w:cs="Times New Roman"/>
          <w:i/>
          <w:iCs/>
          <w:u w:val="single"/>
          <w:lang w:val="hu-HU"/>
        </w:rPr>
      </w:pPr>
    </w:p>
    <w:p w14:paraId="3542FA7A" w14:textId="7202E6A8" w:rsidR="00104D2D" w:rsidRPr="00575956" w:rsidRDefault="00104D2D" w:rsidP="00575956">
      <w:pPr>
        <w:pStyle w:val="Szvegtrzs"/>
        <w:ind w:left="0"/>
        <w:rPr>
          <w:rFonts w:eastAsia="TimesNewRomanPSMT" w:cs="Times New Roman"/>
          <w:i/>
          <w:iCs/>
          <w:u w:val="single"/>
          <w:lang w:val="hu-HU"/>
        </w:rPr>
      </w:pPr>
      <w:r w:rsidRPr="00575956">
        <w:rPr>
          <w:rFonts w:eastAsia="TimesNewRomanPSMT" w:cs="Times New Roman"/>
          <w:i/>
          <w:iCs/>
          <w:u w:val="single"/>
          <w:lang w:val="hu-HU"/>
        </w:rPr>
        <w:t>Ismert hatású segédanyag</w:t>
      </w:r>
    </w:p>
    <w:p w14:paraId="4EE6BDF0" w14:textId="648F8E76" w:rsidR="00104D2D" w:rsidRPr="00993709" w:rsidRDefault="00993709" w:rsidP="00104D2D">
      <w:pPr>
        <w:pStyle w:val="Szvegtrzs"/>
        <w:ind w:left="0"/>
        <w:rPr>
          <w:rFonts w:eastAsia="TimesNewRomanPSMT" w:cs="Times New Roman"/>
          <w:lang w:val="hu-HU"/>
        </w:rPr>
      </w:pPr>
      <w:r w:rsidRPr="00993709">
        <w:rPr>
          <w:rFonts w:eastAsia="TimesNewRomanPSMT" w:cs="Times New Roman"/>
          <w:lang w:val="hu-HU"/>
        </w:rPr>
        <w:t>27</w:t>
      </w:r>
      <w:r w:rsidR="00A15F63">
        <w:rPr>
          <w:rFonts w:eastAsia="TimesNewRomanPSMT" w:cs="Times New Roman"/>
          <w:lang w:val="hu-HU"/>
        </w:rPr>
        <w:t>,</w:t>
      </w:r>
      <w:r w:rsidRPr="00993709">
        <w:rPr>
          <w:rFonts w:eastAsia="TimesNewRomanPSMT" w:cs="Times New Roman"/>
          <w:lang w:val="hu-HU"/>
        </w:rPr>
        <w:t>15</w:t>
      </w:r>
      <w:r w:rsidR="008853CF">
        <w:rPr>
          <w:rFonts w:eastAsia="TimesNewRomanPSMT" w:cs="Times New Roman"/>
          <w:lang w:val="hu-HU"/>
        </w:rPr>
        <w:t> </w:t>
      </w:r>
      <w:r w:rsidRPr="00993709">
        <w:rPr>
          <w:rFonts w:eastAsia="TimesNewRomanPSMT" w:cs="Times New Roman"/>
          <w:lang w:val="hu-HU"/>
        </w:rPr>
        <w:t>mg szorbitot tartalmaz lágy kapszulánként.</w:t>
      </w:r>
    </w:p>
    <w:p w14:paraId="0A7A909B" w14:textId="77777777" w:rsidR="00104D2D" w:rsidRDefault="00104D2D" w:rsidP="00104D2D">
      <w:pPr>
        <w:pStyle w:val="Szvegtrzs"/>
        <w:ind w:left="0"/>
        <w:rPr>
          <w:rFonts w:eastAsia="TimesNewRomanPSMT" w:cs="Times New Roman"/>
          <w:u w:val="single"/>
          <w:lang w:val="hu-HU"/>
        </w:rPr>
      </w:pPr>
    </w:p>
    <w:p w14:paraId="057B4D7A" w14:textId="725936FB" w:rsidR="00993709" w:rsidRPr="00993709" w:rsidRDefault="00993709" w:rsidP="00993709">
      <w:pPr>
        <w:pStyle w:val="Szvegtrzs"/>
        <w:ind w:left="0"/>
        <w:rPr>
          <w:rFonts w:eastAsia="TimesNewRomanPSMT" w:cs="Times New Roman"/>
          <w:u w:val="single"/>
          <w:lang w:val="hu-HU"/>
        </w:rPr>
      </w:pPr>
      <w:r w:rsidRPr="00993709">
        <w:rPr>
          <w:rFonts w:eastAsia="TimesNewRomanPSMT" w:cs="Times New Roman"/>
          <w:u w:val="single"/>
          <w:lang w:val="hu-HU"/>
        </w:rPr>
        <w:t>Nintedanib Onkogen 1</w:t>
      </w:r>
      <w:r>
        <w:rPr>
          <w:rFonts w:eastAsia="TimesNewRomanPSMT" w:cs="Times New Roman"/>
          <w:u w:val="single"/>
          <w:lang w:val="hu-HU"/>
        </w:rPr>
        <w:t>5</w:t>
      </w:r>
      <w:r w:rsidRPr="00993709">
        <w:rPr>
          <w:rFonts w:eastAsia="TimesNewRomanPSMT" w:cs="Times New Roman"/>
          <w:u w:val="single"/>
          <w:lang w:val="hu-HU"/>
        </w:rPr>
        <w:t>0</w:t>
      </w:r>
      <w:r w:rsidR="008853CF">
        <w:rPr>
          <w:rFonts w:eastAsia="TimesNewRomanPSMT" w:cs="Times New Roman"/>
          <w:lang w:val="hu-HU"/>
        </w:rPr>
        <w:t> </w:t>
      </w:r>
      <w:r w:rsidRPr="00993709">
        <w:rPr>
          <w:rFonts w:eastAsia="TimesNewRomanPSMT" w:cs="Times New Roman"/>
          <w:u w:val="single"/>
          <w:lang w:val="hu-HU"/>
        </w:rPr>
        <w:t>mg lágy kapszula</w:t>
      </w:r>
    </w:p>
    <w:p w14:paraId="66580594" w14:textId="6CA24EB6" w:rsidR="00993709" w:rsidRPr="00993709" w:rsidRDefault="00993709" w:rsidP="00993709">
      <w:pPr>
        <w:pStyle w:val="Szvegtrzs"/>
        <w:ind w:left="0"/>
        <w:rPr>
          <w:rFonts w:eastAsia="TimesNewRomanPSMT" w:cs="Times New Roman"/>
          <w:lang w:val="hu-HU"/>
        </w:rPr>
      </w:pPr>
      <w:r w:rsidRPr="00993709">
        <w:rPr>
          <w:rFonts w:eastAsia="TimesNewRomanPSMT" w:cs="Times New Roman"/>
          <w:lang w:val="hu-HU"/>
        </w:rPr>
        <w:t>150</w:t>
      </w:r>
      <w:r w:rsidR="008853CF">
        <w:rPr>
          <w:rFonts w:eastAsia="TimesNewRomanPSMT" w:cs="Times New Roman"/>
          <w:lang w:val="hu-HU"/>
        </w:rPr>
        <w:t> </w:t>
      </w:r>
      <w:r w:rsidRPr="00993709">
        <w:rPr>
          <w:rFonts w:eastAsia="TimesNewRomanPSMT" w:cs="Times New Roman"/>
          <w:lang w:val="hu-HU"/>
        </w:rPr>
        <w:t>mg nintedanibot tartalmaz lágy kapszulánként (ezilát formájában)</w:t>
      </w:r>
      <w:r w:rsidR="00A15F63">
        <w:rPr>
          <w:rFonts w:eastAsia="TimesNewRomanPSMT" w:cs="Times New Roman"/>
          <w:lang w:val="hu-HU"/>
        </w:rPr>
        <w:t>.</w:t>
      </w:r>
    </w:p>
    <w:p w14:paraId="5BF5DDE3" w14:textId="77777777" w:rsidR="00507A66" w:rsidRDefault="00507A66" w:rsidP="00993709">
      <w:pPr>
        <w:pStyle w:val="Szvegtrzs"/>
        <w:ind w:left="0"/>
        <w:rPr>
          <w:rFonts w:eastAsia="TimesNewRomanPSMT" w:cs="Times New Roman"/>
          <w:i/>
          <w:iCs/>
          <w:u w:val="single"/>
          <w:lang w:val="hu-HU"/>
        </w:rPr>
      </w:pPr>
    </w:p>
    <w:p w14:paraId="59DAEAD0" w14:textId="625B19B3" w:rsidR="00993709" w:rsidRPr="00993709" w:rsidRDefault="00993709" w:rsidP="00993709">
      <w:pPr>
        <w:pStyle w:val="Szvegtrzs"/>
        <w:ind w:left="0"/>
        <w:rPr>
          <w:rFonts w:eastAsia="TimesNewRomanPSMT" w:cs="Times New Roman"/>
          <w:i/>
          <w:iCs/>
          <w:u w:val="single"/>
          <w:lang w:val="hu-HU"/>
        </w:rPr>
      </w:pPr>
      <w:r w:rsidRPr="00993709">
        <w:rPr>
          <w:rFonts w:eastAsia="TimesNewRomanPSMT" w:cs="Times New Roman"/>
          <w:i/>
          <w:iCs/>
          <w:u w:val="single"/>
          <w:lang w:val="hu-HU"/>
        </w:rPr>
        <w:t>Ismert hatású segédanyag</w:t>
      </w:r>
    </w:p>
    <w:p w14:paraId="7DDDAFE5" w14:textId="29B27E93" w:rsidR="00993709" w:rsidRPr="00993709" w:rsidRDefault="00993709" w:rsidP="00993709">
      <w:pPr>
        <w:pStyle w:val="Szvegtrzs"/>
        <w:ind w:left="0"/>
        <w:rPr>
          <w:rFonts w:eastAsia="TimesNewRomanPSMT" w:cs="Times New Roman"/>
          <w:lang w:val="hu-HU"/>
        </w:rPr>
      </w:pPr>
      <w:r w:rsidRPr="00993709">
        <w:rPr>
          <w:rFonts w:eastAsia="TimesNewRomanPSMT" w:cs="Times New Roman"/>
          <w:lang w:val="hu-HU"/>
        </w:rPr>
        <w:t>34</w:t>
      </w:r>
      <w:r w:rsidR="00A15F63">
        <w:rPr>
          <w:rFonts w:eastAsia="TimesNewRomanPSMT" w:cs="Times New Roman"/>
          <w:lang w:val="hu-HU"/>
        </w:rPr>
        <w:t>,</w:t>
      </w:r>
      <w:r w:rsidRPr="00993709">
        <w:rPr>
          <w:rFonts w:eastAsia="TimesNewRomanPSMT" w:cs="Times New Roman"/>
          <w:lang w:val="hu-HU"/>
        </w:rPr>
        <w:t>79</w:t>
      </w:r>
      <w:r w:rsidR="008853CF">
        <w:rPr>
          <w:rFonts w:eastAsia="TimesNewRomanPSMT" w:cs="Times New Roman"/>
          <w:lang w:val="hu-HU"/>
        </w:rPr>
        <w:t> </w:t>
      </w:r>
      <w:r w:rsidRPr="00993709">
        <w:rPr>
          <w:rFonts w:eastAsia="TimesNewRomanPSMT" w:cs="Times New Roman"/>
          <w:lang w:val="hu-HU"/>
        </w:rPr>
        <w:t>mg szorbitot tartalmaz lágy kapszulánként.</w:t>
      </w:r>
    </w:p>
    <w:p w14:paraId="09DF760F" w14:textId="77777777" w:rsidR="00A05FFE" w:rsidRPr="002E182A" w:rsidRDefault="00A05FFE" w:rsidP="009106D9">
      <w:pPr>
        <w:pStyle w:val="Szvegtrzs"/>
        <w:ind w:left="0"/>
        <w:rPr>
          <w:rFonts w:cs="Times New Roman"/>
          <w:lang w:val="hu-HU"/>
        </w:rPr>
      </w:pPr>
    </w:p>
    <w:p w14:paraId="5CC0DF29" w14:textId="77777777" w:rsidR="00F5603F" w:rsidRPr="00EF71F8" w:rsidRDefault="00612B56" w:rsidP="009106D9">
      <w:pPr>
        <w:pStyle w:val="Szvegtrzs"/>
        <w:ind w:left="0"/>
        <w:rPr>
          <w:rFonts w:cs="Times New Roman"/>
        </w:rPr>
      </w:pPr>
      <w:r w:rsidRPr="00EF71F8">
        <w:rPr>
          <w:rFonts w:cs="Times New Roman"/>
        </w:rPr>
        <w:t>A</w:t>
      </w:r>
      <w:r w:rsidRPr="00EF71F8">
        <w:rPr>
          <w:rFonts w:cs="Times New Roman"/>
          <w:spacing w:val="-1"/>
        </w:rPr>
        <w:t xml:space="preserve"> segédanyagok</w:t>
      </w:r>
      <w:r w:rsidRPr="00EF71F8">
        <w:rPr>
          <w:rFonts w:cs="Times New Roman"/>
        </w:rPr>
        <w:t xml:space="preserve"> </w:t>
      </w:r>
      <w:r w:rsidRPr="00EF71F8">
        <w:rPr>
          <w:rFonts w:cs="Times New Roman"/>
          <w:spacing w:val="-1"/>
        </w:rPr>
        <w:t>teljes</w:t>
      </w:r>
      <w:r w:rsidRPr="00EF71F8">
        <w:rPr>
          <w:rFonts w:cs="Times New Roman"/>
          <w:spacing w:val="-2"/>
        </w:rPr>
        <w:t xml:space="preserve"> </w:t>
      </w:r>
      <w:r w:rsidRPr="00EF71F8">
        <w:rPr>
          <w:rFonts w:cs="Times New Roman"/>
          <w:spacing w:val="-1"/>
        </w:rPr>
        <w:t>listáját</w:t>
      </w:r>
      <w:r w:rsidRPr="00EF71F8">
        <w:rPr>
          <w:rFonts w:cs="Times New Roman"/>
          <w:spacing w:val="-2"/>
        </w:rPr>
        <w:t xml:space="preserve"> </w:t>
      </w:r>
      <w:r w:rsidRPr="00EF71F8">
        <w:rPr>
          <w:rFonts w:cs="Times New Roman"/>
          <w:spacing w:val="-1"/>
        </w:rPr>
        <w:t>lásd</w:t>
      </w:r>
      <w:r w:rsidRPr="00EF71F8">
        <w:rPr>
          <w:rFonts w:cs="Times New Roman"/>
        </w:rPr>
        <w:t xml:space="preserve"> a </w:t>
      </w:r>
      <w:r w:rsidRPr="00EF71F8">
        <w:rPr>
          <w:rFonts w:cs="Times New Roman"/>
          <w:spacing w:val="-1"/>
        </w:rPr>
        <w:t>6.1</w:t>
      </w:r>
      <w:r w:rsidR="00F43C07" w:rsidRPr="00EF71F8">
        <w:rPr>
          <w:rFonts w:cs="Times New Roman"/>
          <w:spacing w:val="2"/>
        </w:rPr>
        <w:t> </w:t>
      </w:r>
      <w:r w:rsidRPr="00EF71F8">
        <w:rPr>
          <w:rFonts w:cs="Times New Roman"/>
          <w:spacing w:val="-1"/>
        </w:rPr>
        <w:t>pontban.</w:t>
      </w:r>
    </w:p>
    <w:p w14:paraId="6E3E0D32" w14:textId="77777777" w:rsidR="00F5603F" w:rsidRDefault="00F5603F" w:rsidP="009106D9">
      <w:pPr>
        <w:rPr>
          <w:rFonts w:ascii="Times New Roman" w:eastAsia="Times New Roman" w:hAnsi="Times New Roman" w:cs="Times New Roman"/>
        </w:rPr>
      </w:pPr>
    </w:p>
    <w:p w14:paraId="5D8D272E" w14:textId="77777777" w:rsidR="00A05FFE" w:rsidRPr="00EF71F8" w:rsidRDefault="00A05FFE" w:rsidP="009106D9">
      <w:pPr>
        <w:rPr>
          <w:rFonts w:ascii="Times New Roman" w:eastAsia="Times New Roman" w:hAnsi="Times New Roman" w:cs="Times New Roman"/>
        </w:rPr>
      </w:pPr>
    </w:p>
    <w:p w14:paraId="0B24FED5" w14:textId="23641958" w:rsidR="00F5603F" w:rsidRPr="00EF71F8" w:rsidRDefault="009106D9" w:rsidP="009106D9">
      <w:pPr>
        <w:pStyle w:val="Cmsor1"/>
        <w:rPr>
          <w:bCs/>
        </w:rPr>
      </w:pPr>
      <w:r>
        <w:t>3.</w:t>
      </w:r>
      <w:r>
        <w:tab/>
      </w:r>
      <w:r w:rsidR="00612B56" w:rsidRPr="00EF71F8">
        <w:t>GYÓGYSZERFORMA</w:t>
      </w:r>
    </w:p>
    <w:p w14:paraId="2550F32B" w14:textId="77777777" w:rsidR="00F5603F" w:rsidRPr="00EF71F8" w:rsidRDefault="00F5603F" w:rsidP="009106D9">
      <w:pPr>
        <w:rPr>
          <w:rFonts w:ascii="Times New Roman" w:eastAsia="Times New Roman" w:hAnsi="Times New Roman" w:cs="Times New Roman"/>
          <w:b/>
          <w:bCs/>
        </w:rPr>
      </w:pPr>
    </w:p>
    <w:p w14:paraId="2D8D7E88" w14:textId="4167E51A" w:rsidR="00F5603F" w:rsidRDefault="00993709" w:rsidP="009106D9">
      <w:pPr>
        <w:pStyle w:val="Szvegtrzs"/>
        <w:ind w:left="0"/>
        <w:rPr>
          <w:rFonts w:cs="Times New Roman"/>
          <w:spacing w:val="-1"/>
        </w:rPr>
      </w:pPr>
      <w:r w:rsidRPr="00993709">
        <w:rPr>
          <w:rFonts w:cs="Times New Roman"/>
          <w:spacing w:val="-1"/>
        </w:rPr>
        <w:t>Lágy kapszula (kapszula).</w:t>
      </w:r>
    </w:p>
    <w:p w14:paraId="56F44024" w14:textId="77777777" w:rsidR="00993709" w:rsidRDefault="00993709" w:rsidP="009106D9">
      <w:pPr>
        <w:pStyle w:val="Szvegtrzs"/>
        <w:ind w:left="0"/>
        <w:rPr>
          <w:rFonts w:cs="Times New Roman"/>
          <w:spacing w:val="-1"/>
        </w:rPr>
      </w:pPr>
    </w:p>
    <w:p w14:paraId="63A77C07" w14:textId="3FAE9AF4" w:rsidR="00993709" w:rsidRPr="00993709" w:rsidRDefault="00993709" w:rsidP="00993709">
      <w:pPr>
        <w:pStyle w:val="Szvegtrzs"/>
        <w:ind w:left="0"/>
        <w:rPr>
          <w:rFonts w:cs="Times New Roman"/>
          <w:u w:val="single"/>
        </w:rPr>
      </w:pPr>
      <w:r w:rsidRPr="00993709">
        <w:rPr>
          <w:rFonts w:cs="Times New Roman"/>
          <w:u w:val="single"/>
        </w:rPr>
        <w:t>Nintedanib Onkogen 100</w:t>
      </w:r>
      <w:r w:rsidR="004C1EF4">
        <w:rPr>
          <w:rFonts w:cs="Times New Roman"/>
          <w:u w:val="single"/>
        </w:rPr>
        <w:t> </w:t>
      </w:r>
      <w:r w:rsidRPr="00993709">
        <w:rPr>
          <w:rFonts w:cs="Times New Roman"/>
          <w:u w:val="single"/>
        </w:rPr>
        <w:t>mg lágy kapszula</w:t>
      </w:r>
    </w:p>
    <w:p w14:paraId="696F3EBA" w14:textId="38B771B3" w:rsidR="00993709" w:rsidRDefault="005649B3" w:rsidP="00993709">
      <w:pPr>
        <w:pStyle w:val="Szvegtrzs"/>
        <w:ind w:left="0"/>
        <w:rPr>
          <w:rFonts w:cs="Times New Roman"/>
        </w:rPr>
      </w:pPr>
      <w:r>
        <w:rPr>
          <w:rFonts w:cs="Times New Roman"/>
        </w:rPr>
        <w:t>B</w:t>
      </w:r>
      <w:r w:rsidR="00993709" w:rsidRPr="00993709">
        <w:rPr>
          <w:rFonts w:cs="Times New Roman"/>
        </w:rPr>
        <w:t>arack színű, átlátszatlan, hosszúkás</w:t>
      </w:r>
      <w:r w:rsidR="00993709">
        <w:rPr>
          <w:rFonts w:cs="Times New Roman"/>
        </w:rPr>
        <w:t xml:space="preserve">, </w:t>
      </w:r>
      <w:r w:rsidR="00993709" w:rsidRPr="00993709">
        <w:rPr>
          <w:rFonts w:cs="Times New Roman"/>
        </w:rPr>
        <w:t>körülbelül</w:t>
      </w:r>
      <w:r w:rsidR="00507A66">
        <w:rPr>
          <w:rFonts w:cs="Times New Roman"/>
        </w:rPr>
        <w:t xml:space="preserve"> </w:t>
      </w:r>
      <w:r w:rsidR="00993709" w:rsidRPr="00993709">
        <w:rPr>
          <w:rFonts w:cs="Times New Roman"/>
        </w:rPr>
        <w:t>1</w:t>
      </w:r>
      <w:r w:rsidR="00993709">
        <w:rPr>
          <w:rFonts w:cs="Times New Roman"/>
        </w:rPr>
        <w:t>5,3</w:t>
      </w:r>
      <w:r w:rsidR="00993709" w:rsidRPr="00993709">
        <w:rPr>
          <w:rFonts w:cs="Times New Roman"/>
        </w:rPr>
        <w:t xml:space="preserve"> × 6</w:t>
      </w:r>
      <w:r w:rsidR="00993709">
        <w:rPr>
          <w:rFonts w:cs="Times New Roman"/>
        </w:rPr>
        <w:t>,1</w:t>
      </w:r>
      <w:r w:rsidR="00993709" w:rsidRPr="00993709">
        <w:rPr>
          <w:rFonts w:cs="Times New Roman"/>
        </w:rPr>
        <w:t xml:space="preserve"> mm</w:t>
      </w:r>
      <w:r w:rsidR="00993709">
        <w:rPr>
          <w:rFonts w:cs="Times New Roman"/>
        </w:rPr>
        <w:t xml:space="preserve"> méretű</w:t>
      </w:r>
      <w:r w:rsidR="00993709" w:rsidRPr="00993709">
        <w:rPr>
          <w:rFonts w:cs="Times New Roman"/>
        </w:rPr>
        <w:t xml:space="preserve"> lágy zselatin kapszula</w:t>
      </w:r>
      <w:r w:rsidR="00993709">
        <w:rPr>
          <w:rFonts w:cs="Times New Roman"/>
        </w:rPr>
        <w:t>.</w:t>
      </w:r>
    </w:p>
    <w:p w14:paraId="4BAF96D3" w14:textId="77777777" w:rsidR="00993709" w:rsidRPr="00993709" w:rsidRDefault="00993709" w:rsidP="00993709">
      <w:pPr>
        <w:pStyle w:val="Szvegtrzs"/>
        <w:ind w:left="0"/>
        <w:rPr>
          <w:rFonts w:cs="Times New Roman"/>
        </w:rPr>
      </w:pPr>
    </w:p>
    <w:p w14:paraId="6BC65536" w14:textId="287B5C68" w:rsidR="00993709" w:rsidRPr="00993709" w:rsidRDefault="00993709" w:rsidP="00993709">
      <w:pPr>
        <w:pStyle w:val="Szvegtrzs"/>
        <w:ind w:left="0"/>
        <w:rPr>
          <w:rFonts w:cs="Times New Roman"/>
          <w:u w:val="single"/>
        </w:rPr>
      </w:pPr>
      <w:r w:rsidRPr="00993709">
        <w:rPr>
          <w:rFonts w:cs="Times New Roman"/>
          <w:u w:val="single"/>
        </w:rPr>
        <w:t>Nintedanib Onkogen 150</w:t>
      </w:r>
      <w:r w:rsidR="004C1EF4">
        <w:rPr>
          <w:rFonts w:cs="Times New Roman"/>
          <w:u w:val="single"/>
        </w:rPr>
        <w:t> </w:t>
      </w:r>
      <w:r w:rsidRPr="00993709">
        <w:rPr>
          <w:rFonts w:cs="Times New Roman"/>
          <w:u w:val="single"/>
        </w:rPr>
        <w:t>mg lágy kapszula</w:t>
      </w:r>
    </w:p>
    <w:p w14:paraId="6B290CFA" w14:textId="392F9178" w:rsidR="00993709" w:rsidRDefault="005649B3" w:rsidP="00993709">
      <w:pPr>
        <w:pStyle w:val="Szvegtrzs"/>
        <w:ind w:left="0"/>
        <w:rPr>
          <w:rFonts w:cs="Times New Roman"/>
        </w:rPr>
      </w:pPr>
      <w:r>
        <w:rPr>
          <w:rFonts w:cs="Times New Roman"/>
        </w:rPr>
        <w:t>B</w:t>
      </w:r>
      <w:r w:rsidR="00993709" w:rsidRPr="00993709">
        <w:rPr>
          <w:rFonts w:cs="Times New Roman"/>
        </w:rPr>
        <w:t>arna, átlátszatlan, hosszúkás, körülbelül</w:t>
      </w:r>
      <w:r w:rsidR="00507A66">
        <w:rPr>
          <w:rFonts w:cs="Times New Roman"/>
        </w:rPr>
        <w:t xml:space="preserve"> </w:t>
      </w:r>
      <w:r w:rsidR="00993709" w:rsidRPr="00993709">
        <w:rPr>
          <w:rFonts w:cs="Times New Roman"/>
        </w:rPr>
        <w:t>1</w:t>
      </w:r>
      <w:r w:rsidR="00993709">
        <w:rPr>
          <w:rFonts w:cs="Times New Roman"/>
        </w:rPr>
        <w:t>7</w:t>
      </w:r>
      <w:r w:rsidR="00993709" w:rsidRPr="00993709">
        <w:rPr>
          <w:rFonts w:cs="Times New Roman"/>
        </w:rPr>
        <w:t xml:space="preserve"> × </w:t>
      </w:r>
      <w:r w:rsidR="00993709">
        <w:rPr>
          <w:rFonts w:cs="Times New Roman"/>
        </w:rPr>
        <w:t>7</w:t>
      </w:r>
      <w:r w:rsidR="00993709" w:rsidRPr="00993709">
        <w:rPr>
          <w:rFonts w:cs="Times New Roman"/>
        </w:rPr>
        <w:t xml:space="preserve"> mm méretű lágy zselatin kapszula.</w:t>
      </w:r>
    </w:p>
    <w:p w14:paraId="6975ED8A" w14:textId="77777777" w:rsidR="00F5603F" w:rsidRPr="00EF71F8" w:rsidRDefault="00F5603F" w:rsidP="009106D9">
      <w:pPr>
        <w:rPr>
          <w:rFonts w:ascii="Times New Roman" w:eastAsia="Times New Roman" w:hAnsi="Times New Roman" w:cs="Times New Roman"/>
        </w:rPr>
      </w:pPr>
    </w:p>
    <w:p w14:paraId="6C26AA69" w14:textId="77777777" w:rsidR="00F5603F" w:rsidRPr="00EF71F8" w:rsidRDefault="00F5603F" w:rsidP="009106D9">
      <w:pPr>
        <w:rPr>
          <w:rFonts w:ascii="Times New Roman" w:eastAsia="Times New Roman" w:hAnsi="Times New Roman" w:cs="Times New Roman"/>
        </w:rPr>
      </w:pPr>
    </w:p>
    <w:p w14:paraId="226471D6" w14:textId="4A9B8543" w:rsidR="00F5603F" w:rsidRPr="00EF71F8" w:rsidRDefault="009106D9" w:rsidP="009106D9">
      <w:pPr>
        <w:pStyle w:val="Cmsor1"/>
        <w:rPr>
          <w:bCs/>
        </w:rPr>
      </w:pPr>
      <w:r>
        <w:t>4.</w:t>
      </w:r>
      <w:r>
        <w:tab/>
      </w:r>
      <w:r w:rsidR="00612B56" w:rsidRPr="00EF71F8">
        <w:t>KLINIKAI JELLEMZŐK</w:t>
      </w:r>
    </w:p>
    <w:p w14:paraId="026FE39B" w14:textId="77777777" w:rsidR="00F5603F" w:rsidRPr="00EF71F8" w:rsidRDefault="00F5603F" w:rsidP="009106D9">
      <w:pPr>
        <w:rPr>
          <w:rFonts w:ascii="Times New Roman" w:eastAsia="Times New Roman" w:hAnsi="Times New Roman" w:cs="Times New Roman"/>
          <w:b/>
          <w:bCs/>
        </w:rPr>
      </w:pPr>
    </w:p>
    <w:p w14:paraId="197B6204" w14:textId="0C3EA58B" w:rsidR="00F5603F" w:rsidRPr="00EF71F8" w:rsidRDefault="009106D9" w:rsidP="00E86C85">
      <w:pPr>
        <w:tabs>
          <w:tab w:val="left" w:pos="686"/>
        </w:tabs>
        <w:rPr>
          <w:rFonts w:ascii="Times New Roman" w:eastAsia="Times New Roman" w:hAnsi="Times New Roman" w:cs="Times New Roman"/>
        </w:rPr>
      </w:pPr>
      <w:r>
        <w:rPr>
          <w:rFonts w:ascii="Times New Roman" w:hAnsi="Times New Roman" w:cs="Times New Roman"/>
          <w:b/>
          <w:spacing w:val="-1"/>
        </w:rPr>
        <w:t>4.1</w:t>
      </w:r>
      <w:r>
        <w:rPr>
          <w:rFonts w:ascii="Times New Roman" w:hAnsi="Times New Roman" w:cs="Times New Roman"/>
          <w:b/>
          <w:spacing w:val="-1"/>
        </w:rPr>
        <w:tab/>
      </w:r>
      <w:r w:rsidR="00612B56" w:rsidRPr="00EF71F8">
        <w:rPr>
          <w:rFonts w:ascii="Times New Roman" w:hAnsi="Times New Roman" w:cs="Times New Roman"/>
          <w:b/>
          <w:spacing w:val="-1"/>
        </w:rPr>
        <w:t>Terápiás</w:t>
      </w:r>
      <w:r w:rsidR="00612B56" w:rsidRPr="00EF71F8">
        <w:rPr>
          <w:rFonts w:ascii="Times New Roman" w:hAnsi="Times New Roman" w:cs="Times New Roman"/>
          <w:b/>
        </w:rPr>
        <w:t xml:space="preserve"> </w:t>
      </w:r>
      <w:r w:rsidR="00612B56" w:rsidRPr="00EF71F8">
        <w:rPr>
          <w:rFonts w:ascii="Times New Roman" w:hAnsi="Times New Roman" w:cs="Times New Roman"/>
          <w:b/>
          <w:spacing w:val="-1"/>
        </w:rPr>
        <w:t>javallatok</w:t>
      </w:r>
    </w:p>
    <w:p w14:paraId="2D6BE97B" w14:textId="77777777" w:rsidR="00F5603F" w:rsidRPr="00EF71F8" w:rsidRDefault="00F5603F" w:rsidP="009106D9">
      <w:pPr>
        <w:rPr>
          <w:rFonts w:ascii="Times New Roman" w:eastAsia="Times New Roman" w:hAnsi="Times New Roman" w:cs="Times New Roman"/>
          <w:b/>
          <w:bCs/>
        </w:rPr>
      </w:pPr>
    </w:p>
    <w:p w14:paraId="4938E72E" w14:textId="1B8DB956" w:rsidR="00FE7A41" w:rsidRPr="00FE7A41" w:rsidRDefault="00FE7A41" w:rsidP="00FE7A41">
      <w:pPr>
        <w:pStyle w:val="Szvegtrzs"/>
        <w:ind w:left="0"/>
        <w:rPr>
          <w:rFonts w:cs="Times New Roman"/>
          <w:spacing w:val="-1"/>
        </w:rPr>
      </w:pPr>
      <w:r w:rsidRPr="00FE7A41">
        <w:rPr>
          <w:rFonts w:cs="Times New Roman"/>
          <w:spacing w:val="-1"/>
        </w:rPr>
        <w:t xml:space="preserve">A </w:t>
      </w:r>
      <w:r>
        <w:rPr>
          <w:rFonts w:cs="Times New Roman"/>
          <w:spacing w:val="-1"/>
        </w:rPr>
        <w:t>Nintedanib Onkogen</w:t>
      </w:r>
      <w:r w:rsidRPr="00FE7A41">
        <w:rPr>
          <w:rFonts w:cs="Times New Roman"/>
          <w:spacing w:val="-1"/>
        </w:rPr>
        <w:t xml:space="preserve"> az idiopathiás pulmonalis fibrózis (IPF) kezelésére javallott felnőtteknél.</w:t>
      </w:r>
    </w:p>
    <w:p w14:paraId="4D17AC0B" w14:textId="77777777" w:rsidR="00FE7A41" w:rsidRDefault="00FE7A41" w:rsidP="00FE7A41">
      <w:pPr>
        <w:pStyle w:val="Szvegtrzs"/>
        <w:ind w:left="0"/>
        <w:rPr>
          <w:rFonts w:cs="Times New Roman"/>
          <w:spacing w:val="-1"/>
        </w:rPr>
      </w:pPr>
    </w:p>
    <w:p w14:paraId="37EE4114" w14:textId="1F94CC7D" w:rsidR="00FE7A41" w:rsidRDefault="00FE7A41" w:rsidP="00FE7A41">
      <w:pPr>
        <w:pStyle w:val="Szvegtrzs"/>
        <w:ind w:left="0"/>
        <w:rPr>
          <w:rFonts w:cs="Times New Roman"/>
          <w:spacing w:val="-1"/>
        </w:rPr>
      </w:pPr>
      <w:r w:rsidRPr="00FE7A41">
        <w:rPr>
          <w:rFonts w:cs="Times New Roman"/>
          <w:spacing w:val="-1"/>
        </w:rPr>
        <w:t xml:space="preserve">A </w:t>
      </w:r>
      <w:r>
        <w:rPr>
          <w:rFonts w:cs="Times New Roman"/>
          <w:spacing w:val="-1"/>
        </w:rPr>
        <w:t>Nintedanib Onkogen</w:t>
      </w:r>
      <w:r w:rsidRPr="00FE7A41">
        <w:rPr>
          <w:rFonts w:cs="Times New Roman"/>
          <w:spacing w:val="-1"/>
        </w:rPr>
        <w:t xml:space="preserve"> egyéb, progresszív, krónikus, fibrotizáló interstitialis tüdőbetegségek (ILD) kezelésére is</w:t>
      </w:r>
      <w:r w:rsidR="00574A63">
        <w:rPr>
          <w:rFonts w:cs="Times New Roman"/>
          <w:spacing w:val="-1"/>
        </w:rPr>
        <w:t xml:space="preserve"> </w:t>
      </w:r>
      <w:r w:rsidRPr="00FE7A41">
        <w:rPr>
          <w:rFonts w:cs="Times New Roman"/>
          <w:spacing w:val="-1"/>
        </w:rPr>
        <w:t>javallott felnőtteknél (lásd 5.1</w:t>
      </w:r>
      <w:r w:rsidR="008853CF">
        <w:rPr>
          <w:rFonts w:eastAsia="TimesNewRomanPSMT" w:cs="Times New Roman"/>
          <w:lang w:val="hu-HU"/>
        </w:rPr>
        <w:t> </w:t>
      </w:r>
      <w:r w:rsidRPr="00FE7A41">
        <w:rPr>
          <w:rFonts w:cs="Times New Roman"/>
          <w:spacing w:val="-1"/>
        </w:rPr>
        <w:t>pont).</w:t>
      </w:r>
    </w:p>
    <w:p w14:paraId="7125F2D8" w14:textId="77777777" w:rsidR="00574A63" w:rsidRDefault="00574A63" w:rsidP="00FE7A41">
      <w:pPr>
        <w:pStyle w:val="Szvegtrzs"/>
        <w:ind w:left="0"/>
        <w:rPr>
          <w:rFonts w:cs="Times New Roman"/>
          <w:spacing w:val="-1"/>
        </w:rPr>
      </w:pPr>
    </w:p>
    <w:p w14:paraId="10058EE8" w14:textId="5540EF31" w:rsidR="00E331AE" w:rsidRDefault="00E331AE" w:rsidP="00FE7A41">
      <w:pPr>
        <w:pStyle w:val="Szvegtrzs"/>
        <w:ind w:left="0"/>
        <w:rPr>
          <w:rFonts w:cs="Times New Roman"/>
          <w:spacing w:val="-1"/>
        </w:rPr>
      </w:pPr>
      <w:r w:rsidRPr="00E331AE">
        <w:rPr>
          <w:rFonts w:cs="Times New Roman"/>
          <w:spacing w:val="-1"/>
        </w:rPr>
        <w:t xml:space="preserve">A </w:t>
      </w:r>
      <w:r>
        <w:rPr>
          <w:rFonts w:cs="Times New Roman"/>
          <w:spacing w:val="-1"/>
        </w:rPr>
        <w:t>Nintedanib Onkogen</w:t>
      </w:r>
      <w:r w:rsidRPr="00FE7A41">
        <w:rPr>
          <w:rFonts w:cs="Times New Roman"/>
          <w:spacing w:val="-1"/>
        </w:rPr>
        <w:t xml:space="preserve"> </w:t>
      </w:r>
      <w:r w:rsidRPr="00E331AE">
        <w:rPr>
          <w:rFonts w:cs="Times New Roman"/>
          <w:spacing w:val="-1"/>
        </w:rPr>
        <w:t>a klinikailag jelentős mértékű, progresszív, fibrotizáló interstitialis tüdőbetegség (ILD) kezelésére javallott 6. és betöltött 18.</w:t>
      </w:r>
      <w:r w:rsidR="00A30914">
        <w:rPr>
          <w:rFonts w:cs="Times New Roman"/>
          <w:spacing w:val="-1"/>
        </w:rPr>
        <w:t> </w:t>
      </w:r>
      <w:r w:rsidRPr="00E331AE">
        <w:rPr>
          <w:rFonts w:cs="Times New Roman"/>
          <w:spacing w:val="-1"/>
        </w:rPr>
        <w:t>életév közötti gyermekeknél és serdülőknél (lásd 4.2 és 5.1</w:t>
      </w:r>
      <w:r w:rsidR="00A30914">
        <w:rPr>
          <w:rFonts w:cs="Times New Roman"/>
          <w:spacing w:val="-1"/>
        </w:rPr>
        <w:t> </w:t>
      </w:r>
      <w:r w:rsidRPr="00E331AE">
        <w:rPr>
          <w:rFonts w:cs="Times New Roman"/>
          <w:spacing w:val="-1"/>
        </w:rPr>
        <w:t>pont).</w:t>
      </w:r>
    </w:p>
    <w:p w14:paraId="380D46FE" w14:textId="77777777" w:rsidR="00E331AE" w:rsidRPr="00FE7A41" w:rsidRDefault="00E331AE" w:rsidP="00FE7A41">
      <w:pPr>
        <w:pStyle w:val="Szvegtrzs"/>
        <w:ind w:left="0"/>
        <w:rPr>
          <w:rFonts w:cs="Times New Roman"/>
          <w:spacing w:val="-1"/>
        </w:rPr>
      </w:pPr>
    </w:p>
    <w:p w14:paraId="68AC933A" w14:textId="09964B02" w:rsidR="00162494" w:rsidRDefault="00FE7A41" w:rsidP="00E331AE">
      <w:pPr>
        <w:pStyle w:val="Szvegtrzs"/>
        <w:ind w:left="0"/>
        <w:rPr>
          <w:rFonts w:cs="Times New Roman"/>
          <w:spacing w:val="-1"/>
        </w:rPr>
      </w:pPr>
      <w:r w:rsidRPr="00FE7A41">
        <w:rPr>
          <w:rFonts w:cs="Times New Roman"/>
          <w:spacing w:val="-1"/>
        </w:rPr>
        <w:t xml:space="preserve">A </w:t>
      </w:r>
      <w:r>
        <w:rPr>
          <w:rFonts w:cs="Times New Roman"/>
          <w:spacing w:val="-1"/>
        </w:rPr>
        <w:t>Nintedanib Onkogen</w:t>
      </w:r>
      <w:r w:rsidRPr="00FE7A41">
        <w:rPr>
          <w:rFonts w:cs="Times New Roman"/>
          <w:spacing w:val="-1"/>
        </w:rPr>
        <w:t xml:space="preserve"> a szisztémás sclerosissal társuló interstitialis tüdőbetegség (SSc-ILD) kezelésére javallott</w:t>
      </w:r>
      <w:r w:rsidR="00574A63">
        <w:rPr>
          <w:rFonts w:cs="Times New Roman"/>
          <w:spacing w:val="-1"/>
        </w:rPr>
        <w:t xml:space="preserve"> </w:t>
      </w:r>
      <w:r w:rsidRPr="00FE7A41">
        <w:rPr>
          <w:rFonts w:cs="Times New Roman"/>
          <w:spacing w:val="-1"/>
        </w:rPr>
        <w:t>felnőtteknél</w:t>
      </w:r>
      <w:r w:rsidR="00E331AE">
        <w:rPr>
          <w:rFonts w:cs="Times New Roman"/>
          <w:spacing w:val="-1"/>
        </w:rPr>
        <w:t xml:space="preserve">, </w:t>
      </w:r>
      <w:r w:rsidR="00E331AE" w:rsidRPr="00E331AE">
        <w:rPr>
          <w:rFonts w:cs="Times New Roman"/>
          <w:spacing w:val="-1"/>
          <w:lang w:val="hu-HU"/>
        </w:rPr>
        <w:t>valamint 6</w:t>
      </w:r>
      <w:r w:rsidR="00E81DDD">
        <w:rPr>
          <w:rFonts w:cs="Times New Roman"/>
          <w:spacing w:val="-1"/>
          <w:lang w:val="hu-HU"/>
        </w:rPr>
        <w:t> </w:t>
      </w:r>
      <w:r w:rsidR="00E331AE" w:rsidRPr="00E331AE">
        <w:rPr>
          <w:rFonts w:cs="Times New Roman"/>
          <w:spacing w:val="-1"/>
          <w:lang w:val="hu-HU"/>
        </w:rPr>
        <w:t>éves és idősebb gyermekeknél és serdülőknél</w:t>
      </w:r>
      <w:r w:rsidRPr="00FE7A41">
        <w:rPr>
          <w:rFonts w:cs="Times New Roman"/>
          <w:spacing w:val="-1"/>
        </w:rPr>
        <w:t>.</w:t>
      </w:r>
    </w:p>
    <w:p w14:paraId="3E8EF0A3" w14:textId="77777777" w:rsidR="00162494" w:rsidRPr="00162494" w:rsidRDefault="00162494" w:rsidP="00162494">
      <w:pPr>
        <w:pStyle w:val="Szvegtrzs"/>
        <w:ind w:left="0"/>
        <w:rPr>
          <w:rFonts w:cs="Times New Roman"/>
          <w:spacing w:val="-1"/>
        </w:rPr>
      </w:pPr>
    </w:p>
    <w:p w14:paraId="1145076D" w14:textId="5FF22CC6" w:rsidR="00F5603F" w:rsidRPr="00EF71F8" w:rsidRDefault="009106D9" w:rsidP="00162494">
      <w:pPr>
        <w:pStyle w:val="Cmsor1"/>
        <w:widowControl/>
        <w:rPr>
          <w:bCs/>
        </w:rPr>
      </w:pPr>
      <w:r>
        <w:t>4.2</w:t>
      </w:r>
      <w:r>
        <w:tab/>
      </w:r>
      <w:r w:rsidR="00612B56" w:rsidRPr="00EF71F8">
        <w:t>Adagolás</w:t>
      </w:r>
      <w:r w:rsidR="00612B56" w:rsidRPr="00EF71F8">
        <w:rPr>
          <w:spacing w:val="-2"/>
        </w:rPr>
        <w:t xml:space="preserve"> </w:t>
      </w:r>
      <w:r w:rsidR="00612B56" w:rsidRPr="00EF71F8">
        <w:t>és alkalmazás</w:t>
      </w:r>
    </w:p>
    <w:p w14:paraId="203A92A7" w14:textId="77777777" w:rsidR="00F5603F" w:rsidRPr="00EF71F8" w:rsidRDefault="00F5603F" w:rsidP="00162494">
      <w:pPr>
        <w:widowControl/>
        <w:rPr>
          <w:rFonts w:ascii="Times New Roman" w:eastAsia="Times New Roman" w:hAnsi="Times New Roman" w:cs="Times New Roman"/>
          <w:b/>
          <w:bCs/>
        </w:rPr>
      </w:pPr>
    </w:p>
    <w:p w14:paraId="0E94E6A1" w14:textId="77777777" w:rsidR="00E331AE" w:rsidRPr="00E331AE" w:rsidRDefault="00E331AE" w:rsidP="00E331AE">
      <w:pPr>
        <w:widowControl/>
        <w:rPr>
          <w:rFonts w:ascii="Times New Roman" w:eastAsia="Times New Roman" w:hAnsi="Times New Roman" w:cs="Times New Roman"/>
        </w:rPr>
      </w:pPr>
      <w:r w:rsidRPr="00300950">
        <w:rPr>
          <w:rFonts w:ascii="Times New Roman" w:eastAsia="Times New Roman" w:hAnsi="Times New Roman" w:cs="Times New Roman"/>
          <w:i/>
          <w:iCs/>
        </w:rPr>
        <w:t>Felnőttek</w:t>
      </w:r>
      <w:r w:rsidRPr="00E331AE">
        <w:rPr>
          <w:rFonts w:ascii="Times New Roman" w:eastAsia="Times New Roman" w:hAnsi="Times New Roman" w:cs="Times New Roman"/>
        </w:rPr>
        <w:t>: A kezelést olyan orvosnak kell elkezdenie, aki jártas a javallatokban szereplő betegségek terápiájában.</w:t>
      </w:r>
    </w:p>
    <w:p w14:paraId="1CD4A608" w14:textId="05F36652" w:rsidR="00E331AE" w:rsidRDefault="00E331AE" w:rsidP="00E331AE">
      <w:pPr>
        <w:pStyle w:val="Szvegtrzs"/>
        <w:widowControl/>
        <w:ind w:left="0"/>
        <w:rPr>
          <w:rFonts w:cs="Times New Roman"/>
        </w:rPr>
      </w:pPr>
      <w:r w:rsidRPr="00300950">
        <w:rPr>
          <w:rFonts w:cs="Times New Roman"/>
          <w:i/>
          <w:iCs/>
        </w:rPr>
        <w:lastRenderedPageBreak/>
        <w:t>Gyermekek és serdülők</w:t>
      </w:r>
      <w:r w:rsidRPr="00E331AE">
        <w:rPr>
          <w:rFonts w:cs="Times New Roman"/>
        </w:rPr>
        <w:t>: A kezelést kizárólag egy olyan multidiszciplináris csapat (orvosok, radiológusok, patológusok) bevonását követően szabad elkezdeni, akik jártasak a fibrotizáló interstitialis tüdőbetegség</w:t>
      </w:r>
      <w:r w:rsidR="00835822">
        <w:rPr>
          <w:rFonts w:cs="Times New Roman"/>
        </w:rPr>
        <w:t>ek</w:t>
      </w:r>
      <w:r w:rsidRPr="00E331AE">
        <w:rPr>
          <w:rFonts w:cs="Times New Roman"/>
        </w:rPr>
        <w:t xml:space="preserve"> (ILD</w:t>
      </w:r>
      <w:r w:rsidR="00835822">
        <w:rPr>
          <w:rFonts w:cs="Times New Roman"/>
        </w:rPr>
        <w:t>s</w:t>
      </w:r>
      <w:r w:rsidRPr="00E331AE">
        <w:rPr>
          <w:rFonts w:cs="Times New Roman"/>
        </w:rPr>
        <w:t>) diagnózisának felállításában és kezelésében.</w:t>
      </w:r>
    </w:p>
    <w:p w14:paraId="18CF9EB8" w14:textId="77777777" w:rsidR="00162494" w:rsidRDefault="00162494" w:rsidP="00162494">
      <w:pPr>
        <w:pStyle w:val="Szvegtrzs"/>
        <w:widowControl/>
        <w:ind w:left="0"/>
        <w:rPr>
          <w:rFonts w:cs="Times New Roman"/>
        </w:rPr>
      </w:pPr>
    </w:p>
    <w:p w14:paraId="011B783A" w14:textId="77777777" w:rsidR="00162494" w:rsidRDefault="00612B56" w:rsidP="00162494">
      <w:pPr>
        <w:pStyle w:val="Szvegtrzs"/>
        <w:widowControl/>
        <w:ind w:left="0"/>
        <w:rPr>
          <w:rFonts w:cs="Times New Roman"/>
        </w:rPr>
      </w:pPr>
      <w:r w:rsidRPr="00EF71F8">
        <w:rPr>
          <w:rFonts w:cs="Times New Roman"/>
          <w:spacing w:val="-1"/>
          <w:u w:val="single" w:color="000000"/>
        </w:rPr>
        <w:t>Adagolás</w:t>
      </w:r>
    </w:p>
    <w:p w14:paraId="4DD9CDAB" w14:textId="77777777" w:rsidR="00162494" w:rsidRDefault="00162494" w:rsidP="00162494">
      <w:pPr>
        <w:pStyle w:val="Szvegtrzs"/>
        <w:widowControl/>
        <w:ind w:left="0"/>
        <w:rPr>
          <w:rFonts w:cs="Times New Roman"/>
        </w:rPr>
      </w:pPr>
    </w:p>
    <w:p w14:paraId="6830627C" w14:textId="77777777" w:rsidR="00E331AE" w:rsidRPr="00E331AE" w:rsidRDefault="00E331AE" w:rsidP="00300950">
      <w:pPr>
        <w:pStyle w:val="Szvegtrzs"/>
        <w:ind w:left="0"/>
        <w:rPr>
          <w:rFonts w:cs="Times New Roman"/>
          <w:lang w:val="hu-HU"/>
        </w:rPr>
      </w:pPr>
      <w:r w:rsidRPr="00E331AE">
        <w:rPr>
          <w:rFonts w:cs="Times New Roman"/>
          <w:i/>
          <w:iCs/>
          <w:lang w:val="hu-HU"/>
        </w:rPr>
        <w:t xml:space="preserve">Felnőttek </w:t>
      </w:r>
    </w:p>
    <w:p w14:paraId="233F14E0" w14:textId="6B0F2A16" w:rsidR="00E331AE" w:rsidRPr="00300950" w:rsidRDefault="00E331AE" w:rsidP="00300950">
      <w:pPr>
        <w:pStyle w:val="Szvegtrzs"/>
        <w:numPr>
          <w:ilvl w:val="0"/>
          <w:numId w:val="33"/>
        </w:numPr>
        <w:ind w:left="284" w:hanging="284"/>
        <w:rPr>
          <w:rFonts w:cs="Times New Roman"/>
          <w:i/>
          <w:iCs/>
          <w:spacing w:val="-1"/>
          <w:lang w:val="hu-HU"/>
        </w:rPr>
      </w:pPr>
      <w:r w:rsidRPr="00300950">
        <w:rPr>
          <w:rFonts w:cs="Times New Roman"/>
          <w:i/>
          <w:iCs/>
          <w:spacing w:val="-1"/>
          <w:lang w:val="hu-HU"/>
        </w:rPr>
        <w:t xml:space="preserve">Idiopathiás pulmonalis fibrózis (IPF) </w:t>
      </w:r>
    </w:p>
    <w:p w14:paraId="4610A972" w14:textId="650F40CA" w:rsidR="00E331AE" w:rsidRPr="00300950" w:rsidRDefault="00E331AE" w:rsidP="00300950">
      <w:pPr>
        <w:pStyle w:val="Szvegtrzs"/>
        <w:numPr>
          <w:ilvl w:val="0"/>
          <w:numId w:val="33"/>
        </w:numPr>
        <w:ind w:left="284" w:hanging="284"/>
        <w:rPr>
          <w:rFonts w:cs="Times New Roman"/>
          <w:i/>
          <w:iCs/>
          <w:spacing w:val="-1"/>
          <w:lang w:val="hu-HU"/>
        </w:rPr>
      </w:pPr>
      <w:r w:rsidRPr="00300950">
        <w:rPr>
          <w:rFonts w:cs="Times New Roman"/>
          <w:i/>
          <w:iCs/>
          <w:spacing w:val="-1"/>
          <w:lang w:val="hu-HU"/>
        </w:rPr>
        <w:t>Egyéb, progresszív fenotípusú krónikus fibrotizáló interstitialis tüdőbetegségek (ILD</w:t>
      </w:r>
      <w:r w:rsidR="00835822">
        <w:rPr>
          <w:rFonts w:cs="Times New Roman"/>
          <w:i/>
          <w:iCs/>
          <w:spacing w:val="-1"/>
          <w:lang w:val="hu-HU"/>
        </w:rPr>
        <w:t>s</w:t>
      </w:r>
      <w:r w:rsidRPr="00300950">
        <w:rPr>
          <w:rFonts w:cs="Times New Roman"/>
          <w:i/>
          <w:iCs/>
          <w:spacing w:val="-1"/>
          <w:lang w:val="hu-HU"/>
        </w:rPr>
        <w:t xml:space="preserve">) </w:t>
      </w:r>
    </w:p>
    <w:p w14:paraId="08414C9D" w14:textId="21276F02" w:rsidR="00E331AE" w:rsidRPr="00300950" w:rsidRDefault="00E331AE" w:rsidP="00300950">
      <w:pPr>
        <w:pStyle w:val="Szvegtrzs"/>
        <w:numPr>
          <w:ilvl w:val="0"/>
          <w:numId w:val="33"/>
        </w:numPr>
        <w:ind w:left="284" w:hanging="284"/>
        <w:rPr>
          <w:rFonts w:cs="Times New Roman"/>
          <w:i/>
          <w:iCs/>
          <w:spacing w:val="-1"/>
          <w:lang w:val="hu-HU"/>
        </w:rPr>
      </w:pPr>
      <w:r w:rsidRPr="00300950">
        <w:rPr>
          <w:rFonts w:cs="Times New Roman"/>
          <w:i/>
          <w:iCs/>
          <w:spacing w:val="-1"/>
          <w:lang w:val="hu-HU"/>
        </w:rPr>
        <w:t xml:space="preserve">Szisztémás sclerosissal társuló fibrotizáló interstitialis tüdőbetegség (SSc-ILD) </w:t>
      </w:r>
    </w:p>
    <w:p w14:paraId="4D28B2DD" w14:textId="77777777" w:rsidR="00E331AE" w:rsidRDefault="00E331AE" w:rsidP="00162494">
      <w:pPr>
        <w:pStyle w:val="Szvegtrzs"/>
        <w:widowControl/>
        <w:ind w:left="0"/>
        <w:rPr>
          <w:rFonts w:cs="Times New Roman"/>
        </w:rPr>
      </w:pPr>
    </w:p>
    <w:p w14:paraId="41F4DEEE" w14:textId="3DAEA41F" w:rsidR="00162494" w:rsidRDefault="00574A63" w:rsidP="00162494">
      <w:pPr>
        <w:pStyle w:val="Szvegtrzs"/>
        <w:widowControl/>
        <w:ind w:left="0"/>
        <w:rPr>
          <w:rFonts w:cs="Times New Roman"/>
        </w:rPr>
      </w:pPr>
      <w:r w:rsidRPr="00574A63">
        <w:rPr>
          <w:rFonts w:cs="Times New Roman"/>
        </w:rPr>
        <w:t>Az ajánlott adag naponta kétszer 150</w:t>
      </w:r>
      <w:r w:rsidR="008853CF">
        <w:rPr>
          <w:rFonts w:eastAsia="TimesNewRomanPSMT" w:cs="Times New Roman"/>
          <w:lang w:val="hu-HU"/>
        </w:rPr>
        <w:t> </w:t>
      </w:r>
      <w:r w:rsidRPr="00574A63">
        <w:rPr>
          <w:rFonts w:cs="Times New Roman"/>
        </w:rPr>
        <w:t>mg nintedanib, amelyet körülbelül 12</w:t>
      </w:r>
      <w:r w:rsidR="008853CF">
        <w:rPr>
          <w:rFonts w:eastAsia="TimesNewRomanPSMT" w:cs="Times New Roman"/>
          <w:lang w:val="hu-HU"/>
        </w:rPr>
        <w:t> </w:t>
      </w:r>
      <w:r w:rsidRPr="00574A63">
        <w:rPr>
          <w:rFonts w:cs="Times New Roman"/>
        </w:rPr>
        <w:t>órás különbséggel kell</w:t>
      </w:r>
      <w:r w:rsidR="00162494">
        <w:rPr>
          <w:rFonts w:cs="Times New Roman"/>
        </w:rPr>
        <w:t xml:space="preserve"> </w:t>
      </w:r>
      <w:r w:rsidRPr="00574A63">
        <w:rPr>
          <w:rFonts w:cs="Times New Roman"/>
        </w:rPr>
        <w:t>bevenni.</w:t>
      </w:r>
      <w:r w:rsidR="00162494">
        <w:rPr>
          <w:rFonts w:cs="Times New Roman"/>
        </w:rPr>
        <w:t xml:space="preserve"> </w:t>
      </w:r>
      <w:r w:rsidRPr="00574A63">
        <w:rPr>
          <w:rFonts w:cs="Times New Roman"/>
        </w:rPr>
        <w:t>Napi kétszer 100</w:t>
      </w:r>
      <w:r w:rsidR="008853CF">
        <w:rPr>
          <w:rFonts w:eastAsia="TimesNewRomanPSMT" w:cs="Times New Roman"/>
          <w:lang w:val="hu-HU"/>
        </w:rPr>
        <w:t> </w:t>
      </w:r>
      <w:r w:rsidRPr="00574A63">
        <w:rPr>
          <w:rFonts w:cs="Times New Roman"/>
        </w:rPr>
        <w:t>mg-os dózis alkalmazása csak azoknál a betegeknél ajánlott, akik a napi kétszer150</w:t>
      </w:r>
      <w:r w:rsidR="008853CF">
        <w:rPr>
          <w:rFonts w:eastAsia="TimesNewRomanPSMT" w:cs="Times New Roman"/>
          <w:lang w:val="hu-HU"/>
        </w:rPr>
        <w:t> </w:t>
      </w:r>
      <w:r w:rsidRPr="00574A63">
        <w:rPr>
          <w:rFonts w:cs="Times New Roman"/>
        </w:rPr>
        <w:t>mg-os dózist nem tolerálják.</w:t>
      </w:r>
      <w:r w:rsidR="00162494">
        <w:rPr>
          <w:rFonts w:cs="Times New Roman"/>
        </w:rPr>
        <w:t xml:space="preserve"> </w:t>
      </w:r>
    </w:p>
    <w:p w14:paraId="6364530A" w14:textId="77777777" w:rsidR="00162494" w:rsidRDefault="00162494" w:rsidP="00162494">
      <w:pPr>
        <w:pStyle w:val="Szvegtrzs"/>
        <w:widowControl/>
        <w:ind w:left="0"/>
        <w:rPr>
          <w:rFonts w:cs="Times New Roman"/>
        </w:rPr>
      </w:pPr>
    </w:p>
    <w:p w14:paraId="5F58968B" w14:textId="6FDAFFD7" w:rsidR="00574A63" w:rsidRDefault="00574A63" w:rsidP="005649B3">
      <w:pPr>
        <w:pStyle w:val="Szvegtrzs"/>
        <w:widowControl/>
        <w:ind w:left="0"/>
        <w:rPr>
          <w:rFonts w:cs="Times New Roman"/>
        </w:rPr>
      </w:pPr>
      <w:r w:rsidRPr="00574A63">
        <w:rPr>
          <w:rFonts w:cs="Times New Roman"/>
        </w:rPr>
        <w:t>Egy adag kihagyása esetén az alkalmazást a következő esedékes időpontban, az ajánlott adaggal kell</w:t>
      </w:r>
      <w:r w:rsidR="005649B3">
        <w:rPr>
          <w:rFonts w:cs="Times New Roman"/>
        </w:rPr>
        <w:t xml:space="preserve"> </w:t>
      </w:r>
      <w:r w:rsidRPr="00574A63">
        <w:rPr>
          <w:rFonts w:cs="Times New Roman"/>
        </w:rPr>
        <w:t xml:space="preserve">folytatni. Ha kimaradt egy adag, a betegnek nem szabad </w:t>
      </w:r>
      <w:r w:rsidR="00CF690E">
        <w:rPr>
          <w:rFonts w:cs="Times New Roman"/>
        </w:rPr>
        <w:t>további</w:t>
      </w:r>
      <w:r w:rsidR="00CF690E" w:rsidRPr="00574A63">
        <w:rPr>
          <w:rFonts w:cs="Times New Roman"/>
        </w:rPr>
        <w:t xml:space="preserve"> </w:t>
      </w:r>
      <w:r w:rsidRPr="00574A63">
        <w:rPr>
          <w:rFonts w:cs="Times New Roman"/>
        </w:rPr>
        <w:t>adagot bevennie. A 300</w:t>
      </w:r>
      <w:r w:rsidR="00252E89" w:rsidRPr="00EF71F8">
        <w:rPr>
          <w:rFonts w:cs="Times New Roman"/>
          <w:spacing w:val="2"/>
        </w:rPr>
        <w:t> </w:t>
      </w:r>
      <w:r w:rsidRPr="00574A63">
        <w:rPr>
          <w:rFonts w:cs="Times New Roman"/>
        </w:rPr>
        <w:t>mg-os ajánlott</w:t>
      </w:r>
      <w:r w:rsidR="005649B3">
        <w:rPr>
          <w:rFonts w:cs="Times New Roman"/>
        </w:rPr>
        <w:t xml:space="preserve"> </w:t>
      </w:r>
      <w:r w:rsidRPr="00574A63">
        <w:rPr>
          <w:rFonts w:cs="Times New Roman"/>
        </w:rPr>
        <w:t>maximális napi adagot nem szabad túllépni.</w:t>
      </w:r>
    </w:p>
    <w:p w14:paraId="7DCD00D4" w14:textId="77777777" w:rsidR="00F5603F" w:rsidRPr="00EF71F8" w:rsidRDefault="00F5603F" w:rsidP="00851B86">
      <w:pPr>
        <w:keepNext/>
        <w:widowControl/>
        <w:rPr>
          <w:rFonts w:ascii="Times New Roman" w:eastAsia="Times New Roman" w:hAnsi="Times New Roman" w:cs="Times New Roman"/>
        </w:rPr>
      </w:pPr>
    </w:p>
    <w:p w14:paraId="3CA5BBB4" w14:textId="02E490C6" w:rsidR="00F5603F" w:rsidRPr="00EF71F8" w:rsidRDefault="00612B56" w:rsidP="009106D9">
      <w:pPr>
        <w:rPr>
          <w:rFonts w:ascii="Times New Roman" w:eastAsia="Times New Roman" w:hAnsi="Times New Roman" w:cs="Times New Roman"/>
        </w:rPr>
      </w:pPr>
      <w:r w:rsidRPr="00EF71F8">
        <w:rPr>
          <w:rFonts w:ascii="Times New Roman" w:hAnsi="Times New Roman" w:cs="Times New Roman"/>
          <w:i/>
          <w:spacing w:val="-1"/>
          <w:u w:val="single" w:color="000000"/>
        </w:rPr>
        <w:t>Dózismódosítás</w:t>
      </w:r>
      <w:r w:rsidR="00CF690E">
        <w:rPr>
          <w:rFonts w:ascii="Times New Roman" w:hAnsi="Times New Roman" w:cs="Times New Roman"/>
          <w:i/>
          <w:spacing w:val="-1"/>
          <w:u w:val="single" w:color="000000"/>
        </w:rPr>
        <w:t>ok</w:t>
      </w:r>
    </w:p>
    <w:p w14:paraId="428470F8" w14:textId="0EE3AF66" w:rsidR="00574A63" w:rsidRDefault="00574A63" w:rsidP="00574A63">
      <w:pPr>
        <w:pStyle w:val="Szvegtrzs"/>
        <w:ind w:left="0"/>
        <w:rPr>
          <w:rFonts w:cs="Times New Roman"/>
          <w:spacing w:val="-1"/>
        </w:rPr>
      </w:pPr>
      <w:r w:rsidRPr="00574A63">
        <w:rPr>
          <w:rFonts w:cs="Times New Roman"/>
          <w:spacing w:val="-1"/>
        </w:rPr>
        <w:t>A</w:t>
      </w:r>
      <w:r>
        <w:rPr>
          <w:rFonts w:cs="Times New Roman"/>
          <w:spacing w:val="-1"/>
        </w:rPr>
        <w:t xml:space="preserve"> nintedanib</w:t>
      </w:r>
      <w:r w:rsidRPr="00574A63">
        <w:rPr>
          <w:rFonts w:cs="Times New Roman"/>
          <w:spacing w:val="-1"/>
        </w:rPr>
        <w:t xml:space="preserve"> mellékhatásainak kezelése (lásd 4.4 és 4.8</w:t>
      </w:r>
      <w:r w:rsidR="002624A5">
        <w:rPr>
          <w:rFonts w:eastAsia="TimesNewRomanPSMT" w:cs="Times New Roman"/>
          <w:lang w:val="hu-HU"/>
        </w:rPr>
        <w:t> </w:t>
      </w:r>
      <w:r w:rsidRPr="00574A63">
        <w:rPr>
          <w:rFonts w:cs="Times New Roman"/>
          <w:spacing w:val="-1"/>
        </w:rPr>
        <w:t xml:space="preserve">pont) a tüneti kezelésen kívül </w:t>
      </w:r>
      <w:r w:rsidR="00E435DE">
        <w:rPr>
          <w:rFonts w:cs="Times New Roman"/>
          <w:spacing w:val="-1"/>
        </w:rPr>
        <w:t>–</w:t>
      </w:r>
      <w:r w:rsidRPr="00574A63">
        <w:rPr>
          <w:rFonts w:cs="Times New Roman"/>
          <w:spacing w:val="-1"/>
        </w:rPr>
        <w:t xml:space="preserve"> amennyiben</w:t>
      </w:r>
      <w:r w:rsidR="00E435DE">
        <w:rPr>
          <w:rFonts w:cs="Times New Roman"/>
          <w:spacing w:val="-1"/>
        </w:rPr>
        <w:t xml:space="preserve"> </w:t>
      </w:r>
      <w:r w:rsidRPr="00574A63">
        <w:rPr>
          <w:rFonts w:cs="Times New Roman"/>
          <w:spacing w:val="-1"/>
        </w:rPr>
        <w:t xml:space="preserve">alkalmazható </w:t>
      </w:r>
      <w:r w:rsidR="00CF690E">
        <w:rPr>
          <w:rFonts w:cs="Times New Roman"/>
          <w:spacing w:val="-1"/>
        </w:rPr>
        <w:t>–</w:t>
      </w:r>
      <w:r w:rsidR="00CF690E" w:rsidRPr="00574A63">
        <w:rPr>
          <w:rFonts w:cs="Times New Roman"/>
          <w:spacing w:val="-1"/>
        </w:rPr>
        <w:t xml:space="preserve"> </w:t>
      </w:r>
      <w:r w:rsidRPr="00574A63">
        <w:rPr>
          <w:rFonts w:cs="Times New Roman"/>
          <w:spacing w:val="-1"/>
        </w:rPr>
        <w:t>kiterjedhet az adag csökkentésére és átmeneti felfüggesztésére, amíg az adott</w:t>
      </w:r>
      <w:r w:rsidR="00E435DE">
        <w:rPr>
          <w:rFonts w:cs="Times New Roman"/>
          <w:spacing w:val="-1"/>
        </w:rPr>
        <w:t xml:space="preserve"> </w:t>
      </w:r>
      <w:r w:rsidRPr="00574A63">
        <w:rPr>
          <w:rFonts w:cs="Times New Roman"/>
          <w:spacing w:val="-1"/>
        </w:rPr>
        <w:t>mellékhatás olyan fokúra nem mérséklődik, amely lehetővé teszi a terápia folytatását. A</w:t>
      </w:r>
      <w:r>
        <w:rPr>
          <w:rFonts w:cs="Times New Roman"/>
          <w:spacing w:val="-1"/>
        </w:rPr>
        <w:t xml:space="preserve"> nintedanib</w:t>
      </w:r>
      <w:r w:rsidRPr="00574A63">
        <w:rPr>
          <w:rFonts w:cs="Times New Roman"/>
          <w:spacing w:val="-1"/>
        </w:rPr>
        <w:t>-kezelés</w:t>
      </w:r>
      <w:r>
        <w:rPr>
          <w:rFonts w:cs="Times New Roman"/>
          <w:spacing w:val="-1"/>
        </w:rPr>
        <w:t xml:space="preserve"> </w:t>
      </w:r>
      <w:r w:rsidRPr="00574A63">
        <w:rPr>
          <w:rFonts w:cs="Times New Roman"/>
          <w:spacing w:val="-1"/>
        </w:rPr>
        <w:t>teljes adaggal (naponta kétszer 150</w:t>
      </w:r>
      <w:r w:rsidR="00252E89" w:rsidRPr="00EF71F8">
        <w:rPr>
          <w:rFonts w:cs="Times New Roman"/>
          <w:spacing w:val="2"/>
        </w:rPr>
        <w:t> </w:t>
      </w:r>
      <w:r w:rsidRPr="00574A63">
        <w:rPr>
          <w:rFonts w:cs="Times New Roman"/>
          <w:spacing w:val="-1"/>
        </w:rPr>
        <w:t>mg</w:t>
      </w:r>
      <w:r w:rsidR="00835822">
        <w:rPr>
          <w:rFonts w:cs="Times New Roman"/>
          <w:spacing w:val="-1"/>
        </w:rPr>
        <w:t>,</w:t>
      </w:r>
      <w:r w:rsidRPr="00574A63">
        <w:rPr>
          <w:rFonts w:cs="Times New Roman"/>
          <w:spacing w:val="-1"/>
        </w:rPr>
        <w:t xml:space="preserve"> felnőtt betegeknél) vagy csökkentett adaggal (naponta kétszer</w:t>
      </w:r>
      <w:r>
        <w:rPr>
          <w:rFonts w:cs="Times New Roman"/>
          <w:spacing w:val="-1"/>
        </w:rPr>
        <w:t xml:space="preserve"> </w:t>
      </w:r>
      <w:r w:rsidRPr="00574A63">
        <w:rPr>
          <w:rFonts w:cs="Times New Roman"/>
          <w:spacing w:val="-1"/>
        </w:rPr>
        <w:t>100</w:t>
      </w:r>
      <w:r w:rsidR="00252E89" w:rsidRPr="00EF71F8">
        <w:rPr>
          <w:rFonts w:cs="Times New Roman"/>
          <w:spacing w:val="2"/>
        </w:rPr>
        <w:t> </w:t>
      </w:r>
      <w:r w:rsidRPr="00574A63">
        <w:rPr>
          <w:rFonts w:cs="Times New Roman"/>
          <w:spacing w:val="-1"/>
        </w:rPr>
        <w:t>mg</w:t>
      </w:r>
      <w:r w:rsidR="00835822">
        <w:rPr>
          <w:rFonts w:cs="Times New Roman"/>
          <w:spacing w:val="-1"/>
        </w:rPr>
        <w:t>,</w:t>
      </w:r>
      <w:r w:rsidRPr="00574A63">
        <w:rPr>
          <w:rFonts w:cs="Times New Roman"/>
          <w:spacing w:val="-1"/>
        </w:rPr>
        <w:t xml:space="preserve"> felnőtt betegeknél) kezdhető újra. Ha a felnőtt beteg nem tolerálja a napi kétszeri 100</w:t>
      </w:r>
      <w:r w:rsidR="00252E89" w:rsidRPr="00EF71F8">
        <w:rPr>
          <w:rFonts w:cs="Times New Roman"/>
          <w:spacing w:val="2"/>
        </w:rPr>
        <w:t> </w:t>
      </w:r>
      <w:r w:rsidRPr="00574A63">
        <w:rPr>
          <w:rFonts w:cs="Times New Roman"/>
          <w:spacing w:val="-1"/>
        </w:rPr>
        <w:t>mg-ot,</w:t>
      </w:r>
      <w:r>
        <w:rPr>
          <w:rFonts w:cs="Times New Roman"/>
          <w:spacing w:val="-1"/>
        </w:rPr>
        <w:t xml:space="preserve"> </w:t>
      </w:r>
      <w:r w:rsidRPr="00574A63">
        <w:rPr>
          <w:rFonts w:cs="Times New Roman"/>
          <w:spacing w:val="-1"/>
        </w:rPr>
        <w:t>akkor a</w:t>
      </w:r>
      <w:r>
        <w:rPr>
          <w:rFonts w:cs="Times New Roman"/>
          <w:spacing w:val="-1"/>
        </w:rPr>
        <w:t xml:space="preserve"> nintedanib</w:t>
      </w:r>
      <w:r w:rsidRPr="00574A63">
        <w:rPr>
          <w:rFonts w:cs="Times New Roman"/>
          <w:spacing w:val="-1"/>
        </w:rPr>
        <w:t>-kezelést le kell állítani.</w:t>
      </w:r>
    </w:p>
    <w:p w14:paraId="0A9ADD4D" w14:textId="77777777" w:rsidR="00574A63" w:rsidRPr="00574A63" w:rsidRDefault="00574A63" w:rsidP="00574A63">
      <w:pPr>
        <w:pStyle w:val="Szvegtrzs"/>
        <w:ind w:left="0"/>
        <w:rPr>
          <w:rFonts w:cs="Times New Roman"/>
          <w:spacing w:val="-1"/>
        </w:rPr>
      </w:pPr>
    </w:p>
    <w:p w14:paraId="0F2E1B20" w14:textId="492EBF4C" w:rsidR="00574A63" w:rsidRPr="00574A63" w:rsidRDefault="00574A63" w:rsidP="00574A63">
      <w:pPr>
        <w:pStyle w:val="Szvegtrzs"/>
        <w:ind w:left="0"/>
        <w:rPr>
          <w:rFonts w:cs="Times New Roman"/>
          <w:spacing w:val="-1"/>
        </w:rPr>
      </w:pPr>
      <w:r w:rsidRPr="00574A63">
        <w:rPr>
          <w:rFonts w:cs="Times New Roman"/>
          <w:spacing w:val="-1"/>
        </w:rPr>
        <w:t>Ha a megfelelő szupportív ellátás ellenére (beleértve a hányáscsillapító kezelést</w:t>
      </w:r>
      <w:r w:rsidR="00CF690E">
        <w:rPr>
          <w:rFonts w:cs="Times New Roman"/>
          <w:spacing w:val="-1"/>
        </w:rPr>
        <w:t xml:space="preserve"> is</w:t>
      </w:r>
      <w:r w:rsidRPr="00574A63">
        <w:rPr>
          <w:rFonts w:cs="Times New Roman"/>
          <w:spacing w:val="-1"/>
        </w:rPr>
        <w:t>) a hasmenés,</w:t>
      </w:r>
      <w:r w:rsidR="00252E89">
        <w:rPr>
          <w:rFonts w:cs="Times New Roman"/>
          <w:spacing w:val="-1"/>
        </w:rPr>
        <w:t xml:space="preserve"> </w:t>
      </w:r>
      <w:r w:rsidRPr="00574A63">
        <w:rPr>
          <w:rFonts w:cs="Times New Roman"/>
          <w:spacing w:val="-1"/>
        </w:rPr>
        <w:t>hányinger és/vagy hányás tartósan fennáll, szükség lehet az adag csökkentésére vagy a kezelés</w:t>
      </w:r>
      <w:r w:rsidR="00252E89">
        <w:rPr>
          <w:rFonts w:cs="Times New Roman"/>
          <w:spacing w:val="-1"/>
        </w:rPr>
        <w:t xml:space="preserve"> </w:t>
      </w:r>
      <w:r w:rsidRPr="00574A63">
        <w:rPr>
          <w:rFonts w:cs="Times New Roman"/>
          <w:spacing w:val="-1"/>
        </w:rPr>
        <w:t>felfüggesztésére. A</w:t>
      </w:r>
      <w:r>
        <w:rPr>
          <w:rFonts w:cs="Times New Roman"/>
          <w:spacing w:val="-1"/>
        </w:rPr>
        <w:t xml:space="preserve"> </w:t>
      </w:r>
      <w:r w:rsidRPr="00574A63">
        <w:rPr>
          <w:rFonts w:cs="Times New Roman"/>
          <w:spacing w:val="-1"/>
        </w:rPr>
        <w:t>kezelés csökkentett adaggal (naponta kétszer 100</w:t>
      </w:r>
      <w:r w:rsidR="002624A5">
        <w:rPr>
          <w:rFonts w:eastAsia="TimesNewRomanPSMT" w:cs="Times New Roman"/>
          <w:lang w:val="hu-HU"/>
        </w:rPr>
        <w:t> </w:t>
      </w:r>
      <w:r w:rsidRPr="00574A63">
        <w:rPr>
          <w:rFonts w:cs="Times New Roman"/>
          <w:spacing w:val="-1"/>
        </w:rPr>
        <w:t>mg</w:t>
      </w:r>
      <w:r w:rsidR="00835822">
        <w:rPr>
          <w:rFonts w:cs="Times New Roman"/>
          <w:spacing w:val="-1"/>
        </w:rPr>
        <w:t>,</w:t>
      </w:r>
      <w:r w:rsidRPr="00574A63">
        <w:rPr>
          <w:rFonts w:cs="Times New Roman"/>
          <w:spacing w:val="-1"/>
        </w:rPr>
        <w:t xml:space="preserve"> felnőtt betegeknél)</w:t>
      </w:r>
      <w:r w:rsidR="00252E89">
        <w:rPr>
          <w:rFonts w:cs="Times New Roman"/>
          <w:spacing w:val="-1"/>
        </w:rPr>
        <w:t xml:space="preserve"> </w:t>
      </w:r>
      <w:r w:rsidRPr="00574A63">
        <w:rPr>
          <w:rFonts w:cs="Times New Roman"/>
          <w:spacing w:val="-1"/>
        </w:rPr>
        <w:t>vagy teljes adaggal (naponta kétszer 150</w:t>
      </w:r>
      <w:r w:rsidR="002624A5">
        <w:rPr>
          <w:rFonts w:eastAsia="TimesNewRomanPSMT" w:cs="Times New Roman"/>
          <w:lang w:val="hu-HU"/>
        </w:rPr>
        <w:t> </w:t>
      </w:r>
      <w:r w:rsidRPr="00574A63">
        <w:rPr>
          <w:rFonts w:cs="Times New Roman"/>
          <w:spacing w:val="-1"/>
        </w:rPr>
        <w:t>mg</w:t>
      </w:r>
      <w:r w:rsidR="00835822">
        <w:rPr>
          <w:rFonts w:cs="Times New Roman"/>
          <w:spacing w:val="-1"/>
        </w:rPr>
        <w:t>,</w:t>
      </w:r>
      <w:r w:rsidRPr="00574A63">
        <w:rPr>
          <w:rFonts w:cs="Times New Roman"/>
          <w:spacing w:val="-1"/>
        </w:rPr>
        <w:t xml:space="preserve"> felnőtt betegeknél) kezdhető újra. A tüneti kezelés</w:t>
      </w:r>
      <w:r w:rsidR="00252E89">
        <w:rPr>
          <w:rFonts w:cs="Times New Roman"/>
          <w:spacing w:val="-1"/>
        </w:rPr>
        <w:t xml:space="preserve"> </w:t>
      </w:r>
      <w:r w:rsidRPr="00574A63">
        <w:rPr>
          <w:rFonts w:cs="Times New Roman"/>
          <w:spacing w:val="-1"/>
        </w:rPr>
        <w:t>ellenére fennálló tartós, súlyos hasmenés, hányinger és/vagy hányás esetén a</w:t>
      </w:r>
      <w:r>
        <w:rPr>
          <w:rFonts w:cs="Times New Roman"/>
          <w:spacing w:val="-1"/>
        </w:rPr>
        <w:t xml:space="preserve"> nintedanib</w:t>
      </w:r>
      <w:r w:rsidRPr="00574A63">
        <w:rPr>
          <w:rFonts w:cs="Times New Roman"/>
          <w:spacing w:val="-1"/>
        </w:rPr>
        <w:t>-kezelést abba kell</w:t>
      </w:r>
      <w:r>
        <w:rPr>
          <w:rFonts w:cs="Times New Roman"/>
          <w:spacing w:val="-1"/>
        </w:rPr>
        <w:t xml:space="preserve"> </w:t>
      </w:r>
      <w:r w:rsidRPr="00574A63">
        <w:rPr>
          <w:rFonts w:cs="Times New Roman"/>
          <w:spacing w:val="-1"/>
        </w:rPr>
        <w:t>hagyni (lásd 4.4</w:t>
      </w:r>
      <w:r w:rsidR="002624A5">
        <w:rPr>
          <w:rFonts w:eastAsia="TimesNewRomanPSMT" w:cs="Times New Roman"/>
          <w:lang w:val="hu-HU"/>
        </w:rPr>
        <w:t> </w:t>
      </w:r>
      <w:r w:rsidRPr="00574A63">
        <w:rPr>
          <w:rFonts w:cs="Times New Roman"/>
          <w:spacing w:val="-1"/>
        </w:rPr>
        <w:t>pont).</w:t>
      </w:r>
    </w:p>
    <w:p w14:paraId="7CB7AD85" w14:textId="77777777" w:rsidR="00574A63" w:rsidRDefault="00574A63" w:rsidP="00574A63">
      <w:pPr>
        <w:pStyle w:val="Szvegtrzs"/>
        <w:ind w:left="0"/>
        <w:rPr>
          <w:rFonts w:cs="Times New Roman"/>
          <w:spacing w:val="-1"/>
        </w:rPr>
      </w:pPr>
    </w:p>
    <w:p w14:paraId="5E7035BA" w14:textId="5310FA43" w:rsidR="00F5603F" w:rsidRDefault="00574A63" w:rsidP="00574A63">
      <w:pPr>
        <w:pStyle w:val="Szvegtrzs"/>
        <w:ind w:left="0"/>
        <w:rPr>
          <w:rFonts w:cs="Times New Roman"/>
          <w:spacing w:val="-1"/>
        </w:rPr>
      </w:pPr>
      <w:r w:rsidRPr="00574A63">
        <w:rPr>
          <w:rFonts w:cs="Times New Roman"/>
          <w:spacing w:val="-1"/>
        </w:rPr>
        <w:t xml:space="preserve">Ha a kezelést a </w:t>
      </w:r>
      <w:r w:rsidR="00CF690E" w:rsidRPr="00C6719D">
        <w:rPr>
          <w:rFonts w:cs="Times New Roman"/>
          <w:color w:val="000000"/>
          <w:lang w:eastAsia="hu-HU"/>
        </w:rPr>
        <w:t>glutamát-oxálacetát</w:t>
      </w:r>
      <w:r w:rsidR="00CF690E">
        <w:rPr>
          <w:rFonts w:cs="Times New Roman"/>
          <w:color w:val="000000"/>
          <w:lang w:eastAsia="hu-HU"/>
        </w:rPr>
        <w:t>-</w:t>
      </w:r>
      <w:r w:rsidR="00CF690E" w:rsidRPr="00C6719D">
        <w:rPr>
          <w:rFonts w:cs="Times New Roman"/>
          <w:color w:val="000000"/>
          <w:lang w:eastAsia="hu-HU"/>
        </w:rPr>
        <w:t>transzamináz</w:t>
      </w:r>
      <w:r w:rsidR="00CF690E" w:rsidRPr="00574A63" w:rsidDel="00CF690E">
        <w:rPr>
          <w:rFonts w:cs="Times New Roman"/>
          <w:spacing w:val="-1"/>
        </w:rPr>
        <w:t xml:space="preserve"> </w:t>
      </w:r>
      <w:r w:rsidRPr="00574A63">
        <w:rPr>
          <w:rFonts w:cs="Times New Roman"/>
          <w:spacing w:val="-1"/>
        </w:rPr>
        <w:t>(GOT vagy AS</w:t>
      </w:r>
      <w:r w:rsidR="00CF690E">
        <w:rPr>
          <w:rFonts w:cs="Times New Roman"/>
          <w:spacing w:val="-1"/>
        </w:rPr>
        <w:t>A</w:t>
      </w:r>
      <w:r w:rsidRPr="00574A63">
        <w:rPr>
          <w:rFonts w:cs="Times New Roman"/>
          <w:spacing w:val="-1"/>
        </w:rPr>
        <w:t xml:space="preserve">T) vagy a </w:t>
      </w:r>
      <w:r w:rsidR="00CF690E" w:rsidRPr="00C6719D">
        <w:rPr>
          <w:rFonts w:cs="Times New Roman"/>
          <w:color w:val="000000"/>
          <w:lang w:eastAsia="hu-HU"/>
        </w:rPr>
        <w:t>glutamát-piruvát-transzamináz</w:t>
      </w:r>
      <w:r w:rsidR="00CF690E" w:rsidRPr="00574A63" w:rsidDel="00CF690E">
        <w:rPr>
          <w:rFonts w:cs="Times New Roman"/>
          <w:spacing w:val="-1"/>
        </w:rPr>
        <w:t xml:space="preserve"> </w:t>
      </w:r>
      <w:r w:rsidRPr="00574A63">
        <w:rPr>
          <w:rFonts w:cs="Times New Roman"/>
          <w:spacing w:val="-1"/>
        </w:rPr>
        <w:t>(</w:t>
      </w:r>
      <w:r w:rsidR="00CF690E" w:rsidRPr="00574A63">
        <w:rPr>
          <w:rFonts w:cs="Times New Roman"/>
          <w:spacing w:val="-1"/>
        </w:rPr>
        <w:t>G</w:t>
      </w:r>
      <w:r w:rsidR="00CF690E">
        <w:rPr>
          <w:rFonts w:cs="Times New Roman"/>
          <w:spacing w:val="-1"/>
        </w:rPr>
        <w:t xml:space="preserve">PT </w:t>
      </w:r>
      <w:r w:rsidRPr="00574A63">
        <w:rPr>
          <w:rFonts w:cs="Times New Roman"/>
          <w:spacing w:val="-1"/>
        </w:rPr>
        <w:t>vagy AL</w:t>
      </w:r>
      <w:r w:rsidR="00CF690E">
        <w:rPr>
          <w:rFonts w:cs="Times New Roman"/>
          <w:spacing w:val="-1"/>
        </w:rPr>
        <w:t>A</w:t>
      </w:r>
      <w:r w:rsidRPr="00574A63">
        <w:rPr>
          <w:rFonts w:cs="Times New Roman"/>
          <w:spacing w:val="-1"/>
        </w:rPr>
        <w:t>T) szintjének a normál érték felső határának (upper limit of normal, ULN) 3-szorosát</w:t>
      </w:r>
      <w:r w:rsidR="00296C97">
        <w:rPr>
          <w:rFonts w:cs="Times New Roman"/>
          <w:spacing w:val="-1"/>
        </w:rPr>
        <w:t xml:space="preserve"> </w:t>
      </w:r>
      <w:r w:rsidRPr="00574A63">
        <w:rPr>
          <w:rFonts w:cs="Times New Roman"/>
          <w:spacing w:val="-1"/>
        </w:rPr>
        <w:t>meghaladó mértékű emelkedése miatt szakítják meg, akkor a</w:t>
      </w:r>
      <w:r>
        <w:rPr>
          <w:rFonts w:cs="Times New Roman"/>
          <w:spacing w:val="-1"/>
        </w:rPr>
        <w:t xml:space="preserve"> nintedanib</w:t>
      </w:r>
      <w:r w:rsidRPr="00574A63">
        <w:rPr>
          <w:rFonts w:cs="Times New Roman"/>
          <w:spacing w:val="-1"/>
        </w:rPr>
        <w:t>-kezelés a transzaminázszintek</w:t>
      </w:r>
      <w:r w:rsidR="00296C97">
        <w:rPr>
          <w:rFonts w:cs="Times New Roman"/>
          <w:spacing w:val="-1"/>
        </w:rPr>
        <w:t xml:space="preserve"> </w:t>
      </w:r>
      <w:r w:rsidRPr="00574A63">
        <w:rPr>
          <w:rFonts w:cs="Times New Roman"/>
          <w:spacing w:val="-1"/>
        </w:rPr>
        <w:t>kiindulási értékre történt csökkenése után, csökkentett adaggal (napi kétszer 100</w:t>
      </w:r>
      <w:r w:rsidR="00C30D47">
        <w:rPr>
          <w:rFonts w:cs="Times New Roman"/>
          <w:spacing w:val="-1"/>
        </w:rPr>
        <w:t> </w:t>
      </w:r>
      <w:r w:rsidRPr="00574A63">
        <w:rPr>
          <w:rFonts w:cs="Times New Roman"/>
          <w:spacing w:val="-1"/>
        </w:rPr>
        <w:t>mg</w:t>
      </w:r>
      <w:r w:rsidR="00835822">
        <w:rPr>
          <w:rFonts w:cs="Times New Roman"/>
          <w:spacing w:val="-1"/>
        </w:rPr>
        <w:t>,</w:t>
      </w:r>
      <w:r w:rsidRPr="00574A63">
        <w:rPr>
          <w:rFonts w:cs="Times New Roman"/>
          <w:spacing w:val="-1"/>
        </w:rPr>
        <w:t xml:space="preserve"> felnőtt</w:t>
      </w:r>
      <w:r w:rsidR="00296C97">
        <w:rPr>
          <w:rFonts w:cs="Times New Roman"/>
          <w:spacing w:val="-1"/>
        </w:rPr>
        <w:t xml:space="preserve"> </w:t>
      </w:r>
      <w:r w:rsidRPr="00574A63">
        <w:rPr>
          <w:rFonts w:cs="Times New Roman"/>
          <w:spacing w:val="-1"/>
        </w:rPr>
        <w:t>betegeknél) vezethető be újra, ami a későbbiekben a teljes adagra (napi kétszer 150</w:t>
      </w:r>
      <w:r w:rsidR="00C30D47">
        <w:rPr>
          <w:rFonts w:cs="Times New Roman"/>
          <w:spacing w:val="-1"/>
        </w:rPr>
        <w:t> </w:t>
      </w:r>
      <w:r w:rsidRPr="00574A63">
        <w:rPr>
          <w:rFonts w:cs="Times New Roman"/>
          <w:spacing w:val="-1"/>
        </w:rPr>
        <w:t>mg</w:t>
      </w:r>
      <w:r w:rsidR="00835822">
        <w:rPr>
          <w:rFonts w:cs="Times New Roman"/>
          <w:spacing w:val="-1"/>
        </w:rPr>
        <w:t>,</w:t>
      </w:r>
      <w:r w:rsidRPr="00574A63">
        <w:rPr>
          <w:rFonts w:cs="Times New Roman"/>
          <w:spacing w:val="-1"/>
        </w:rPr>
        <w:t xml:space="preserve"> felnőtt</w:t>
      </w:r>
      <w:r w:rsidR="00296C97">
        <w:rPr>
          <w:rFonts w:cs="Times New Roman"/>
          <w:spacing w:val="-1"/>
        </w:rPr>
        <w:t xml:space="preserve"> </w:t>
      </w:r>
      <w:r w:rsidRPr="00574A63">
        <w:rPr>
          <w:rFonts w:cs="Times New Roman"/>
          <w:spacing w:val="-1"/>
        </w:rPr>
        <w:t>betegeknél) emelhető (lásd 4.4 és 4.8</w:t>
      </w:r>
      <w:r w:rsidR="002624A5">
        <w:rPr>
          <w:rFonts w:eastAsia="TimesNewRomanPSMT" w:cs="Times New Roman"/>
          <w:lang w:val="hu-HU"/>
        </w:rPr>
        <w:t> </w:t>
      </w:r>
      <w:r w:rsidRPr="00574A63">
        <w:rPr>
          <w:rFonts w:cs="Times New Roman"/>
          <w:spacing w:val="-1"/>
        </w:rPr>
        <w:t>pont).</w:t>
      </w:r>
    </w:p>
    <w:p w14:paraId="1E6F8B56" w14:textId="77777777" w:rsidR="00420FC0" w:rsidRDefault="00420FC0" w:rsidP="00574A63">
      <w:pPr>
        <w:pStyle w:val="Szvegtrzs"/>
        <w:ind w:left="0"/>
        <w:rPr>
          <w:rFonts w:cs="Times New Roman"/>
          <w:spacing w:val="-1"/>
        </w:rPr>
      </w:pPr>
    </w:p>
    <w:p w14:paraId="2828BD67" w14:textId="7FA6C254" w:rsidR="00420FC0" w:rsidRDefault="00420FC0" w:rsidP="00574A63">
      <w:pPr>
        <w:pStyle w:val="Szvegtrzs"/>
        <w:ind w:left="0"/>
        <w:rPr>
          <w:rFonts w:cs="Times New Roman"/>
          <w:spacing w:val="-1"/>
        </w:rPr>
      </w:pPr>
      <w:r w:rsidRPr="00420FC0">
        <w:rPr>
          <w:rFonts w:cs="Times New Roman"/>
          <w:spacing w:val="-1"/>
        </w:rPr>
        <w:t>A gyermekeknél és serdülőknél megjelenő mellékhatások kezelésére vonatkozó specifikus dóziscsökkentési ajánlások az 1.</w:t>
      </w:r>
      <w:r w:rsidR="00C539C7">
        <w:rPr>
          <w:rFonts w:cs="Times New Roman"/>
          <w:spacing w:val="-1"/>
        </w:rPr>
        <w:t> </w:t>
      </w:r>
      <w:r w:rsidRPr="00420FC0">
        <w:rPr>
          <w:rFonts w:cs="Times New Roman"/>
          <w:spacing w:val="-1"/>
        </w:rPr>
        <w:t>táblázatban találhatók.</w:t>
      </w:r>
    </w:p>
    <w:p w14:paraId="10517355" w14:textId="77777777" w:rsidR="00E331AE" w:rsidRDefault="00E331AE" w:rsidP="00574A63">
      <w:pPr>
        <w:pStyle w:val="Szvegtrzs"/>
        <w:ind w:left="0"/>
        <w:rPr>
          <w:rFonts w:cs="Times New Roman"/>
          <w:spacing w:val="-1"/>
        </w:rPr>
      </w:pPr>
    </w:p>
    <w:p w14:paraId="1DAAC41D" w14:textId="5B1DB4B9" w:rsidR="00E331AE" w:rsidRPr="00E331AE" w:rsidRDefault="00E331AE" w:rsidP="00300950">
      <w:pPr>
        <w:pStyle w:val="Szvegtrzs"/>
        <w:ind w:left="0"/>
        <w:rPr>
          <w:rFonts w:cs="Times New Roman"/>
          <w:spacing w:val="-1"/>
          <w:lang w:val="hu-HU"/>
        </w:rPr>
      </w:pPr>
      <w:r w:rsidRPr="00E331AE">
        <w:rPr>
          <w:rFonts w:cs="Times New Roman"/>
          <w:i/>
          <w:iCs/>
          <w:spacing w:val="-1"/>
          <w:lang w:val="hu-HU"/>
        </w:rPr>
        <w:t>6. és betöltött 18.</w:t>
      </w:r>
      <w:r w:rsidR="00C539C7">
        <w:rPr>
          <w:rFonts w:cs="Times New Roman"/>
          <w:i/>
          <w:iCs/>
          <w:spacing w:val="-1"/>
          <w:lang w:val="hu-HU"/>
        </w:rPr>
        <w:t> </w:t>
      </w:r>
      <w:r w:rsidRPr="00E331AE">
        <w:rPr>
          <w:rFonts w:cs="Times New Roman"/>
          <w:i/>
          <w:iCs/>
          <w:spacing w:val="-1"/>
          <w:lang w:val="hu-HU"/>
        </w:rPr>
        <w:t xml:space="preserve">életév közötti gyermekek és serdülők </w:t>
      </w:r>
    </w:p>
    <w:p w14:paraId="3B324F26" w14:textId="4A595FE8" w:rsidR="00E331AE" w:rsidRPr="00E331AE" w:rsidRDefault="00E331AE" w:rsidP="00300950">
      <w:pPr>
        <w:pStyle w:val="Szvegtrzs"/>
        <w:numPr>
          <w:ilvl w:val="0"/>
          <w:numId w:val="33"/>
        </w:numPr>
        <w:ind w:left="284" w:hanging="284"/>
        <w:rPr>
          <w:rFonts w:cs="Times New Roman"/>
          <w:spacing w:val="-1"/>
          <w:lang w:val="hu-HU"/>
        </w:rPr>
      </w:pPr>
      <w:r w:rsidRPr="00E331AE">
        <w:rPr>
          <w:rFonts w:cs="Times New Roman"/>
          <w:i/>
          <w:iCs/>
          <w:spacing w:val="-1"/>
          <w:lang w:val="hu-HU"/>
        </w:rPr>
        <w:t>Klinikailag jelentős mértékű, progresszív, fibrotizáló interstitialis tüdőbetegségek (ILD</w:t>
      </w:r>
      <w:r w:rsidR="00835822">
        <w:rPr>
          <w:rFonts w:cs="Times New Roman"/>
          <w:i/>
          <w:iCs/>
          <w:spacing w:val="-1"/>
          <w:lang w:val="hu-HU"/>
        </w:rPr>
        <w:t>s</w:t>
      </w:r>
      <w:r w:rsidRPr="00E331AE">
        <w:rPr>
          <w:rFonts w:cs="Times New Roman"/>
          <w:i/>
          <w:iCs/>
          <w:spacing w:val="-1"/>
          <w:lang w:val="hu-HU"/>
        </w:rPr>
        <w:t xml:space="preserve">) kezelése </w:t>
      </w:r>
    </w:p>
    <w:p w14:paraId="14132AA4" w14:textId="5C30AABD" w:rsidR="00E331AE" w:rsidRPr="00E331AE" w:rsidRDefault="00E331AE" w:rsidP="00300950">
      <w:pPr>
        <w:pStyle w:val="Szvegtrzs"/>
        <w:numPr>
          <w:ilvl w:val="0"/>
          <w:numId w:val="33"/>
        </w:numPr>
        <w:ind w:left="284" w:hanging="284"/>
        <w:rPr>
          <w:rFonts w:cs="Times New Roman"/>
          <w:spacing w:val="-1"/>
          <w:lang w:val="hu-HU"/>
        </w:rPr>
      </w:pPr>
      <w:r w:rsidRPr="00E331AE">
        <w:rPr>
          <w:rFonts w:cs="Times New Roman"/>
          <w:i/>
          <w:iCs/>
          <w:spacing w:val="-1"/>
          <w:lang w:val="hu-HU"/>
        </w:rPr>
        <w:t xml:space="preserve">Szisztémás sclerosissal társuló interstitialis tüdőbetegség (SSc-ILD) kezelése </w:t>
      </w:r>
    </w:p>
    <w:p w14:paraId="662E3006" w14:textId="77777777" w:rsidR="00E331AE" w:rsidRDefault="00E331AE" w:rsidP="00574A63">
      <w:pPr>
        <w:pStyle w:val="Szvegtrzs"/>
        <w:ind w:left="0"/>
        <w:rPr>
          <w:rFonts w:cs="Times New Roman"/>
          <w:spacing w:val="-1"/>
        </w:rPr>
      </w:pPr>
    </w:p>
    <w:p w14:paraId="09BB9B7F" w14:textId="65A917C7" w:rsidR="00E331AE" w:rsidRDefault="00E331AE" w:rsidP="00E331AE">
      <w:pPr>
        <w:pStyle w:val="Szvegtrzs"/>
        <w:ind w:left="0"/>
        <w:rPr>
          <w:rFonts w:cs="Times New Roman"/>
          <w:spacing w:val="-1"/>
        </w:rPr>
      </w:pPr>
      <w:r w:rsidRPr="00E331AE">
        <w:rPr>
          <w:rFonts w:cs="Times New Roman"/>
          <w:spacing w:val="-1"/>
        </w:rPr>
        <w:t>A növekedést rendszeresen ellenőrizni kell, és javasolt évente képalkotó eljárással értékelni az epiphysis növekedési lemezének elváltozásait a nyitott epiphysisekkel rendelkező betegek esetében. Azoknál a betegeknél, akiknél a növekedési zavar jelei vagy az epiphysis növekedési lemezének elváltozásai alakulnak ki, fontolóra kell venni a kezelés megszakítását (lásd 4.4</w:t>
      </w:r>
      <w:r w:rsidR="00835822">
        <w:rPr>
          <w:rFonts w:cs="Times New Roman"/>
          <w:spacing w:val="-1"/>
        </w:rPr>
        <w:t> </w:t>
      </w:r>
      <w:r w:rsidRPr="00E331AE">
        <w:rPr>
          <w:rFonts w:cs="Times New Roman"/>
          <w:spacing w:val="-1"/>
        </w:rPr>
        <w:t>és 4.8</w:t>
      </w:r>
      <w:r w:rsidR="00C539C7">
        <w:rPr>
          <w:rFonts w:cs="Times New Roman"/>
          <w:spacing w:val="-1"/>
        </w:rPr>
        <w:t> </w:t>
      </w:r>
      <w:r w:rsidRPr="00E331AE">
        <w:rPr>
          <w:rFonts w:cs="Times New Roman"/>
          <w:spacing w:val="-1"/>
        </w:rPr>
        <w:t xml:space="preserve">pont). </w:t>
      </w:r>
    </w:p>
    <w:p w14:paraId="7E39230C" w14:textId="77777777" w:rsidR="00E331AE" w:rsidRDefault="00E331AE" w:rsidP="00E331AE">
      <w:pPr>
        <w:pStyle w:val="Szvegtrzs"/>
        <w:ind w:left="0"/>
        <w:rPr>
          <w:rFonts w:cs="Times New Roman"/>
          <w:spacing w:val="-1"/>
        </w:rPr>
      </w:pPr>
    </w:p>
    <w:p w14:paraId="6EC0EBEF" w14:textId="23020BC8" w:rsidR="00E331AE" w:rsidRDefault="00E331AE" w:rsidP="00E331AE">
      <w:pPr>
        <w:pStyle w:val="Szvegtrzs"/>
        <w:ind w:left="0"/>
        <w:rPr>
          <w:rFonts w:cs="Times New Roman"/>
          <w:spacing w:val="-1"/>
        </w:rPr>
      </w:pPr>
      <w:r w:rsidRPr="00E331AE">
        <w:rPr>
          <w:rFonts w:cs="Times New Roman"/>
          <w:spacing w:val="-1"/>
        </w:rPr>
        <w:t>Rendszeresen, a fogfejlődés befejeződéséig legalább 6 havonta szájüregi fogászati vizsgálatot kell végezni (lásd 4.4</w:t>
      </w:r>
      <w:r w:rsidR="00835822">
        <w:rPr>
          <w:rFonts w:cs="Times New Roman"/>
          <w:spacing w:val="-1"/>
        </w:rPr>
        <w:t> </w:t>
      </w:r>
      <w:r w:rsidRPr="00E331AE">
        <w:rPr>
          <w:rFonts w:cs="Times New Roman"/>
          <w:spacing w:val="-1"/>
        </w:rPr>
        <w:t>és 4.8</w:t>
      </w:r>
      <w:r w:rsidR="00C539C7">
        <w:rPr>
          <w:rFonts w:cs="Times New Roman"/>
          <w:spacing w:val="-1"/>
        </w:rPr>
        <w:t> </w:t>
      </w:r>
      <w:r w:rsidRPr="00E331AE">
        <w:rPr>
          <w:rFonts w:cs="Times New Roman"/>
          <w:spacing w:val="-1"/>
        </w:rPr>
        <w:t>pont).</w:t>
      </w:r>
    </w:p>
    <w:p w14:paraId="26A7B914" w14:textId="77777777" w:rsidR="00E331AE" w:rsidRPr="00E331AE" w:rsidRDefault="00E331AE" w:rsidP="00300950">
      <w:pPr>
        <w:pStyle w:val="Szvegtrzs"/>
        <w:ind w:left="0"/>
        <w:rPr>
          <w:rFonts w:cs="Times New Roman"/>
          <w:spacing w:val="-1"/>
        </w:rPr>
      </w:pPr>
    </w:p>
    <w:p w14:paraId="40F22D7D" w14:textId="1C2BC686" w:rsidR="00E331AE" w:rsidRDefault="00E331AE" w:rsidP="00E331AE">
      <w:pPr>
        <w:pStyle w:val="Szvegtrzs"/>
        <w:ind w:left="0"/>
        <w:rPr>
          <w:rFonts w:cs="Times New Roman"/>
          <w:spacing w:val="-1"/>
        </w:rPr>
      </w:pPr>
      <w:bookmarkStart w:id="1" w:name="_Hlk211870968"/>
      <w:r w:rsidRPr="00E331AE">
        <w:rPr>
          <w:rFonts w:cs="Times New Roman"/>
          <w:spacing w:val="-1"/>
        </w:rPr>
        <w:t>A</w:t>
      </w:r>
      <w:r>
        <w:rPr>
          <w:rFonts w:cs="Times New Roman"/>
          <w:spacing w:val="-1"/>
        </w:rPr>
        <w:t xml:space="preserve"> Nintedanib Onkogen</w:t>
      </w:r>
      <w:r w:rsidRPr="00E331AE">
        <w:rPr>
          <w:rFonts w:cs="Times New Roman"/>
          <w:spacing w:val="-1"/>
        </w:rPr>
        <w:t xml:space="preserve"> </w:t>
      </w:r>
      <w:bookmarkEnd w:id="1"/>
      <w:r w:rsidRPr="00E331AE">
        <w:rPr>
          <w:rFonts w:cs="Times New Roman"/>
          <w:spacing w:val="-1"/>
        </w:rPr>
        <w:t>6.</w:t>
      </w:r>
      <w:r w:rsidR="00835822">
        <w:rPr>
          <w:rFonts w:cs="Times New Roman"/>
          <w:spacing w:val="-1"/>
        </w:rPr>
        <w:t> </w:t>
      </w:r>
      <w:r w:rsidRPr="00E331AE">
        <w:rPr>
          <w:rFonts w:cs="Times New Roman"/>
          <w:spacing w:val="-1"/>
        </w:rPr>
        <w:t>és betöltött 18.</w:t>
      </w:r>
      <w:r w:rsidR="00C539C7">
        <w:rPr>
          <w:rFonts w:cs="Times New Roman"/>
          <w:spacing w:val="-1"/>
        </w:rPr>
        <w:t> </w:t>
      </w:r>
      <w:r w:rsidRPr="00E331AE">
        <w:rPr>
          <w:rFonts w:cs="Times New Roman"/>
          <w:spacing w:val="-1"/>
        </w:rPr>
        <w:t xml:space="preserve">életév közötti gyermekek és serdülők számára ajánlott dózisa </w:t>
      </w:r>
      <w:r w:rsidRPr="00E331AE">
        <w:rPr>
          <w:rFonts w:cs="Times New Roman"/>
          <w:spacing w:val="-1"/>
        </w:rPr>
        <w:lastRenderedPageBreak/>
        <w:t>a beteg testtömege alapján kerül meghatározásra, és naponta kétszer, körülbelül 12</w:t>
      </w:r>
      <w:r w:rsidR="00C539C7">
        <w:rPr>
          <w:rFonts w:cs="Times New Roman"/>
          <w:spacing w:val="-1"/>
        </w:rPr>
        <w:t> </w:t>
      </w:r>
      <w:r w:rsidRPr="00E331AE">
        <w:rPr>
          <w:rFonts w:cs="Times New Roman"/>
          <w:spacing w:val="-1"/>
        </w:rPr>
        <w:t>órás különbséggel kell alkalmazni (lásd 1.</w:t>
      </w:r>
      <w:r w:rsidR="00C539C7">
        <w:rPr>
          <w:rFonts w:cs="Times New Roman"/>
          <w:spacing w:val="-1"/>
        </w:rPr>
        <w:t> </w:t>
      </w:r>
      <w:r w:rsidRPr="00E331AE">
        <w:rPr>
          <w:rFonts w:cs="Times New Roman"/>
          <w:spacing w:val="-1"/>
        </w:rPr>
        <w:t>táblázat). A kezelés előrehaladtával a dózis a testtömegnek megfelelően módosítandó.</w:t>
      </w:r>
    </w:p>
    <w:p w14:paraId="577BCD02" w14:textId="77777777" w:rsidR="00E331AE" w:rsidRDefault="00E331AE" w:rsidP="00E331AE">
      <w:pPr>
        <w:pStyle w:val="Szvegtrzs"/>
        <w:ind w:left="0"/>
        <w:rPr>
          <w:rFonts w:cs="Times New Roman"/>
          <w:spacing w:val="-1"/>
        </w:rPr>
      </w:pPr>
    </w:p>
    <w:p w14:paraId="2259780E" w14:textId="566BCC09" w:rsidR="00E331AE" w:rsidRDefault="00E331AE" w:rsidP="00300950">
      <w:pPr>
        <w:pStyle w:val="Szvegtrzs"/>
        <w:keepNext/>
        <w:widowControl/>
        <w:numPr>
          <w:ilvl w:val="0"/>
          <w:numId w:val="35"/>
        </w:numPr>
        <w:rPr>
          <w:rFonts w:cs="Times New Roman"/>
          <w:b/>
          <w:bCs/>
          <w:spacing w:val="-1"/>
          <w:lang w:val="hu-HU"/>
        </w:rPr>
      </w:pPr>
      <w:r w:rsidRPr="00E331AE">
        <w:rPr>
          <w:rFonts w:cs="Times New Roman"/>
          <w:b/>
          <w:bCs/>
          <w:spacing w:val="-1"/>
          <w:lang w:val="hu-HU"/>
        </w:rPr>
        <w:t>táblázat: A Nintedanib Onkogen dózisára és csökkentett dózisára vonatkozó ajánlás milligrammban (mg) megadva, a testtömegkilogrammban (</w:t>
      </w:r>
      <w:r w:rsidR="00835822">
        <w:rPr>
          <w:rFonts w:cs="Times New Roman"/>
          <w:b/>
          <w:bCs/>
          <w:spacing w:val="-1"/>
          <w:lang w:val="hu-HU"/>
        </w:rPr>
        <w:t>tt</w:t>
      </w:r>
      <w:r w:rsidRPr="00E331AE">
        <w:rPr>
          <w:rFonts w:cs="Times New Roman"/>
          <w:b/>
          <w:bCs/>
          <w:spacing w:val="-1"/>
          <w:lang w:val="hu-HU"/>
        </w:rPr>
        <w:t>kg) megadott értéke alapján 6.</w:t>
      </w:r>
      <w:r w:rsidR="007339B3">
        <w:rPr>
          <w:rFonts w:cs="Times New Roman"/>
          <w:b/>
          <w:bCs/>
          <w:spacing w:val="-1"/>
          <w:lang w:val="hu-HU"/>
        </w:rPr>
        <w:t> </w:t>
      </w:r>
      <w:r w:rsidRPr="00E331AE">
        <w:rPr>
          <w:rFonts w:cs="Times New Roman"/>
          <w:b/>
          <w:bCs/>
          <w:spacing w:val="-1"/>
          <w:lang w:val="hu-HU"/>
        </w:rPr>
        <w:t>és betöltött 18.</w:t>
      </w:r>
      <w:r w:rsidR="007237B5">
        <w:rPr>
          <w:rFonts w:cs="Times New Roman"/>
          <w:b/>
          <w:bCs/>
          <w:spacing w:val="-1"/>
          <w:lang w:val="hu-HU"/>
        </w:rPr>
        <w:t> </w:t>
      </w:r>
      <w:r w:rsidRPr="00E331AE">
        <w:rPr>
          <w:rFonts w:cs="Times New Roman"/>
          <w:b/>
          <w:bCs/>
          <w:spacing w:val="-1"/>
          <w:lang w:val="hu-HU"/>
        </w:rPr>
        <w:t>életév közötti gyermekek és serdülők esetében</w:t>
      </w:r>
    </w:p>
    <w:p w14:paraId="0030C903" w14:textId="77777777" w:rsidR="00E331AE" w:rsidRDefault="00E331AE" w:rsidP="00300950">
      <w:pPr>
        <w:pStyle w:val="Szvegtrzs"/>
        <w:keepNext/>
        <w:widowControl/>
        <w:rPr>
          <w:rFonts w:cs="Times New Roman"/>
          <w:b/>
          <w:bCs/>
          <w:spacing w:val="-1"/>
          <w:lang w:val="hu-HU"/>
        </w:rPr>
      </w:pPr>
    </w:p>
    <w:tbl>
      <w:tblPr>
        <w:tblW w:w="8830"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3"/>
        <w:gridCol w:w="3685"/>
        <w:gridCol w:w="3402"/>
      </w:tblGrid>
      <w:tr w:rsidR="007339B3" w:rsidRPr="00D14A73" w14:paraId="14B07B7D" w14:textId="48DD3042" w:rsidTr="00300950">
        <w:trPr>
          <w:trHeight w:val="419"/>
        </w:trPr>
        <w:tc>
          <w:tcPr>
            <w:tcW w:w="1743" w:type="dxa"/>
          </w:tcPr>
          <w:p w14:paraId="16D698ED" w14:textId="36708818" w:rsidR="007339B3" w:rsidRPr="00401E35" w:rsidRDefault="007339B3" w:rsidP="007339B3">
            <w:pPr>
              <w:pStyle w:val="TableParagraph"/>
              <w:spacing w:before="27"/>
              <w:ind w:left="7"/>
              <w:jc w:val="center"/>
              <w:rPr>
                <w:rFonts w:ascii="Times New Roman" w:hAnsi="Times New Roman" w:cs="Times New Roman"/>
                <w:b/>
              </w:rPr>
            </w:pPr>
            <w:r w:rsidRPr="00401E35">
              <w:rPr>
                <w:rFonts w:ascii="Times New Roman" w:hAnsi="Times New Roman" w:cs="Times New Roman"/>
                <w:b/>
              </w:rPr>
              <w:t>Testtömeg</w:t>
            </w:r>
            <w:r w:rsidR="0000092A">
              <w:rPr>
                <w:rFonts w:ascii="Times New Roman" w:hAnsi="Times New Roman" w:cs="Times New Roman"/>
                <w:b/>
              </w:rPr>
              <w:t>-</w:t>
            </w:r>
            <w:r w:rsidRPr="00401E35">
              <w:rPr>
                <w:rFonts w:ascii="Times New Roman" w:hAnsi="Times New Roman" w:cs="Times New Roman"/>
                <w:b/>
              </w:rPr>
              <w:t>tartomány</w:t>
            </w:r>
          </w:p>
        </w:tc>
        <w:tc>
          <w:tcPr>
            <w:tcW w:w="3685" w:type="dxa"/>
          </w:tcPr>
          <w:p w14:paraId="41B579EA" w14:textId="24F86A39" w:rsidR="007339B3" w:rsidRPr="00401E35" w:rsidRDefault="007339B3" w:rsidP="007339B3">
            <w:pPr>
              <w:pStyle w:val="TableParagraph"/>
              <w:spacing w:line="251" w:lineRule="exact"/>
              <w:ind w:left="104"/>
              <w:jc w:val="center"/>
              <w:rPr>
                <w:rFonts w:ascii="Times New Roman" w:hAnsi="Times New Roman" w:cs="Times New Roman"/>
                <w:b/>
              </w:rPr>
            </w:pPr>
            <w:r w:rsidRPr="00401E35">
              <w:rPr>
                <w:rFonts w:ascii="Times New Roman" w:hAnsi="Times New Roman" w:cs="Times New Roman"/>
                <w:b/>
              </w:rPr>
              <w:t xml:space="preserve">Nintedanib </w:t>
            </w:r>
            <w:r>
              <w:rPr>
                <w:rFonts w:ascii="Times New Roman" w:hAnsi="Times New Roman" w:cs="Times New Roman"/>
                <w:b/>
              </w:rPr>
              <w:t>dózis</w:t>
            </w:r>
            <w:r w:rsidRPr="00401E35">
              <w:rPr>
                <w:rFonts w:ascii="Times New Roman" w:hAnsi="Times New Roman" w:cs="Times New Roman"/>
                <w:b/>
              </w:rPr>
              <w:t xml:space="preserve"> </w:t>
            </w:r>
          </w:p>
        </w:tc>
        <w:tc>
          <w:tcPr>
            <w:tcW w:w="3402" w:type="dxa"/>
          </w:tcPr>
          <w:p w14:paraId="36AFBFB9" w14:textId="31AD9B85" w:rsidR="007339B3" w:rsidRPr="00401E35" w:rsidRDefault="007339B3" w:rsidP="007339B3">
            <w:pPr>
              <w:pStyle w:val="TableParagraph"/>
              <w:spacing w:line="251" w:lineRule="exact"/>
              <w:ind w:left="104"/>
              <w:jc w:val="center"/>
              <w:rPr>
                <w:rFonts w:ascii="Times New Roman" w:hAnsi="Times New Roman" w:cs="Times New Roman"/>
                <w:b/>
              </w:rPr>
            </w:pPr>
            <w:r w:rsidRPr="00401E35">
              <w:rPr>
                <w:rFonts w:ascii="Times New Roman" w:hAnsi="Times New Roman" w:cs="Times New Roman"/>
                <w:b/>
              </w:rPr>
              <w:t xml:space="preserve">Nintedanib </w:t>
            </w:r>
            <w:r>
              <w:rPr>
                <w:rFonts w:ascii="Times New Roman" w:hAnsi="Times New Roman" w:cs="Times New Roman"/>
                <w:b/>
              </w:rPr>
              <w:t>csökkentett dózisa</w:t>
            </w:r>
            <w:r w:rsidR="0000092A">
              <w:rPr>
                <w:rFonts w:ascii="Times New Roman" w:hAnsi="Times New Roman" w:cs="Times New Roman"/>
                <w:b/>
              </w:rPr>
              <w:t>*</w:t>
            </w:r>
            <w:r w:rsidRPr="00401E35">
              <w:rPr>
                <w:rFonts w:ascii="Times New Roman" w:hAnsi="Times New Roman" w:cs="Times New Roman"/>
                <w:b/>
              </w:rPr>
              <w:t xml:space="preserve"> </w:t>
            </w:r>
          </w:p>
        </w:tc>
      </w:tr>
      <w:tr w:rsidR="007339B3" w:rsidRPr="00F075E1" w14:paraId="20540500" w14:textId="27B0D8E8" w:rsidTr="00300950">
        <w:trPr>
          <w:trHeight w:val="419"/>
        </w:trPr>
        <w:tc>
          <w:tcPr>
            <w:tcW w:w="1743" w:type="dxa"/>
          </w:tcPr>
          <w:p w14:paraId="704AC333" w14:textId="629A2A2F" w:rsidR="007339B3" w:rsidRPr="00401E35" w:rsidRDefault="007339B3" w:rsidP="00300950">
            <w:pPr>
              <w:pStyle w:val="TableParagraph"/>
              <w:spacing w:before="27"/>
              <w:ind w:left="113"/>
              <w:jc w:val="center"/>
              <w:rPr>
                <w:rFonts w:ascii="Times New Roman" w:hAnsi="Times New Roman" w:cs="Times New Roman"/>
              </w:rPr>
            </w:pPr>
            <w:r w:rsidRPr="00401E35">
              <w:rPr>
                <w:rFonts w:ascii="Times New Roman" w:hAnsi="Times New Roman" w:cs="Times New Roman"/>
              </w:rPr>
              <w:t>13,5</w:t>
            </w:r>
            <w:r w:rsidR="0000092A">
              <w:rPr>
                <w:rFonts w:ascii="Times New Roman" w:hAnsi="Times New Roman" w:cs="Times New Roman"/>
              </w:rPr>
              <w:t>**</w:t>
            </w:r>
            <w:r w:rsidRPr="00401E35">
              <w:rPr>
                <w:rFonts w:ascii="Times New Roman" w:hAnsi="Times New Roman" w:cs="Times New Roman"/>
              </w:rPr>
              <w:t xml:space="preserve"> –</w:t>
            </w:r>
            <w:r w:rsidRPr="00401E35">
              <w:rPr>
                <w:rFonts w:ascii="Times New Roman" w:hAnsi="Times New Roman" w:cs="Times New Roman"/>
                <w:spacing w:val="-2"/>
              </w:rPr>
              <w:t xml:space="preserve"> </w:t>
            </w:r>
            <w:r w:rsidRPr="00401E35">
              <w:rPr>
                <w:rFonts w:ascii="Times New Roman" w:hAnsi="Times New Roman" w:cs="Times New Roman"/>
              </w:rPr>
              <w:t xml:space="preserve">22,9 </w:t>
            </w:r>
            <w:r w:rsidRPr="00401E35">
              <w:rPr>
                <w:rFonts w:ascii="Times New Roman" w:hAnsi="Times New Roman" w:cs="Times New Roman"/>
                <w:spacing w:val="-5"/>
              </w:rPr>
              <w:t>kg</w:t>
            </w:r>
          </w:p>
        </w:tc>
        <w:tc>
          <w:tcPr>
            <w:tcW w:w="3685" w:type="dxa"/>
          </w:tcPr>
          <w:p w14:paraId="7F2F7D73" w14:textId="3A65044A" w:rsidR="007339B3" w:rsidRPr="00401E35" w:rsidRDefault="007339B3" w:rsidP="007339B3">
            <w:pPr>
              <w:pStyle w:val="TableParagraph"/>
              <w:spacing w:before="27"/>
              <w:ind w:left="217"/>
              <w:jc w:val="center"/>
              <w:rPr>
                <w:rFonts w:ascii="Times New Roman" w:hAnsi="Times New Roman" w:cs="Times New Roman"/>
              </w:rPr>
            </w:pPr>
            <w:r w:rsidRPr="00401E35">
              <w:rPr>
                <w:rFonts w:ascii="Times New Roman" w:hAnsi="Times New Roman" w:cs="Times New Roman"/>
              </w:rPr>
              <w:t>50 mg (2 db 25 mg-os kapszula</w:t>
            </w:r>
            <w:r w:rsidR="0000092A" w:rsidRPr="00D14A73">
              <w:rPr>
                <w:rFonts w:ascii="Times New Roman" w:hAnsi="Times New Roman" w:cs="Times New Roman"/>
                <w:bCs/>
                <w:vertAlign w:val="superscript"/>
                <w:lang w:val="hu-HU"/>
              </w:rPr>
              <w:t>#</w:t>
            </w:r>
            <w:r w:rsidRPr="00401E35">
              <w:rPr>
                <w:rFonts w:ascii="Times New Roman" w:hAnsi="Times New Roman" w:cs="Times New Roman"/>
              </w:rPr>
              <w:t>)</w:t>
            </w:r>
          </w:p>
          <w:p w14:paraId="5BECA3C8" w14:textId="77777777" w:rsidR="007339B3" w:rsidRPr="00401E35" w:rsidRDefault="007339B3" w:rsidP="007339B3">
            <w:pPr>
              <w:pStyle w:val="TableParagraph"/>
              <w:spacing w:before="27"/>
              <w:ind w:left="217"/>
              <w:jc w:val="center"/>
              <w:rPr>
                <w:rFonts w:ascii="Times New Roman" w:hAnsi="Times New Roman" w:cs="Times New Roman"/>
              </w:rPr>
            </w:pPr>
            <w:r w:rsidRPr="00401E35">
              <w:rPr>
                <w:rFonts w:ascii="Times New Roman" w:hAnsi="Times New Roman" w:cs="Times New Roman"/>
              </w:rPr>
              <w:t>naponta kétszer</w:t>
            </w:r>
          </w:p>
        </w:tc>
        <w:tc>
          <w:tcPr>
            <w:tcW w:w="3402" w:type="dxa"/>
          </w:tcPr>
          <w:p w14:paraId="4AA3BDC0" w14:textId="01933421" w:rsidR="007339B3" w:rsidRPr="00401E35" w:rsidRDefault="007339B3" w:rsidP="007339B3">
            <w:pPr>
              <w:pStyle w:val="TableParagraph"/>
              <w:spacing w:before="27"/>
              <w:ind w:left="217"/>
              <w:jc w:val="center"/>
              <w:rPr>
                <w:rFonts w:ascii="Times New Roman" w:hAnsi="Times New Roman" w:cs="Times New Roman"/>
              </w:rPr>
            </w:pPr>
            <w:r>
              <w:rPr>
                <w:rFonts w:ascii="Times New Roman" w:hAnsi="Times New Roman" w:cs="Times New Roman"/>
              </w:rPr>
              <w:t>25</w:t>
            </w:r>
            <w:r w:rsidRPr="00401E35">
              <w:rPr>
                <w:rFonts w:ascii="Times New Roman" w:hAnsi="Times New Roman" w:cs="Times New Roman"/>
              </w:rPr>
              <w:t xml:space="preserve"> mg (</w:t>
            </w:r>
            <w:r>
              <w:rPr>
                <w:rFonts w:ascii="Times New Roman" w:hAnsi="Times New Roman" w:cs="Times New Roman"/>
              </w:rPr>
              <w:t>1</w:t>
            </w:r>
            <w:r w:rsidRPr="00401E35">
              <w:rPr>
                <w:rFonts w:ascii="Times New Roman" w:hAnsi="Times New Roman" w:cs="Times New Roman"/>
              </w:rPr>
              <w:t xml:space="preserve"> db 25 mg-os kapszula</w:t>
            </w:r>
            <w:r w:rsidR="0000092A" w:rsidRPr="00D14A73">
              <w:rPr>
                <w:rFonts w:ascii="Times New Roman" w:hAnsi="Times New Roman" w:cs="Times New Roman"/>
                <w:bCs/>
                <w:vertAlign w:val="superscript"/>
                <w:lang w:val="hu-HU"/>
              </w:rPr>
              <w:t>#</w:t>
            </w:r>
            <w:r w:rsidRPr="00401E35">
              <w:rPr>
                <w:rFonts w:ascii="Times New Roman" w:hAnsi="Times New Roman" w:cs="Times New Roman"/>
              </w:rPr>
              <w:t>)</w:t>
            </w:r>
          </w:p>
          <w:p w14:paraId="2D003A2A" w14:textId="06B35422" w:rsidR="007339B3" w:rsidRPr="00401E35" w:rsidRDefault="007339B3" w:rsidP="007339B3">
            <w:pPr>
              <w:pStyle w:val="TableParagraph"/>
              <w:spacing w:before="27"/>
              <w:ind w:left="217"/>
              <w:jc w:val="center"/>
              <w:rPr>
                <w:rFonts w:ascii="Times New Roman" w:hAnsi="Times New Roman" w:cs="Times New Roman"/>
              </w:rPr>
            </w:pPr>
            <w:r w:rsidRPr="00401E35">
              <w:rPr>
                <w:rFonts w:ascii="Times New Roman" w:hAnsi="Times New Roman" w:cs="Times New Roman"/>
              </w:rPr>
              <w:t>naponta kétszer</w:t>
            </w:r>
          </w:p>
        </w:tc>
      </w:tr>
      <w:tr w:rsidR="007339B3" w:rsidRPr="00F075E1" w14:paraId="1E6FAE3E" w14:textId="6A57E0A5" w:rsidTr="00300950">
        <w:trPr>
          <w:trHeight w:val="419"/>
        </w:trPr>
        <w:tc>
          <w:tcPr>
            <w:tcW w:w="1743" w:type="dxa"/>
          </w:tcPr>
          <w:p w14:paraId="5250A691" w14:textId="77777777" w:rsidR="007339B3" w:rsidRPr="00401E35" w:rsidRDefault="007339B3" w:rsidP="00300950">
            <w:pPr>
              <w:pStyle w:val="TableParagraph"/>
              <w:spacing w:before="27"/>
              <w:ind w:left="113"/>
              <w:jc w:val="center"/>
              <w:rPr>
                <w:rFonts w:ascii="Times New Roman" w:hAnsi="Times New Roman" w:cs="Times New Roman"/>
              </w:rPr>
            </w:pPr>
            <w:r w:rsidRPr="00401E35">
              <w:rPr>
                <w:rFonts w:ascii="Times New Roman" w:hAnsi="Times New Roman" w:cs="Times New Roman"/>
              </w:rPr>
              <w:t>23,0 –</w:t>
            </w:r>
            <w:r w:rsidRPr="00401E35">
              <w:rPr>
                <w:rFonts w:ascii="Times New Roman" w:hAnsi="Times New Roman" w:cs="Times New Roman"/>
                <w:spacing w:val="-2"/>
              </w:rPr>
              <w:t xml:space="preserve"> </w:t>
            </w:r>
            <w:r w:rsidRPr="00401E35">
              <w:rPr>
                <w:rFonts w:ascii="Times New Roman" w:hAnsi="Times New Roman" w:cs="Times New Roman"/>
              </w:rPr>
              <w:t xml:space="preserve">33,4 </w:t>
            </w:r>
            <w:r w:rsidRPr="00401E35">
              <w:rPr>
                <w:rFonts w:ascii="Times New Roman" w:hAnsi="Times New Roman" w:cs="Times New Roman"/>
                <w:spacing w:val="-5"/>
              </w:rPr>
              <w:t>kg</w:t>
            </w:r>
          </w:p>
        </w:tc>
        <w:tc>
          <w:tcPr>
            <w:tcW w:w="3685" w:type="dxa"/>
          </w:tcPr>
          <w:p w14:paraId="7B12F325" w14:textId="55C4C0AB" w:rsidR="007339B3" w:rsidRPr="00401E35" w:rsidRDefault="007339B3" w:rsidP="007339B3">
            <w:pPr>
              <w:pStyle w:val="TableParagraph"/>
              <w:spacing w:before="27"/>
              <w:ind w:left="162"/>
              <w:jc w:val="center"/>
              <w:rPr>
                <w:rFonts w:ascii="Times New Roman" w:hAnsi="Times New Roman" w:cs="Times New Roman"/>
              </w:rPr>
            </w:pPr>
            <w:r w:rsidRPr="00401E35">
              <w:rPr>
                <w:rFonts w:ascii="Times New Roman" w:hAnsi="Times New Roman" w:cs="Times New Roman"/>
              </w:rPr>
              <w:t>75 mg (3 db 25 mg-os kapszula</w:t>
            </w:r>
            <w:r w:rsidR="0000092A" w:rsidRPr="00D14A73">
              <w:rPr>
                <w:rFonts w:ascii="Times New Roman" w:hAnsi="Times New Roman" w:cs="Times New Roman"/>
                <w:bCs/>
                <w:vertAlign w:val="superscript"/>
                <w:lang w:val="hu-HU"/>
              </w:rPr>
              <w:t>#</w:t>
            </w:r>
            <w:r w:rsidRPr="00401E35">
              <w:rPr>
                <w:rFonts w:ascii="Times New Roman" w:hAnsi="Times New Roman" w:cs="Times New Roman"/>
              </w:rPr>
              <w:t>)</w:t>
            </w:r>
          </w:p>
          <w:p w14:paraId="2106D6EB" w14:textId="77777777" w:rsidR="007339B3" w:rsidRPr="00401E35" w:rsidRDefault="007339B3" w:rsidP="007339B3">
            <w:pPr>
              <w:pStyle w:val="TableParagraph"/>
              <w:spacing w:before="27"/>
              <w:ind w:left="162"/>
              <w:jc w:val="center"/>
              <w:rPr>
                <w:rFonts w:ascii="Times New Roman" w:hAnsi="Times New Roman" w:cs="Times New Roman"/>
              </w:rPr>
            </w:pPr>
            <w:r w:rsidRPr="00401E35">
              <w:rPr>
                <w:rFonts w:ascii="Times New Roman" w:hAnsi="Times New Roman" w:cs="Times New Roman"/>
              </w:rPr>
              <w:t>naponta kétszer</w:t>
            </w:r>
          </w:p>
        </w:tc>
        <w:tc>
          <w:tcPr>
            <w:tcW w:w="3402" w:type="dxa"/>
          </w:tcPr>
          <w:p w14:paraId="28AF469D" w14:textId="717B6CDD" w:rsidR="007339B3" w:rsidRPr="00401E35" w:rsidRDefault="007339B3" w:rsidP="007339B3">
            <w:pPr>
              <w:pStyle w:val="TableParagraph"/>
              <w:spacing w:before="27"/>
              <w:ind w:left="162"/>
              <w:jc w:val="center"/>
              <w:rPr>
                <w:rFonts w:ascii="Times New Roman" w:hAnsi="Times New Roman" w:cs="Times New Roman"/>
              </w:rPr>
            </w:pPr>
            <w:r>
              <w:rPr>
                <w:rFonts w:ascii="Times New Roman" w:hAnsi="Times New Roman" w:cs="Times New Roman"/>
              </w:rPr>
              <w:t>50</w:t>
            </w:r>
            <w:r w:rsidRPr="00401E35">
              <w:rPr>
                <w:rFonts w:ascii="Times New Roman" w:hAnsi="Times New Roman" w:cs="Times New Roman"/>
              </w:rPr>
              <w:t xml:space="preserve"> mg (</w:t>
            </w:r>
            <w:r>
              <w:rPr>
                <w:rFonts w:ascii="Times New Roman" w:hAnsi="Times New Roman" w:cs="Times New Roman"/>
              </w:rPr>
              <w:t>2</w:t>
            </w:r>
            <w:r w:rsidRPr="00401E35">
              <w:rPr>
                <w:rFonts w:ascii="Times New Roman" w:hAnsi="Times New Roman" w:cs="Times New Roman"/>
              </w:rPr>
              <w:t xml:space="preserve"> db 25 mg-os kapszula</w:t>
            </w:r>
            <w:r w:rsidR="0000092A" w:rsidRPr="00D14A73">
              <w:rPr>
                <w:rFonts w:ascii="Times New Roman" w:hAnsi="Times New Roman" w:cs="Times New Roman"/>
                <w:bCs/>
                <w:vertAlign w:val="superscript"/>
                <w:lang w:val="hu-HU"/>
              </w:rPr>
              <w:t>#</w:t>
            </w:r>
            <w:r w:rsidRPr="00401E35">
              <w:rPr>
                <w:rFonts w:ascii="Times New Roman" w:hAnsi="Times New Roman" w:cs="Times New Roman"/>
              </w:rPr>
              <w:t>)</w:t>
            </w:r>
          </w:p>
          <w:p w14:paraId="0E9C6A98" w14:textId="6734B998" w:rsidR="007339B3" w:rsidRPr="00401E35" w:rsidRDefault="007339B3" w:rsidP="007339B3">
            <w:pPr>
              <w:pStyle w:val="TableParagraph"/>
              <w:spacing w:before="27"/>
              <w:ind w:left="162"/>
              <w:jc w:val="center"/>
              <w:rPr>
                <w:rFonts w:ascii="Times New Roman" w:hAnsi="Times New Roman" w:cs="Times New Roman"/>
              </w:rPr>
            </w:pPr>
            <w:r w:rsidRPr="00401E35">
              <w:rPr>
                <w:rFonts w:ascii="Times New Roman" w:hAnsi="Times New Roman" w:cs="Times New Roman"/>
              </w:rPr>
              <w:t>naponta kétszer</w:t>
            </w:r>
          </w:p>
        </w:tc>
      </w:tr>
      <w:tr w:rsidR="007339B3" w:rsidRPr="00F075E1" w14:paraId="43FB733D" w14:textId="0CB6FDAD" w:rsidTr="00300950">
        <w:trPr>
          <w:trHeight w:val="561"/>
        </w:trPr>
        <w:tc>
          <w:tcPr>
            <w:tcW w:w="1743" w:type="dxa"/>
          </w:tcPr>
          <w:p w14:paraId="3D7C5531" w14:textId="77777777" w:rsidR="007339B3" w:rsidRPr="00401E35" w:rsidRDefault="007339B3" w:rsidP="00300950">
            <w:pPr>
              <w:pStyle w:val="TableParagraph"/>
              <w:spacing w:before="27"/>
              <w:ind w:left="113"/>
              <w:jc w:val="center"/>
              <w:rPr>
                <w:rFonts w:ascii="Times New Roman" w:hAnsi="Times New Roman" w:cs="Times New Roman"/>
              </w:rPr>
            </w:pPr>
            <w:r w:rsidRPr="00401E35">
              <w:rPr>
                <w:rFonts w:ascii="Times New Roman" w:hAnsi="Times New Roman" w:cs="Times New Roman"/>
              </w:rPr>
              <w:t>33,5 –</w:t>
            </w:r>
            <w:r w:rsidRPr="00401E35">
              <w:rPr>
                <w:rFonts w:ascii="Times New Roman" w:hAnsi="Times New Roman" w:cs="Times New Roman"/>
                <w:spacing w:val="-2"/>
              </w:rPr>
              <w:t xml:space="preserve"> </w:t>
            </w:r>
            <w:r w:rsidRPr="00401E35">
              <w:rPr>
                <w:rFonts w:ascii="Times New Roman" w:hAnsi="Times New Roman" w:cs="Times New Roman"/>
              </w:rPr>
              <w:t xml:space="preserve">57,4 </w:t>
            </w:r>
            <w:r w:rsidRPr="00401E35">
              <w:rPr>
                <w:rFonts w:ascii="Times New Roman" w:hAnsi="Times New Roman" w:cs="Times New Roman"/>
                <w:spacing w:val="-5"/>
              </w:rPr>
              <w:t>kg</w:t>
            </w:r>
          </w:p>
        </w:tc>
        <w:tc>
          <w:tcPr>
            <w:tcW w:w="3685" w:type="dxa"/>
          </w:tcPr>
          <w:p w14:paraId="65DD1C61" w14:textId="77777777" w:rsidR="007339B3" w:rsidRDefault="007339B3" w:rsidP="007339B3">
            <w:pPr>
              <w:pStyle w:val="TableParagraph"/>
              <w:spacing w:line="280" w:lineRule="exact"/>
              <w:ind w:left="238" w:right="17"/>
              <w:jc w:val="center"/>
              <w:rPr>
                <w:rFonts w:ascii="Times New Roman" w:hAnsi="Times New Roman" w:cs="Times New Roman"/>
              </w:rPr>
            </w:pPr>
            <w:r w:rsidRPr="00401E35">
              <w:rPr>
                <w:rFonts w:ascii="Times New Roman" w:hAnsi="Times New Roman" w:cs="Times New Roman"/>
              </w:rPr>
              <w:t xml:space="preserve">100 mg (1 db 100 mg-os kapszula </w:t>
            </w:r>
          </w:p>
          <w:p w14:paraId="6E969E6F" w14:textId="4A0C8CD5" w:rsidR="007339B3" w:rsidRPr="00401E35" w:rsidRDefault="007339B3" w:rsidP="007339B3">
            <w:pPr>
              <w:pStyle w:val="TableParagraph"/>
              <w:spacing w:line="280" w:lineRule="exact"/>
              <w:ind w:left="238" w:right="17"/>
              <w:jc w:val="center"/>
              <w:rPr>
                <w:rFonts w:ascii="Times New Roman" w:hAnsi="Times New Roman" w:cs="Times New Roman"/>
              </w:rPr>
            </w:pPr>
            <w:r w:rsidRPr="00401E35">
              <w:rPr>
                <w:rFonts w:ascii="Times New Roman" w:hAnsi="Times New Roman" w:cs="Times New Roman"/>
              </w:rPr>
              <w:t>vagy 4  db 25 mg-os kapszula</w:t>
            </w:r>
            <w:r w:rsidR="0000092A" w:rsidRPr="00D14A73">
              <w:rPr>
                <w:rFonts w:ascii="Times New Roman" w:hAnsi="Times New Roman" w:cs="Times New Roman"/>
                <w:bCs/>
                <w:vertAlign w:val="superscript"/>
                <w:lang w:val="hu-HU"/>
              </w:rPr>
              <w:t>#</w:t>
            </w:r>
            <w:r w:rsidRPr="00401E35">
              <w:rPr>
                <w:rFonts w:ascii="Times New Roman" w:hAnsi="Times New Roman" w:cs="Times New Roman"/>
              </w:rPr>
              <w:t>)</w:t>
            </w:r>
          </w:p>
          <w:p w14:paraId="2349096E" w14:textId="77777777" w:rsidR="007339B3" w:rsidRPr="00401E35" w:rsidRDefault="007339B3" w:rsidP="007339B3">
            <w:pPr>
              <w:pStyle w:val="TableParagraph"/>
              <w:spacing w:line="280" w:lineRule="exact"/>
              <w:ind w:left="238" w:right="17"/>
              <w:jc w:val="center"/>
              <w:rPr>
                <w:rFonts w:ascii="Times New Roman" w:hAnsi="Times New Roman" w:cs="Times New Roman"/>
              </w:rPr>
            </w:pPr>
            <w:r w:rsidRPr="00401E35">
              <w:rPr>
                <w:rFonts w:ascii="Times New Roman" w:hAnsi="Times New Roman" w:cs="Times New Roman"/>
              </w:rPr>
              <w:t>naponta kétszer</w:t>
            </w:r>
          </w:p>
        </w:tc>
        <w:tc>
          <w:tcPr>
            <w:tcW w:w="3402" w:type="dxa"/>
          </w:tcPr>
          <w:p w14:paraId="3E08E1CD" w14:textId="47B4813B" w:rsidR="007339B3" w:rsidRPr="00401E35" w:rsidRDefault="007339B3" w:rsidP="007339B3">
            <w:pPr>
              <w:pStyle w:val="TableParagraph"/>
              <w:spacing w:line="280" w:lineRule="exact"/>
              <w:ind w:left="238" w:right="17"/>
              <w:jc w:val="center"/>
              <w:rPr>
                <w:rFonts w:ascii="Times New Roman" w:hAnsi="Times New Roman" w:cs="Times New Roman"/>
              </w:rPr>
            </w:pPr>
            <w:r>
              <w:rPr>
                <w:rFonts w:ascii="Times New Roman" w:hAnsi="Times New Roman" w:cs="Times New Roman"/>
              </w:rPr>
              <w:t>75</w:t>
            </w:r>
            <w:r w:rsidRPr="00401E35">
              <w:rPr>
                <w:rFonts w:ascii="Times New Roman" w:hAnsi="Times New Roman" w:cs="Times New Roman"/>
              </w:rPr>
              <w:t xml:space="preserve"> mg (</w:t>
            </w:r>
            <w:r w:rsidRPr="007339B3">
              <w:rPr>
                <w:rFonts w:ascii="Times New Roman" w:hAnsi="Times New Roman" w:cs="Times New Roman"/>
              </w:rPr>
              <w:t>3 db 25 mg</w:t>
            </w:r>
            <w:r w:rsidRPr="00401E35">
              <w:rPr>
                <w:rFonts w:ascii="Times New Roman" w:hAnsi="Times New Roman" w:cs="Times New Roman"/>
              </w:rPr>
              <w:t>-os kapszula</w:t>
            </w:r>
            <w:r w:rsidR="0000092A" w:rsidRPr="00D14A73">
              <w:rPr>
                <w:rFonts w:ascii="Times New Roman" w:hAnsi="Times New Roman" w:cs="Times New Roman"/>
                <w:bCs/>
                <w:vertAlign w:val="superscript"/>
                <w:lang w:val="hu-HU"/>
              </w:rPr>
              <w:t>#</w:t>
            </w:r>
            <w:r w:rsidRPr="00401E35">
              <w:rPr>
                <w:rFonts w:ascii="Times New Roman" w:hAnsi="Times New Roman" w:cs="Times New Roman"/>
              </w:rPr>
              <w:t>)</w:t>
            </w:r>
          </w:p>
          <w:p w14:paraId="445A88C9" w14:textId="75CB4C76" w:rsidR="007339B3" w:rsidRPr="00401E35" w:rsidRDefault="007339B3" w:rsidP="007339B3">
            <w:pPr>
              <w:pStyle w:val="TableParagraph"/>
              <w:spacing w:line="280" w:lineRule="exact"/>
              <w:ind w:left="238" w:right="17"/>
              <w:jc w:val="center"/>
              <w:rPr>
                <w:rFonts w:ascii="Times New Roman" w:hAnsi="Times New Roman" w:cs="Times New Roman"/>
              </w:rPr>
            </w:pPr>
            <w:r w:rsidRPr="00401E35">
              <w:rPr>
                <w:rFonts w:ascii="Times New Roman" w:hAnsi="Times New Roman" w:cs="Times New Roman"/>
              </w:rPr>
              <w:t>naponta kétszer</w:t>
            </w:r>
          </w:p>
        </w:tc>
      </w:tr>
      <w:tr w:rsidR="007339B3" w:rsidRPr="00F075E1" w14:paraId="0464D231" w14:textId="0962DD55" w:rsidTr="00300950">
        <w:trPr>
          <w:trHeight w:val="506"/>
        </w:trPr>
        <w:tc>
          <w:tcPr>
            <w:tcW w:w="1743" w:type="dxa"/>
          </w:tcPr>
          <w:p w14:paraId="2080C06E" w14:textId="721537D6" w:rsidR="007339B3" w:rsidRPr="00401E35" w:rsidRDefault="007339B3" w:rsidP="00300950">
            <w:pPr>
              <w:pStyle w:val="TableParagraph"/>
              <w:spacing w:before="28"/>
              <w:ind w:left="113"/>
              <w:jc w:val="center"/>
              <w:rPr>
                <w:rFonts w:ascii="Times New Roman" w:hAnsi="Times New Roman" w:cs="Times New Roman"/>
              </w:rPr>
            </w:pPr>
            <w:r w:rsidRPr="00401E35">
              <w:rPr>
                <w:rFonts w:ascii="Times New Roman" w:hAnsi="Times New Roman" w:cs="Times New Roman"/>
              </w:rPr>
              <w:t>57,5</w:t>
            </w:r>
            <w:r w:rsidRPr="00401E35">
              <w:rPr>
                <w:rFonts w:ascii="Times New Roman" w:hAnsi="Times New Roman" w:cs="Times New Roman"/>
                <w:spacing w:val="-1"/>
              </w:rPr>
              <w:t xml:space="preserve"> </w:t>
            </w:r>
            <w:r w:rsidRPr="00401E35">
              <w:rPr>
                <w:rFonts w:ascii="Times New Roman" w:hAnsi="Times New Roman" w:cs="Times New Roman"/>
              </w:rPr>
              <w:t>kg</w:t>
            </w:r>
            <w:r w:rsidRPr="00401E35">
              <w:rPr>
                <w:rFonts w:ascii="Times New Roman" w:hAnsi="Times New Roman" w:cs="Times New Roman"/>
                <w:spacing w:val="-1"/>
              </w:rPr>
              <w:t xml:space="preserve"> </w:t>
            </w:r>
            <w:r w:rsidRPr="00401E35">
              <w:rPr>
                <w:rFonts w:ascii="Times New Roman" w:hAnsi="Times New Roman" w:cs="Times New Roman"/>
              </w:rPr>
              <w:t>és a</w:t>
            </w:r>
            <w:r w:rsidR="00835822">
              <w:rPr>
                <w:rFonts w:ascii="Times New Roman" w:hAnsi="Times New Roman" w:cs="Times New Roman"/>
              </w:rPr>
              <w:t xml:space="preserve"> </w:t>
            </w:r>
            <w:r w:rsidRPr="00401E35">
              <w:rPr>
                <w:rFonts w:ascii="Times New Roman" w:hAnsi="Times New Roman" w:cs="Times New Roman"/>
              </w:rPr>
              <w:t>fölött</w:t>
            </w:r>
          </w:p>
        </w:tc>
        <w:tc>
          <w:tcPr>
            <w:tcW w:w="3685" w:type="dxa"/>
          </w:tcPr>
          <w:p w14:paraId="06630A91" w14:textId="77777777" w:rsidR="007339B3" w:rsidRDefault="007339B3" w:rsidP="007339B3">
            <w:pPr>
              <w:pStyle w:val="TableParagraph"/>
              <w:spacing w:line="252" w:lineRule="exact"/>
              <w:ind w:left="125"/>
              <w:jc w:val="center"/>
              <w:rPr>
                <w:rFonts w:ascii="Times New Roman" w:hAnsi="Times New Roman" w:cs="Times New Roman"/>
              </w:rPr>
            </w:pPr>
            <w:r w:rsidRPr="00401E35">
              <w:rPr>
                <w:rFonts w:ascii="Times New Roman" w:hAnsi="Times New Roman" w:cs="Times New Roman"/>
              </w:rPr>
              <w:t xml:space="preserve">150 mg (1 db 150 mg-os kapszula </w:t>
            </w:r>
          </w:p>
          <w:p w14:paraId="2098FE8C" w14:textId="1877427C" w:rsidR="007339B3" w:rsidRDefault="007339B3" w:rsidP="007339B3">
            <w:pPr>
              <w:pStyle w:val="TableParagraph"/>
              <w:spacing w:line="252" w:lineRule="exact"/>
              <w:ind w:left="125"/>
              <w:jc w:val="center"/>
              <w:rPr>
                <w:rFonts w:ascii="Times New Roman" w:hAnsi="Times New Roman" w:cs="Times New Roman"/>
              </w:rPr>
            </w:pPr>
            <w:r w:rsidRPr="00401E35">
              <w:rPr>
                <w:rFonts w:ascii="Times New Roman" w:hAnsi="Times New Roman" w:cs="Times New Roman"/>
              </w:rPr>
              <w:t>vagy 6 db 25 mg-os kapszula</w:t>
            </w:r>
            <w:r w:rsidR="0000092A" w:rsidRPr="00D14A73">
              <w:rPr>
                <w:rFonts w:ascii="Times New Roman" w:hAnsi="Times New Roman" w:cs="Times New Roman"/>
                <w:bCs/>
                <w:vertAlign w:val="superscript"/>
                <w:lang w:val="hu-HU"/>
              </w:rPr>
              <w:t>#</w:t>
            </w:r>
            <w:r w:rsidRPr="00401E35">
              <w:rPr>
                <w:rFonts w:ascii="Times New Roman" w:hAnsi="Times New Roman" w:cs="Times New Roman"/>
              </w:rPr>
              <w:t>)</w:t>
            </w:r>
          </w:p>
          <w:p w14:paraId="2869F83C" w14:textId="77777777" w:rsidR="007339B3" w:rsidRPr="00401E35" w:rsidRDefault="007339B3" w:rsidP="007339B3">
            <w:pPr>
              <w:pStyle w:val="TableParagraph"/>
              <w:spacing w:line="252" w:lineRule="exact"/>
              <w:ind w:left="125"/>
              <w:jc w:val="center"/>
              <w:rPr>
                <w:rFonts w:ascii="Times New Roman" w:hAnsi="Times New Roman" w:cs="Times New Roman"/>
              </w:rPr>
            </w:pPr>
            <w:r w:rsidRPr="00401E35">
              <w:rPr>
                <w:rFonts w:ascii="Times New Roman" w:hAnsi="Times New Roman" w:cs="Times New Roman"/>
              </w:rPr>
              <w:t>naponta kétszer</w:t>
            </w:r>
          </w:p>
        </w:tc>
        <w:tc>
          <w:tcPr>
            <w:tcW w:w="3402" w:type="dxa"/>
          </w:tcPr>
          <w:p w14:paraId="134146A7" w14:textId="5EB8A5ED" w:rsidR="007339B3" w:rsidRDefault="007339B3" w:rsidP="007339B3">
            <w:pPr>
              <w:pStyle w:val="TableParagraph"/>
              <w:spacing w:line="252" w:lineRule="exact"/>
              <w:ind w:left="125"/>
              <w:jc w:val="center"/>
              <w:rPr>
                <w:rFonts w:ascii="Times New Roman" w:hAnsi="Times New Roman" w:cs="Times New Roman"/>
              </w:rPr>
            </w:pPr>
            <w:r>
              <w:rPr>
                <w:rFonts w:ascii="Times New Roman" w:hAnsi="Times New Roman" w:cs="Times New Roman"/>
              </w:rPr>
              <w:t>100</w:t>
            </w:r>
            <w:r w:rsidRPr="00401E35">
              <w:rPr>
                <w:rFonts w:ascii="Times New Roman" w:hAnsi="Times New Roman" w:cs="Times New Roman"/>
              </w:rPr>
              <w:t xml:space="preserve"> mg (1 db 150 mg-os kapszula </w:t>
            </w:r>
          </w:p>
          <w:p w14:paraId="4A402AD7" w14:textId="6F9A0986" w:rsidR="007339B3" w:rsidRDefault="007339B3" w:rsidP="007339B3">
            <w:pPr>
              <w:pStyle w:val="TableParagraph"/>
              <w:spacing w:line="252" w:lineRule="exact"/>
              <w:ind w:left="125"/>
              <w:jc w:val="center"/>
              <w:rPr>
                <w:rFonts w:ascii="Times New Roman" w:hAnsi="Times New Roman" w:cs="Times New Roman"/>
              </w:rPr>
            </w:pPr>
            <w:r w:rsidRPr="00401E35">
              <w:rPr>
                <w:rFonts w:ascii="Times New Roman" w:hAnsi="Times New Roman" w:cs="Times New Roman"/>
              </w:rPr>
              <w:t xml:space="preserve">vagy </w:t>
            </w:r>
            <w:r>
              <w:rPr>
                <w:rFonts w:ascii="Times New Roman" w:hAnsi="Times New Roman" w:cs="Times New Roman"/>
              </w:rPr>
              <w:t>2</w:t>
            </w:r>
            <w:r w:rsidRPr="00401E35">
              <w:rPr>
                <w:rFonts w:ascii="Times New Roman" w:hAnsi="Times New Roman" w:cs="Times New Roman"/>
              </w:rPr>
              <w:t> db 25 mg-os kapszula</w:t>
            </w:r>
            <w:r w:rsidR="0000092A" w:rsidRPr="00D14A73">
              <w:rPr>
                <w:rFonts w:ascii="Times New Roman" w:hAnsi="Times New Roman" w:cs="Times New Roman"/>
                <w:bCs/>
                <w:vertAlign w:val="superscript"/>
                <w:lang w:val="hu-HU"/>
              </w:rPr>
              <w:t>#</w:t>
            </w:r>
            <w:r w:rsidRPr="00401E35">
              <w:rPr>
                <w:rFonts w:ascii="Times New Roman" w:hAnsi="Times New Roman" w:cs="Times New Roman"/>
              </w:rPr>
              <w:t>)</w:t>
            </w:r>
          </w:p>
          <w:p w14:paraId="525BFD82" w14:textId="1AB86076" w:rsidR="007339B3" w:rsidRPr="00401E35" w:rsidRDefault="007339B3" w:rsidP="007339B3">
            <w:pPr>
              <w:pStyle w:val="TableParagraph"/>
              <w:spacing w:line="252" w:lineRule="exact"/>
              <w:ind w:left="125"/>
              <w:jc w:val="center"/>
              <w:rPr>
                <w:rFonts w:ascii="Times New Roman" w:hAnsi="Times New Roman" w:cs="Times New Roman"/>
              </w:rPr>
            </w:pPr>
            <w:r w:rsidRPr="00401E35">
              <w:rPr>
                <w:rFonts w:ascii="Times New Roman" w:hAnsi="Times New Roman" w:cs="Times New Roman"/>
              </w:rPr>
              <w:t>naponta kétszer</w:t>
            </w:r>
          </w:p>
        </w:tc>
      </w:tr>
      <w:tr w:rsidR="0000092A" w:rsidRPr="00F075E1" w14:paraId="58EC8E2B" w14:textId="77777777" w:rsidTr="00CA5DA0">
        <w:trPr>
          <w:trHeight w:val="506"/>
        </w:trPr>
        <w:tc>
          <w:tcPr>
            <w:tcW w:w="8830" w:type="dxa"/>
            <w:gridSpan w:val="3"/>
          </w:tcPr>
          <w:p w14:paraId="3DF3C030" w14:textId="007F4872" w:rsidR="0000092A" w:rsidRPr="00300950" w:rsidRDefault="0000092A" w:rsidP="00300950">
            <w:pPr>
              <w:pStyle w:val="Default"/>
              <w:ind w:left="57" w:right="57"/>
              <w:rPr>
                <w:sz w:val="22"/>
                <w:szCs w:val="22"/>
              </w:rPr>
            </w:pPr>
            <w:r w:rsidRPr="00300950">
              <w:rPr>
                <w:sz w:val="22"/>
                <w:szCs w:val="22"/>
              </w:rPr>
              <w:t>*</w:t>
            </w:r>
            <w:r w:rsidRPr="00300950">
              <w:rPr>
                <w:b/>
                <w:bCs/>
                <w:sz w:val="22"/>
                <w:szCs w:val="22"/>
              </w:rPr>
              <w:t xml:space="preserve">Csökkentett dózis </w:t>
            </w:r>
            <w:r w:rsidRPr="00300950">
              <w:rPr>
                <w:sz w:val="22"/>
                <w:szCs w:val="22"/>
              </w:rPr>
              <w:t>javasolt enyhe májkárosodásban (Child–Pugh A stádium) szenvedő gyermekek és serdülők számára, valamint a mellékhatások</w:t>
            </w:r>
            <w:r w:rsidR="0082607C">
              <w:rPr>
                <w:sz w:val="22"/>
                <w:szCs w:val="22"/>
              </w:rPr>
              <w:t xml:space="preserve"> elfogadható szinten tartásának érdekében, </w:t>
            </w:r>
            <w:r w:rsidRPr="00300950">
              <w:rPr>
                <w:sz w:val="22"/>
                <w:szCs w:val="22"/>
              </w:rPr>
              <w:t>ebben a populációban. A</w:t>
            </w:r>
            <w:r w:rsidR="007237B5">
              <w:rPr>
                <w:sz w:val="22"/>
                <w:szCs w:val="22"/>
              </w:rPr>
              <w:t> </w:t>
            </w:r>
            <w:r w:rsidRPr="00300950">
              <w:rPr>
                <w:sz w:val="22"/>
                <w:szCs w:val="22"/>
              </w:rPr>
              <w:t xml:space="preserve">gyógyszermellékhatások kezelésével kapcsolatos további információkért lásd fent. </w:t>
            </w:r>
          </w:p>
          <w:p w14:paraId="74616F02" w14:textId="77777777" w:rsidR="0000092A" w:rsidRPr="0000092A" w:rsidRDefault="0000092A" w:rsidP="00300950">
            <w:pPr>
              <w:pStyle w:val="TableParagraph"/>
              <w:spacing w:line="252" w:lineRule="exact"/>
              <w:ind w:left="57" w:right="57"/>
              <w:rPr>
                <w:rFonts w:ascii="Times New Roman" w:hAnsi="Times New Roman" w:cs="Times New Roman"/>
              </w:rPr>
            </w:pPr>
          </w:p>
        </w:tc>
      </w:tr>
      <w:tr w:rsidR="0000092A" w:rsidRPr="00F075E1" w14:paraId="52B0DE98" w14:textId="77777777" w:rsidTr="00CA5DA0">
        <w:trPr>
          <w:trHeight w:val="506"/>
        </w:trPr>
        <w:tc>
          <w:tcPr>
            <w:tcW w:w="8830" w:type="dxa"/>
            <w:gridSpan w:val="3"/>
          </w:tcPr>
          <w:p w14:paraId="4A5B8942" w14:textId="1A3DB450" w:rsidR="0000092A" w:rsidRPr="00300950" w:rsidRDefault="0000092A" w:rsidP="00300950">
            <w:pPr>
              <w:pStyle w:val="Default"/>
              <w:ind w:left="57" w:right="57"/>
              <w:rPr>
                <w:sz w:val="22"/>
                <w:szCs w:val="22"/>
              </w:rPr>
            </w:pPr>
            <w:r w:rsidRPr="00300950">
              <w:rPr>
                <w:sz w:val="22"/>
                <w:szCs w:val="22"/>
              </w:rPr>
              <w:t>**</w:t>
            </w:r>
            <w:r w:rsidRPr="00300950">
              <w:rPr>
                <w:b/>
                <w:bCs/>
                <w:sz w:val="22"/>
                <w:szCs w:val="22"/>
              </w:rPr>
              <w:t>13,5</w:t>
            </w:r>
            <w:r w:rsidR="00313AD6">
              <w:rPr>
                <w:b/>
                <w:bCs/>
                <w:sz w:val="22"/>
                <w:szCs w:val="22"/>
              </w:rPr>
              <w:t> </w:t>
            </w:r>
            <w:r w:rsidRPr="00300950">
              <w:rPr>
                <w:b/>
                <w:bCs/>
                <w:sz w:val="22"/>
                <w:szCs w:val="22"/>
              </w:rPr>
              <w:t xml:space="preserve">kg alatti testtömeg: </w:t>
            </w:r>
          </w:p>
          <w:p w14:paraId="4E6436AB" w14:textId="729A8596" w:rsidR="0000092A" w:rsidRDefault="0000092A" w:rsidP="00300950">
            <w:pPr>
              <w:pStyle w:val="TableParagraph"/>
              <w:spacing w:line="252" w:lineRule="exact"/>
              <w:ind w:left="57" w:right="57"/>
              <w:rPr>
                <w:rFonts w:ascii="Times New Roman" w:hAnsi="Times New Roman" w:cs="Times New Roman"/>
              </w:rPr>
            </w:pPr>
            <w:r w:rsidRPr="00300950">
              <w:rPr>
                <w:rFonts w:ascii="Times New Roman" w:hAnsi="Times New Roman" w:cs="Times New Roman"/>
              </w:rPr>
              <w:t>A kezelést meg kell szakítani abban az esetben, ha a beteg testtömege 13,5</w:t>
            </w:r>
            <w:r>
              <w:rPr>
                <w:rFonts w:ascii="Times New Roman" w:hAnsi="Times New Roman" w:cs="Times New Roman"/>
              </w:rPr>
              <w:t> </w:t>
            </w:r>
            <w:r w:rsidRPr="00300950">
              <w:rPr>
                <w:rFonts w:ascii="Times New Roman" w:hAnsi="Times New Roman" w:cs="Times New Roman"/>
              </w:rPr>
              <w:t xml:space="preserve">kg alá csökken. </w:t>
            </w:r>
          </w:p>
          <w:p w14:paraId="428DBDA3" w14:textId="5C860E01" w:rsidR="0000092A" w:rsidRPr="0000092A" w:rsidRDefault="0000092A" w:rsidP="00300950">
            <w:pPr>
              <w:pStyle w:val="TableParagraph"/>
              <w:spacing w:line="252" w:lineRule="exact"/>
              <w:ind w:left="57" w:right="57"/>
              <w:rPr>
                <w:rFonts w:ascii="Times New Roman" w:hAnsi="Times New Roman" w:cs="Times New Roman"/>
              </w:rPr>
            </w:pPr>
          </w:p>
        </w:tc>
      </w:tr>
    </w:tbl>
    <w:p w14:paraId="6AFD7B9E" w14:textId="066684FB" w:rsidR="0000092A" w:rsidRPr="00300950" w:rsidRDefault="0000092A" w:rsidP="00E331AE">
      <w:pPr>
        <w:pStyle w:val="Szvegtrzs"/>
        <w:ind w:left="0"/>
        <w:rPr>
          <w:rFonts w:cs="Times New Roman"/>
          <w:spacing w:val="-1"/>
          <w:sz w:val="18"/>
          <w:szCs w:val="18"/>
        </w:rPr>
      </w:pPr>
      <w:r w:rsidRPr="00300950">
        <w:rPr>
          <w:rFonts w:cs="Times New Roman"/>
          <w:spacing w:val="-1"/>
          <w:sz w:val="18"/>
          <w:szCs w:val="18"/>
        </w:rPr>
        <w:t># A Nintedanib Onkogen csak 100 mg-os és 150 mg-os hatáserősségben kapható. Ezért a Nintedanib Onkogen nem adható olyan gyermek</w:t>
      </w:r>
      <w:r w:rsidR="000D750B" w:rsidRPr="00300950">
        <w:rPr>
          <w:rFonts w:cs="Times New Roman"/>
          <w:spacing w:val="-1"/>
          <w:sz w:val="18"/>
          <w:szCs w:val="18"/>
        </w:rPr>
        <w:t>nek és serdülőkne</w:t>
      </w:r>
      <w:r w:rsidRPr="00300950">
        <w:rPr>
          <w:rFonts w:cs="Times New Roman"/>
          <w:spacing w:val="-1"/>
          <w:sz w:val="18"/>
          <w:szCs w:val="18"/>
        </w:rPr>
        <w:t xml:space="preserve">k, akiknek a teljes 100 mg-os </w:t>
      </w:r>
      <w:r w:rsidR="000D750B" w:rsidRPr="00300950">
        <w:rPr>
          <w:rFonts w:cs="Times New Roman"/>
          <w:spacing w:val="-1"/>
          <w:sz w:val="18"/>
          <w:szCs w:val="18"/>
        </w:rPr>
        <w:t>dózisnál</w:t>
      </w:r>
      <w:r w:rsidRPr="00300950">
        <w:rPr>
          <w:rFonts w:cs="Times New Roman"/>
          <w:spacing w:val="-1"/>
          <w:sz w:val="18"/>
          <w:szCs w:val="18"/>
        </w:rPr>
        <w:t xml:space="preserve"> kisebb </w:t>
      </w:r>
      <w:r w:rsidR="000D750B" w:rsidRPr="00300950">
        <w:rPr>
          <w:rFonts w:cs="Times New Roman"/>
          <w:spacing w:val="-1"/>
          <w:sz w:val="18"/>
          <w:szCs w:val="18"/>
        </w:rPr>
        <w:t>dózisra</w:t>
      </w:r>
      <w:r w:rsidRPr="00300950">
        <w:rPr>
          <w:rFonts w:cs="Times New Roman"/>
          <w:spacing w:val="-1"/>
          <w:sz w:val="18"/>
          <w:szCs w:val="18"/>
        </w:rPr>
        <w:t xml:space="preserve"> van szükségük. Ha alternatív adagolásra van szükség, más nintedanib tartalmú készítmények alkalmazhatók, amelyek ezt </w:t>
      </w:r>
      <w:r w:rsidR="00BA2CE9">
        <w:rPr>
          <w:rFonts w:cs="Times New Roman"/>
          <w:spacing w:val="-1"/>
          <w:sz w:val="18"/>
          <w:szCs w:val="18"/>
        </w:rPr>
        <w:t>lehetővé teszik</w:t>
      </w:r>
      <w:r w:rsidRPr="00300950">
        <w:rPr>
          <w:rFonts w:cs="Times New Roman"/>
          <w:spacing w:val="-1"/>
          <w:sz w:val="18"/>
          <w:szCs w:val="18"/>
        </w:rPr>
        <w:t>.</w:t>
      </w:r>
    </w:p>
    <w:p w14:paraId="553046FC" w14:textId="77777777" w:rsidR="00574A63" w:rsidRPr="00EF71F8" w:rsidRDefault="00574A63" w:rsidP="00574A63">
      <w:pPr>
        <w:pStyle w:val="Szvegtrzs"/>
        <w:ind w:left="0"/>
        <w:rPr>
          <w:rFonts w:cs="Times New Roman"/>
        </w:rPr>
      </w:pPr>
    </w:p>
    <w:p w14:paraId="56661C9B" w14:textId="77777777" w:rsidR="0071072E" w:rsidRPr="002D16D8" w:rsidRDefault="0071072E" w:rsidP="0071072E">
      <w:pPr>
        <w:rPr>
          <w:rFonts w:ascii="Times New Roman" w:hAnsi="Times New Roman" w:cs="Times New Roman"/>
          <w:iCs/>
          <w:spacing w:val="-1"/>
          <w:u w:val="single"/>
        </w:rPr>
      </w:pPr>
      <w:r w:rsidRPr="002D16D8">
        <w:rPr>
          <w:rFonts w:ascii="Times New Roman" w:hAnsi="Times New Roman" w:cs="Times New Roman"/>
          <w:iCs/>
          <w:spacing w:val="-1"/>
          <w:u w:val="single"/>
        </w:rPr>
        <w:t>Különleges betegcsoportok</w:t>
      </w:r>
    </w:p>
    <w:p w14:paraId="266453C8" w14:textId="09F54443" w:rsidR="0071072E" w:rsidRPr="002D16D8" w:rsidRDefault="0071072E" w:rsidP="0071072E">
      <w:pPr>
        <w:rPr>
          <w:rFonts w:ascii="Times New Roman" w:hAnsi="Times New Roman" w:cs="Times New Roman"/>
          <w:i/>
          <w:spacing w:val="-1"/>
        </w:rPr>
      </w:pPr>
      <w:r w:rsidRPr="002D16D8">
        <w:rPr>
          <w:rFonts w:ascii="Times New Roman" w:hAnsi="Times New Roman" w:cs="Times New Roman"/>
          <w:i/>
          <w:spacing w:val="-1"/>
        </w:rPr>
        <w:t>Idősek (≥ 65</w:t>
      </w:r>
      <w:r w:rsidR="005F7153">
        <w:rPr>
          <w:rFonts w:ascii="Times New Roman" w:hAnsi="Times New Roman" w:cs="Times New Roman"/>
          <w:i/>
          <w:spacing w:val="-1"/>
        </w:rPr>
        <w:t> </w:t>
      </w:r>
      <w:r w:rsidRPr="002D16D8">
        <w:rPr>
          <w:rFonts w:ascii="Times New Roman" w:hAnsi="Times New Roman" w:cs="Times New Roman"/>
          <w:i/>
          <w:spacing w:val="-1"/>
        </w:rPr>
        <w:t>évesek)</w:t>
      </w:r>
    </w:p>
    <w:p w14:paraId="3E5B4258" w14:textId="760370E9" w:rsidR="0071072E" w:rsidRPr="002D16D8" w:rsidRDefault="0071072E" w:rsidP="0071072E">
      <w:pPr>
        <w:rPr>
          <w:rFonts w:ascii="Times New Roman" w:hAnsi="Times New Roman" w:cs="Times New Roman"/>
          <w:iCs/>
          <w:spacing w:val="-1"/>
        </w:rPr>
      </w:pPr>
      <w:r w:rsidRPr="002D16D8">
        <w:rPr>
          <w:rFonts w:ascii="Times New Roman" w:hAnsi="Times New Roman" w:cs="Times New Roman"/>
          <w:iCs/>
          <w:spacing w:val="-1"/>
        </w:rPr>
        <w:t>Idős betegeknél nem figyeltek meg különbségeket a biztonságosságban és a hatásosságban. Idős</w:t>
      </w:r>
      <w:r w:rsidR="00296C97">
        <w:rPr>
          <w:rFonts w:ascii="Times New Roman" w:hAnsi="Times New Roman" w:cs="Times New Roman"/>
          <w:iCs/>
          <w:spacing w:val="-1"/>
        </w:rPr>
        <w:t xml:space="preserve"> </w:t>
      </w:r>
      <w:r w:rsidRPr="002D16D8">
        <w:rPr>
          <w:rFonts w:ascii="Times New Roman" w:hAnsi="Times New Roman" w:cs="Times New Roman"/>
          <w:iCs/>
          <w:spacing w:val="-1"/>
        </w:rPr>
        <w:t xml:space="preserve">betegeknél az életkor alapján nincs szükség </w:t>
      </w:r>
      <w:r w:rsidRPr="00300950">
        <w:rPr>
          <w:rFonts w:ascii="Times New Roman" w:hAnsi="Times New Roman" w:cs="Times New Roman"/>
          <w:i/>
          <w:spacing w:val="-1"/>
        </w:rPr>
        <w:t>előzetes</w:t>
      </w:r>
      <w:r w:rsidRPr="002D16D8">
        <w:rPr>
          <w:rFonts w:ascii="Times New Roman" w:hAnsi="Times New Roman" w:cs="Times New Roman"/>
          <w:iCs/>
          <w:spacing w:val="-1"/>
        </w:rPr>
        <w:t xml:space="preserve"> dózismódosításra. A 75</w:t>
      </w:r>
      <w:r w:rsidR="00E55983">
        <w:rPr>
          <w:rFonts w:ascii="Times New Roman" w:hAnsi="Times New Roman" w:cs="Times New Roman"/>
          <w:iCs/>
          <w:spacing w:val="-1"/>
        </w:rPr>
        <w:t> </w:t>
      </w:r>
      <w:r w:rsidRPr="002D16D8">
        <w:rPr>
          <w:rFonts w:ascii="Times New Roman" w:hAnsi="Times New Roman" w:cs="Times New Roman"/>
          <w:iCs/>
          <w:spacing w:val="-1"/>
        </w:rPr>
        <w:t>éves és idősebb betegek</w:t>
      </w:r>
      <w:r w:rsidR="00296C97">
        <w:rPr>
          <w:rFonts w:ascii="Times New Roman" w:hAnsi="Times New Roman" w:cs="Times New Roman"/>
          <w:iCs/>
          <w:spacing w:val="-1"/>
        </w:rPr>
        <w:t xml:space="preserve"> </w:t>
      </w:r>
      <w:r w:rsidRPr="002D16D8">
        <w:rPr>
          <w:rFonts w:ascii="Times New Roman" w:hAnsi="Times New Roman" w:cs="Times New Roman"/>
          <w:iCs/>
          <w:spacing w:val="-1"/>
        </w:rPr>
        <w:t>esetén nagyobb valószínűséggel válhat szükségessé dóziscsökkentés a mellékhatások kezelhetősége</w:t>
      </w:r>
      <w:r w:rsidR="00296C97">
        <w:rPr>
          <w:rFonts w:ascii="Times New Roman" w:hAnsi="Times New Roman" w:cs="Times New Roman"/>
          <w:iCs/>
          <w:spacing w:val="-1"/>
        </w:rPr>
        <w:t xml:space="preserve"> </w:t>
      </w:r>
      <w:r w:rsidRPr="002D16D8">
        <w:rPr>
          <w:rFonts w:ascii="Times New Roman" w:hAnsi="Times New Roman" w:cs="Times New Roman"/>
          <w:iCs/>
          <w:spacing w:val="-1"/>
        </w:rPr>
        <w:t>érdekében (lásd 5.2</w:t>
      </w:r>
      <w:r w:rsidR="00E55983">
        <w:rPr>
          <w:rFonts w:ascii="Times New Roman" w:hAnsi="Times New Roman" w:cs="Times New Roman"/>
          <w:iCs/>
          <w:spacing w:val="-1"/>
        </w:rPr>
        <w:t> </w:t>
      </w:r>
      <w:r w:rsidRPr="002D16D8">
        <w:rPr>
          <w:rFonts w:ascii="Times New Roman" w:hAnsi="Times New Roman" w:cs="Times New Roman"/>
          <w:iCs/>
          <w:spacing w:val="-1"/>
        </w:rPr>
        <w:t>pont).</w:t>
      </w:r>
    </w:p>
    <w:p w14:paraId="09BCA64A" w14:textId="77777777" w:rsidR="002D16D8" w:rsidRDefault="002D16D8" w:rsidP="0071072E">
      <w:pPr>
        <w:rPr>
          <w:rFonts w:ascii="Times New Roman" w:hAnsi="Times New Roman" w:cs="Times New Roman"/>
          <w:iCs/>
          <w:spacing w:val="-1"/>
        </w:rPr>
      </w:pPr>
    </w:p>
    <w:p w14:paraId="4E0D0382" w14:textId="09046C55" w:rsidR="0071072E" w:rsidRPr="002D16D8" w:rsidRDefault="0071072E" w:rsidP="0071072E">
      <w:pPr>
        <w:rPr>
          <w:rFonts w:ascii="Times New Roman" w:hAnsi="Times New Roman" w:cs="Times New Roman"/>
          <w:i/>
          <w:spacing w:val="-1"/>
        </w:rPr>
      </w:pPr>
      <w:r w:rsidRPr="002D16D8">
        <w:rPr>
          <w:rFonts w:ascii="Times New Roman" w:hAnsi="Times New Roman" w:cs="Times New Roman"/>
          <w:i/>
          <w:spacing w:val="-1"/>
        </w:rPr>
        <w:t>Vesekárosodás</w:t>
      </w:r>
    </w:p>
    <w:p w14:paraId="51D3C5D5" w14:textId="27896A32" w:rsidR="0071072E" w:rsidRPr="002D16D8" w:rsidRDefault="0071072E" w:rsidP="0071072E">
      <w:pPr>
        <w:rPr>
          <w:rFonts w:ascii="Times New Roman" w:hAnsi="Times New Roman" w:cs="Times New Roman"/>
          <w:iCs/>
          <w:spacing w:val="-1"/>
        </w:rPr>
      </w:pPr>
      <w:r w:rsidRPr="002D16D8">
        <w:rPr>
          <w:rFonts w:ascii="Times New Roman" w:hAnsi="Times New Roman" w:cs="Times New Roman"/>
          <w:iCs/>
          <w:spacing w:val="-1"/>
        </w:rPr>
        <w:t xml:space="preserve">Enyhe és közepesen súlyos vesekárosodásban szenvedő </w:t>
      </w:r>
      <w:r w:rsidR="0000092A" w:rsidRPr="0000092A">
        <w:rPr>
          <w:rFonts w:ascii="Times New Roman" w:hAnsi="Times New Roman" w:cs="Times New Roman"/>
          <w:iCs/>
          <w:spacing w:val="-1"/>
        </w:rPr>
        <w:t xml:space="preserve">felnőtt betegek, illetve gyermekek és serdülők </w:t>
      </w:r>
      <w:r w:rsidRPr="002D16D8">
        <w:rPr>
          <w:rFonts w:ascii="Times New Roman" w:hAnsi="Times New Roman" w:cs="Times New Roman"/>
          <w:iCs/>
          <w:spacing w:val="-1"/>
        </w:rPr>
        <w:t>esetén nincs szükség a kezdő adag</w:t>
      </w:r>
      <w:r w:rsidR="004A6894">
        <w:rPr>
          <w:rFonts w:ascii="Times New Roman" w:hAnsi="Times New Roman" w:cs="Times New Roman"/>
          <w:iCs/>
          <w:spacing w:val="-1"/>
        </w:rPr>
        <w:t xml:space="preserve"> </w:t>
      </w:r>
      <w:r w:rsidRPr="002D16D8">
        <w:rPr>
          <w:rFonts w:ascii="Times New Roman" w:hAnsi="Times New Roman" w:cs="Times New Roman"/>
          <w:iCs/>
          <w:spacing w:val="-1"/>
        </w:rPr>
        <w:t>módosítására. A nintedanib biztonságosságát, hatásosságát és farmakokinetikáját súlyos</w:t>
      </w:r>
      <w:r w:rsidR="004A6894">
        <w:rPr>
          <w:rFonts w:ascii="Times New Roman" w:hAnsi="Times New Roman" w:cs="Times New Roman"/>
          <w:iCs/>
          <w:spacing w:val="-1"/>
        </w:rPr>
        <w:t xml:space="preserve"> </w:t>
      </w:r>
      <w:r w:rsidRPr="002D16D8">
        <w:rPr>
          <w:rFonts w:ascii="Times New Roman" w:hAnsi="Times New Roman" w:cs="Times New Roman"/>
          <w:iCs/>
          <w:spacing w:val="-1"/>
        </w:rPr>
        <w:t>vesekárosodásban szenvedő</w:t>
      </w:r>
      <w:r w:rsidR="005E165C">
        <w:rPr>
          <w:rFonts w:ascii="Times New Roman" w:hAnsi="Times New Roman" w:cs="Times New Roman"/>
          <w:iCs/>
          <w:spacing w:val="-1"/>
        </w:rPr>
        <w:t xml:space="preserve">, </w:t>
      </w:r>
      <w:r w:rsidR="005E165C" w:rsidRPr="0000092A">
        <w:rPr>
          <w:rFonts w:ascii="Times New Roman" w:hAnsi="Times New Roman" w:cs="Times New Roman"/>
          <w:iCs/>
          <w:spacing w:val="-1"/>
        </w:rPr>
        <w:t>felnőtt betegek, illetve gyermekek és serdülők</w:t>
      </w:r>
      <w:r w:rsidRPr="002D16D8">
        <w:rPr>
          <w:rFonts w:ascii="Times New Roman" w:hAnsi="Times New Roman" w:cs="Times New Roman"/>
          <w:iCs/>
          <w:spacing w:val="-1"/>
        </w:rPr>
        <w:t xml:space="preserve"> </w:t>
      </w:r>
      <w:r w:rsidR="00503319">
        <w:rPr>
          <w:rFonts w:ascii="Times New Roman" w:hAnsi="Times New Roman" w:cs="Times New Roman"/>
          <w:iCs/>
          <w:spacing w:val="-1"/>
        </w:rPr>
        <w:t>esetében</w:t>
      </w:r>
      <w:r w:rsidR="00503319" w:rsidRPr="002D16D8">
        <w:rPr>
          <w:rFonts w:ascii="Times New Roman" w:hAnsi="Times New Roman" w:cs="Times New Roman"/>
          <w:iCs/>
          <w:spacing w:val="-1"/>
        </w:rPr>
        <w:t xml:space="preserve"> </w:t>
      </w:r>
      <w:r w:rsidRPr="002D16D8">
        <w:rPr>
          <w:rFonts w:ascii="Times New Roman" w:hAnsi="Times New Roman" w:cs="Times New Roman"/>
          <w:iCs/>
          <w:spacing w:val="-1"/>
        </w:rPr>
        <w:t>(kreatinin-clearance &lt;</w:t>
      </w:r>
      <w:r w:rsidR="003B7335">
        <w:rPr>
          <w:rFonts w:ascii="Times New Roman" w:hAnsi="Times New Roman" w:cs="Times New Roman"/>
          <w:iCs/>
          <w:spacing w:val="-1"/>
        </w:rPr>
        <w:t> </w:t>
      </w:r>
      <w:r w:rsidRPr="002D16D8">
        <w:rPr>
          <w:rFonts w:ascii="Times New Roman" w:hAnsi="Times New Roman" w:cs="Times New Roman"/>
          <w:iCs/>
          <w:spacing w:val="-1"/>
        </w:rPr>
        <w:t>30</w:t>
      </w:r>
      <w:r w:rsidR="00E55983">
        <w:rPr>
          <w:rFonts w:ascii="Times New Roman" w:hAnsi="Times New Roman" w:cs="Times New Roman"/>
          <w:iCs/>
          <w:spacing w:val="-1"/>
        </w:rPr>
        <w:t> </w:t>
      </w:r>
      <w:r w:rsidRPr="002D16D8">
        <w:rPr>
          <w:rFonts w:ascii="Times New Roman" w:hAnsi="Times New Roman" w:cs="Times New Roman"/>
          <w:iCs/>
          <w:spacing w:val="-1"/>
        </w:rPr>
        <w:t>ml/perc) nem vizsgálták.</w:t>
      </w:r>
    </w:p>
    <w:p w14:paraId="40D48E2E" w14:textId="77777777" w:rsidR="002D16D8" w:rsidRDefault="002D16D8" w:rsidP="0071072E">
      <w:pPr>
        <w:rPr>
          <w:rFonts w:ascii="Times New Roman" w:hAnsi="Times New Roman" w:cs="Times New Roman"/>
          <w:i/>
          <w:spacing w:val="-1"/>
        </w:rPr>
      </w:pPr>
    </w:p>
    <w:p w14:paraId="44595638" w14:textId="25441B35" w:rsidR="0071072E" w:rsidRPr="002D16D8" w:rsidRDefault="0071072E" w:rsidP="0071072E">
      <w:pPr>
        <w:rPr>
          <w:rFonts w:ascii="Times New Roman" w:hAnsi="Times New Roman" w:cs="Times New Roman"/>
          <w:i/>
          <w:spacing w:val="-1"/>
        </w:rPr>
      </w:pPr>
      <w:r w:rsidRPr="002D16D8">
        <w:rPr>
          <w:rFonts w:ascii="Times New Roman" w:hAnsi="Times New Roman" w:cs="Times New Roman"/>
          <w:i/>
          <w:spacing w:val="-1"/>
        </w:rPr>
        <w:t>Májkárosodás</w:t>
      </w:r>
    </w:p>
    <w:p w14:paraId="6ACEC974" w14:textId="5DBBCBFD" w:rsidR="00A81B1C" w:rsidRDefault="0071072E" w:rsidP="00A81B1C">
      <w:pPr>
        <w:rPr>
          <w:rFonts w:ascii="Times New Roman" w:hAnsi="Times New Roman" w:cs="Times New Roman"/>
          <w:iCs/>
          <w:spacing w:val="-1"/>
        </w:rPr>
      </w:pPr>
      <w:r w:rsidRPr="002D16D8">
        <w:rPr>
          <w:rFonts w:ascii="Times New Roman" w:hAnsi="Times New Roman" w:cs="Times New Roman"/>
          <w:iCs/>
          <w:spacing w:val="-1"/>
        </w:rPr>
        <w:t>Enyhe májkárosodásban (Child-Pugh A stádium) szenvedő felnőtt betegeknél a</w:t>
      </w:r>
      <w:r w:rsidR="00F27DBC">
        <w:rPr>
          <w:rFonts w:ascii="Times New Roman" w:hAnsi="Times New Roman" w:cs="Times New Roman"/>
          <w:iCs/>
          <w:spacing w:val="-1"/>
        </w:rPr>
        <w:t xml:space="preserve"> nintedanib</w:t>
      </w:r>
      <w:r w:rsidRPr="002D16D8">
        <w:rPr>
          <w:rFonts w:ascii="Times New Roman" w:hAnsi="Times New Roman" w:cs="Times New Roman"/>
          <w:iCs/>
          <w:spacing w:val="-1"/>
        </w:rPr>
        <w:t xml:space="preserve"> ajánlott adagja</w:t>
      </w:r>
      <w:r w:rsidR="00F27DBC">
        <w:rPr>
          <w:rFonts w:ascii="Times New Roman" w:hAnsi="Times New Roman" w:cs="Times New Roman"/>
          <w:iCs/>
          <w:spacing w:val="-1"/>
        </w:rPr>
        <w:t xml:space="preserve"> </w:t>
      </w:r>
      <w:r w:rsidRPr="002D16D8">
        <w:rPr>
          <w:rFonts w:ascii="Times New Roman" w:hAnsi="Times New Roman" w:cs="Times New Roman"/>
          <w:iCs/>
          <w:spacing w:val="-1"/>
        </w:rPr>
        <w:t>100</w:t>
      </w:r>
      <w:r w:rsidR="00E55983">
        <w:rPr>
          <w:rFonts w:ascii="Times New Roman" w:hAnsi="Times New Roman" w:cs="Times New Roman"/>
          <w:iCs/>
          <w:spacing w:val="-1"/>
        </w:rPr>
        <w:t> </w:t>
      </w:r>
      <w:r w:rsidRPr="002D16D8">
        <w:rPr>
          <w:rFonts w:ascii="Times New Roman" w:hAnsi="Times New Roman" w:cs="Times New Roman"/>
          <w:iCs/>
          <w:spacing w:val="-1"/>
        </w:rPr>
        <w:t>mg naponta kétszer, körülbelül 12</w:t>
      </w:r>
      <w:r w:rsidR="00E55983">
        <w:rPr>
          <w:rFonts w:ascii="Times New Roman" w:hAnsi="Times New Roman" w:cs="Times New Roman"/>
          <w:iCs/>
          <w:spacing w:val="-1"/>
        </w:rPr>
        <w:t> </w:t>
      </w:r>
      <w:r w:rsidRPr="002D16D8">
        <w:rPr>
          <w:rFonts w:ascii="Times New Roman" w:hAnsi="Times New Roman" w:cs="Times New Roman"/>
          <w:iCs/>
          <w:spacing w:val="-1"/>
        </w:rPr>
        <w:t>órás különbséggel bevéve. Enyhe májkárosodásban</w:t>
      </w:r>
      <w:r w:rsidR="004A6894">
        <w:rPr>
          <w:rFonts w:ascii="Times New Roman" w:hAnsi="Times New Roman" w:cs="Times New Roman"/>
          <w:iCs/>
          <w:spacing w:val="-1"/>
        </w:rPr>
        <w:t xml:space="preserve"> </w:t>
      </w:r>
      <w:r w:rsidRPr="002D16D8">
        <w:rPr>
          <w:rFonts w:ascii="Times New Roman" w:hAnsi="Times New Roman" w:cs="Times New Roman"/>
          <w:iCs/>
          <w:spacing w:val="-1"/>
        </w:rPr>
        <w:t xml:space="preserve">(Child-Pugh A stádium) szenvedő </w:t>
      </w:r>
      <w:r w:rsidR="00A81B1C" w:rsidRPr="00A81B1C">
        <w:rPr>
          <w:rFonts w:ascii="Times New Roman" w:hAnsi="Times New Roman" w:cs="Times New Roman"/>
          <w:iCs/>
          <w:spacing w:val="-1"/>
        </w:rPr>
        <w:t>gyermekeknél és serdülőknél</w:t>
      </w:r>
      <w:r w:rsidR="00A81B1C">
        <w:rPr>
          <w:rFonts w:ascii="Times New Roman" w:hAnsi="Times New Roman" w:cs="Times New Roman"/>
          <w:iCs/>
          <w:spacing w:val="-1"/>
        </w:rPr>
        <w:t xml:space="preserve"> </w:t>
      </w:r>
      <w:r w:rsidR="00A81B1C" w:rsidRPr="00A81B1C">
        <w:rPr>
          <w:rFonts w:ascii="Times New Roman" w:hAnsi="Times New Roman" w:cs="Times New Roman"/>
          <w:iCs/>
          <w:spacing w:val="-1"/>
          <w:lang w:val="hu-HU"/>
        </w:rPr>
        <w:t>csökkentett kezdő dózis javasolt (lásd 1.</w:t>
      </w:r>
      <w:r w:rsidR="007F6088">
        <w:rPr>
          <w:rFonts w:ascii="Times New Roman" w:hAnsi="Times New Roman" w:cs="Times New Roman"/>
          <w:iCs/>
          <w:spacing w:val="-1"/>
          <w:lang w:val="hu-HU"/>
        </w:rPr>
        <w:t> </w:t>
      </w:r>
      <w:r w:rsidR="00A81B1C" w:rsidRPr="00A81B1C">
        <w:rPr>
          <w:rFonts w:ascii="Times New Roman" w:hAnsi="Times New Roman" w:cs="Times New Roman"/>
          <w:iCs/>
          <w:spacing w:val="-1"/>
          <w:lang w:val="hu-HU"/>
        </w:rPr>
        <w:t>táblázat)</w:t>
      </w:r>
      <w:r w:rsidR="00A81B1C">
        <w:rPr>
          <w:rFonts w:ascii="Times New Roman" w:hAnsi="Times New Roman" w:cs="Times New Roman"/>
          <w:iCs/>
          <w:spacing w:val="-1"/>
          <w:lang w:val="hu-HU"/>
        </w:rPr>
        <w:t xml:space="preserve">. </w:t>
      </w:r>
      <w:r w:rsidR="00A81B1C" w:rsidRPr="00A81B1C">
        <w:rPr>
          <w:rFonts w:ascii="Times New Roman" w:hAnsi="Times New Roman" w:cs="Times New Roman"/>
          <w:iCs/>
          <w:spacing w:val="-1"/>
          <w:lang w:val="hu-HU"/>
        </w:rPr>
        <w:t>Enyhe májkárosodásban (Child–Pugh A stádium) szenvedő felnőtt betegeknél</w:t>
      </w:r>
      <w:r w:rsidR="00A81B1C">
        <w:rPr>
          <w:rFonts w:ascii="Times New Roman" w:hAnsi="Times New Roman" w:cs="Times New Roman"/>
          <w:iCs/>
          <w:spacing w:val="-1"/>
          <w:lang w:val="hu-HU"/>
        </w:rPr>
        <w:t xml:space="preserve">, illetve </w:t>
      </w:r>
      <w:r w:rsidR="00A81B1C" w:rsidRPr="00A81B1C">
        <w:rPr>
          <w:rFonts w:ascii="Times New Roman" w:hAnsi="Times New Roman" w:cs="Times New Roman"/>
          <w:iCs/>
          <w:spacing w:val="-1"/>
          <w:lang w:val="hu-HU"/>
        </w:rPr>
        <w:t xml:space="preserve">gyermekeknél és serdülőknél </w:t>
      </w:r>
      <w:r w:rsidRPr="002D16D8">
        <w:rPr>
          <w:rFonts w:ascii="Times New Roman" w:hAnsi="Times New Roman" w:cs="Times New Roman"/>
          <w:iCs/>
          <w:spacing w:val="-1"/>
        </w:rPr>
        <w:t>a mellékhatások kezelése érdekében megfontolandó a</w:t>
      </w:r>
      <w:r w:rsidR="004A6894">
        <w:rPr>
          <w:rFonts w:ascii="Times New Roman" w:hAnsi="Times New Roman" w:cs="Times New Roman"/>
          <w:iCs/>
          <w:spacing w:val="-1"/>
        </w:rPr>
        <w:t xml:space="preserve"> </w:t>
      </w:r>
      <w:r w:rsidRPr="002D16D8">
        <w:rPr>
          <w:rFonts w:ascii="Times New Roman" w:hAnsi="Times New Roman" w:cs="Times New Roman"/>
          <w:iCs/>
          <w:spacing w:val="-1"/>
        </w:rPr>
        <w:t xml:space="preserve">kezelés megszakítása vagy leállítása. </w:t>
      </w:r>
    </w:p>
    <w:p w14:paraId="5A34E157" w14:textId="77777777" w:rsidR="00A81B1C" w:rsidRDefault="00A81B1C" w:rsidP="00A81B1C">
      <w:pPr>
        <w:rPr>
          <w:rFonts w:ascii="Times New Roman" w:hAnsi="Times New Roman" w:cs="Times New Roman"/>
          <w:iCs/>
          <w:spacing w:val="-1"/>
        </w:rPr>
      </w:pPr>
    </w:p>
    <w:p w14:paraId="1ADF9F01" w14:textId="0690CEAC" w:rsidR="0071072E" w:rsidRPr="002D16D8" w:rsidRDefault="0071072E" w:rsidP="00A81B1C">
      <w:pPr>
        <w:rPr>
          <w:rFonts w:ascii="Times New Roman" w:hAnsi="Times New Roman" w:cs="Times New Roman"/>
          <w:iCs/>
          <w:spacing w:val="-1"/>
        </w:rPr>
      </w:pPr>
      <w:r w:rsidRPr="002D16D8">
        <w:rPr>
          <w:rFonts w:ascii="Times New Roman" w:hAnsi="Times New Roman" w:cs="Times New Roman"/>
          <w:iCs/>
          <w:spacing w:val="-1"/>
        </w:rPr>
        <w:t>A nintedanib biztonságosságát és hatásosságát nem vizsgálták</w:t>
      </w:r>
      <w:r w:rsidR="004A6894">
        <w:rPr>
          <w:rFonts w:ascii="Times New Roman" w:hAnsi="Times New Roman" w:cs="Times New Roman"/>
          <w:iCs/>
          <w:spacing w:val="-1"/>
        </w:rPr>
        <w:t xml:space="preserve"> </w:t>
      </w:r>
      <w:r w:rsidRPr="002D16D8">
        <w:rPr>
          <w:rFonts w:ascii="Times New Roman" w:hAnsi="Times New Roman" w:cs="Times New Roman"/>
          <w:iCs/>
          <w:spacing w:val="-1"/>
        </w:rPr>
        <w:t xml:space="preserve">Child-Pugh B és C stádiumú májkárosodásban szenvedő </w:t>
      </w:r>
      <w:r w:rsidR="00A81B1C" w:rsidRPr="00A81B1C">
        <w:rPr>
          <w:rFonts w:ascii="Times New Roman" w:hAnsi="Times New Roman" w:cs="Times New Roman"/>
          <w:iCs/>
          <w:spacing w:val="-1"/>
        </w:rPr>
        <w:t>felnőtt, illetve gyermek és serdülő</w:t>
      </w:r>
      <w:r w:rsidR="00A81B1C">
        <w:rPr>
          <w:rFonts w:ascii="Times New Roman" w:hAnsi="Times New Roman" w:cs="Times New Roman"/>
          <w:iCs/>
          <w:spacing w:val="-1"/>
        </w:rPr>
        <w:t xml:space="preserve"> </w:t>
      </w:r>
      <w:r w:rsidRPr="002D16D8">
        <w:rPr>
          <w:rFonts w:ascii="Times New Roman" w:hAnsi="Times New Roman" w:cs="Times New Roman"/>
          <w:iCs/>
          <w:spacing w:val="-1"/>
        </w:rPr>
        <w:t>betegeknél. Közepes mértékű (Child-Pugh B</w:t>
      </w:r>
      <w:r w:rsidR="004A6894">
        <w:rPr>
          <w:rFonts w:ascii="Times New Roman" w:hAnsi="Times New Roman" w:cs="Times New Roman"/>
          <w:iCs/>
          <w:spacing w:val="-1"/>
        </w:rPr>
        <w:t xml:space="preserve"> </w:t>
      </w:r>
      <w:r w:rsidRPr="002D16D8">
        <w:rPr>
          <w:rFonts w:ascii="Times New Roman" w:hAnsi="Times New Roman" w:cs="Times New Roman"/>
          <w:iCs/>
          <w:spacing w:val="-1"/>
        </w:rPr>
        <w:t xml:space="preserve">stádium) és súlyos (Child-Pugh C stádium) májkárosodásban szenvedő </w:t>
      </w:r>
      <w:r w:rsidR="00A81B1C" w:rsidRPr="00A81B1C">
        <w:rPr>
          <w:rFonts w:ascii="Times New Roman" w:hAnsi="Times New Roman" w:cs="Times New Roman"/>
          <w:iCs/>
          <w:spacing w:val="-1"/>
        </w:rPr>
        <w:t>felnőtt, illetve gyermek és serdülő</w:t>
      </w:r>
      <w:r w:rsidR="00A81B1C">
        <w:rPr>
          <w:rFonts w:ascii="Times New Roman" w:hAnsi="Times New Roman" w:cs="Times New Roman"/>
          <w:iCs/>
          <w:spacing w:val="-1"/>
        </w:rPr>
        <w:t xml:space="preserve"> </w:t>
      </w:r>
      <w:r w:rsidRPr="002D16D8">
        <w:rPr>
          <w:rFonts w:ascii="Times New Roman" w:hAnsi="Times New Roman" w:cs="Times New Roman"/>
          <w:iCs/>
          <w:spacing w:val="-1"/>
        </w:rPr>
        <w:t>betegek esetében a</w:t>
      </w:r>
      <w:r w:rsidR="00F27DBC">
        <w:rPr>
          <w:rFonts w:ascii="Times New Roman" w:hAnsi="Times New Roman" w:cs="Times New Roman"/>
          <w:iCs/>
          <w:spacing w:val="-1"/>
        </w:rPr>
        <w:t xml:space="preserve"> nintedanib</w:t>
      </w:r>
      <w:r w:rsidRPr="002D16D8">
        <w:rPr>
          <w:rFonts w:ascii="Times New Roman" w:hAnsi="Times New Roman" w:cs="Times New Roman"/>
          <w:iCs/>
          <w:spacing w:val="-1"/>
        </w:rPr>
        <w:t>-kezelés nem ajánlott (lásd 5.2</w:t>
      </w:r>
      <w:r w:rsidR="00E55983">
        <w:rPr>
          <w:rFonts w:ascii="Times New Roman" w:hAnsi="Times New Roman" w:cs="Times New Roman"/>
          <w:iCs/>
          <w:spacing w:val="-1"/>
        </w:rPr>
        <w:t> </w:t>
      </w:r>
      <w:r w:rsidRPr="002D16D8">
        <w:rPr>
          <w:rFonts w:ascii="Times New Roman" w:hAnsi="Times New Roman" w:cs="Times New Roman"/>
          <w:iCs/>
          <w:spacing w:val="-1"/>
        </w:rPr>
        <w:t>pont).</w:t>
      </w:r>
    </w:p>
    <w:p w14:paraId="0FE3B5F1" w14:textId="355F50F4" w:rsidR="0071072E" w:rsidRPr="002D16D8" w:rsidRDefault="0071072E" w:rsidP="0071072E">
      <w:pPr>
        <w:rPr>
          <w:rFonts w:ascii="Times New Roman" w:hAnsi="Times New Roman" w:cs="Times New Roman"/>
          <w:iCs/>
          <w:spacing w:val="-1"/>
        </w:rPr>
      </w:pPr>
    </w:p>
    <w:p w14:paraId="2DC7AA74" w14:textId="77777777" w:rsidR="0071072E" w:rsidRPr="002D16D8" w:rsidRDefault="0071072E" w:rsidP="0071072E">
      <w:pPr>
        <w:rPr>
          <w:rFonts w:ascii="Times New Roman" w:hAnsi="Times New Roman" w:cs="Times New Roman"/>
          <w:i/>
          <w:spacing w:val="-1"/>
        </w:rPr>
      </w:pPr>
      <w:r w:rsidRPr="002D16D8">
        <w:rPr>
          <w:rFonts w:ascii="Times New Roman" w:hAnsi="Times New Roman" w:cs="Times New Roman"/>
          <w:i/>
          <w:spacing w:val="-1"/>
        </w:rPr>
        <w:t>Gyermekek és serdülők</w:t>
      </w:r>
    </w:p>
    <w:p w14:paraId="7F6CC4CF" w14:textId="57AC0DDE" w:rsidR="00E449BC" w:rsidRPr="00E449BC" w:rsidRDefault="0071072E" w:rsidP="0071072E">
      <w:pPr>
        <w:rPr>
          <w:rFonts w:ascii="Times New Roman" w:hAnsi="Times New Roman" w:cs="Times New Roman"/>
          <w:iCs/>
          <w:spacing w:val="-1"/>
        </w:rPr>
      </w:pPr>
      <w:r w:rsidRPr="00E449BC">
        <w:rPr>
          <w:rFonts w:ascii="Times New Roman" w:hAnsi="Times New Roman" w:cs="Times New Roman"/>
          <w:iCs/>
          <w:spacing w:val="-1"/>
        </w:rPr>
        <w:t xml:space="preserve">A nintedanib </w:t>
      </w:r>
      <w:r w:rsidR="0080310F" w:rsidRPr="00E449BC">
        <w:rPr>
          <w:rFonts w:ascii="Times New Roman" w:hAnsi="Times New Roman" w:cs="Times New Roman"/>
          <w:iCs/>
          <w:spacing w:val="-1"/>
        </w:rPr>
        <w:t>biztonságosságát és hatékon</w:t>
      </w:r>
      <w:r w:rsidR="00C30D47">
        <w:rPr>
          <w:rFonts w:ascii="Times New Roman" w:hAnsi="Times New Roman" w:cs="Times New Roman"/>
          <w:iCs/>
          <w:spacing w:val="-1"/>
        </w:rPr>
        <w:t>y</w:t>
      </w:r>
      <w:r w:rsidR="0080310F" w:rsidRPr="00E449BC">
        <w:rPr>
          <w:rFonts w:ascii="Times New Roman" w:hAnsi="Times New Roman" w:cs="Times New Roman"/>
          <w:iCs/>
          <w:spacing w:val="-1"/>
        </w:rPr>
        <w:t xml:space="preserve">ságát </w:t>
      </w:r>
      <w:r w:rsidR="00A81B1C" w:rsidRPr="00A81B1C">
        <w:rPr>
          <w:rFonts w:ascii="Times New Roman" w:hAnsi="Times New Roman" w:cs="Times New Roman"/>
          <w:iCs/>
          <w:spacing w:val="-1"/>
        </w:rPr>
        <w:t>6</w:t>
      </w:r>
      <w:r w:rsidR="00EA543F">
        <w:rPr>
          <w:rFonts w:ascii="Times New Roman" w:hAnsi="Times New Roman" w:cs="Times New Roman"/>
          <w:iCs/>
          <w:spacing w:val="-1"/>
        </w:rPr>
        <w:t> </w:t>
      </w:r>
      <w:r w:rsidR="00A81B1C" w:rsidRPr="00A81B1C">
        <w:rPr>
          <w:rFonts w:ascii="Times New Roman" w:hAnsi="Times New Roman" w:cs="Times New Roman"/>
          <w:iCs/>
          <w:spacing w:val="-1"/>
        </w:rPr>
        <w:t>évesnél fiatalabb gyermek betegek esetében nem vizsgálták, ezért a 6</w:t>
      </w:r>
      <w:r w:rsidR="005103AE">
        <w:rPr>
          <w:rFonts w:ascii="Times New Roman" w:hAnsi="Times New Roman" w:cs="Times New Roman"/>
          <w:iCs/>
          <w:spacing w:val="-1"/>
        </w:rPr>
        <w:t> </w:t>
      </w:r>
      <w:r w:rsidR="00A81B1C" w:rsidRPr="00A81B1C">
        <w:rPr>
          <w:rFonts w:ascii="Times New Roman" w:hAnsi="Times New Roman" w:cs="Times New Roman"/>
          <w:iCs/>
          <w:spacing w:val="-1"/>
        </w:rPr>
        <w:t>évesnél fiatalabb gyermekek nintedanibbal történő kezelése nem javasolt. A nintedanibot 13,5</w:t>
      </w:r>
      <w:r w:rsidR="005103AE">
        <w:rPr>
          <w:rFonts w:ascii="Times New Roman" w:hAnsi="Times New Roman" w:cs="Times New Roman"/>
          <w:iCs/>
          <w:spacing w:val="-1"/>
        </w:rPr>
        <w:t> </w:t>
      </w:r>
      <w:r w:rsidR="00A81B1C" w:rsidRPr="00A81B1C">
        <w:rPr>
          <w:rFonts w:ascii="Times New Roman" w:hAnsi="Times New Roman" w:cs="Times New Roman"/>
          <w:iCs/>
          <w:spacing w:val="-1"/>
        </w:rPr>
        <w:t>kg-nál kisebb testtömegű betegek esetében nem vizsgálták, ezért alkalmazása ebben a betegcsoportban nem javasolt (lásd 5.1</w:t>
      </w:r>
      <w:r w:rsidR="005103AE">
        <w:rPr>
          <w:rFonts w:ascii="Times New Roman" w:hAnsi="Times New Roman" w:cs="Times New Roman"/>
          <w:iCs/>
          <w:spacing w:val="-1"/>
        </w:rPr>
        <w:t> </w:t>
      </w:r>
      <w:r w:rsidR="00A81B1C" w:rsidRPr="00A81B1C">
        <w:rPr>
          <w:rFonts w:ascii="Times New Roman" w:hAnsi="Times New Roman" w:cs="Times New Roman"/>
          <w:iCs/>
          <w:spacing w:val="-1"/>
        </w:rPr>
        <w:t>pont)</w:t>
      </w:r>
      <w:r w:rsidR="00E449BC" w:rsidRPr="00E449BC">
        <w:rPr>
          <w:rFonts w:ascii="Times New Roman" w:hAnsi="Times New Roman" w:cs="Times New Roman"/>
          <w:iCs/>
          <w:spacing w:val="-1"/>
        </w:rPr>
        <w:t>.</w:t>
      </w:r>
    </w:p>
    <w:p w14:paraId="48192DD4" w14:textId="77777777" w:rsidR="002D16D8" w:rsidRDefault="002D16D8" w:rsidP="0071072E">
      <w:pPr>
        <w:rPr>
          <w:rFonts w:ascii="Times New Roman" w:hAnsi="Times New Roman" w:cs="Times New Roman"/>
          <w:iCs/>
          <w:spacing w:val="-1"/>
        </w:rPr>
      </w:pPr>
    </w:p>
    <w:p w14:paraId="223937BA" w14:textId="24B17D1B" w:rsidR="0071072E" w:rsidRPr="00F27DBC" w:rsidRDefault="0071072E" w:rsidP="0071072E">
      <w:pPr>
        <w:rPr>
          <w:rFonts w:ascii="Times New Roman" w:hAnsi="Times New Roman" w:cs="Times New Roman"/>
          <w:iCs/>
          <w:spacing w:val="-1"/>
          <w:u w:val="single"/>
        </w:rPr>
      </w:pPr>
      <w:r w:rsidRPr="00F27DBC">
        <w:rPr>
          <w:rFonts w:ascii="Times New Roman" w:hAnsi="Times New Roman" w:cs="Times New Roman"/>
          <w:iCs/>
          <w:spacing w:val="-1"/>
          <w:u w:val="single"/>
        </w:rPr>
        <w:t>Az alkalmazás módja</w:t>
      </w:r>
    </w:p>
    <w:p w14:paraId="54608B21" w14:textId="7A0640E8" w:rsidR="00F5603F" w:rsidRPr="00F27DBC" w:rsidRDefault="0071072E" w:rsidP="00A81B1C">
      <w:pPr>
        <w:rPr>
          <w:rFonts w:ascii="Times New Roman" w:hAnsi="Times New Roman" w:cs="Times New Roman"/>
          <w:iCs/>
          <w:spacing w:val="-1"/>
        </w:rPr>
      </w:pPr>
      <w:r w:rsidRPr="002D16D8">
        <w:rPr>
          <w:rFonts w:ascii="Times New Roman" w:hAnsi="Times New Roman" w:cs="Times New Roman"/>
          <w:iCs/>
          <w:spacing w:val="-1"/>
        </w:rPr>
        <w:t>A</w:t>
      </w:r>
      <w:r w:rsidR="00F27DBC">
        <w:rPr>
          <w:rFonts w:ascii="Times New Roman" w:hAnsi="Times New Roman" w:cs="Times New Roman"/>
          <w:iCs/>
          <w:spacing w:val="-1"/>
        </w:rPr>
        <w:t xml:space="preserve"> Nintedanib Onkogen</w:t>
      </w:r>
      <w:r w:rsidRPr="002D16D8">
        <w:rPr>
          <w:rFonts w:ascii="Times New Roman" w:hAnsi="Times New Roman" w:cs="Times New Roman"/>
          <w:iCs/>
          <w:spacing w:val="-1"/>
        </w:rPr>
        <w:t xml:space="preserve"> szájon át alkalmazandó. A kapszulát étkezés közben kell bevenni, vízzel egészben lenyelve,</w:t>
      </w:r>
      <w:r w:rsidR="00F27DBC">
        <w:rPr>
          <w:rFonts w:ascii="Times New Roman" w:hAnsi="Times New Roman" w:cs="Times New Roman"/>
          <w:iCs/>
          <w:spacing w:val="-1"/>
        </w:rPr>
        <w:t xml:space="preserve"> </w:t>
      </w:r>
      <w:r w:rsidRPr="002D16D8">
        <w:rPr>
          <w:rFonts w:ascii="Times New Roman" w:hAnsi="Times New Roman" w:cs="Times New Roman"/>
          <w:iCs/>
          <w:spacing w:val="-1"/>
        </w:rPr>
        <w:t>és nem szabad szétrágni. A kapszulát nem szabad felnyitni, ill</w:t>
      </w:r>
      <w:r w:rsidR="002B71FD">
        <w:rPr>
          <w:rFonts w:ascii="Times New Roman" w:hAnsi="Times New Roman" w:cs="Times New Roman"/>
          <w:iCs/>
          <w:spacing w:val="-1"/>
        </w:rPr>
        <w:t>.</w:t>
      </w:r>
      <w:r w:rsidRPr="002D16D8">
        <w:rPr>
          <w:rFonts w:ascii="Times New Roman" w:hAnsi="Times New Roman" w:cs="Times New Roman"/>
          <w:iCs/>
          <w:spacing w:val="-1"/>
        </w:rPr>
        <w:t xml:space="preserve"> nem szabad összetörni (lásd</w:t>
      </w:r>
      <w:r w:rsidR="00F27DBC">
        <w:rPr>
          <w:rFonts w:ascii="Times New Roman" w:hAnsi="Times New Roman" w:cs="Times New Roman"/>
          <w:iCs/>
          <w:spacing w:val="-1"/>
        </w:rPr>
        <w:t xml:space="preserve"> </w:t>
      </w:r>
      <w:r w:rsidRPr="002D16D8">
        <w:rPr>
          <w:rFonts w:ascii="Times New Roman" w:hAnsi="Times New Roman" w:cs="Times New Roman"/>
          <w:iCs/>
          <w:spacing w:val="-1"/>
        </w:rPr>
        <w:t>6.6</w:t>
      </w:r>
      <w:r w:rsidR="00636CFC">
        <w:rPr>
          <w:rFonts w:ascii="Times New Roman" w:hAnsi="Times New Roman" w:cs="Times New Roman"/>
          <w:iCs/>
          <w:spacing w:val="-1"/>
        </w:rPr>
        <w:t> </w:t>
      </w:r>
      <w:r w:rsidRPr="002D16D8">
        <w:rPr>
          <w:rFonts w:ascii="Times New Roman" w:hAnsi="Times New Roman" w:cs="Times New Roman"/>
          <w:iCs/>
          <w:spacing w:val="-1"/>
        </w:rPr>
        <w:t>pont).</w:t>
      </w:r>
      <w:r w:rsidR="00A81B1C">
        <w:rPr>
          <w:rFonts w:ascii="Times New Roman" w:hAnsi="Times New Roman" w:cs="Times New Roman"/>
          <w:iCs/>
          <w:spacing w:val="-1"/>
        </w:rPr>
        <w:t xml:space="preserve"> </w:t>
      </w:r>
      <w:r w:rsidR="00A81B1C" w:rsidRPr="00A81B1C">
        <w:rPr>
          <w:rFonts w:ascii="Times New Roman" w:hAnsi="Times New Roman" w:cs="Times New Roman"/>
          <w:iCs/>
          <w:spacing w:val="-1"/>
          <w:lang w:val="hu-HU"/>
        </w:rPr>
        <w:t>A</w:t>
      </w:r>
      <w:r w:rsidR="00A81B1C">
        <w:rPr>
          <w:rFonts w:ascii="Times New Roman" w:hAnsi="Times New Roman" w:cs="Times New Roman"/>
          <w:iCs/>
          <w:spacing w:val="-1"/>
          <w:lang w:val="hu-HU"/>
        </w:rPr>
        <w:t xml:space="preserve"> </w:t>
      </w:r>
      <w:r w:rsidR="00A81B1C">
        <w:rPr>
          <w:rFonts w:ascii="Times New Roman" w:hAnsi="Times New Roman" w:cs="Times New Roman"/>
          <w:iCs/>
          <w:spacing w:val="-1"/>
        </w:rPr>
        <w:t>Nintedanib Onkogen</w:t>
      </w:r>
      <w:r w:rsidR="00A81B1C" w:rsidRPr="002D16D8">
        <w:rPr>
          <w:rFonts w:ascii="Times New Roman" w:hAnsi="Times New Roman" w:cs="Times New Roman"/>
          <w:iCs/>
          <w:spacing w:val="-1"/>
        </w:rPr>
        <w:t xml:space="preserve"> </w:t>
      </w:r>
      <w:r w:rsidR="00A81B1C" w:rsidRPr="00A81B1C">
        <w:rPr>
          <w:rFonts w:ascii="Times New Roman" w:hAnsi="Times New Roman" w:cs="Times New Roman"/>
          <w:iCs/>
          <w:spacing w:val="-1"/>
          <w:lang w:val="hu-HU"/>
        </w:rPr>
        <w:t xml:space="preserve">kapszulák bevehetők kis mennyiségű (egy teáskanálnyi) hideg vagy szobahőmérsékletű puha étellel, mint amilyen az almaszósz vagy a csokoládépuding, és azokat rágás nélkül, azonnal le kell nyelni a kapszula sértetlenségének megőrzése érdekében. </w:t>
      </w:r>
      <w:r w:rsidRPr="002D16D8">
        <w:rPr>
          <w:rFonts w:ascii="Times New Roman" w:hAnsi="Times New Roman" w:cs="Times New Roman"/>
          <w:iCs/>
          <w:spacing w:val="-1"/>
        </w:rPr>
        <w:cr/>
      </w:r>
    </w:p>
    <w:p w14:paraId="16C6662E" w14:textId="45EFA0DB" w:rsidR="00F5603F" w:rsidRPr="00EF71F8" w:rsidRDefault="009106D9" w:rsidP="00E449BC">
      <w:pPr>
        <w:pStyle w:val="Cmsor1"/>
        <w:keepNext/>
        <w:rPr>
          <w:bCs/>
        </w:rPr>
      </w:pPr>
      <w:r>
        <w:t>4.3</w:t>
      </w:r>
      <w:r>
        <w:tab/>
      </w:r>
      <w:r w:rsidR="00612B56" w:rsidRPr="00EF71F8">
        <w:t>Ellenjavallatok</w:t>
      </w:r>
    </w:p>
    <w:p w14:paraId="544AA97C" w14:textId="77777777" w:rsidR="00F5603F" w:rsidRPr="00EF71F8" w:rsidRDefault="00F5603F" w:rsidP="00E449BC">
      <w:pPr>
        <w:keepNext/>
        <w:rPr>
          <w:rFonts w:ascii="Times New Roman" w:eastAsia="Times New Roman" w:hAnsi="Times New Roman" w:cs="Times New Roman"/>
          <w:b/>
          <w:bCs/>
        </w:rPr>
      </w:pPr>
    </w:p>
    <w:p w14:paraId="6376B632" w14:textId="4F72C875" w:rsidR="00F27DBC" w:rsidRPr="00F27DBC" w:rsidRDefault="00F27DBC" w:rsidP="00300950">
      <w:pPr>
        <w:pStyle w:val="Szvegtrzs"/>
        <w:numPr>
          <w:ilvl w:val="0"/>
          <w:numId w:val="29"/>
        </w:numPr>
        <w:ind w:left="284" w:hanging="284"/>
        <w:rPr>
          <w:rFonts w:cs="Times New Roman"/>
        </w:rPr>
      </w:pPr>
      <w:r w:rsidRPr="00F27DBC">
        <w:rPr>
          <w:rFonts w:cs="Times New Roman"/>
        </w:rPr>
        <w:t>Terhesség (lásd 4.6</w:t>
      </w:r>
      <w:r w:rsidR="00D474EC">
        <w:rPr>
          <w:rFonts w:cs="Times New Roman"/>
        </w:rPr>
        <w:t> </w:t>
      </w:r>
      <w:r w:rsidRPr="00F27DBC">
        <w:rPr>
          <w:rFonts w:cs="Times New Roman"/>
        </w:rPr>
        <w:t>pont);</w:t>
      </w:r>
    </w:p>
    <w:p w14:paraId="70AB48C5" w14:textId="7E9CDADB" w:rsidR="00F27DBC" w:rsidRDefault="00F27DBC" w:rsidP="00300950">
      <w:pPr>
        <w:pStyle w:val="Szvegtrzs"/>
        <w:numPr>
          <w:ilvl w:val="0"/>
          <w:numId w:val="29"/>
        </w:numPr>
        <w:ind w:left="284" w:hanging="284"/>
        <w:rPr>
          <w:rFonts w:cs="Times New Roman"/>
        </w:rPr>
      </w:pPr>
      <w:r w:rsidRPr="00F27DBC">
        <w:rPr>
          <w:rFonts w:cs="Times New Roman"/>
        </w:rPr>
        <w:t>A nintedanibbal</w:t>
      </w:r>
      <w:r>
        <w:rPr>
          <w:rFonts w:cs="Times New Roman"/>
        </w:rPr>
        <w:t xml:space="preserve"> </w:t>
      </w:r>
      <w:r w:rsidRPr="00F27DBC">
        <w:rPr>
          <w:rFonts w:cs="Times New Roman"/>
        </w:rPr>
        <w:t xml:space="preserve">vagy a </w:t>
      </w:r>
      <w:r w:rsidR="005110FB">
        <w:rPr>
          <w:rFonts w:cs="Times New Roman"/>
        </w:rPr>
        <w:t xml:space="preserve">készítmény </w:t>
      </w:r>
      <w:r w:rsidRPr="00F27DBC">
        <w:rPr>
          <w:rFonts w:cs="Times New Roman"/>
        </w:rPr>
        <w:t>6.1</w:t>
      </w:r>
      <w:r w:rsidR="00D474EC">
        <w:rPr>
          <w:rFonts w:cs="Times New Roman"/>
        </w:rPr>
        <w:t> </w:t>
      </w:r>
      <w:r w:rsidRPr="00F27DBC">
        <w:rPr>
          <w:rFonts w:cs="Times New Roman"/>
        </w:rPr>
        <w:t>pontban felsorolt bármely</w:t>
      </w:r>
      <w:r>
        <w:rPr>
          <w:rFonts w:cs="Times New Roman"/>
        </w:rPr>
        <w:t xml:space="preserve"> </w:t>
      </w:r>
      <w:r w:rsidRPr="00F27DBC">
        <w:rPr>
          <w:rFonts w:cs="Times New Roman"/>
        </w:rPr>
        <w:t>segédanyag</w:t>
      </w:r>
      <w:r w:rsidR="005110FB">
        <w:rPr>
          <w:rFonts w:cs="Times New Roman"/>
        </w:rPr>
        <w:t>áv</w:t>
      </w:r>
      <w:r w:rsidRPr="00F27DBC">
        <w:rPr>
          <w:rFonts w:cs="Times New Roman"/>
        </w:rPr>
        <w:t>al szembeni túlérzékenység</w:t>
      </w:r>
      <w:r>
        <w:rPr>
          <w:rFonts w:cs="Times New Roman"/>
        </w:rPr>
        <w:t>.</w:t>
      </w:r>
    </w:p>
    <w:p w14:paraId="030CABC1" w14:textId="77777777" w:rsidR="00F5603F" w:rsidRPr="00EF71F8" w:rsidRDefault="00F5603F" w:rsidP="009106D9">
      <w:pPr>
        <w:rPr>
          <w:rFonts w:ascii="Times New Roman" w:eastAsia="Times New Roman" w:hAnsi="Times New Roman" w:cs="Times New Roman"/>
        </w:rPr>
      </w:pPr>
    </w:p>
    <w:p w14:paraId="1825C376" w14:textId="511A252F" w:rsidR="00F5603F" w:rsidRPr="00EF71F8" w:rsidRDefault="009106D9" w:rsidP="009106D9">
      <w:pPr>
        <w:pStyle w:val="Cmsor1"/>
        <w:rPr>
          <w:bCs/>
        </w:rPr>
      </w:pPr>
      <w:r>
        <w:t>4.4</w:t>
      </w:r>
      <w:r>
        <w:tab/>
      </w:r>
      <w:r w:rsidR="00612B56" w:rsidRPr="00EF71F8">
        <w:t>Különleges</w:t>
      </w:r>
      <w:r w:rsidR="00612B56" w:rsidRPr="00EF71F8">
        <w:rPr>
          <w:spacing w:val="-2"/>
        </w:rPr>
        <w:t xml:space="preserve"> </w:t>
      </w:r>
      <w:r w:rsidR="00612B56" w:rsidRPr="00EF71F8">
        <w:t xml:space="preserve">figyelmeztetések és </w:t>
      </w:r>
      <w:r w:rsidR="00612B56" w:rsidRPr="00EF71F8">
        <w:rPr>
          <w:spacing w:val="-2"/>
        </w:rPr>
        <w:t>az</w:t>
      </w:r>
      <w:r w:rsidR="00612B56" w:rsidRPr="00EF71F8">
        <w:t xml:space="preserve"> alkalmazással</w:t>
      </w:r>
      <w:r w:rsidR="00612B56" w:rsidRPr="00EF71F8">
        <w:rPr>
          <w:spacing w:val="1"/>
        </w:rPr>
        <w:t xml:space="preserve"> </w:t>
      </w:r>
      <w:r w:rsidR="00612B56" w:rsidRPr="00EF71F8">
        <w:t>kapcsolatos</w:t>
      </w:r>
      <w:r w:rsidR="00612B56" w:rsidRPr="00EF71F8">
        <w:rPr>
          <w:spacing w:val="-2"/>
        </w:rPr>
        <w:t xml:space="preserve"> </w:t>
      </w:r>
      <w:r w:rsidR="00612B56" w:rsidRPr="00EF71F8">
        <w:t>óvintézkedések</w:t>
      </w:r>
    </w:p>
    <w:p w14:paraId="7BC8501F" w14:textId="77777777" w:rsidR="00F5603F" w:rsidRPr="00EF71F8" w:rsidRDefault="00F5603F" w:rsidP="009106D9">
      <w:pPr>
        <w:rPr>
          <w:rFonts w:ascii="Times New Roman" w:eastAsia="Times New Roman" w:hAnsi="Times New Roman" w:cs="Times New Roman"/>
          <w:b/>
          <w:bCs/>
        </w:rPr>
      </w:pPr>
    </w:p>
    <w:p w14:paraId="0BBBEBBF" w14:textId="77777777" w:rsidR="00682363" w:rsidRPr="00682363" w:rsidRDefault="00682363" w:rsidP="00933915">
      <w:pPr>
        <w:pStyle w:val="Szvegtrzs"/>
        <w:ind w:left="0"/>
        <w:rPr>
          <w:rFonts w:cs="Times New Roman"/>
          <w:u w:val="single"/>
        </w:rPr>
      </w:pPr>
      <w:r w:rsidRPr="00682363">
        <w:rPr>
          <w:rFonts w:cs="Times New Roman"/>
          <w:u w:val="single"/>
        </w:rPr>
        <w:t>Gastrointestinalis betegségek és tünetek</w:t>
      </w:r>
    </w:p>
    <w:p w14:paraId="434FBBFA" w14:textId="77777777" w:rsidR="00682363" w:rsidRPr="00682363" w:rsidRDefault="00682363" w:rsidP="00933915">
      <w:pPr>
        <w:pStyle w:val="Szvegtrzs"/>
        <w:ind w:left="0"/>
        <w:rPr>
          <w:rFonts w:cs="Times New Roman"/>
          <w:i/>
          <w:iCs/>
        </w:rPr>
      </w:pPr>
      <w:r w:rsidRPr="00682363">
        <w:rPr>
          <w:rFonts w:cs="Times New Roman"/>
          <w:i/>
          <w:iCs/>
        </w:rPr>
        <w:t>Hasmenés</w:t>
      </w:r>
    </w:p>
    <w:p w14:paraId="1C15A84B" w14:textId="4F459A54" w:rsidR="00682363" w:rsidRPr="00682363" w:rsidRDefault="00682363" w:rsidP="00933915">
      <w:pPr>
        <w:pStyle w:val="Szvegtrzs"/>
        <w:ind w:left="0"/>
        <w:rPr>
          <w:rFonts w:cs="Times New Roman"/>
        </w:rPr>
      </w:pPr>
      <w:r w:rsidRPr="00682363">
        <w:rPr>
          <w:rFonts w:cs="Times New Roman"/>
        </w:rPr>
        <w:t>A klinikai vizsgálatokban (lásd 5.1</w:t>
      </w:r>
      <w:r w:rsidR="00B24C7A">
        <w:rPr>
          <w:rFonts w:cs="Times New Roman"/>
        </w:rPr>
        <w:t> </w:t>
      </w:r>
      <w:r w:rsidRPr="00682363">
        <w:rPr>
          <w:rFonts w:cs="Times New Roman"/>
        </w:rPr>
        <w:t>pont) a hasmenés volt a leggyakoribb gastrointestinalis</w:t>
      </w:r>
      <w:r w:rsidR="00E97496">
        <w:rPr>
          <w:rFonts w:cs="Times New Roman"/>
        </w:rPr>
        <w:t xml:space="preserve"> </w:t>
      </w:r>
      <w:r w:rsidRPr="00682363">
        <w:rPr>
          <w:rFonts w:cs="Times New Roman"/>
        </w:rPr>
        <w:t>mellékhatás (lásd 4.8 pont). A legtöbb betegnél ez a mellékhatás enyhe vagy közepes intenzitású volt,</w:t>
      </w:r>
      <w:r>
        <w:rPr>
          <w:rFonts w:cs="Times New Roman"/>
        </w:rPr>
        <w:t xml:space="preserve"> </w:t>
      </w:r>
      <w:r w:rsidRPr="00682363">
        <w:rPr>
          <w:rFonts w:cs="Times New Roman"/>
        </w:rPr>
        <w:t>és a kezelés első 3 hónapjában jelentkezett.</w:t>
      </w:r>
    </w:p>
    <w:p w14:paraId="7E56171A" w14:textId="77777777" w:rsidR="00682363" w:rsidRDefault="00682363" w:rsidP="00933915">
      <w:pPr>
        <w:pStyle w:val="Szvegtrzs"/>
        <w:ind w:left="0"/>
        <w:rPr>
          <w:rFonts w:cs="Times New Roman"/>
        </w:rPr>
      </w:pPr>
    </w:p>
    <w:p w14:paraId="05CE19A4" w14:textId="3C3E6C19" w:rsidR="00682363" w:rsidRDefault="00682363" w:rsidP="00933915">
      <w:pPr>
        <w:pStyle w:val="Szvegtrzs"/>
        <w:ind w:left="0"/>
        <w:rPr>
          <w:rFonts w:cs="Times New Roman"/>
        </w:rPr>
      </w:pPr>
      <w:r w:rsidRPr="00682363">
        <w:rPr>
          <w:rFonts w:cs="Times New Roman"/>
        </w:rPr>
        <w:t>A forgalomba hozatalt követően súlyos, kiszáradást és elektrolit zavarokat okozó hasmenés eseteiről</w:t>
      </w:r>
      <w:r w:rsidR="00E97496">
        <w:rPr>
          <w:rFonts w:cs="Times New Roman"/>
        </w:rPr>
        <w:t xml:space="preserve"> </w:t>
      </w:r>
      <w:r w:rsidRPr="00682363">
        <w:rPr>
          <w:rFonts w:cs="Times New Roman"/>
        </w:rPr>
        <w:t>számoltak be. A betegeket már az első jelek észlelésekor megfelelő folyadékpótlással és hasmenés</w:t>
      </w:r>
      <w:r w:rsidR="00E97496">
        <w:rPr>
          <w:rFonts w:cs="Times New Roman"/>
        </w:rPr>
        <w:t xml:space="preserve"> </w:t>
      </w:r>
      <w:r w:rsidRPr="00682363">
        <w:rPr>
          <w:rFonts w:cs="Times New Roman"/>
        </w:rPr>
        <w:t>elleni gyógyszerekkel, p</w:t>
      </w:r>
      <w:r w:rsidR="00942BAD">
        <w:rPr>
          <w:rFonts w:cs="Times New Roman"/>
        </w:rPr>
        <w:t>l.</w:t>
      </w:r>
      <w:r w:rsidRPr="00682363">
        <w:rPr>
          <w:rFonts w:cs="Times New Roman"/>
        </w:rPr>
        <w:t xml:space="preserve"> loperamiddal kell kezelni, és szükségessé válhat az adag csökkentése</w:t>
      </w:r>
      <w:r w:rsidR="00E97496">
        <w:rPr>
          <w:rFonts w:cs="Times New Roman"/>
        </w:rPr>
        <w:t xml:space="preserve"> </w:t>
      </w:r>
      <w:r w:rsidRPr="00682363">
        <w:rPr>
          <w:rFonts w:cs="Times New Roman"/>
        </w:rPr>
        <w:t>vagy a kezelés megszakítása. A</w:t>
      </w:r>
      <w:r w:rsidR="00933915">
        <w:rPr>
          <w:rFonts w:cs="Times New Roman"/>
        </w:rPr>
        <w:t xml:space="preserve"> nintedanib</w:t>
      </w:r>
      <w:r w:rsidRPr="00682363">
        <w:rPr>
          <w:rFonts w:cs="Times New Roman"/>
        </w:rPr>
        <w:t>-kezelés csökkentett adaggal vagy teljes adaggal kezdhető újra</w:t>
      </w:r>
      <w:r w:rsidR="00933915">
        <w:rPr>
          <w:rFonts w:cs="Times New Roman"/>
        </w:rPr>
        <w:t xml:space="preserve"> </w:t>
      </w:r>
      <w:r w:rsidRPr="00682363">
        <w:rPr>
          <w:rFonts w:cs="Times New Roman"/>
        </w:rPr>
        <w:t>(lásd 4.2</w:t>
      </w:r>
      <w:r w:rsidR="00375F16">
        <w:rPr>
          <w:rFonts w:cs="Times New Roman"/>
        </w:rPr>
        <w:t> </w:t>
      </w:r>
      <w:r w:rsidRPr="00682363">
        <w:rPr>
          <w:rFonts w:cs="Times New Roman"/>
        </w:rPr>
        <w:t>pont: Dózismódosítások). A tüneti kezelés ellenére fennálló tartós, súlyos hasmenés esetén a</w:t>
      </w:r>
      <w:r w:rsidR="00933915">
        <w:rPr>
          <w:rFonts w:cs="Times New Roman"/>
        </w:rPr>
        <w:t xml:space="preserve"> nintedanib</w:t>
      </w:r>
      <w:r w:rsidRPr="00682363">
        <w:rPr>
          <w:rFonts w:cs="Times New Roman"/>
        </w:rPr>
        <w:t>-kezelést abba kell hagyni.</w:t>
      </w:r>
    </w:p>
    <w:p w14:paraId="1193B290" w14:textId="77777777" w:rsidR="00933915" w:rsidRPr="00682363" w:rsidRDefault="00933915" w:rsidP="00933915">
      <w:pPr>
        <w:pStyle w:val="Szvegtrzs"/>
        <w:rPr>
          <w:rFonts w:cs="Times New Roman"/>
        </w:rPr>
      </w:pPr>
    </w:p>
    <w:p w14:paraId="4EBA5F5A" w14:textId="77777777" w:rsidR="00682363" w:rsidRPr="00933915" w:rsidRDefault="00682363" w:rsidP="00933915">
      <w:pPr>
        <w:pStyle w:val="Szvegtrzs"/>
        <w:ind w:left="0"/>
        <w:rPr>
          <w:rFonts w:cs="Times New Roman"/>
          <w:i/>
          <w:iCs/>
        </w:rPr>
      </w:pPr>
      <w:r w:rsidRPr="00933915">
        <w:rPr>
          <w:rFonts w:cs="Times New Roman"/>
          <w:i/>
          <w:iCs/>
        </w:rPr>
        <w:t>Hányinger és hányás</w:t>
      </w:r>
    </w:p>
    <w:p w14:paraId="5DE81C5D" w14:textId="41C5C962" w:rsidR="00682363" w:rsidRPr="00682363" w:rsidRDefault="00682363" w:rsidP="00933915">
      <w:pPr>
        <w:pStyle w:val="Szvegtrzs"/>
        <w:ind w:left="0"/>
        <w:rPr>
          <w:rFonts w:cs="Times New Roman"/>
        </w:rPr>
      </w:pPr>
      <w:r w:rsidRPr="00682363">
        <w:rPr>
          <w:rFonts w:cs="Times New Roman"/>
        </w:rPr>
        <w:t>A hányinger és a hányás gyakran jelentett gastrointestinalis mellékhatás volt (lásd 4.8</w:t>
      </w:r>
      <w:r w:rsidR="00375F16">
        <w:rPr>
          <w:rFonts w:cs="Times New Roman"/>
        </w:rPr>
        <w:t> </w:t>
      </w:r>
      <w:r w:rsidRPr="00682363">
        <w:rPr>
          <w:rFonts w:cs="Times New Roman"/>
        </w:rPr>
        <w:t>pont). A legtöbb</w:t>
      </w:r>
      <w:r w:rsidR="00933915">
        <w:rPr>
          <w:rFonts w:cs="Times New Roman"/>
        </w:rPr>
        <w:t xml:space="preserve"> </w:t>
      </w:r>
      <w:r w:rsidRPr="00682363">
        <w:rPr>
          <w:rFonts w:cs="Times New Roman"/>
        </w:rPr>
        <w:t>olyan betegnél, akinél hányinger és hányás jelentkezett, a mellékhatás enyhe és közepes intenzitású</w:t>
      </w:r>
      <w:r w:rsidR="00933915">
        <w:rPr>
          <w:rFonts w:cs="Times New Roman"/>
        </w:rPr>
        <w:t xml:space="preserve"> </w:t>
      </w:r>
      <w:r w:rsidRPr="00682363">
        <w:rPr>
          <w:rFonts w:cs="Times New Roman"/>
        </w:rPr>
        <w:t>volt. A klinikai vizsgálatokban a hányinger a betegek legfeljebb 2,1%-ánál vezetett a</w:t>
      </w:r>
      <w:r w:rsidR="00933915">
        <w:rPr>
          <w:rFonts w:cs="Times New Roman"/>
        </w:rPr>
        <w:t xml:space="preserve"> nintedanib</w:t>
      </w:r>
      <w:r w:rsidRPr="00682363">
        <w:rPr>
          <w:rFonts w:cs="Times New Roman"/>
        </w:rPr>
        <w:t>-kezelés</w:t>
      </w:r>
      <w:r w:rsidR="00933915">
        <w:rPr>
          <w:rFonts w:cs="Times New Roman"/>
        </w:rPr>
        <w:t xml:space="preserve"> </w:t>
      </w:r>
      <w:r w:rsidRPr="00682363">
        <w:rPr>
          <w:rFonts w:cs="Times New Roman"/>
        </w:rPr>
        <w:t>abbahagyásához, míg a hányás miatt a betegeknek legfeljebb 1,4%-a hagyta abba a</w:t>
      </w:r>
      <w:r w:rsidR="00933915">
        <w:rPr>
          <w:rFonts w:cs="Times New Roman"/>
        </w:rPr>
        <w:t xml:space="preserve"> nintedanib</w:t>
      </w:r>
      <w:r w:rsidRPr="00682363">
        <w:rPr>
          <w:rFonts w:cs="Times New Roman"/>
        </w:rPr>
        <w:t>-kezelést.</w:t>
      </w:r>
    </w:p>
    <w:p w14:paraId="4C0C44B0" w14:textId="77777777" w:rsidR="00933915" w:rsidRDefault="00933915" w:rsidP="00933915">
      <w:pPr>
        <w:pStyle w:val="Szvegtrzs"/>
        <w:ind w:left="0"/>
        <w:rPr>
          <w:rFonts w:cs="Times New Roman"/>
        </w:rPr>
      </w:pPr>
    </w:p>
    <w:p w14:paraId="11BFF856" w14:textId="5BCB8752" w:rsidR="00682363" w:rsidRPr="00682363" w:rsidRDefault="00682363" w:rsidP="00933915">
      <w:pPr>
        <w:pStyle w:val="Szvegtrzs"/>
        <w:ind w:left="0"/>
        <w:rPr>
          <w:rFonts w:cs="Times New Roman"/>
        </w:rPr>
      </w:pPr>
      <w:r w:rsidRPr="00682363">
        <w:rPr>
          <w:rFonts w:cs="Times New Roman"/>
        </w:rPr>
        <w:t>Ha a megfelelő szupportív kezelés ellenére (beleértve a hányáscsillapító kezelést) a tünetek tartósan</w:t>
      </w:r>
      <w:r w:rsidR="00467475">
        <w:rPr>
          <w:rFonts w:cs="Times New Roman"/>
        </w:rPr>
        <w:t xml:space="preserve"> </w:t>
      </w:r>
      <w:r w:rsidRPr="00682363">
        <w:rPr>
          <w:rFonts w:cs="Times New Roman"/>
        </w:rPr>
        <w:t>fennállnak, szükséges lehet a dózis csökkentése vagy a kezelés megszakítása. A kezelés csökkentett</w:t>
      </w:r>
      <w:r w:rsidR="00467475">
        <w:rPr>
          <w:rFonts w:cs="Times New Roman"/>
        </w:rPr>
        <w:t xml:space="preserve"> </w:t>
      </w:r>
      <w:r w:rsidRPr="00682363">
        <w:rPr>
          <w:rFonts w:cs="Times New Roman"/>
        </w:rPr>
        <w:t>adaggal vagy teljes adaggal kezdhető újra (lásd 4.2</w:t>
      </w:r>
      <w:r w:rsidR="00375F16">
        <w:rPr>
          <w:rFonts w:cs="Times New Roman"/>
        </w:rPr>
        <w:t> </w:t>
      </w:r>
      <w:r w:rsidRPr="00682363">
        <w:rPr>
          <w:rFonts w:cs="Times New Roman"/>
        </w:rPr>
        <w:t>pont: Dózismódosítások). Abban az esetben, ha</w:t>
      </w:r>
      <w:r w:rsidR="00467475">
        <w:rPr>
          <w:rFonts w:cs="Times New Roman"/>
        </w:rPr>
        <w:t xml:space="preserve"> </w:t>
      </w:r>
      <w:r w:rsidRPr="00682363">
        <w:rPr>
          <w:rFonts w:cs="Times New Roman"/>
        </w:rPr>
        <w:t>továbbra is fennállnak a súlyos tünetek, a</w:t>
      </w:r>
      <w:r w:rsidR="00933915">
        <w:rPr>
          <w:rFonts w:cs="Times New Roman"/>
        </w:rPr>
        <w:t xml:space="preserve"> nintedanib</w:t>
      </w:r>
      <w:r w:rsidRPr="00682363">
        <w:rPr>
          <w:rFonts w:cs="Times New Roman"/>
        </w:rPr>
        <w:t>-kezelést abba kell hagyni.</w:t>
      </w:r>
    </w:p>
    <w:p w14:paraId="67940096" w14:textId="77777777" w:rsidR="00933915" w:rsidRDefault="00933915" w:rsidP="00933915">
      <w:pPr>
        <w:pStyle w:val="Szvegtrzs"/>
        <w:ind w:left="0"/>
        <w:rPr>
          <w:rFonts w:cs="Times New Roman"/>
        </w:rPr>
      </w:pPr>
    </w:p>
    <w:p w14:paraId="0CA6BC82" w14:textId="4DB30357" w:rsidR="00682363" w:rsidRPr="00933915" w:rsidRDefault="00682363" w:rsidP="00933915">
      <w:pPr>
        <w:pStyle w:val="Szvegtrzs"/>
        <w:ind w:left="0"/>
        <w:rPr>
          <w:rFonts w:cs="Times New Roman"/>
          <w:u w:val="single"/>
        </w:rPr>
      </w:pPr>
      <w:r w:rsidRPr="00933915">
        <w:rPr>
          <w:rFonts w:cs="Times New Roman"/>
          <w:u w:val="single"/>
        </w:rPr>
        <w:t>Májműködés</w:t>
      </w:r>
    </w:p>
    <w:p w14:paraId="35DE04D7" w14:textId="3FFE84FC" w:rsidR="00682363" w:rsidRDefault="00682363" w:rsidP="00933915">
      <w:pPr>
        <w:pStyle w:val="Szvegtrzs"/>
        <w:ind w:left="0"/>
        <w:rPr>
          <w:rFonts w:cs="Times New Roman"/>
        </w:rPr>
      </w:pPr>
      <w:r w:rsidRPr="00682363">
        <w:rPr>
          <w:rFonts w:cs="Times New Roman"/>
        </w:rPr>
        <w:t>A</w:t>
      </w:r>
      <w:r w:rsidR="00933915">
        <w:rPr>
          <w:rFonts w:cs="Times New Roman"/>
        </w:rPr>
        <w:t xml:space="preserve"> nintedanib</w:t>
      </w:r>
      <w:r w:rsidRPr="00682363">
        <w:rPr>
          <w:rFonts w:cs="Times New Roman"/>
        </w:rPr>
        <w:t xml:space="preserve"> biztonságosságát és hatásosságát közepes (Child-Pugh B stádium) vagy súlyos (Child-Pugh C</w:t>
      </w:r>
      <w:r w:rsidR="00933915">
        <w:rPr>
          <w:rFonts w:cs="Times New Roman"/>
        </w:rPr>
        <w:t xml:space="preserve"> </w:t>
      </w:r>
      <w:r w:rsidRPr="00682363">
        <w:rPr>
          <w:rFonts w:cs="Times New Roman"/>
        </w:rPr>
        <w:t>stádium) fokú májkárosodásban szenvedő betegek esetében nem vizsgálták. A</w:t>
      </w:r>
      <w:r w:rsidR="00933915">
        <w:rPr>
          <w:rFonts w:cs="Times New Roman"/>
        </w:rPr>
        <w:t xml:space="preserve"> nintedanib</w:t>
      </w:r>
      <w:r w:rsidRPr="00682363">
        <w:rPr>
          <w:rFonts w:cs="Times New Roman"/>
        </w:rPr>
        <w:t>-kezelés ilyen</w:t>
      </w:r>
      <w:r w:rsidR="00933915">
        <w:rPr>
          <w:rFonts w:cs="Times New Roman"/>
        </w:rPr>
        <w:t xml:space="preserve"> </w:t>
      </w:r>
      <w:r w:rsidRPr="00682363">
        <w:rPr>
          <w:rFonts w:cs="Times New Roman"/>
        </w:rPr>
        <w:t>betegeknél ezért nem javasolt (lásd 4.2</w:t>
      </w:r>
      <w:r w:rsidR="00375F16">
        <w:rPr>
          <w:rFonts w:cs="Times New Roman"/>
        </w:rPr>
        <w:t> </w:t>
      </w:r>
      <w:r w:rsidRPr="00682363">
        <w:rPr>
          <w:rFonts w:cs="Times New Roman"/>
        </w:rPr>
        <w:t>pont). A nagyobb mértékű expozíció miatt enyhe (Child-Pugh</w:t>
      </w:r>
      <w:r w:rsidR="00933915">
        <w:rPr>
          <w:rFonts w:cs="Times New Roman"/>
        </w:rPr>
        <w:t xml:space="preserve"> </w:t>
      </w:r>
      <w:r w:rsidRPr="00682363">
        <w:rPr>
          <w:rFonts w:cs="Times New Roman"/>
        </w:rPr>
        <w:t>A stádium) májkárosodásban szenvedő betegeknél nagyobb lehet a mellékhatások kockázata. Enyhe</w:t>
      </w:r>
      <w:r w:rsidR="00933915">
        <w:rPr>
          <w:rFonts w:cs="Times New Roman"/>
        </w:rPr>
        <w:t xml:space="preserve"> </w:t>
      </w:r>
      <w:r w:rsidRPr="00682363">
        <w:rPr>
          <w:rFonts w:cs="Times New Roman"/>
        </w:rPr>
        <w:t>májkárosodásban (Child-Pugh A stádium) szenvedő felnőtt betegeket a</w:t>
      </w:r>
      <w:r w:rsidR="00933915">
        <w:rPr>
          <w:rFonts w:cs="Times New Roman"/>
        </w:rPr>
        <w:t xml:space="preserve"> nintedanib </w:t>
      </w:r>
      <w:r w:rsidRPr="00682363">
        <w:rPr>
          <w:rFonts w:cs="Times New Roman"/>
        </w:rPr>
        <w:t>csökkentett adagjával</w:t>
      </w:r>
      <w:r w:rsidR="00933915">
        <w:rPr>
          <w:rFonts w:cs="Times New Roman"/>
        </w:rPr>
        <w:t xml:space="preserve"> </w:t>
      </w:r>
      <w:r w:rsidRPr="00682363">
        <w:rPr>
          <w:rFonts w:cs="Times New Roman"/>
        </w:rPr>
        <w:t>kell kezelni (lásd 4.2 és 5.2</w:t>
      </w:r>
      <w:r w:rsidR="00375F16">
        <w:rPr>
          <w:rFonts w:cs="Times New Roman"/>
        </w:rPr>
        <w:t> </w:t>
      </w:r>
      <w:r w:rsidRPr="00682363">
        <w:rPr>
          <w:rFonts w:cs="Times New Roman"/>
        </w:rPr>
        <w:t>pont).</w:t>
      </w:r>
    </w:p>
    <w:p w14:paraId="44310B5F" w14:textId="77777777" w:rsidR="00933915" w:rsidRPr="00682363" w:rsidRDefault="00933915" w:rsidP="00933915">
      <w:pPr>
        <w:pStyle w:val="Szvegtrzs"/>
        <w:ind w:left="0"/>
        <w:rPr>
          <w:rFonts w:cs="Times New Roman"/>
        </w:rPr>
      </w:pPr>
    </w:p>
    <w:p w14:paraId="12AABA9B" w14:textId="20C323E6" w:rsidR="00682363" w:rsidRPr="006A6DD6" w:rsidRDefault="00682363" w:rsidP="00933915">
      <w:pPr>
        <w:pStyle w:val="Szvegtrzs"/>
        <w:ind w:left="0"/>
        <w:rPr>
          <w:rFonts w:cs="Times New Roman"/>
        </w:rPr>
      </w:pPr>
      <w:r w:rsidRPr="00682363">
        <w:rPr>
          <w:rFonts w:cs="Times New Roman"/>
        </w:rPr>
        <w:t>Gyógyszerindukálta májkárosodás eseteit figyelték meg nintedanib-kezelés során, beleértve a súlyos,</w:t>
      </w:r>
      <w:r w:rsidR="006A6DD6">
        <w:rPr>
          <w:rFonts w:cs="Times New Roman"/>
        </w:rPr>
        <w:t xml:space="preserve"> </w:t>
      </w:r>
      <w:r w:rsidRPr="00682363">
        <w:rPr>
          <w:rFonts w:cs="Times New Roman"/>
        </w:rPr>
        <w:lastRenderedPageBreak/>
        <w:t>fatális kimenetelű májkárosodást. A hepatikus események többsége a kezelés első három hónapjában</w:t>
      </w:r>
      <w:r w:rsidR="006A6DD6">
        <w:rPr>
          <w:rFonts w:cs="Times New Roman"/>
        </w:rPr>
        <w:t xml:space="preserve"> </w:t>
      </w:r>
      <w:r w:rsidRPr="00682363">
        <w:rPr>
          <w:rFonts w:cs="Times New Roman"/>
        </w:rPr>
        <w:t>jelentkezik. Ezért a transzamináz és a bilirubin szintek ellenőrzése a</w:t>
      </w:r>
      <w:r w:rsidR="00933915">
        <w:rPr>
          <w:rFonts w:cs="Times New Roman"/>
        </w:rPr>
        <w:t xml:space="preserve"> nintedanib</w:t>
      </w:r>
      <w:r w:rsidRPr="00682363">
        <w:rPr>
          <w:rFonts w:cs="Times New Roman"/>
        </w:rPr>
        <w:t>-kezelés megkezdése előtt,</w:t>
      </w:r>
      <w:r w:rsidR="00933915">
        <w:rPr>
          <w:rFonts w:cs="Times New Roman"/>
        </w:rPr>
        <w:t xml:space="preserve"> </w:t>
      </w:r>
      <w:r w:rsidRPr="00682363">
        <w:rPr>
          <w:rFonts w:cs="Times New Roman"/>
        </w:rPr>
        <w:t>majd a kezelés első hónapjában szükséges. A betegek ellenőrzése az ezt követő két hónapban</w:t>
      </w:r>
      <w:r w:rsidR="006A6DD6">
        <w:rPr>
          <w:rFonts w:cs="Times New Roman"/>
        </w:rPr>
        <w:t xml:space="preserve"> </w:t>
      </w:r>
      <w:r w:rsidRPr="00682363">
        <w:rPr>
          <w:rFonts w:cs="Times New Roman"/>
        </w:rPr>
        <w:t>rendszeres időközönként, majd pedig bizonyos időközönként (p</w:t>
      </w:r>
      <w:r w:rsidR="00942BAD">
        <w:rPr>
          <w:rFonts w:cs="Times New Roman"/>
        </w:rPr>
        <w:t>l.</w:t>
      </w:r>
      <w:r w:rsidRPr="00682363">
        <w:rPr>
          <w:rFonts w:cs="Times New Roman"/>
        </w:rPr>
        <w:t xml:space="preserve"> a beteg kontrollvizsgálatakor),</w:t>
      </w:r>
      <w:r w:rsidR="006A6DD6">
        <w:rPr>
          <w:rFonts w:cs="Times New Roman"/>
        </w:rPr>
        <w:t xml:space="preserve"> </w:t>
      </w:r>
      <w:r w:rsidR="0090278E" w:rsidRPr="00A15F63">
        <w:rPr>
          <w:rFonts w:cs="Times New Roman"/>
          <w:spacing w:val="-1"/>
          <w:lang w:val="hu-HU"/>
        </w:rPr>
        <w:t>ill</w:t>
      </w:r>
      <w:r w:rsidR="00375F16">
        <w:rPr>
          <w:rFonts w:cs="Times New Roman"/>
          <w:spacing w:val="-1"/>
          <w:lang w:val="hu-HU"/>
        </w:rPr>
        <w:t>.</w:t>
      </w:r>
      <w:r w:rsidRPr="006A6DD6">
        <w:rPr>
          <w:rFonts w:cs="Times New Roman"/>
        </w:rPr>
        <w:t xml:space="preserve"> klinikailag indokolt esetben szükséges.</w:t>
      </w:r>
    </w:p>
    <w:p w14:paraId="17186627" w14:textId="77777777" w:rsidR="00933915" w:rsidRPr="006A6DD6" w:rsidRDefault="00933915" w:rsidP="00933915">
      <w:pPr>
        <w:pStyle w:val="Szvegtrzs"/>
        <w:ind w:left="0"/>
        <w:rPr>
          <w:rFonts w:cs="Times New Roman"/>
        </w:rPr>
      </w:pPr>
    </w:p>
    <w:p w14:paraId="0B754180" w14:textId="13142A71" w:rsidR="00682363" w:rsidRPr="00110009" w:rsidRDefault="00682363" w:rsidP="00933915">
      <w:pPr>
        <w:pStyle w:val="Szvegtrzs"/>
        <w:ind w:left="0"/>
        <w:rPr>
          <w:rFonts w:cs="Times New Roman"/>
        </w:rPr>
      </w:pPr>
      <w:r w:rsidRPr="006A6DD6">
        <w:rPr>
          <w:rFonts w:cs="Times New Roman"/>
        </w:rPr>
        <w:t xml:space="preserve">A májenzimek (GOT [ASAT], </w:t>
      </w:r>
      <w:r w:rsidR="00C30D47" w:rsidRPr="006A6DD6">
        <w:rPr>
          <w:rFonts w:cs="Times New Roman"/>
        </w:rPr>
        <w:t>G</w:t>
      </w:r>
      <w:r w:rsidR="00C30D47">
        <w:rPr>
          <w:rFonts w:cs="Times New Roman"/>
        </w:rPr>
        <w:t>PT</w:t>
      </w:r>
      <w:r w:rsidR="00C30D47" w:rsidRPr="006A6DD6">
        <w:rPr>
          <w:rFonts w:cs="Times New Roman"/>
        </w:rPr>
        <w:t xml:space="preserve"> </w:t>
      </w:r>
      <w:r w:rsidRPr="006A6DD6">
        <w:rPr>
          <w:rFonts w:cs="Times New Roman"/>
        </w:rPr>
        <w:t>[ALAT], alkalikus foszfatáz- [ALKP] szint a vérben,</w:t>
      </w:r>
      <w:r w:rsidR="006A6DD6" w:rsidRPr="006A6DD6">
        <w:rPr>
          <w:rFonts w:cs="Times New Roman"/>
        </w:rPr>
        <w:t xml:space="preserve"> </w:t>
      </w:r>
      <w:r w:rsidRPr="006A6DD6">
        <w:rPr>
          <w:rFonts w:cs="Times New Roman"/>
        </w:rPr>
        <w:t>gamma-glutamil-transzferáz [GGT], lásd 4.8</w:t>
      </w:r>
      <w:r w:rsidR="00B24C7A">
        <w:rPr>
          <w:rFonts w:cs="Times New Roman"/>
        </w:rPr>
        <w:t> </w:t>
      </w:r>
      <w:r w:rsidRPr="006A6DD6">
        <w:rPr>
          <w:rFonts w:cs="Times New Roman"/>
        </w:rPr>
        <w:t>pont) és a bilirubin szintjének megemelkedése az esetek</w:t>
      </w:r>
      <w:r w:rsidR="006A6DD6" w:rsidRPr="006A6DD6">
        <w:rPr>
          <w:rFonts w:cs="Times New Roman"/>
        </w:rPr>
        <w:t xml:space="preserve"> </w:t>
      </w:r>
      <w:r w:rsidRPr="006A6DD6">
        <w:rPr>
          <w:rFonts w:cs="Times New Roman"/>
        </w:rPr>
        <w:t>többségében a dózis csökkentésekor vagy a kezelés megszakításakor reverzibilis volt. Ha az ULN</w:t>
      </w:r>
      <w:r w:rsidR="006A6DD6" w:rsidRPr="006A6DD6">
        <w:rPr>
          <w:rFonts w:cs="Times New Roman"/>
        </w:rPr>
        <w:t xml:space="preserve"> </w:t>
      </w:r>
      <w:r w:rsidRPr="006A6DD6">
        <w:rPr>
          <w:rFonts w:cs="Times New Roman"/>
        </w:rPr>
        <w:t>(normál érték felső határának) 3-szorosát meghaladó mértékben emelkedett transzaminázszinteket</w:t>
      </w:r>
      <w:r w:rsidR="006A6DD6" w:rsidRPr="006A6DD6">
        <w:rPr>
          <w:rFonts w:cs="Times New Roman"/>
        </w:rPr>
        <w:t xml:space="preserve"> </w:t>
      </w:r>
      <w:r w:rsidRPr="006A6DD6">
        <w:rPr>
          <w:rFonts w:cs="Times New Roman"/>
        </w:rPr>
        <w:t xml:space="preserve">(GOT vagy </w:t>
      </w:r>
      <w:r w:rsidR="00C30D47" w:rsidRPr="006A6DD6">
        <w:rPr>
          <w:rFonts w:cs="Times New Roman"/>
        </w:rPr>
        <w:t>G</w:t>
      </w:r>
      <w:r w:rsidR="00C30D47">
        <w:rPr>
          <w:rFonts w:cs="Times New Roman"/>
        </w:rPr>
        <w:t>PT</w:t>
      </w:r>
      <w:r w:rsidRPr="006A6DD6">
        <w:rPr>
          <w:rFonts w:cs="Times New Roman"/>
        </w:rPr>
        <w:t>) mérnek, ajánlott a dózis csökkentése vagy a</w:t>
      </w:r>
      <w:r w:rsidR="00933915" w:rsidRPr="006A6DD6">
        <w:rPr>
          <w:rFonts w:cs="Times New Roman"/>
        </w:rPr>
        <w:t xml:space="preserve"> nintedanibbal</w:t>
      </w:r>
      <w:r w:rsidRPr="006A6DD6">
        <w:rPr>
          <w:rFonts w:cs="Times New Roman"/>
        </w:rPr>
        <w:t xml:space="preserve"> végzett kezelés</w:t>
      </w:r>
      <w:r w:rsidR="006A6DD6" w:rsidRPr="006A6DD6">
        <w:rPr>
          <w:rFonts w:cs="Times New Roman"/>
        </w:rPr>
        <w:t xml:space="preserve"> </w:t>
      </w:r>
      <w:r w:rsidRPr="006A6DD6">
        <w:rPr>
          <w:rFonts w:cs="Times New Roman"/>
        </w:rPr>
        <w:t>felfüggesztése, és a beteget szorosan ellenőrizni kell. Amint a transzaminázszintek a kiindulási</w:t>
      </w:r>
      <w:r w:rsidR="006A6DD6" w:rsidRPr="006A6DD6">
        <w:rPr>
          <w:rFonts w:cs="Times New Roman"/>
        </w:rPr>
        <w:t xml:space="preserve"> </w:t>
      </w:r>
      <w:r w:rsidRPr="006A6DD6">
        <w:rPr>
          <w:rFonts w:cs="Times New Roman"/>
        </w:rPr>
        <w:t>értékekre csökkentek, a</w:t>
      </w:r>
      <w:r w:rsidR="00933915" w:rsidRPr="006A6DD6">
        <w:rPr>
          <w:rFonts w:cs="Times New Roman"/>
        </w:rPr>
        <w:t xml:space="preserve"> nintedanib</w:t>
      </w:r>
      <w:r w:rsidRPr="006A6DD6">
        <w:rPr>
          <w:rFonts w:cs="Times New Roman"/>
        </w:rPr>
        <w:t>-kezelés újrakezdhető teljes adaggal vagy csökkentett adaggal, amely a</w:t>
      </w:r>
      <w:r w:rsidR="00933915" w:rsidRPr="006A6DD6">
        <w:rPr>
          <w:rFonts w:cs="Times New Roman"/>
        </w:rPr>
        <w:t xml:space="preserve"> </w:t>
      </w:r>
      <w:r w:rsidRPr="006A6DD6">
        <w:rPr>
          <w:rFonts w:cs="Times New Roman"/>
        </w:rPr>
        <w:t>későbbiekben a teljes adagra emelhető (lásd 4.2</w:t>
      </w:r>
      <w:r w:rsidR="00B07CB4">
        <w:rPr>
          <w:rFonts w:cs="Times New Roman"/>
        </w:rPr>
        <w:t> </w:t>
      </w:r>
      <w:r w:rsidRPr="006A6DD6">
        <w:rPr>
          <w:rFonts w:cs="Times New Roman"/>
        </w:rPr>
        <w:t xml:space="preserve">pont: Dózismódosítások). </w:t>
      </w:r>
      <w:r w:rsidRPr="00942BAD">
        <w:rPr>
          <w:rFonts w:cs="Times New Roman"/>
        </w:rPr>
        <w:t>Amennyiben bármelyik</w:t>
      </w:r>
      <w:r w:rsidR="00933915" w:rsidRPr="00942BAD">
        <w:rPr>
          <w:rFonts w:cs="Times New Roman"/>
        </w:rPr>
        <w:t xml:space="preserve"> </w:t>
      </w:r>
      <w:r w:rsidRPr="00942BAD">
        <w:rPr>
          <w:rFonts w:cs="Times New Roman"/>
        </w:rPr>
        <w:t>emelkedett májfunkciós vizsgálati eredmény májkárosodás okozta klinikai tünetekkel vagy</w:t>
      </w:r>
      <w:r w:rsidR="00933915" w:rsidRPr="00942BAD">
        <w:rPr>
          <w:rFonts w:cs="Times New Roman"/>
        </w:rPr>
        <w:t xml:space="preserve"> </w:t>
      </w:r>
      <w:r w:rsidRPr="00942BAD">
        <w:rPr>
          <w:rFonts w:cs="Times New Roman"/>
        </w:rPr>
        <w:t xml:space="preserve">panaszokkal, </w:t>
      </w:r>
      <w:r w:rsidR="00942BAD" w:rsidRPr="00682363">
        <w:rPr>
          <w:rFonts w:cs="Times New Roman"/>
        </w:rPr>
        <w:t>p</w:t>
      </w:r>
      <w:r w:rsidR="00942BAD">
        <w:rPr>
          <w:rFonts w:cs="Times New Roman"/>
        </w:rPr>
        <w:t>l.</w:t>
      </w:r>
      <w:r w:rsidRPr="00942BAD">
        <w:rPr>
          <w:rFonts w:cs="Times New Roman"/>
        </w:rPr>
        <w:t xml:space="preserve"> sárgasággal jár, a</w:t>
      </w:r>
      <w:r w:rsidR="00933915" w:rsidRPr="00942BAD">
        <w:rPr>
          <w:rFonts w:cs="Times New Roman"/>
        </w:rPr>
        <w:t xml:space="preserve"> nintedanib</w:t>
      </w:r>
      <w:r w:rsidRPr="00942BAD">
        <w:rPr>
          <w:rFonts w:cs="Times New Roman"/>
        </w:rPr>
        <w:t xml:space="preserve">-kezelést végleg abba kell hagyni. </w:t>
      </w:r>
      <w:r w:rsidRPr="00110009">
        <w:rPr>
          <w:rFonts w:cs="Times New Roman"/>
        </w:rPr>
        <w:t>Vizsgálni kell a</w:t>
      </w:r>
      <w:r w:rsidR="00933915" w:rsidRPr="00110009">
        <w:rPr>
          <w:rFonts w:cs="Times New Roman"/>
        </w:rPr>
        <w:t xml:space="preserve"> </w:t>
      </w:r>
      <w:r w:rsidRPr="00110009">
        <w:rPr>
          <w:rFonts w:cs="Times New Roman"/>
        </w:rPr>
        <w:t>májenzimszintek emelkedésének egyéb okait.</w:t>
      </w:r>
    </w:p>
    <w:p w14:paraId="115EEB34" w14:textId="77777777" w:rsidR="00933915" w:rsidRPr="00110009" w:rsidRDefault="00933915" w:rsidP="00682363">
      <w:pPr>
        <w:pStyle w:val="Szvegtrzs"/>
        <w:rPr>
          <w:rFonts w:cs="Times New Roman"/>
        </w:rPr>
      </w:pPr>
    </w:p>
    <w:p w14:paraId="3B74A3BB" w14:textId="0FF89302" w:rsidR="00682363" w:rsidRPr="00110009" w:rsidRDefault="00682363" w:rsidP="00933915">
      <w:pPr>
        <w:pStyle w:val="Szvegtrzs"/>
        <w:ind w:left="0"/>
        <w:rPr>
          <w:rFonts w:cs="Times New Roman"/>
        </w:rPr>
      </w:pPr>
      <w:r w:rsidRPr="00110009">
        <w:rPr>
          <w:rFonts w:cs="Times New Roman"/>
        </w:rPr>
        <w:t>Az alacsony testtömegű (&lt; 65</w:t>
      </w:r>
      <w:r w:rsidR="00E201B4">
        <w:rPr>
          <w:rFonts w:cs="Times New Roman"/>
        </w:rPr>
        <w:t> </w:t>
      </w:r>
      <w:r w:rsidRPr="00110009">
        <w:rPr>
          <w:rFonts w:cs="Times New Roman"/>
        </w:rPr>
        <w:t>kg) felnőtt betegeknél, ázsiai betegeknél és nőbetegeknél magasabb az</w:t>
      </w:r>
      <w:r w:rsidR="006A6DD6" w:rsidRPr="00110009">
        <w:rPr>
          <w:rFonts w:cs="Times New Roman"/>
        </w:rPr>
        <w:t xml:space="preserve"> </w:t>
      </w:r>
      <w:r w:rsidRPr="00110009">
        <w:rPr>
          <w:rFonts w:cs="Times New Roman"/>
        </w:rPr>
        <w:t>emelkedett májenzimszintek kialakulásának kockázata. A nintedanib-expozíció lineárisan emelkedik a</w:t>
      </w:r>
      <w:r w:rsidR="00933915" w:rsidRPr="00110009">
        <w:rPr>
          <w:rFonts w:cs="Times New Roman"/>
        </w:rPr>
        <w:t xml:space="preserve"> </w:t>
      </w:r>
      <w:r w:rsidRPr="00110009">
        <w:rPr>
          <w:rFonts w:cs="Times New Roman"/>
        </w:rPr>
        <w:t>beteg életkorával, ami szintén a májenzimszint emelkedések kialakulásának magasabb kockázatát</w:t>
      </w:r>
      <w:r w:rsidR="006A6DD6" w:rsidRPr="00110009">
        <w:rPr>
          <w:rFonts w:cs="Times New Roman"/>
        </w:rPr>
        <w:t xml:space="preserve"> </w:t>
      </w:r>
      <w:r w:rsidRPr="00110009">
        <w:rPr>
          <w:rFonts w:cs="Times New Roman"/>
        </w:rPr>
        <w:t>eredményezheti (lásd 5.2</w:t>
      </w:r>
      <w:r w:rsidR="00E201B4">
        <w:rPr>
          <w:rFonts w:cs="Times New Roman"/>
        </w:rPr>
        <w:t> </w:t>
      </w:r>
      <w:r w:rsidRPr="00110009">
        <w:rPr>
          <w:rFonts w:cs="Times New Roman"/>
        </w:rPr>
        <w:t>pont). Azoknál a betegeknél, akiknél ezen kockázati tényezők fennállnak,</w:t>
      </w:r>
      <w:r w:rsidR="006A6DD6" w:rsidRPr="00110009">
        <w:rPr>
          <w:rFonts w:cs="Times New Roman"/>
        </w:rPr>
        <w:t xml:space="preserve"> </w:t>
      </w:r>
      <w:r w:rsidRPr="00110009">
        <w:rPr>
          <w:rFonts w:cs="Times New Roman"/>
        </w:rPr>
        <w:t>szoros ellenőrzés javasolt.</w:t>
      </w:r>
    </w:p>
    <w:p w14:paraId="5E9174EE" w14:textId="77777777" w:rsidR="00933915" w:rsidRPr="00110009" w:rsidRDefault="00933915" w:rsidP="00933915">
      <w:pPr>
        <w:pStyle w:val="Szvegtrzs"/>
        <w:ind w:left="0"/>
        <w:rPr>
          <w:rFonts w:cs="Times New Roman"/>
        </w:rPr>
      </w:pPr>
    </w:p>
    <w:p w14:paraId="04BA22C4" w14:textId="033D37C7" w:rsidR="00682363" w:rsidRPr="00110009" w:rsidRDefault="00682363" w:rsidP="00933915">
      <w:pPr>
        <w:pStyle w:val="Szvegtrzs"/>
        <w:ind w:left="0"/>
        <w:rPr>
          <w:rFonts w:cs="Times New Roman"/>
          <w:u w:val="single"/>
        </w:rPr>
      </w:pPr>
      <w:r w:rsidRPr="00110009">
        <w:rPr>
          <w:rFonts w:cs="Times New Roman"/>
          <w:u w:val="single"/>
        </w:rPr>
        <w:t>Veseműködés</w:t>
      </w:r>
    </w:p>
    <w:p w14:paraId="367CCAD7" w14:textId="4E2C7E48" w:rsidR="00682363" w:rsidRPr="00110009" w:rsidRDefault="00682363" w:rsidP="00933915">
      <w:pPr>
        <w:pStyle w:val="Szvegtrzs"/>
        <w:ind w:left="0"/>
        <w:rPr>
          <w:rFonts w:cs="Times New Roman"/>
        </w:rPr>
      </w:pPr>
      <w:r w:rsidRPr="00110009">
        <w:rPr>
          <w:rFonts w:cs="Times New Roman"/>
        </w:rPr>
        <w:t>A nintedanib alkalmazása kapcsán vesekárosodás vagy veseelégtelenség eseteiről számoltak be,</w:t>
      </w:r>
      <w:r w:rsidR="003E1DFC" w:rsidRPr="00110009">
        <w:rPr>
          <w:rFonts w:cs="Times New Roman"/>
        </w:rPr>
        <w:t xml:space="preserve"> </w:t>
      </w:r>
      <w:r w:rsidRPr="00110009">
        <w:rPr>
          <w:rFonts w:cs="Times New Roman"/>
        </w:rPr>
        <w:t>amelyek néhány esetben halálos kimenetelűek voltak (lásd 4.8</w:t>
      </w:r>
      <w:r w:rsidR="00B07CB4">
        <w:rPr>
          <w:rFonts w:cs="Times New Roman"/>
        </w:rPr>
        <w:t> </w:t>
      </w:r>
      <w:r w:rsidRPr="00110009">
        <w:rPr>
          <w:rFonts w:cs="Times New Roman"/>
        </w:rPr>
        <w:t>pont).</w:t>
      </w:r>
    </w:p>
    <w:p w14:paraId="5520AD3B" w14:textId="1BF55FBC" w:rsidR="00682363" w:rsidRPr="00110009" w:rsidRDefault="00682363" w:rsidP="00933915">
      <w:pPr>
        <w:pStyle w:val="Szvegtrzs"/>
        <w:ind w:left="0"/>
        <w:rPr>
          <w:rFonts w:cs="Times New Roman"/>
        </w:rPr>
      </w:pPr>
      <w:r w:rsidRPr="00110009">
        <w:rPr>
          <w:rFonts w:cs="Times New Roman"/>
        </w:rPr>
        <w:t>A nintedanib-kezelés alatt monitorozni kell a betegeket, különös figyelmet fordítva azokra, akiknél</w:t>
      </w:r>
      <w:r w:rsidR="003E1DFC" w:rsidRPr="00110009">
        <w:rPr>
          <w:rFonts w:cs="Times New Roman"/>
        </w:rPr>
        <w:t xml:space="preserve"> </w:t>
      </w:r>
      <w:r w:rsidRPr="00110009">
        <w:rPr>
          <w:rFonts w:cs="Times New Roman"/>
        </w:rPr>
        <w:t>fennállnak a vesekárosodás vagy veseelégtelenség kockázati tényezői. Vesekárosodás vagy</w:t>
      </w:r>
      <w:r w:rsidR="003E1DFC" w:rsidRPr="00110009">
        <w:rPr>
          <w:rFonts w:cs="Times New Roman"/>
        </w:rPr>
        <w:t xml:space="preserve"> </w:t>
      </w:r>
      <w:r w:rsidRPr="00110009">
        <w:rPr>
          <w:rFonts w:cs="Times New Roman"/>
        </w:rPr>
        <w:t>veseelégtelenség esetén megfontolandó a terápia módosítása (lásd 4.2</w:t>
      </w:r>
      <w:r w:rsidR="00B07CB4">
        <w:rPr>
          <w:rFonts w:cs="Times New Roman"/>
        </w:rPr>
        <w:t> </w:t>
      </w:r>
      <w:r w:rsidRPr="00110009">
        <w:rPr>
          <w:rFonts w:cs="Times New Roman"/>
        </w:rPr>
        <w:t>pont: Dózismódosítások).</w:t>
      </w:r>
    </w:p>
    <w:p w14:paraId="5EA9D4D4" w14:textId="77777777" w:rsidR="00933915" w:rsidRPr="00110009" w:rsidRDefault="00933915" w:rsidP="00933915">
      <w:pPr>
        <w:pStyle w:val="Szvegtrzs"/>
        <w:ind w:left="0"/>
        <w:rPr>
          <w:rFonts w:cs="Times New Roman"/>
        </w:rPr>
      </w:pPr>
    </w:p>
    <w:p w14:paraId="61A28A7F" w14:textId="0D3FABAD" w:rsidR="00682363" w:rsidRPr="00933915" w:rsidRDefault="00682363" w:rsidP="00933915">
      <w:pPr>
        <w:pStyle w:val="Szvegtrzs"/>
        <w:ind w:left="0"/>
        <w:rPr>
          <w:rFonts w:cs="Times New Roman"/>
          <w:u w:val="single"/>
        </w:rPr>
      </w:pPr>
      <w:r w:rsidRPr="00933915">
        <w:rPr>
          <w:rFonts w:cs="Times New Roman"/>
          <w:u w:val="single"/>
        </w:rPr>
        <w:t>Vérzés</w:t>
      </w:r>
    </w:p>
    <w:p w14:paraId="51960982" w14:textId="3FEC57A2" w:rsidR="00682363" w:rsidRPr="00682363" w:rsidRDefault="00682363" w:rsidP="00933915">
      <w:pPr>
        <w:pStyle w:val="Szvegtrzs"/>
        <w:ind w:left="0"/>
        <w:rPr>
          <w:rFonts w:cs="Times New Roman"/>
        </w:rPr>
      </w:pPr>
      <w:r w:rsidRPr="00682363">
        <w:rPr>
          <w:rFonts w:cs="Times New Roman"/>
        </w:rPr>
        <w:t>A vascularis endothelialis növekedési faktor receptor (vascular endothelial growth factor receptor,</w:t>
      </w:r>
      <w:r w:rsidR="003E1DFC">
        <w:rPr>
          <w:rFonts w:cs="Times New Roman"/>
        </w:rPr>
        <w:t xml:space="preserve"> </w:t>
      </w:r>
      <w:r w:rsidRPr="00682363">
        <w:rPr>
          <w:rFonts w:cs="Times New Roman"/>
        </w:rPr>
        <w:t>VEGFR) gátlása fokozott vérzési kockázattal járhat.</w:t>
      </w:r>
    </w:p>
    <w:p w14:paraId="03AACE49" w14:textId="6A0D0D30" w:rsidR="00682363" w:rsidRPr="00110009" w:rsidRDefault="00682363" w:rsidP="00933915">
      <w:pPr>
        <w:pStyle w:val="Szvegtrzs"/>
        <w:ind w:left="0"/>
        <w:rPr>
          <w:rFonts w:cs="Times New Roman"/>
        </w:rPr>
      </w:pPr>
      <w:r w:rsidRPr="00682363">
        <w:rPr>
          <w:rFonts w:cs="Times New Roman"/>
        </w:rPr>
        <w:t>Azokat a betegeket, akiknél ismerten fennállt a vérzés kockázata – beleértve az öröklött vérzési</w:t>
      </w:r>
      <w:r w:rsidR="003E1DFC">
        <w:rPr>
          <w:rFonts w:cs="Times New Roman"/>
        </w:rPr>
        <w:t xml:space="preserve"> </w:t>
      </w:r>
      <w:r w:rsidRPr="00682363">
        <w:rPr>
          <w:rFonts w:cs="Times New Roman"/>
        </w:rPr>
        <w:t>hajlammal rendelkező betegeket vagy teljes adagban antikoaguláns kezelésben részesülő betegeket –,</w:t>
      </w:r>
      <w:r w:rsidR="003E1DFC">
        <w:rPr>
          <w:rFonts w:cs="Times New Roman"/>
        </w:rPr>
        <w:t xml:space="preserve"> </w:t>
      </w:r>
      <w:r w:rsidRPr="003E1DFC">
        <w:rPr>
          <w:rFonts w:cs="Times New Roman"/>
        </w:rPr>
        <w:t>nem vonták be a klinikai vizsgálatokba. A forgalomba hozatalt követő időszakban nem súlyos és</w:t>
      </w:r>
      <w:r w:rsidR="003E1DFC" w:rsidRPr="003E1DFC">
        <w:rPr>
          <w:rFonts w:cs="Times New Roman"/>
        </w:rPr>
        <w:t xml:space="preserve"> </w:t>
      </w:r>
      <w:r w:rsidRPr="003E1DFC">
        <w:rPr>
          <w:rFonts w:cs="Times New Roman"/>
        </w:rPr>
        <w:t>súlyos vérzéses eseményekről számoltak be, amelyek némelyike halálos kimenetelű volt (köztük olyan</w:t>
      </w:r>
      <w:r w:rsidR="00933915" w:rsidRPr="003E1DFC">
        <w:rPr>
          <w:rFonts w:cs="Times New Roman"/>
        </w:rPr>
        <w:t xml:space="preserve"> </w:t>
      </w:r>
      <w:r w:rsidRPr="003E1DFC">
        <w:rPr>
          <w:rFonts w:cs="Times New Roman"/>
        </w:rPr>
        <w:t>betegeknél, akik véralvadásgátló terápiában részesültek, és olyan betegeknél is, akik nem kaptak ilyen</w:t>
      </w:r>
      <w:r w:rsidR="00933915" w:rsidRPr="003E1DFC">
        <w:rPr>
          <w:rFonts w:cs="Times New Roman"/>
        </w:rPr>
        <w:t xml:space="preserve"> </w:t>
      </w:r>
      <w:r w:rsidRPr="003E1DFC">
        <w:rPr>
          <w:rFonts w:cs="Times New Roman"/>
        </w:rPr>
        <w:t xml:space="preserve">kezelést, vagy olyan egyéb gyógyszereket alkalmaztak, amelyek vérzést okozhatnak). </w:t>
      </w:r>
      <w:r w:rsidRPr="00110009">
        <w:rPr>
          <w:rFonts w:cs="Times New Roman"/>
        </w:rPr>
        <w:t>Ezért ezek a</w:t>
      </w:r>
      <w:r w:rsidR="00933915" w:rsidRPr="00110009">
        <w:rPr>
          <w:rFonts w:cs="Times New Roman"/>
        </w:rPr>
        <w:t xml:space="preserve"> </w:t>
      </w:r>
      <w:r w:rsidRPr="00110009">
        <w:rPr>
          <w:rFonts w:cs="Times New Roman"/>
        </w:rPr>
        <w:t xml:space="preserve">betegek csak akkor kezelhetők </w:t>
      </w:r>
      <w:r w:rsidR="00933915" w:rsidRPr="00110009">
        <w:rPr>
          <w:rFonts w:cs="Times New Roman"/>
        </w:rPr>
        <w:t>nintedanibbal</w:t>
      </w:r>
      <w:r w:rsidRPr="00110009">
        <w:rPr>
          <w:rFonts w:cs="Times New Roman"/>
        </w:rPr>
        <w:t>, ha a várt előny felülmúlja a lehetséges kockázatot.</w:t>
      </w:r>
    </w:p>
    <w:p w14:paraId="6EAF36BE" w14:textId="77777777" w:rsidR="00933915" w:rsidRPr="00110009" w:rsidRDefault="00933915" w:rsidP="00933915">
      <w:pPr>
        <w:pStyle w:val="Szvegtrzs"/>
        <w:ind w:left="0"/>
        <w:rPr>
          <w:rFonts w:cs="Times New Roman"/>
          <w:u w:val="single"/>
        </w:rPr>
      </w:pPr>
    </w:p>
    <w:p w14:paraId="4AB87E91" w14:textId="3A5F222F" w:rsidR="00682363" w:rsidRPr="00110009" w:rsidRDefault="00682363" w:rsidP="00933915">
      <w:pPr>
        <w:pStyle w:val="Szvegtrzs"/>
        <w:ind w:left="0"/>
        <w:rPr>
          <w:rFonts w:cs="Times New Roman"/>
          <w:u w:val="single"/>
        </w:rPr>
      </w:pPr>
      <w:r w:rsidRPr="00110009">
        <w:rPr>
          <w:rFonts w:cs="Times New Roman"/>
          <w:u w:val="single"/>
        </w:rPr>
        <w:t>Artériás thromboemboliás események</w:t>
      </w:r>
    </w:p>
    <w:p w14:paraId="5C14038F" w14:textId="45C19B7E" w:rsidR="00682363" w:rsidRPr="00110009" w:rsidRDefault="00682363" w:rsidP="00933915">
      <w:pPr>
        <w:pStyle w:val="Szvegtrzs"/>
        <w:ind w:left="0"/>
        <w:rPr>
          <w:rFonts w:cs="Times New Roman"/>
        </w:rPr>
      </w:pPr>
      <w:r w:rsidRPr="00110009">
        <w:rPr>
          <w:rFonts w:cs="Times New Roman"/>
        </w:rPr>
        <w:t>A közelmúltban myocardialis infarctuson vagy stroke-on átesett betegeket kizárták a klinikai</w:t>
      </w:r>
      <w:r w:rsidR="003E1DFC" w:rsidRPr="00110009">
        <w:rPr>
          <w:rFonts w:cs="Times New Roman"/>
        </w:rPr>
        <w:t xml:space="preserve"> </w:t>
      </w:r>
      <w:r w:rsidRPr="00110009">
        <w:rPr>
          <w:rFonts w:cs="Times New Roman"/>
        </w:rPr>
        <w:t>vizsgálatokból.</w:t>
      </w:r>
      <w:r w:rsidR="00933915" w:rsidRPr="00110009">
        <w:rPr>
          <w:rFonts w:cs="Times New Roman"/>
        </w:rPr>
        <w:t xml:space="preserve"> </w:t>
      </w:r>
      <w:r w:rsidRPr="00110009">
        <w:rPr>
          <w:rFonts w:cs="Times New Roman"/>
        </w:rPr>
        <w:t>Felnőtt betegekkel végzett klinikai vizsgálatokban artériás thromboemboliás eseményről ritkán</w:t>
      </w:r>
      <w:r w:rsidR="00933915" w:rsidRPr="00110009">
        <w:rPr>
          <w:rFonts w:cs="Times New Roman"/>
        </w:rPr>
        <w:t xml:space="preserve"> </w:t>
      </w:r>
      <w:r w:rsidRPr="00110009">
        <w:rPr>
          <w:rFonts w:cs="Times New Roman"/>
        </w:rPr>
        <w:t>számoltak be (</w:t>
      </w:r>
      <w:r w:rsidR="00933915" w:rsidRPr="00110009">
        <w:rPr>
          <w:rFonts w:cs="Times New Roman"/>
        </w:rPr>
        <w:t>nintedanib</w:t>
      </w:r>
      <w:r w:rsidRPr="00110009">
        <w:rPr>
          <w:rFonts w:cs="Times New Roman"/>
        </w:rPr>
        <w:t xml:space="preserve"> esetén 2,5%, a placebó esetén 0,7% az INPULSIS vizsgálatban; </w:t>
      </w:r>
      <w:r w:rsidR="00933915" w:rsidRPr="00110009">
        <w:rPr>
          <w:rFonts w:cs="Times New Roman"/>
        </w:rPr>
        <w:t>nintedanibnál</w:t>
      </w:r>
      <w:r w:rsidRPr="00110009">
        <w:rPr>
          <w:rFonts w:cs="Times New Roman"/>
        </w:rPr>
        <w:t xml:space="preserve"> 0,9%, a</w:t>
      </w:r>
      <w:r w:rsidR="00933915" w:rsidRPr="00110009">
        <w:rPr>
          <w:rFonts w:cs="Times New Roman"/>
        </w:rPr>
        <w:t xml:space="preserve"> </w:t>
      </w:r>
      <w:r w:rsidRPr="00110009">
        <w:rPr>
          <w:rFonts w:cs="Times New Roman"/>
        </w:rPr>
        <w:t>placebónál</w:t>
      </w:r>
      <w:r w:rsidR="00496A36">
        <w:rPr>
          <w:rFonts w:cs="Times New Roman"/>
        </w:rPr>
        <w:t xml:space="preserve"> </w:t>
      </w:r>
      <w:r w:rsidRPr="00110009">
        <w:rPr>
          <w:rFonts w:cs="Times New Roman"/>
        </w:rPr>
        <w:t xml:space="preserve">0,9% az INBUILD vizsgálatnál; </w:t>
      </w:r>
      <w:r w:rsidR="00933915" w:rsidRPr="00110009">
        <w:rPr>
          <w:rFonts w:cs="Times New Roman"/>
        </w:rPr>
        <w:t>nintedanib</w:t>
      </w:r>
      <w:r w:rsidRPr="00110009">
        <w:rPr>
          <w:rFonts w:cs="Times New Roman"/>
        </w:rPr>
        <w:t xml:space="preserve"> esetén 0,7%</w:t>
      </w:r>
      <w:r w:rsidR="00EC0572">
        <w:rPr>
          <w:rFonts w:cs="Times New Roman"/>
        </w:rPr>
        <w:t>,</w:t>
      </w:r>
      <w:r w:rsidRPr="00110009">
        <w:rPr>
          <w:rFonts w:cs="Times New Roman"/>
        </w:rPr>
        <w:t xml:space="preserve"> a</w:t>
      </w:r>
      <w:r w:rsidR="00933915" w:rsidRPr="00110009">
        <w:rPr>
          <w:rFonts w:cs="Times New Roman"/>
        </w:rPr>
        <w:t xml:space="preserve"> </w:t>
      </w:r>
      <w:r w:rsidRPr="00110009">
        <w:rPr>
          <w:rFonts w:cs="Times New Roman"/>
        </w:rPr>
        <w:t>placebóval</w:t>
      </w:r>
      <w:r w:rsidR="00496A36">
        <w:rPr>
          <w:rFonts w:cs="Times New Roman"/>
        </w:rPr>
        <w:t xml:space="preserve"> </w:t>
      </w:r>
      <w:r w:rsidRPr="00110009">
        <w:rPr>
          <w:rFonts w:cs="Times New Roman"/>
        </w:rPr>
        <w:t>0,7</w:t>
      </w:r>
      <w:r w:rsidR="00496A36" w:rsidRPr="00110009">
        <w:rPr>
          <w:rFonts w:cs="Times New Roman"/>
        </w:rPr>
        <w:t>%</w:t>
      </w:r>
      <w:r w:rsidR="00496A36" w:rsidRPr="00496A36">
        <w:rPr>
          <w:rFonts w:cs="Times New Roman"/>
        </w:rPr>
        <w:t xml:space="preserve"> </w:t>
      </w:r>
      <w:r w:rsidR="00496A36" w:rsidRPr="00110009">
        <w:rPr>
          <w:rFonts w:cs="Times New Roman"/>
        </w:rPr>
        <w:t>a SENSCIS vizsgálatban</w:t>
      </w:r>
      <w:r w:rsidRPr="00110009">
        <w:rPr>
          <w:rFonts w:cs="Times New Roman"/>
        </w:rPr>
        <w:t>). Az INPULSIS vizsgálatokban a betegek nagyobb százalékánál jelentkezett</w:t>
      </w:r>
      <w:r w:rsidR="00933915" w:rsidRPr="00110009">
        <w:rPr>
          <w:rFonts w:cs="Times New Roman"/>
        </w:rPr>
        <w:t xml:space="preserve"> </w:t>
      </w:r>
      <w:r w:rsidRPr="00110009">
        <w:rPr>
          <w:rFonts w:cs="Times New Roman"/>
        </w:rPr>
        <w:t>myocardialis infarctus a</w:t>
      </w:r>
      <w:r w:rsidR="00933915" w:rsidRPr="00110009">
        <w:rPr>
          <w:rFonts w:cs="Times New Roman"/>
        </w:rPr>
        <w:t xml:space="preserve"> nintedanib</w:t>
      </w:r>
      <w:r w:rsidRPr="00110009">
        <w:rPr>
          <w:rFonts w:cs="Times New Roman"/>
        </w:rPr>
        <w:t>-csoportban (1,6%)</w:t>
      </w:r>
      <w:r w:rsidR="00496A36">
        <w:rPr>
          <w:rFonts w:cs="Times New Roman"/>
        </w:rPr>
        <w:t>,</w:t>
      </w:r>
      <w:r w:rsidRPr="00110009">
        <w:rPr>
          <w:rFonts w:cs="Times New Roman"/>
        </w:rPr>
        <w:t xml:space="preserve"> mint a placebocsoportban (0,5%), míg az</w:t>
      </w:r>
      <w:r w:rsidR="00933915" w:rsidRPr="00110009">
        <w:rPr>
          <w:rFonts w:cs="Times New Roman"/>
        </w:rPr>
        <w:t xml:space="preserve"> </w:t>
      </w:r>
      <w:r w:rsidRPr="00110009">
        <w:rPr>
          <w:rFonts w:cs="Times New Roman"/>
        </w:rPr>
        <w:t>ischaemiás szívbetegséget jelző mellékhatások előfordulása kiegyensúlyozott volt a</w:t>
      </w:r>
      <w:r w:rsidR="00933915" w:rsidRPr="00110009">
        <w:rPr>
          <w:rFonts w:cs="Times New Roman"/>
        </w:rPr>
        <w:t xml:space="preserve"> nintedanib</w:t>
      </w:r>
      <w:r w:rsidRPr="00110009">
        <w:rPr>
          <w:rFonts w:cs="Times New Roman"/>
        </w:rPr>
        <w:t>- és a</w:t>
      </w:r>
      <w:r w:rsidR="00933915" w:rsidRPr="00110009">
        <w:rPr>
          <w:rFonts w:cs="Times New Roman"/>
        </w:rPr>
        <w:t xml:space="preserve"> </w:t>
      </w:r>
      <w:r w:rsidRPr="00110009">
        <w:rPr>
          <w:rFonts w:cs="Times New Roman"/>
        </w:rPr>
        <w:t>placebocsoportban. Az INBUILD vizsgálatban myocardialis infarctus alacsony gyakorisággal fordult</w:t>
      </w:r>
      <w:r w:rsidR="00933915" w:rsidRPr="00110009">
        <w:rPr>
          <w:rFonts w:cs="Times New Roman"/>
        </w:rPr>
        <w:t xml:space="preserve"> </w:t>
      </w:r>
      <w:r w:rsidRPr="00110009">
        <w:rPr>
          <w:rFonts w:cs="Times New Roman"/>
        </w:rPr>
        <w:t xml:space="preserve">elő: </w:t>
      </w:r>
      <w:r w:rsidR="00933915" w:rsidRPr="00110009">
        <w:rPr>
          <w:rFonts w:cs="Times New Roman"/>
        </w:rPr>
        <w:t>nintedanibnál</w:t>
      </w:r>
      <w:r w:rsidRPr="00110009">
        <w:rPr>
          <w:rFonts w:cs="Times New Roman"/>
        </w:rPr>
        <w:t xml:space="preserve"> 0,9%, a placebó</w:t>
      </w:r>
      <w:r w:rsidR="00C57C5D">
        <w:rPr>
          <w:rFonts w:cs="Times New Roman"/>
        </w:rPr>
        <w:t>nál</w:t>
      </w:r>
      <w:r w:rsidRPr="00110009">
        <w:rPr>
          <w:rFonts w:cs="Times New Roman"/>
        </w:rPr>
        <w:t xml:space="preserve"> 0,9%. A SENSCIS vizsgálatban myocardialis infarktus alacsony</w:t>
      </w:r>
      <w:r w:rsidR="00933915" w:rsidRPr="00110009">
        <w:rPr>
          <w:rFonts w:cs="Times New Roman"/>
        </w:rPr>
        <w:t xml:space="preserve"> </w:t>
      </w:r>
      <w:r w:rsidRPr="00110009">
        <w:rPr>
          <w:rFonts w:cs="Times New Roman"/>
        </w:rPr>
        <w:t>gyakorisággal fordult elő a placebóval kezelt csoportban (0,7%), a</w:t>
      </w:r>
      <w:r w:rsidR="00933915" w:rsidRPr="00110009">
        <w:rPr>
          <w:rFonts w:cs="Times New Roman"/>
        </w:rPr>
        <w:t xml:space="preserve"> nintedanibbal</w:t>
      </w:r>
      <w:r w:rsidRPr="00110009">
        <w:rPr>
          <w:rFonts w:cs="Times New Roman"/>
        </w:rPr>
        <w:t xml:space="preserve"> kezelt csoportban pedig</w:t>
      </w:r>
      <w:r w:rsidR="00933915" w:rsidRPr="00110009">
        <w:rPr>
          <w:rFonts w:cs="Times New Roman"/>
        </w:rPr>
        <w:t xml:space="preserve"> </w:t>
      </w:r>
      <w:r w:rsidRPr="00110009">
        <w:rPr>
          <w:rFonts w:cs="Times New Roman"/>
        </w:rPr>
        <w:t>nem fordult elő.</w:t>
      </w:r>
    </w:p>
    <w:p w14:paraId="48718432" w14:textId="05D62F97" w:rsidR="00682363" w:rsidRPr="00110009" w:rsidRDefault="00682363" w:rsidP="00933915">
      <w:pPr>
        <w:pStyle w:val="Szvegtrzs"/>
        <w:ind w:left="0"/>
        <w:rPr>
          <w:rFonts w:cs="Times New Roman"/>
        </w:rPr>
      </w:pPr>
      <w:r w:rsidRPr="00110009">
        <w:rPr>
          <w:rFonts w:cs="Times New Roman"/>
        </w:rPr>
        <w:t xml:space="preserve">A magasabb cardiovascularis kockázatnak − az ismert koszorúér-betegséget is beleértve </w:t>
      </w:r>
      <w:r w:rsidR="003E1DFC" w:rsidRPr="00110009">
        <w:rPr>
          <w:rFonts w:cs="Times New Roman"/>
        </w:rPr>
        <w:t>–</w:t>
      </w:r>
      <w:r w:rsidRPr="00110009">
        <w:rPr>
          <w:rFonts w:cs="Times New Roman"/>
        </w:rPr>
        <w:t xml:space="preserve"> kitett</w:t>
      </w:r>
      <w:r w:rsidR="003E1DFC" w:rsidRPr="00110009">
        <w:rPr>
          <w:rFonts w:cs="Times New Roman"/>
        </w:rPr>
        <w:t xml:space="preserve"> </w:t>
      </w:r>
      <w:r w:rsidRPr="00110009">
        <w:rPr>
          <w:rFonts w:cs="Times New Roman"/>
        </w:rPr>
        <w:t>betegek kezelése során elővigyázatosság szükséges. Azoknál a betegeknél, akiknél akut myocardialis</w:t>
      </w:r>
      <w:r w:rsidR="003E1DFC" w:rsidRPr="00110009">
        <w:rPr>
          <w:rFonts w:cs="Times New Roman"/>
        </w:rPr>
        <w:t xml:space="preserve"> </w:t>
      </w:r>
      <w:r w:rsidRPr="00110009">
        <w:rPr>
          <w:rFonts w:cs="Times New Roman"/>
        </w:rPr>
        <w:t xml:space="preserve">ischaemia okozta tünetek, </w:t>
      </w:r>
      <w:r w:rsidR="0090278E" w:rsidRPr="00A15F63">
        <w:rPr>
          <w:rFonts w:cs="Times New Roman"/>
          <w:spacing w:val="-1"/>
          <w:lang w:val="hu-HU"/>
        </w:rPr>
        <w:t>ill</w:t>
      </w:r>
      <w:r w:rsidR="00C174F5">
        <w:rPr>
          <w:rFonts w:cs="Times New Roman"/>
          <w:spacing w:val="-1"/>
          <w:lang w:val="hu-HU"/>
        </w:rPr>
        <w:t>.</w:t>
      </w:r>
      <w:r w:rsidRPr="00110009">
        <w:rPr>
          <w:rFonts w:cs="Times New Roman"/>
        </w:rPr>
        <w:t xml:space="preserve"> panaszok alakulnak ki, megfontolandó a kezelés megszakítása.</w:t>
      </w:r>
    </w:p>
    <w:p w14:paraId="254EAFD8" w14:textId="77777777" w:rsidR="00933915" w:rsidRPr="00110009" w:rsidRDefault="00933915" w:rsidP="00933915">
      <w:pPr>
        <w:pStyle w:val="Szvegtrzs"/>
        <w:ind w:left="0"/>
        <w:rPr>
          <w:rFonts w:cs="Times New Roman"/>
        </w:rPr>
      </w:pPr>
    </w:p>
    <w:p w14:paraId="45E94BA1" w14:textId="59AB8D0A" w:rsidR="00682363" w:rsidRPr="00110009" w:rsidRDefault="00682363" w:rsidP="00933915">
      <w:pPr>
        <w:pStyle w:val="Szvegtrzs"/>
        <w:ind w:left="0"/>
        <w:rPr>
          <w:rFonts w:cs="Times New Roman"/>
          <w:u w:val="single"/>
        </w:rPr>
      </w:pPr>
      <w:r w:rsidRPr="00110009">
        <w:rPr>
          <w:rFonts w:cs="Times New Roman"/>
          <w:u w:val="single"/>
        </w:rPr>
        <w:t>Aneurysma és arteria-dissectio</w:t>
      </w:r>
    </w:p>
    <w:p w14:paraId="7A5AF66A" w14:textId="292126A0" w:rsidR="00682363" w:rsidRPr="00110009" w:rsidRDefault="00682363" w:rsidP="00933915">
      <w:pPr>
        <w:pStyle w:val="Szvegtrzs"/>
        <w:ind w:left="0"/>
        <w:rPr>
          <w:rFonts w:cs="Times New Roman"/>
        </w:rPr>
      </w:pPr>
      <w:r w:rsidRPr="00110009">
        <w:rPr>
          <w:rFonts w:cs="Times New Roman"/>
        </w:rPr>
        <w:t>A VEGF-jelútgátlók alkalmazása a hypertoniás és a nem magas vérnyomású betegeknél egyaránt</w:t>
      </w:r>
      <w:r w:rsidR="003E1DFC" w:rsidRPr="00110009">
        <w:rPr>
          <w:rFonts w:cs="Times New Roman"/>
        </w:rPr>
        <w:t xml:space="preserve"> </w:t>
      </w:r>
      <w:r w:rsidRPr="00110009">
        <w:rPr>
          <w:rFonts w:cs="Times New Roman"/>
        </w:rPr>
        <w:t>a</w:t>
      </w:r>
      <w:r w:rsidR="00EC0572">
        <w:rPr>
          <w:rFonts w:cs="Times New Roman"/>
        </w:rPr>
        <w:t>n</w:t>
      </w:r>
      <w:r w:rsidRPr="00110009">
        <w:rPr>
          <w:rFonts w:cs="Times New Roman"/>
        </w:rPr>
        <w:t>eurysmák és/vagy arteria dissectiók kialakulását segítheti elő. A</w:t>
      </w:r>
      <w:r w:rsidR="00933915" w:rsidRPr="00110009">
        <w:rPr>
          <w:rFonts w:cs="Times New Roman"/>
        </w:rPr>
        <w:t xml:space="preserve"> nintedanib</w:t>
      </w:r>
      <w:r w:rsidRPr="00110009">
        <w:rPr>
          <w:rFonts w:cs="Times New Roman"/>
        </w:rPr>
        <w:t>-kezelés megkezdése előtt ezt</w:t>
      </w:r>
      <w:r w:rsidR="00933915" w:rsidRPr="00110009">
        <w:rPr>
          <w:rFonts w:cs="Times New Roman"/>
        </w:rPr>
        <w:t xml:space="preserve"> </w:t>
      </w:r>
      <w:r w:rsidRPr="00110009">
        <w:rPr>
          <w:rFonts w:cs="Times New Roman"/>
        </w:rPr>
        <w:t>a kockázatot gondosan mérlegelni kell az olyan rizikófaktorokkal rendelkező betegeknél, min</w:t>
      </w:r>
      <w:r w:rsidR="00933915" w:rsidRPr="00110009">
        <w:rPr>
          <w:rFonts w:cs="Times New Roman"/>
        </w:rPr>
        <w:t xml:space="preserve">t </w:t>
      </w:r>
      <w:r w:rsidRPr="00110009">
        <w:rPr>
          <w:rFonts w:cs="Times New Roman"/>
        </w:rPr>
        <w:t>hypertonia vagy a kórtörténetben előforduló aneurysma.</w:t>
      </w:r>
    </w:p>
    <w:p w14:paraId="007500DE" w14:textId="77777777" w:rsidR="00682363" w:rsidRPr="00110009" w:rsidRDefault="00682363" w:rsidP="009106D9">
      <w:pPr>
        <w:pStyle w:val="Szvegtrzs"/>
        <w:ind w:left="0"/>
        <w:rPr>
          <w:rFonts w:cs="Times New Roman"/>
          <w:u w:val="single" w:color="000000"/>
        </w:rPr>
      </w:pPr>
    </w:p>
    <w:p w14:paraId="5257793D" w14:textId="77777777" w:rsidR="00650677" w:rsidRPr="00110009" w:rsidRDefault="00650677" w:rsidP="009C5D55">
      <w:pPr>
        <w:pStyle w:val="Szvegtrzs"/>
        <w:ind w:left="0"/>
        <w:rPr>
          <w:rFonts w:cs="Times New Roman"/>
          <w:u w:val="single" w:color="000000"/>
        </w:rPr>
      </w:pPr>
      <w:r w:rsidRPr="00110009">
        <w:rPr>
          <w:rFonts w:cs="Times New Roman"/>
          <w:u w:val="single" w:color="000000"/>
        </w:rPr>
        <w:t>Vénás thromboembolia</w:t>
      </w:r>
    </w:p>
    <w:p w14:paraId="71BF6946" w14:textId="3E967596" w:rsidR="00650677" w:rsidRPr="00110009" w:rsidRDefault="00650677" w:rsidP="009C5D55">
      <w:pPr>
        <w:pStyle w:val="Szvegtrzs"/>
        <w:ind w:left="0"/>
        <w:rPr>
          <w:rFonts w:cs="Times New Roman"/>
        </w:rPr>
      </w:pPr>
      <w:r w:rsidRPr="00110009">
        <w:rPr>
          <w:rFonts w:cs="Times New Roman"/>
        </w:rPr>
        <w:t>A klinikai vizsgálatokban nem figyelték meg a vénás thromboembolia fokozottabb kockázatát a</w:t>
      </w:r>
      <w:r w:rsidR="003E1DFC" w:rsidRPr="00110009">
        <w:rPr>
          <w:rFonts w:cs="Times New Roman"/>
        </w:rPr>
        <w:t xml:space="preserve"> </w:t>
      </w:r>
      <w:r w:rsidRPr="00110009">
        <w:rPr>
          <w:rFonts w:cs="Times New Roman"/>
        </w:rPr>
        <w:t>nintedanibbal kezelt betegeknél. A nintedanib hatásmechanizmusából eredően fokozott lehet a</w:t>
      </w:r>
      <w:r w:rsidR="003E1DFC" w:rsidRPr="00110009">
        <w:rPr>
          <w:rFonts w:cs="Times New Roman"/>
        </w:rPr>
        <w:t xml:space="preserve"> </w:t>
      </w:r>
      <w:r w:rsidRPr="00110009">
        <w:rPr>
          <w:rFonts w:cs="Times New Roman"/>
        </w:rPr>
        <w:t>betegeknél a thromboemboliás események kockázata.</w:t>
      </w:r>
    </w:p>
    <w:p w14:paraId="4487DE67" w14:textId="77777777" w:rsidR="00D33CD8" w:rsidRPr="00110009" w:rsidRDefault="00D33CD8" w:rsidP="00650677">
      <w:pPr>
        <w:pStyle w:val="Szvegtrzs"/>
        <w:rPr>
          <w:rFonts w:cs="Times New Roman"/>
          <w:u w:val="single"/>
        </w:rPr>
      </w:pPr>
    </w:p>
    <w:p w14:paraId="573683AF" w14:textId="55DD0606" w:rsidR="00650677" w:rsidRPr="00A5740F" w:rsidRDefault="009C5D55" w:rsidP="009C5D55">
      <w:pPr>
        <w:pStyle w:val="Szvegtrzs"/>
        <w:ind w:left="0"/>
        <w:rPr>
          <w:rFonts w:cs="Times New Roman"/>
          <w:u w:val="single"/>
        </w:rPr>
      </w:pPr>
      <w:r w:rsidRPr="00A5740F">
        <w:rPr>
          <w:rFonts w:cs="Times New Roman"/>
          <w:u w:val="single"/>
        </w:rPr>
        <w:t>G</w:t>
      </w:r>
      <w:r w:rsidR="00650677" w:rsidRPr="00A5740F">
        <w:rPr>
          <w:rFonts w:cs="Times New Roman"/>
          <w:u w:val="single"/>
        </w:rPr>
        <w:t>astrointestinalis perforatiók és ischaemiás colitis</w:t>
      </w:r>
    </w:p>
    <w:p w14:paraId="128C298C" w14:textId="7F9F0EBA" w:rsidR="00650677" w:rsidRPr="00A5740F" w:rsidRDefault="00650677" w:rsidP="009C5D55">
      <w:pPr>
        <w:pStyle w:val="Szvegtrzs"/>
        <w:ind w:left="0"/>
        <w:rPr>
          <w:rFonts w:cs="Times New Roman"/>
        </w:rPr>
      </w:pPr>
      <w:r w:rsidRPr="00A5740F">
        <w:rPr>
          <w:rFonts w:cs="Times New Roman"/>
        </w:rPr>
        <w:t>Felnőtt betegekkel végzett klinikai vizsgálatokban azoknak a betegeknek az aránya, akiknél perforatio</w:t>
      </w:r>
      <w:r w:rsidR="00D33CD8" w:rsidRPr="00A5740F">
        <w:rPr>
          <w:rFonts w:cs="Times New Roman"/>
        </w:rPr>
        <w:t xml:space="preserve"> </w:t>
      </w:r>
      <w:r w:rsidRPr="00A5740F">
        <w:rPr>
          <w:rFonts w:cs="Times New Roman"/>
        </w:rPr>
        <w:t>alakult ki, legfeljebb 0,3% volt mindkét kezelési csoportban. A nintedanib hatásmechanizmusából</w:t>
      </w:r>
      <w:r w:rsidR="00D33CD8" w:rsidRPr="00A5740F">
        <w:rPr>
          <w:rFonts w:cs="Times New Roman"/>
        </w:rPr>
        <w:t xml:space="preserve"> </w:t>
      </w:r>
      <w:r w:rsidRPr="00A5740F">
        <w:rPr>
          <w:rFonts w:cs="Times New Roman"/>
        </w:rPr>
        <w:t>eredően magasabb lehet a betegeknél a gastrointestinalis perforatio kockázata. A forgalomba hozatalt</w:t>
      </w:r>
      <w:r w:rsidR="00D33CD8" w:rsidRPr="00A5740F">
        <w:rPr>
          <w:rFonts w:cs="Times New Roman"/>
        </w:rPr>
        <w:t xml:space="preserve"> </w:t>
      </w:r>
      <w:r w:rsidRPr="00A5740F">
        <w:rPr>
          <w:rFonts w:cs="Times New Roman"/>
        </w:rPr>
        <w:t>követően gastrointestinalis perforatio és ischaemiás colitis eseteiről számoltak be, amelyek egy része</w:t>
      </w:r>
      <w:r w:rsidR="00D33CD8" w:rsidRPr="00A5740F">
        <w:rPr>
          <w:rFonts w:cs="Times New Roman"/>
        </w:rPr>
        <w:t xml:space="preserve"> </w:t>
      </w:r>
      <w:r w:rsidRPr="00A5740F">
        <w:rPr>
          <w:rFonts w:cs="Times New Roman"/>
        </w:rPr>
        <w:t>halálos kimenetelű volt. Olyan betegek kezelésekor, akik korábban hasi műtéten estek át, a</w:t>
      </w:r>
      <w:r w:rsidR="00D33CD8" w:rsidRPr="00A5740F">
        <w:rPr>
          <w:rFonts w:cs="Times New Roman"/>
        </w:rPr>
        <w:t xml:space="preserve"> </w:t>
      </w:r>
      <w:r w:rsidRPr="00A5740F">
        <w:rPr>
          <w:rFonts w:cs="Times New Roman"/>
        </w:rPr>
        <w:t xml:space="preserve">kórelőzményükben pepticus fekély vagy diverticulosis szerepel, </w:t>
      </w:r>
      <w:r w:rsidR="0090278E" w:rsidRPr="00A15F63">
        <w:rPr>
          <w:rFonts w:cs="Times New Roman"/>
          <w:spacing w:val="-1"/>
          <w:lang w:val="hu-HU"/>
        </w:rPr>
        <w:t>ill</w:t>
      </w:r>
      <w:r w:rsidR="00C174F5">
        <w:rPr>
          <w:rFonts w:cs="Times New Roman"/>
          <w:spacing w:val="-1"/>
          <w:lang w:val="hu-HU"/>
        </w:rPr>
        <w:t>.</w:t>
      </w:r>
      <w:r w:rsidR="00EC0572">
        <w:rPr>
          <w:rFonts w:cs="Times New Roman"/>
          <w:spacing w:val="-1"/>
          <w:lang w:val="hu-HU"/>
        </w:rPr>
        <w:t xml:space="preserve"> </w:t>
      </w:r>
      <w:r w:rsidRPr="00A5740F">
        <w:rPr>
          <w:rFonts w:cs="Times New Roman"/>
          <w:lang w:val="hu-HU"/>
        </w:rPr>
        <w:t>egyidejűleg</w:t>
      </w:r>
      <w:r w:rsidR="00D33CD8" w:rsidRPr="00A5740F">
        <w:rPr>
          <w:rFonts w:cs="Times New Roman"/>
          <w:lang w:val="hu-HU"/>
        </w:rPr>
        <w:t xml:space="preserve"> </w:t>
      </w:r>
      <w:r w:rsidRPr="00A5740F">
        <w:rPr>
          <w:rFonts w:cs="Times New Roman"/>
          <w:lang w:val="hu-HU"/>
        </w:rPr>
        <w:t xml:space="preserve">kortikoszteroidokat vagy NSAID-okat alkalmaznak, különös óvatossággal kell eljárni. </w:t>
      </w:r>
      <w:r w:rsidRPr="00A5740F">
        <w:rPr>
          <w:rFonts w:cs="Times New Roman"/>
        </w:rPr>
        <w:t>Ezért hasi</w:t>
      </w:r>
      <w:r w:rsidR="00D33CD8" w:rsidRPr="00A5740F">
        <w:rPr>
          <w:rFonts w:cs="Times New Roman"/>
        </w:rPr>
        <w:t xml:space="preserve"> </w:t>
      </w:r>
      <w:r w:rsidRPr="00A5740F">
        <w:rPr>
          <w:rFonts w:cs="Times New Roman"/>
        </w:rPr>
        <w:t>műtétek után a</w:t>
      </w:r>
      <w:r w:rsidR="00D33CD8" w:rsidRPr="00A5740F">
        <w:rPr>
          <w:rFonts w:cs="Times New Roman"/>
        </w:rPr>
        <w:t xml:space="preserve"> nintedanib</w:t>
      </w:r>
      <w:r w:rsidRPr="00A5740F">
        <w:rPr>
          <w:rFonts w:cs="Times New Roman"/>
        </w:rPr>
        <w:t>-kezelés megkezdésével legalább 4 hetet várni kell. Azoknál a betegeknél,</w:t>
      </w:r>
      <w:r w:rsidR="00D33CD8" w:rsidRPr="00A5740F">
        <w:rPr>
          <w:rFonts w:cs="Times New Roman"/>
        </w:rPr>
        <w:t xml:space="preserve"> </w:t>
      </w:r>
      <w:r w:rsidRPr="00A5740F">
        <w:rPr>
          <w:rFonts w:cs="Times New Roman"/>
        </w:rPr>
        <w:t>akiknél gastrointestinalis perforatio vagy ischaemiás colitis alakul ki, végleg le kell állítani a</w:t>
      </w:r>
      <w:r w:rsidR="00D33CD8" w:rsidRPr="00A5740F">
        <w:rPr>
          <w:rFonts w:cs="Times New Roman"/>
        </w:rPr>
        <w:t xml:space="preserve"> nintedanib</w:t>
      </w:r>
      <w:r w:rsidRPr="00A5740F">
        <w:rPr>
          <w:rFonts w:cs="Times New Roman"/>
        </w:rPr>
        <w:t>-kezelést. Kivételes esetben a</w:t>
      </w:r>
      <w:r w:rsidR="00D33CD8" w:rsidRPr="00A5740F">
        <w:rPr>
          <w:rFonts w:cs="Times New Roman"/>
        </w:rPr>
        <w:t xml:space="preserve"> nintedanib</w:t>
      </w:r>
      <w:r w:rsidRPr="00A5740F">
        <w:rPr>
          <w:rFonts w:cs="Times New Roman"/>
        </w:rPr>
        <w:t>-kezelés az ischaemiás colitis teljes megszűnését követően,</w:t>
      </w:r>
      <w:r w:rsidR="00D33CD8" w:rsidRPr="00A5740F">
        <w:rPr>
          <w:rFonts w:cs="Times New Roman"/>
        </w:rPr>
        <w:t xml:space="preserve"> </w:t>
      </w:r>
      <w:r w:rsidR="0090278E" w:rsidRPr="00A15F63">
        <w:rPr>
          <w:rFonts w:cs="Times New Roman"/>
          <w:spacing w:val="-1"/>
          <w:lang w:val="hu-HU"/>
        </w:rPr>
        <w:t>ill</w:t>
      </w:r>
      <w:r w:rsidR="00C174F5">
        <w:rPr>
          <w:rFonts w:cs="Times New Roman"/>
          <w:spacing w:val="-1"/>
          <w:lang w:val="hu-HU"/>
        </w:rPr>
        <w:t>.</w:t>
      </w:r>
      <w:r w:rsidRPr="00A5740F">
        <w:rPr>
          <w:rFonts w:cs="Times New Roman"/>
        </w:rPr>
        <w:t xml:space="preserve"> a beteg állapotának és egyéb kockázati tényezőinek gondos felmérésével újra bevezethető.</w:t>
      </w:r>
    </w:p>
    <w:p w14:paraId="7D348E21" w14:textId="77777777" w:rsidR="00D33CD8" w:rsidRPr="00A5740F" w:rsidRDefault="00D33CD8" w:rsidP="009C5D55">
      <w:pPr>
        <w:pStyle w:val="Szvegtrzs"/>
        <w:ind w:left="0"/>
        <w:rPr>
          <w:rFonts w:cs="Times New Roman"/>
        </w:rPr>
      </w:pPr>
    </w:p>
    <w:p w14:paraId="26228CBE" w14:textId="0A08586A" w:rsidR="00650677" w:rsidRPr="00A5740F" w:rsidRDefault="00650677" w:rsidP="009C5D55">
      <w:pPr>
        <w:pStyle w:val="Szvegtrzs"/>
        <w:ind w:left="0"/>
        <w:rPr>
          <w:rFonts w:cs="Times New Roman"/>
          <w:u w:val="single"/>
        </w:rPr>
      </w:pPr>
      <w:r w:rsidRPr="00A5740F">
        <w:rPr>
          <w:rFonts w:cs="Times New Roman"/>
          <w:u w:val="single"/>
        </w:rPr>
        <w:t>Nephrosisnak megfelelő tartományba eső proteinuria és thromboticus microangiopathia</w:t>
      </w:r>
    </w:p>
    <w:p w14:paraId="0E7C7949" w14:textId="1EF36C0E" w:rsidR="00650677" w:rsidRPr="00A5740F" w:rsidRDefault="00650677" w:rsidP="009C5D55">
      <w:pPr>
        <w:pStyle w:val="Szvegtrzs"/>
        <w:ind w:left="0"/>
        <w:rPr>
          <w:rFonts w:cs="Times New Roman"/>
        </w:rPr>
      </w:pPr>
      <w:r w:rsidRPr="00A5740F">
        <w:rPr>
          <w:rFonts w:cs="Times New Roman"/>
        </w:rPr>
        <w:t>Nagyon kevés olyan esetet jelentettek a forgalomba hozatalt követően, amelyben a proteinuria</w:t>
      </w:r>
      <w:r w:rsidR="001B1CB5" w:rsidRPr="00A5740F">
        <w:rPr>
          <w:rFonts w:cs="Times New Roman"/>
        </w:rPr>
        <w:t xml:space="preserve"> </w:t>
      </w:r>
      <w:r w:rsidRPr="00A5740F">
        <w:rPr>
          <w:rFonts w:cs="Times New Roman"/>
        </w:rPr>
        <w:t>nephrosisnak megfelelő tartományba esett, vesefunkció</w:t>
      </w:r>
      <w:r w:rsidR="009B565A" w:rsidRPr="00A5740F">
        <w:rPr>
          <w:rFonts w:cs="Times New Roman"/>
        </w:rPr>
        <w:t>-</w:t>
      </w:r>
      <w:r w:rsidRPr="00A5740F">
        <w:rPr>
          <w:rFonts w:cs="Times New Roman"/>
        </w:rPr>
        <w:t>károsodással vagy anélkül. Az egyedi esetek</w:t>
      </w:r>
      <w:r w:rsidR="001B1CB5" w:rsidRPr="00A5740F">
        <w:rPr>
          <w:rFonts w:cs="Times New Roman"/>
        </w:rPr>
        <w:t xml:space="preserve"> </w:t>
      </w:r>
      <w:r w:rsidRPr="00A5740F">
        <w:rPr>
          <w:rFonts w:cs="Times New Roman"/>
        </w:rPr>
        <w:t>szövettani eredményei megfeleltek a glomerularis microangiopathiának, vese</w:t>
      </w:r>
      <w:r w:rsidR="009B565A" w:rsidRPr="00A5740F">
        <w:rPr>
          <w:rFonts w:cs="Times New Roman"/>
        </w:rPr>
        <w:t>-</w:t>
      </w:r>
      <w:r w:rsidRPr="00A5740F">
        <w:rPr>
          <w:rFonts w:cs="Times New Roman"/>
        </w:rPr>
        <w:t>thrombosissal vagy a</w:t>
      </w:r>
      <w:r w:rsidR="001B1CB5" w:rsidRPr="00A5740F">
        <w:rPr>
          <w:rFonts w:cs="Times New Roman"/>
        </w:rPr>
        <w:t xml:space="preserve"> </w:t>
      </w:r>
      <w:r w:rsidRPr="00A5740F">
        <w:rPr>
          <w:rFonts w:cs="Times New Roman"/>
        </w:rPr>
        <w:t>nélkül. A</w:t>
      </w:r>
      <w:r w:rsidR="00D33CD8" w:rsidRPr="00A5740F">
        <w:rPr>
          <w:rFonts w:cs="Times New Roman"/>
        </w:rPr>
        <w:t xml:space="preserve"> nintedanib-</w:t>
      </w:r>
      <w:r w:rsidRPr="00A5740F">
        <w:rPr>
          <w:rFonts w:cs="Times New Roman"/>
        </w:rPr>
        <w:t>kezelés megszakítását követően a tünetek megszűntek, néhány esetben a proteinuria</w:t>
      </w:r>
      <w:r w:rsidR="00D33CD8" w:rsidRPr="00A5740F">
        <w:rPr>
          <w:rFonts w:cs="Times New Roman"/>
        </w:rPr>
        <w:t xml:space="preserve"> </w:t>
      </w:r>
      <w:r w:rsidRPr="00A5740F">
        <w:rPr>
          <w:rFonts w:cs="Times New Roman"/>
        </w:rPr>
        <w:t>megmaradt.</w:t>
      </w:r>
      <w:r w:rsidR="00D33CD8" w:rsidRPr="00A5740F">
        <w:rPr>
          <w:rFonts w:cs="Times New Roman"/>
        </w:rPr>
        <w:t xml:space="preserve"> </w:t>
      </w:r>
      <w:r w:rsidRPr="00A5740F">
        <w:rPr>
          <w:rFonts w:cs="Times New Roman"/>
        </w:rPr>
        <w:t>Azoknál a betegeknél, akiknél a nephrosis szindróma jelei vagy tünete</w:t>
      </w:r>
      <w:r w:rsidR="009B565A" w:rsidRPr="00A5740F">
        <w:rPr>
          <w:rFonts w:cs="Times New Roman"/>
        </w:rPr>
        <w:t>i</w:t>
      </w:r>
      <w:r w:rsidRPr="00A5740F">
        <w:rPr>
          <w:rFonts w:cs="Times New Roman"/>
        </w:rPr>
        <w:t xml:space="preserve"> alakulnak ki, megfontolandó a</w:t>
      </w:r>
      <w:r w:rsidR="00D33CD8" w:rsidRPr="00A5740F">
        <w:rPr>
          <w:rFonts w:cs="Times New Roman"/>
        </w:rPr>
        <w:t xml:space="preserve"> </w:t>
      </w:r>
      <w:r w:rsidRPr="00A5740F">
        <w:rPr>
          <w:rFonts w:cs="Times New Roman"/>
        </w:rPr>
        <w:t>kezelés megszakítása.</w:t>
      </w:r>
    </w:p>
    <w:p w14:paraId="396684CD" w14:textId="130F6C39" w:rsidR="00650677" w:rsidRPr="00A5740F" w:rsidRDefault="00650677" w:rsidP="009C5D55">
      <w:pPr>
        <w:pStyle w:val="Szvegtrzs"/>
        <w:ind w:left="0"/>
        <w:rPr>
          <w:rFonts w:cs="Times New Roman"/>
        </w:rPr>
      </w:pPr>
      <w:r w:rsidRPr="00A5740F">
        <w:rPr>
          <w:rFonts w:cs="Times New Roman"/>
        </w:rPr>
        <w:t>A VEGF (vascularis endothelialis growth faktor)-jelútgátlók alkalmazása thromboticus</w:t>
      </w:r>
      <w:r w:rsidR="001B1CB5" w:rsidRPr="00A5740F">
        <w:rPr>
          <w:rFonts w:cs="Times New Roman"/>
        </w:rPr>
        <w:t xml:space="preserve"> </w:t>
      </w:r>
      <w:r w:rsidRPr="00A5740F">
        <w:rPr>
          <w:rFonts w:cs="Times New Roman"/>
        </w:rPr>
        <w:t>microangiopathiával (TMA) társul, a nintedanib alkalmazásakor is jelentettek néhány esetet. Ha</w:t>
      </w:r>
      <w:r w:rsidR="001B1CB5" w:rsidRPr="00A5740F">
        <w:rPr>
          <w:rFonts w:cs="Times New Roman"/>
        </w:rPr>
        <w:t xml:space="preserve"> </w:t>
      </w:r>
      <w:r w:rsidRPr="00A5740F">
        <w:rPr>
          <w:rFonts w:cs="Times New Roman"/>
        </w:rPr>
        <w:t>nintedanibot kapó betegnél TMA-ra utaló laboratóriumi vagy klinikai leletet találnak, akkor a</w:t>
      </w:r>
      <w:r w:rsidR="001B1CB5" w:rsidRPr="00A5740F">
        <w:rPr>
          <w:rFonts w:cs="Times New Roman"/>
        </w:rPr>
        <w:t xml:space="preserve"> </w:t>
      </w:r>
      <w:r w:rsidRPr="00A5740F">
        <w:rPr>
          <w:rFonts w:cs="Times New Roman"/>
        </w:rPr>
        <w:t>nintedanib kezelést abba kell hagyni, és a TMA-t alaposan ki kell vizsgálni.</w:t>
      </w:r>
    </w:p>
    <w:p w14:paraId="5BC43439" w14:textId="77777777" w:rsidR="00D33CD8" w:rsidRDefault="00D33CD8" w:rsidP="009C5D55">
      <w:pPr>
        <w:pStyle w:val="Szvegtrzs"/>
        <w:ind w:left="0"/>
        <w:rPr>
          <w:rFonts w:cs="Times New Roman"/>
          <w:u w:val="single" w:color="000000"/>
        </w:rPr>
      </w:pPr>
    </w:p>
    <w:p w14:paraId="03AF46AF" w14:textId="05F9A181" w:rsidR="00C23E88" w:rsidRPr="00300950" w:rsidRDefault="00C23E88" w:rsidP="00C23E88">
      <w:pPr>
        <w:pStyle w:val="Default"/>
        <w:rPr>
          <w:sz w:val="22"/>
          <w:szCs w:val="22"/>
          <w:u w:val="single"/>
        </w:rPr>
      </w:pPr>
      <w:r w:rsidRPr="00300950">
        <w:rPr>
          <w:sz w:val="22"/>
          <w:szCs w:val="22"/>
          <w:u w:val="single"/>
        </w:rPr>
        <w:t>Posterior reverzibilis encephalopathia szindróma (PRES)</w:t>
      </w:r>
    </w:p>
    <w:p w14:paraId="76375ABF" w14:textId="77777777" w:rsidR="00C23E88" w:rsidRDefault="00C23E88" w:rsidP="00C23E88">
      <w:pPr>
        <w:pStyle w:val="Default"/>
        <w:rPr>
          <w:sz w:val="22"/>
          <w:szCs w:val="22"/>
        </w:rPr>
      </w:pPr>
      <w:r>
        <w:rPr>
          <w:sz w:val="22"/>
          <w:szCs w:val="22"/>
        </w:rPr>
        <w:t xml:space="preserve">Forgalomba hozatalt követően a posterior reverzibilis encephalopathia szindróma (PRES) néhány esetét jelentették. </w:t>
      </w:r>
    </w:p>
    <w:p w14:paraId="44A153E9" w14:textId="77777777" w:rsidR="00C23E88" w:rsidRDefault="00C23E88" w:rsidP="00C23E88">
      <w:pPr>
        <w:pStyle w:val="Default"/>
        <w:rPr>
          <w:sz w:val="22"/>
          <w:szCs w:val="22"/>
        </w:rPr>
      </w:pPr>
      <w:r>
        <w:rPr>
          <w:sz w:val="22"/>
          <w:szCs w:val="22"/>
        </w:rPr>
        <w:t xml:space="preserve">A PRES fejfájással, hypertensióval, látászavarokkal, görcsrohamokkal, letargiával, zavartsággal és más vizuális és neurológiai zavarokkal járó (mágneses rezonanciás képalkotó eljárással alátámasztott) neurológiai betegség, és halálos kimenetelű is lehet. PRES-t jelentettek más VEGF-gátlók alkalmazása esetén is. </w:t>
      </w:r>
    </w:p>
    <w:p w14:paraId="36E85E2A" w14:textId="7C1CFBAA" w:rsidR="00C23E88" w:rsidRDefault="00C23E88" w:rsidP="00C23E88">
      <w:pPr>
        <w:pStyle w:val="Szvegtrzs"/>
        <w:ind w:left="0"/>
      </w:pPr>
      <w:r>
        <w:t>Feltételezett PRES esetében a nintedanib-kezelést fel kell függeszteni. A nintenanibbal végzett kezelés újraindításával kapcsolatban nincsenek adatok olyan betegek esetében, akiknél korábban PRES lépett fel, ezért a kezelőorvos erre vonatkozó javaslatait kell követni.</w:t>
      </w:r>
    </w:p>
    <w:p w14:paraId="10A4299D" w14:textId="77777777" w:rsidR="00C23E88" w:rsidRPr="00A5740F" w:rsidRDefault="00C23E88" w:rsidP="00C23E88">
      <w:pPr>
        <w:pStyle w:val="Szvegtrzs"/>
        <w:ind w:left="0"/>
        <w:rPr>
          <w:rFonts w:cs="Times New Roman"/>
          <w:u w:val="single" w:color="000000"/>
        </w:rPr>
      </w:pPr>
    </w:p>
    <w:p w14:paraId="16B7854F" w14:textId="43F65268" w:rsidR="00650677" w:rsidRPr="00A5740F" w:rsidRDefault="00650677" w:rsidP="009C5D55">
      <w:pPr>
        <w:pStyle w:val="Szvegtrzs"/>
        <w:ind w:left="0"/>
        <w:rPr>
          <w:rFonts w:cs="Times New Roman"/>
          <w:u w:val="single" w:color="000000"/>
        </w:rPr>
      </w:pPr>
      <w:r w:rsidRPr="00A5740F">
        <w:rPr>
          <w:rFonts w:cs="Times New Roman"/>
          <w:u w:val="single" w:color="000000"/>
        </w:rPr>
        <w:t>Hypertonia</w:t>
      </w:r>
    </w:p>
    <w:p w14:paraId="27F585AC" w14:textId="17BFCC3F" w:rsidR="00650677" w:rsidRPr="00A5740F" w:rsidRDefault="00650677" w:rsidP="009C5D55">
      <w:pPr>
        <w:pStyle w:val="Szvegtrzs"/>
        <w:ind w:left="0"/>
        <w:rPr>
          <w:rFonts w:cs="Times New Roman"/>
        </w:rPr>
      </w:pPr>
      <w:r w:rsidRPr="00A5740F">
        <w:rPr>
          <w:rFonts w:cs="Times New Roman"/>
        </w:rPr>
        <w:t>A</w:t>
      </w:r>
      <w:r w:rsidR="00D33CD8" w:rsidRPr="00A5740F">
        <w:rPr>
          <w:rFonts w:cs="Times New Roman"/>
        </w:rPr>
        <w:t xml:space="preserve"> nintedanib</w:t>
      </w:r>
      <w:r w:rsidRPr="00A5740F">
        <w:rPr>
          <w:rFonts w:cs="Times New Roman"/>
        </w:rPr>
        <w:t xml:space="preserve"> alkalmazása emelheti a vérnyomást. A szisztémás vérnyomást rendszeres időközönként,</w:t>
      </w:r>
      <w:r w:rsidR="00D33CD8" w:rsidRPr="00A5740F">
        <w:rPr>
          <w:rFonts w:cs="Times New Roman"/>
        </w:rPr>
        <w:t xml:space="preserve"> </w:t>
      </w:r>
      <w:r w:rsidR="00580B0B" w:rsidRPr="00A15F63">
        <w:rPr>
          <w:rFonts w:cs="Times New Roman"/>
          <w:spacing w:val="-1"/>
          <w:lang w:val="hu-HU"/>
        </w:rPr>
        <w:t>ill</w:t>
      </w:r>
      <w:r w:rsidR="00095C38">
        <w:rPr>
          <w:rFonts w:cs="Times New Roman"/>
          <w:spacing w:val="-1"/>
          <w:lang w:val="hu-HU"/>
        </w:rPr>
        <w:t>.</w:t>
      </w:r>
      <w:r w:rsidRPr="00A5740F">
        <w:rPr>
          <w:rFonts w:cs="Times New Roman"/>
        </w:rPr>
        <w:t xml:space="preserve"> amikor klinikailag indokolt, mérni kell.</w:t>
      </w:r>
    </w:p>
    <w:p w14:paraId="728638C5" w14:textId="77777777" w:rsidR="00D33CD8" w:rsidRPr="00A5740F" w:rsidRDefault="00D33CD8" w:rsidP="009C5D55">
      <w:pPr>
        <w:pStyle w:val="Szvegtrzs"/>
        <w:ind w:left="0"/>
        <w:rPr>
          <w:rFonts w:cs="Times New Roman"/>
        </w:rPr>
      </w:pPr>
    </w:p>
    <w:p w14:paraId="1115EEC7" w14:textId="0D117A1C" w:rsidR="00650677" w:rsidRPr="00A5740F" w:rsidRDefault="00650677" w:rsidP="009C5D55">
      <w:pPr>
        <w:pStyle w:val="Szvegtrzs"/>
        <w:ind w:left="0"/>
        <w:rPr>
          <w:rFonts w:cs="Times New Roman"/>
          <w:u w:val="single"/>
        </w:rPr>
      </w:pPr>
      <w:r w:rsidRPr="00A5740F">
        <w:rPr>
          <w:rFonts w:cs="Times New Roman"/>
          <w:u w:val="single"/>
        </w:rPr>
        <w:t>Pulmonalis hypertonia</w:t>
      </w:r>
    </w:p>
    <w:p w14:paraId="21DA1E11" w14:textId="60C914C2" w:rsidR="00650677" w:rsidRPr="00A5740F" w:rsidRDefault="00650677" w:rsidP="009C5D55">
      <w:pPr>
        <w:pStyle w:val="Szvegtrzs"/>
        <w:ind w:left="0"/>
        <w:rPr>
          <w:rFonts w:cs="Times New Roman"/>
        </w:rPr>
      </w:pPr>
      <w:r w:rsidRPr="00A5740F">
        <w:rPr>
          <w:rFonts w:cs="Times New Roman"/>
        </w:rPr>
        <w:t>A pulmonalis hypertoniában szenvedő betegek esetében a</w:t>
      </w:r>
      <w:r w:rsidR="00D33CD8" w:rsidRPr="00A5740F">
        <w:rPr>
          <w:rFonts w:cs="Times New Roman"/>
        </w:rPr>
        <w:t xml:space="preserve"> nintedanib</w:t>
      </w:r>
      <w:r w:rsidRPr="00A5740F">
        <w:rPr>
          <w:rFonts w:cs="Times New Roman"/>
        </w:rPr>
        <w:t xml:space="preserve"> alkalmazásával kapcsolatban kevés</w:t>
      </w:r>
      <w:r w:rsidR="00D33CD8" w:rsidRPr="00A5740F">
        <w:rPr>
          <w:rFonts w:cs="Times New Roman"/>
        </w:rPr>
        <w:t xml:space="preserve"> </w:t>
      </w:r>
      <w:r w:rsidRPr="00A5740F">
        <w:rPr>
          <w:rFonts w:cs="Times New Roman"/>
        </w:rPr>
        <w:t>adat áll rendelkezésre.</w:t>
      </w:r>
      <w:r w:rsidR="00D33CD8" w:rsidRPr="00A5740F">
        <w:rPr>
          <w:rFonts w:cs="Times New Roman"/>
        </w:rPr>
        <w:t xml:space="preserve"> </w:t>
      </w:r>
      <w:r w:rsidRPr="00A5740F">
        <w:rPr>
          <w:rFonts w:cs="Times New Roman"/>
        </w:rPr>
        <w:t>A jelentős mértékű pulmonalis hypertoniában szenvedő betegeket (szívindex ≤</w:t>
      </w:r>
      <w:r w:rsidR="00A5349D">
        <w:rPr>
          <w:rFonts w:cs="Times New Roman"/>
        </w:rPr>
        <w:t> </w:t>
      </w:r>
      <w:r w:rsidRPr="00A5740F">
        <w:rPr>
          <w:rFonts w:cs="Times New Roman"/>
        </w:rPr>
        <w:t>2 l/perc/m² vagy</w:t>
      </w:r>
      <w:r w:rsidR="00D33CD8" w:rsidRPr="00A5740F">
        <w:rPr>
          <w:rFonts w:cs="Times New Roman"/>
        </w:rPr>
        <w:t xml:space="preserve"> </w:t>
      </w:r>
      <w:r w:rsidRPr="00A5740F">
        <w:rPr>
          <w:rFonts w:cs="Times New Roman"/>
        </w:rPr>
        <w:t>parenteralis epopros</w:t>
      </w:r>
      <w:r w:rsidR="009B565A" w:rsidRPr="00A5740F">
        <w:rPr>
          <w:rFonts w:cs="Times New Roman"/>
        </w:rPr>
        <w:t>z</w:t>
      </w:r>
      <w:r w:rsidRPr="00A5740F">
        <w:rPr>
          <w:rFonts w:cs="Times New Roman"/>
        </w:rPr>
        <w:t>tenol/trepros</w:t>
      </w:r>
      <w:r w:rsidR="009B565A" w:rsidRPr="00A5740F">
        <w:rPr>
          <w:rFonts w:cs="Times New Roman"/>
        </w:rPr>
        <w:t>z</w:t>
      </w:r>
      <w:r w:rsidRPr="00A5740F">
        <w:rPr>
          <w:rFonts w:cs="Times New Roman"/>
        </w:rPr>
        <w:t>tinil terápiában részesülőket vagy szignifikáns jobbszívfél</w:t>
      </w:r>
      <w:r w:rsidR="009B565A" w:rsidRPr="00A5740F">
        <w:rPr>
          <w:rFonts w:cs="Times New Roman"/>
        </w:rPr>
        <w:t>-</w:t>
      </w:r>
      <w:r w:rsidRPr="00A5740F">
        <w:rPr>
          <w:rFonts w:cs="Times New Roman"/>
        </w:rPr>
        <w:t xml:space="preserve">elégtelenségben szenvedőket) kizárták az INBUILD és a SENSCIS </w:t>
      </w:r>
      <w:r w:rsidRPr="00A5740F">
        <w:rPr>
          <w:rFonts w:cs="Times New Roman"/>
        </w:rPr>
        <w:lastRenderedPageBreak/>
        <w:t>vizsgálatokból.</w:t>
      </w:r>
    </w:p>
    <w:p w14:paraId="32F557E2" w14:textId="69B1C242" w:rsidR="00650677" w:rsidRPr="00A5740F" w:rsidRDefault="00650677" w:rsidP="009C5D55">
      <w:pPr>
        <w:pStyle w:val="Szvegtrzs"/>
        <w:ind w:left="0"/>
        <w:rPr>
          <w:rFonts w:cs="Times New Roman"/>
        </w:rPr>
      </w:pPr>
      <w:r w:rsidRPr="00A5740F">
        <w:rPr>
          <w:rFonts w:cs="Times New Roman"/>
        </w:rPr>
        <w:t xml:space="preserve">A súlyos pulmonalis hypertoniában szenvedő betegek nem kezelhetők </w:t>
      </w:r>
      <w:r w:rsidR="00D33CD8" w:rsidRPr="00A5740F">
        <w:rPr>
          <w:rFonts w:cs="Times New Roman"/>
        </w:rPr>
        <w:t>nintedanibbal</w:t>
      </w:r>
      <w:r w:rsidRPr="00A5740F">
        <w:rPr>
          <w:rFonts w:cs="Times New Roman"/>
        </w:rPr>
        <w:t>. Az enyhe vagy</w:t>
      </w:r>
      <w:r w:rsidR="001B1CB5" w:rsidRPr="00A5740F">
        <w:rPr>
          <w:rFonts w:cs="Times New Roman"/>
        </w:rPr>
        <w:t xml:space="preserve"> </w:t>
      </w:r>
      <w:r w:rsidRPr="00A5740F">
        <w:rPr>
          <w:rFonts w:cs="Times New Roman"/>
        </w:rPr>
        <w:t>közepesen súlyos pulmonalis hypertoniás betegeket javasolt szoros megfigyelés alatt tartani.</w:t>
      </w:r>
    </w:p>
    <w:p w14:paraId="09393F3D" w14:textId="111463C0" w:rsidR="00650677" w:rsidRPr="00A5740F" w:rsidRDefault="00650677" w:rsidP="009C5D55">
      <w:pPr>
        <w:pStyle w:val="Szvegtrzs"/>
        <w:ind w:left="0"/>
        <w:rPr>
          <w:rFonts w:cs="Times New Roman"/>
        </w:rPr>
      </w:pPr>
    </w:p>
    <w:p w14:paraId="743BBB3C" w14:textId="77777777" w:rsidR="00650677" w:rsidRPr="00A5740F" w:rsidRDefault="00650677" w:rsidP="00300950">
      <w:pPr>
        <w:pStyle w:val="Szvegtrzs"/>
        <w:keepNext/>
        <w:ind w:left="0"/>
        <w:rPr>
          <w:rFonts w:cs="Times New Roman"/>
          <w:u w:val="single"/>
        </w:rPr>
      </w:pPr>
      <w:r w:rsidRPr="00A5740F">
        <w:rPr>
          <w:rFonts w:cs="Times New Roman"/>
          <w:u w:val="single"/>
        </w:rPr>
        <w:t>A sebgyógyulással kapcsolatos szövődmények</w:t>
      </w:r>
    </w:p>
    <w:p w14:paraId="5D4C2990" w14:textId="1236ABA0" w:rsidR="00650677" w:rsidRPr="00A5740F" w:rsidRDefault="00650677" w:rsidP="009C5D55">
      <w:pPr>
        <w:pStyle w:val="Szvegtrzs"/>
        <w:ind w:left="0"/>
        <w:rPr>
          <w:rFonts w:cs="Times New Roman"/>
        </w:rPr>
      </w:pPr>
      <w:r w:rsidRPr="00A5740F">
        <w:rPr>
          <w:rFonts w:cs="Times New Roman"/>
        </w:rPr>
        <w:t>A klinikai vizsgálatokban nem észleletek gyakoribb elhúzódó sebgyógyulást. A nintedanib</w:t>
      </w:r>
      <w:r w:rsidR="001B1CB5" w:rsidRPr="00A5740F">
        <w:rPr>
          <w:rFonts w:cs="Times New Roman"/>
        </w:rPr>
        <w:t xml:space="preserve"> </w:t>
      </w:r>
      <w:r w:rsidRPr="00A5740F">
        <w:rPr>
          <w:rFonts w:cs="Times New Roman"/>
        </w:rPr>
        <w:t>hatásmechanizmusából eredően károsan befolyásolhatja a sebgyógyulást. A nintedanibnak kifejezetten</w:t>
      </w:r>
      <w:r w:rsidR="00D33CD8" w:rsidRPr="00A5740F">
        <w:rPr>
          <w:rFonts w:cs="Times New Roman"/>
        </w:rPr>
        <w:t xml:space="preserve"> </w:t>
      </w:r>
      <w:r w:rsidRPr="00A5740F">
        <w:rPr>
          <w:rFonts w:cs="Times New Roman"/>
        </w:rPr>
        <w:t>a sebgyógyulásra gyakorolt hatásait értékelő vizsgálatokat nem végeztek. A</w:t>
      </w:r>
      <w:r w:rsidR="00D33CD8" w:rsidRPr="00A5740F">
        <w:rPr>
          <w:rFonts w:cs="Times New Roman"/>
        </w:rPr>
        <w:t xml:space="preserve"> nintedanib</w:t>
      </w:r>
      <w:r w:rsidRPr="00A5740F">
        <w:rPr>
          <w:rFonts w:cs="Times New Roman"/>
        </w:rPr>
        <w:t>-kezelést ezért</w:t>
      </w:r>
      <w:r w:rsidR="00D33CD8" w:rsidRPr="00A5740F">
        <w:rPr>
          <w:rFonts w:cs="Times New Roman"/>
        </w:rPr>
        <w:t xml:space="preserve"> </w:t>
      </w:r>
      <w:r w:rsidRPr="00A5740F">
        <w:rPr>
          <w:rFonts w:cs="Times New Roman"/>
        </w:rPr>
        <w:t xml:space="preserve">kizárólag a megfelelő sebgyógyulás klinikai megítélése alapján szabad megkezdeni, </w:t>
      </w:r>
      <w:r w:rsidR="00580B0B" w:rsidRPr="00A15F63">
        <w:rPr>
          <w:rFonts w:cs="Times New Roman"/>
          <w:spacing w:val="-1"/>
          <w:lang w:val="hu-HU"/>
        </w:rPr>
        <w:t>ill</w:t>
      </w:r>
      <w:r w:rsidR="00C174F5">
        <w:rPr>
          <w:rFonts w:cs="Times New Roman"/>
          <w:spacing w:val="-1"/>
          <w:lang w:val="hu-HU"/>
        </w:rPr>
        <w:t>.</w:t>
      </w:r>
      <w:r w:rsidRPr="00A5740F">
        <w:rPr>
          <w:rFonts w:cs="Times New Roman"/>
        </w:rPr>
        <w:t xml:space="preserve"> – a</w:t>
      </w:r>
      <w:r w:rsidR="00D33CD8" w:rsidRPr="00A5740F">
        <w:rPr>
          <w:rFonts w:cs="Times New Roman"/>
        </w:rPr>
        <w:t xml:space="preserve"> </w:t>
      </w:r>
      <w:r w:rsidRPr="00A5740F">
        <w:rPr>
          <w:rFonts w:cs="Times New Roman"/>
        </w:rPr>
        <w:t>gyógyszer perioperatív megszakítása esetén – újrakezdeni.</w:t>
      </w:r>
    </w:p>
    <w:p w14:paraId="0247121E" w14:textId="77777777" w:rsidR="00D33CD8" w:rsidRPr="00A5740F" w:rsidRDefault="00D33CD8" w:rsidP="009C5D55">
      <w:pPr>
        <w:pStyle w:val="Szvegtrzs"/>
        <w:ind w:left="0"/>
        <w:rPr>
          <w:rFonts w:cs="Times New Roman"/>
        </w:rPr>
      </w:pPr>
    </w:p>
    <w:p w14:paraId="4DE36223" w14:textId="67A00E07" w:rsidR="00650677" w:rsidRPr="00A5740F" w:rsidRDefault="00650677" w:rsidP="009C5D55">
      <w:pPr>
        <w:pStyle w:val="Szvegtrzs"/>
        <w:ind w:left="0"/>
        <w:rPr>
          <w:rFonts w:cs="Times New Roman"/>
          <w:u w:val="single"/>
        </w:rPr>
      </w:pPr>
      <w:r w:rsidRPr="00A5740F">
        <w:rPr>
          <w:rFonts w:cs="Times New Roman"/>
          <w:u w:val="single"/>
        </w:rPr>
        <w:t>Együttes alkalmazás pirfenidonnal</w:t>
      </w:r>
    </w:p>
    <w:p w14:paraId="6A0EF618" w14:textId="5662C5EE" w:rsidR="00650677" w:rsidRPr="00A5740F" w:rsidRDefault="00650677" w:rsidP="009C5D55">
      <w:pPr>
        <w:pStyle w:val="Szvegtrzs"/>
        <w:ind w:left="0"/>
        <w:rPr>
          <w:rFonts w:cs="Times New Roman"/>
        </w:rPr>
      </w:pPr>
      <w:r w:rsidRPr="00A5740F">
        <w:rPr>
          <w:rFonts w:cs="Times New Roman"/>
        </w:rPr>
        <w:t>Egy dedikált farmakokinetikai vizsgálatban a nintedanib és a pirfenidon egyidejű alkalmazását</w:t>
      </w:r>
      <w:r w:rsidR="00AD07E9" w:rsidRPr="00A5740F">
        <w:rPr>
          <w:rFonts w:cs="Times New Roman"/>
        </w:rPr>
        <w:t xml:space="preserve"> </w:t>
      </w:r>
      <w:r w:rsidRPr="00A5740F">
        <w:rPr>
          <w:rFonts w:cs="Times New Roman"/>
        </w:rPr>
        <w:t>vizsgálták IPF-es betegeknél. Ezen eredmények alapján nincs bizonyíték számottevő farmakokinetikai</w:t>
      </w:r>
      <w:r w:rsidR="009C5D55" w:rsidRPr="00A5740F">
        <w:rPr>
          <w:rFonts w:cs="Times New Roman"/>
        </w:rPr>
        <w:t xml:space="preserve"> </w:t>
      </w:r>
      <w:r w:rsidRPr="00A5740F">
        <w:rPr>
          <w:rFonts w:cs="Times New Roman"/>
        </w:rPr>
        <w:t>gyógyszer</w:t>
      </w:r>
      <w:r w:rsidR="009C5D55" w:rsidRPr="00A5740F">
        <w:rPr>
          <w:rFonts w:cs="Times New Roman"/>
        </w:rPr>
        <w:t xml:space="preserve"> </w:t>
      </w:r>
      <w:r w:rsidRPr="00A5740F">
        <w:rPr>
          <w:rFonts w:cs="Times New Roman"/>
        </w:rPr>
        <w:t>kölcsönhatásra a kombinációban alkalmazott nintedanib és pirfenidon között (lásd</w:t>
      </w:r>
      <w:r w:rsidR="009C5D55" w:rsidRPr="00A5740F">
        <w:rPr>
          <w:rFonts w:cs="Times New Roman"/>
        </w:rPr>
        <w:t xml:space="preserve"> </w:t>
      </w:r>
      <w:r w:rsidRPr="00A5740F">
        <w:rPr>
          <w:rFonts w:cs="Times New Roman"/>
        </w:rPr>
        <w:t>5.2</w:t>
      </w:r>
      <w:r w:rsidR="009B565A" w:rsidRPr="00A5740F">
        <w:rPr>
          <w:rFonts w:cs="Times New Roman"/>
        </w:rPr>
        <w:t> </w:t>
      </w:r>
      <w:r w:rsidRPr="00A5740F">
        <w:rPr>
          <w:rFonts w:cs="Times New Roman"/>
        </w:rPr>
        <w:t>pont). Mivel a két gyógyszer biztonságossági profilja hasonló, additív nemkívánatos reakciók,</w:t>
      </w:r>
      <w:r w:rsidR="009C5D55" w:rsidRPr="00A5740F">
        <w:rPr>
          <w:rFonts w:cs="Times New Roman"/>
        </w:rPr>
        <w:t xml:space="preserve"> </w:t>
      </w:r>
      <w:r w:rsidRPr="00A5740F">
        <w:rPr>
          <w:rFonts w:cs="Times New Roman"/>
        </w:rPr>
        <w:t>köztük a gastrointestinalis, valamint hepaticus nemkívánatos események várhatóak. A pirfenidonnal</w:t>
      </w:r>
      <w:r w:rsidR="009C5D55" w:rsidRPr="00A5740F">
        <w:rPr>
          <w:rFonts w:cs="Times New Roman"/>
        </w:rPr>
        <w:t xml:space="preserve"> </w:t>
      </w:r>
      <w:r w:rsidRPr="00A5740F">
        <w:rPr>
          <w:rFonts w:cs="Times New Roman"/>
        </w:rPr>
        <w:t>végzett egyidejű kezelés előny-kockázat mérlege nem került megállapításra.</w:t>
      </w:r>
    </w:p>
    <w:p w14:paraId="6205C962" w14:textId="77777777" w:rsidR="009C5D55" w:rsidRPr="00A5740F" w:rsidRDefault="009C5D55" w:rsidP="009C5D55">
      <w:pPr>
        <w:pStyle w:val="Szvegtrzs"/>
        <w:ind w:left="0"/>
        <w:rPr>
          <w:rFonts w:cs="Times New Roman"/>
          <w:u w:val="single" w:color="000000"/>
        </w:rPr>
      </w:pPr>
    </w:p>
    <w:p w14:paraId="5B03E0F7" w14:textId="349C0F5A" w:rsidR="00650677" w:rsidRPr="00A5740F" w:rsidRDefault="00650677" w:rsidP="009C5D55">
      <w:pPr>
        <w:pStyle w:val="Szvegtrzs"/>
        <w:ind w:left="0"/>
        <w:rPr>
          <w:rFonts w:cs="Times New Roman"/>
          <w:u w:val="single" w:color="000000"/>
        </w:rPr>
      </w:pPr>
      <w:r w:rsidRPr="00A5740F">
        <w:rPr>
          <w:rFonts w:cs="Times New Roman"/>
          <w:u w:val="single" w:color="000000"/>
        </w:rPr>
        <w:t>A QT-intervallumra gyakorolt hatás</w:t>
      </w:r>
    </w:p>
    <w:p w14:paraId="64535A41" w14:textId="26502D21" w:rsidR="00650677" w:rsidRDefault="00650677" w:rsidP="009C5D55">
      <w:pPr>
        <w:pStyle w:val="Szvegtrzs"/>
        <w:ind w:left="0"/>
        <w:rPr>
          <w:rFonts w:cs="Times New Roman"/>
        </w:rPr>
      </w:pPr>
      <w:r w:rsidRPr="00A5740F">
        <w:rPr>
          <w:rFonts w:cs="Times New Roman"/>
        </w:rPr>
        <w:t>A klinikai vizsgálati programban nem figyeltek meg a QT-intervallum megnyúlására utaló jelet a</w:t>
      </w:r>
      <w:r w:rsidR="00AD07E9" w:rsidRPr="00A5740F">
        <w:rPr>
          <w:rFonts w:cs="Times New Roman"/>
        </w:rPr>
        <w:t xml:space="preserve"> </w:t>
      </w:r>
      <w:r w:rsidRPr="00A5740F">
        <w:rPr>
          <w:rFonts w:cs="Times New Roman"/>
        </w:rPr>
        <w:t>nintedanib esetében (lásd 5.1</w:t>
      </w:r>
      <w:r w:rsidR="00C174F5">
        <w:rPr>
          <w:rFonts w:cs="Times New Roman"/>
        </w:rPr>
        <w:t> </w:t>
      </w:r>
      <w:r w:rsidRPr="00A5740F">
        <w:rPr>
          <w:rFonts w:cs="Times New Roman"/>
        </w:rPr>
        <w:t>pont). Mivel néhány egyéb tirozin-kináz inhibitorról ismert, hogy</w:t>
      </w:r>
      <w:r w:rsidR="00AD07E9" w:rsidRPr="00A5740F">
        <w:rPr>
          <w:rFonts w:cs="Times New Roman"/>
        </w:rPr>
        <w:t xml:space="preserve"> </w:t>
      </w:r>
      <w:r w:rsidRPr="00A5740F">
        <w:rPr>
          <w:rFonts w:cs="Times New Roman"/>
        </w:rPr>
        <w:t>befolyásolja a QT-intervallumot, óvatosan kell eljárni a nintedanib alkalmazásakor olyan betegeknél,</w:t>
      </w:r>
      <w:r w:rsidR="00AD07E9" w:rsidRPr="00A5740F">
        <w:rPr>
          <w:rFonts w:cs="Times New Roman"/>
        </w:rPr>
        <w:t xml:space="preserve"> </w:t>
      </w:r>
      <w:r w:rsidRPr="00A5740F">
        <w:rPr>
          <w:rFonts w:cs="Times New Roman"/>
        </w:rPr>
        <w:t>akiknél a QTc-intervallum megnyúlása fordulhat elő.</w:t>
      </w:r>
    </w:p>
    <w:p w14:paraId="25697CEB" w14:textId="77777777" w:rsidR="00C23E88" w:rsidRDefault="00C23E88" w:rsidP="00C23E88">
      <w:pPr>
        <w:pStyle w:val="Szvegtrzs"/>
        <w:ind w:left="0"/>
        <w:rPr>
          <w:rFonts w:cs="Times New Roman"/>
        </w:rPr>
      </w:pPr>
    </w:p>
    <w:p w14:paraId="79021BF2" w14:textId="2A29ECAD" w:rsidR="00C23E88" w:rsidRPr="00300950" w:rsidRDefault="00C23E88" w:rsidP="00300950">
      <w:pPr>
        <w:pStyle w:val="Szvegtrzs"/>
        <w:ind w:left="0"/>
        <w:rPr>
          <w:rFonts w:cs="Times New Roman"/>
          <w:u w:val="single"/>
          <w:lang w:val="hu-HU"/>
        </w:rPr>
      </w:pPr>
      <w:r w:rsidRPr="00300950">
        <w:rPr>
          <w:rFonts w:cs="Times New Roman"/>
          <w:u w:val="single"/>
          <w:lang w:val="hu-HU"/>
        </w:rPr>
        <w:t xml:space="preserve">Gyermekek és serdülők </w:t>
      </w:r>
    </w:p>
    <w:p w14:paraId="60F71390" w14:textId="52CAFAFA" w:rsidR="00C23E88" w:rsidRPr="00C23E88" w:rsidRDefault="00C23E88" w:rsidP="00300950">
      <w:pPr>
        <w:pStyle w:val="Szvegtrzs"/>
        <w:ind w:left="0"/>
        <w:rPr>
          <w:rFonts w:cs="Times New Roman"/>
          <w:lang w:val="hu-HU"/>
        </w:rPr>
      </w:pPr>
      <w:r w:rsidRPr="00C23E88">
        <w:rPr>
          <w:rFonts w:cs="Times New Roman"/>
          <w:lang w:val="hu-HU"/>
        </w:rPr>
        <w:t>A nintedanib gyermekek és serdülők esetén történő alkalmazását tekintve az adatok a fibrotizáló interstitialis tüdőbetegség csak egy kis alcsoportjára korlátozódnak (lásd 5.1</w:t>
      </w:r>
      <w:r w:rsidR="00111501">
        <w:rPr>
          <w:rFonts w:cs="Times New Roman"/>
          <w:lang w:val="hu-HU"/>
        </w:rPr>
        <w:t> </w:t>
      </w:r>
      <w:r w:rsidRPr="00C23E88">
        <w:rPr>
          <w:rFonts w:cs="Times New Roman"/>
          <w:lang w:val="hu-HU"/>
        </w:rPr>
        <w:t xml:space="preserve">pont). Ez az alcsoport nem fedi le teljesen a progresszív interstitialis tüdőbetegséggel összefüggő összes etiológiát gyermekek és serdülők esetén. </w:t>
      </w:r>
    </w:p>
    <w:p w14:paraId="01B676E0" w14:textId="77777777" w:rsidR="00C23E88" w:rsidRPr="00C23E88" w:rsidRDefault="00C23E88" w:rsidP="00300950">
      <w:pPr>
        <w:pStyle w:val="Szvegtrzs"/>
        <w:ind w:left="0"/>
        <w:rPr>
          <w:rFonts w:cs="Times New Roman"/>
          <w:lang w:val="hu-HU"/>
        </w:rPr>
      </w:pPr>
      <w:r w:rsidRPr="00C23E88">
        <w:rPr>
          <w:rFonts w:cs="Times New Roman"/>
          <w:lang w:val="hu-HU"/>
        </w:rPr>
        <w:t xml:space="preserve">Gyermekek és serdülők esetén nagyobb a bizonytalanság a kezelésből származó előny mértékét tekintve, mint felnőttek esetén. </w:t>
      </w:r>
    </w:p>
    <w:p w14:paraId="4FFB10A4" w14:textId="77777777" w:rsidR="00C23E88" w:rsidRPr="00C23E88" w:rsidRDefault="00C23E88" w:rsidP="00300950">
      <w:pPr>
        <w:pStyle w:val="Szvegtrzs"/>
        <w:ind w:left="0"/>
        <w:rPr>
          <w:rFonts w:cs="Times New Roman"/>
          <w:lang w:val="hu-HU"/>
        </w:rPr>
      </w:pPr>
      <w:r w:rsidRPr="00C23E88">
        <w:rPr>
          <w:rFonts w:cs="Times New Roman"/>
          <w:lang w:val="hu-HU"/>
        </w:rPr>
        <w:t xml:space="preserve">A felnőttekre vonatkozó fenti óvintézkedéseket gyermekek és serdülők esetében is követni kell. </w:t>
      </w:r>
    </w:p>
    <w:p w14:paraId="6DBA564B" w14:textId="608FAAA5" w:rsidR="00C23E88" w:rsidRPr="00C23E88" w:rsidRDefault="00C23E88" w:rsidP="00300950">
      <w:pPr>
        <w:pStyle w:val="Szvegtrzs"/>
        <w:ind w:left="0"/>
        <w:rPr>
          <w:rFonts w:cs="Times New Roman"/>
          <w:lang w:val="hu-HU"/>
        </w:rPr>
      </w:pPr>
      <w:r w:rsidRPr="00C23E88">
        <w:rPr>
          <w:rFonts w:cs="Times New Roman"/>
          <w:lang w:val="hu-HU"/>
        </w:rPr>
        <w:t>A kifejezetten gyermekekre és serdülőkre vonatkozó dóziscsökkentési ajánlások az 1.</w:t>
      </w:r>
      <w:r w:rsidR="00111501">
        <w:rPr>
          <w:rFonts w:cs="Times New Roman"/>
          <w:lang w:val="hu-HU"/>
        </w:rPr>
        <w:t> </w:t>
      </w:r>
      <w:r w:rsidRPr="00C23E88">
        <w:rPr>
          <w:rFonts w:cs="Times New Roman"/>
          <w:lang w:val="hu-HU"/>
        </w:rPr>
        <w:t xml:space="preserve">táblázatban találhatók. </w:t>
      </w:r>
    </w:p>
    <w:p w14:paraId="0A277E9C" w14:textId="77777777" w:rsidR="00C23E88" w:rsidRDefault="00C23E88" w:rsidP="00C23E88">
      <w:pPr>
        <w:pStyle w:val="Szvegtrzs"/>
        <w:ind w:left="0"/>
        <w:rPr>
          <w:rFonts w:cs="Times New Roman"/>
          <w:lang w:val="hu-HU"/>
        </w:rPr>
      </w:pPr>
    </w:p>
    <w:p w14:paraId="208D6F9D" w14:textId="33E598E6" w:rsidR="00C23E88" w:rsidRPr="00C23E88" w:rsidRDefault="00C23E88" w:rsidP="00300950">
      <w:pPr>
        <w:pStyle w:val="Szvegtrzs"/>
        <w:ind w:left="0"/>
        <w:rPr>
          <w:rFonts w:cs="Times New Roman"/>
          <w:lang w:val="hu-HU"/>
        </w:rPr>
      </w:pPr>
      <w:r w:rsidRPr="00C23E88">
        <w:rPr>
          <w:rFonts w:cs="Times New Roman"/>
          <w:lang w:val="hu-HU"/>
        </w:rPr>
        <w:t xml:space="preserve">A gyermekekre és serdülőkre vonatkozó sajátosságok alább olvashatók: </w:t>
      </w:r>
    </w:p>
    <w:p w14:paraId="242093EB" w14:textId="77777777" w:rsidR="00C23E88" w:rsidRDefault="00C23E88" w:rsidP="00C23E88">
      <w:pPr>
        <w:pStyle w:val="Szvegtrzs"/>
        <w:rPr>
          <w:rFonts w:cs="Times New Roman"/>
          <w:i/>
          <w:iCs/>
          <w:lang w:val="hu-HU"/>
        </w:rPr>
      </w:pPr>
    </w:p>
    <w:p w14:paraId="6CFF90F5" w14:textId="55C93C71" w:rsidR="00C23E88" w:rsidRPr="00C23E88" w:rsidRDefault="00C23E88" w:rsidP="00300950">
      <w:pPr>
        <w:pStyle w:val="Szvegtrzs"/>
        <w:ind w:left="0"/>
        <w:rPr>
          <w:rFonts w:cs="Times New Roman"/>
          <w:lang w:val="hu-HU"/>
        </w:rPr>
      </w:pPr>
      <w:r w:rsidRPr="00C23E88">
        <w:rPr>
          <w:rFonts w:cs="Times New Roman"/>
          <w:i/>
          <w:iCs/>
          <w:lang w:val="hu-HU"/>
        </w:rPr>
        <w:t xml:space="preserve">Csontfejlődés és növekedés </w:t>
      </w:r>
    </w:p>
    <w:p w14:paraId="7C68C07C" w14:textId="344B4A1E" w:rsidR="00C23E88" w:rsidRPr="00C23E88" w:rsidRDefault="00C23E88" w:rsidP="00300950">
      <w:pPr>
        <w:pStyle w:val="Szvegtrzs"/>
        <w:ind w:left="0"/>
        <w:rPr>
          <w:rFonts w:cs="Times New Roman"/>
          <w:lang w:val="hu-HU"/>
        </w:rPr>
      </w:pPr>
      <w:r w:rsidRPr="00C23E88">
        <w:rPr>
          <w:rFonts w:cs="Times New Roman"/>
          <w:lang w:val="hu-HU"/>
        </w:rPr>
        <w:t>Az epiphysis növekedési lemezének reverzibilis elváltozásait figyelték meg a preklinikai vizsgálatokban (lásd 5.3</w:t>
      </w:r>
      <w:r w:rsidR="00111501">
        <w:rPr>
          <w:rFonts w:cs="Times New Roman"/>
          <w:lang w:val="hu-HU"/>
        </w:rPr>
        <w:t> </w:t>
      </w:r>
      <w:r w:rsidRPr="00C23E88">
        <w:rPr>
          <w:rFonts w:cs="Times New Roman"/>
          <w:lang w:val="hu-HU"/>
        </w:rPr>
        <w:t xml:space="preserve">pont). A gyermekgyógyászati vizsgálatban nem figyelték meg a növekedési ütem szignifikáns csökkenését a nintedanib-kezelés ideje alatt. Mindazonáltal, gyermekek és serdülők esetén hosszú távú biztonságossági adatok nem állnak rendelkezésre. </w:t>
      </w:r>
    </w:p>
    <w:p w14:paraId="59AD3E9F" w14:textId="77777777" w:rsidR="00C23E88" w:rsidRPr="00C23E88" w:rsidRDefault="00C23E88" w:rsidP="00300950">
      <w:pPr>
        <w:pStyle w:val="Szvegtrzs"/>
        <w:ind w:left="0"/>
        <w:rPr>
          <w:rFonts w:cs="Times New Roman"/>
          <w:lang w:val="hu-HU"/>
        </w:rPr>
      </w:pPr>
      <w:r w:rsidRPr="00C23E88">
        <w:rPr>
          <w:rFonts w:cs="Times New Roman"/>
          <w:lang w:val="hu-HU"/>
        </w:rPr>
        <w:t xml:space="preserve">A növekedést rendszeresen ellenőrizni kell, és javasolt évente képalkotó eljárással értékelni az epiphysis növekedési lemezének elváltozásait a nyitott epiphysisekkel rendelkező betegek esetében. Azoknál a betegeknél, akiknél a növekedési zavar vagy az epiphysealis növekedési lemez elváltozásainak jelei kialakulnak, megfontolandó a kezelés megszakítása. </w:t>
      </w:r>
    </w:p>
    <w:p w14:paraId="25D54827" w14:textId="77777777" w:rsidR="00C23E88" w:rsidRDefault="00C23E88" w:rsidP="00C23E88">
      <w:pPr>
        <w:pStyle w:val="Szvegtrzs"/>
        <w:rPr>
          <w:rFonts w:cs="Times New Roman"/>
          <w:i/>
          <w:iCs/>
          <w:lang w:val="hu-HU"/>
        </w:rPr>
      </w:pPr>
    </w:p>
    <w:p w14:paraId="6648310D" w14:textId="37AA92FA" w:rsidR="00C23E88" w:rsidRPr="00C23E88" w:rsidRDefault="00C23E88" w:rsidP="00300950">
      <w:pPr>
        <w:pStyle w:val="Szvegtrzs"/>
        <w:ind w:left="0"/>
        <w:rPr>
          <w:rFonts w:cs="Times New Roman"/>
          <w:lang w:val="hu-HU"/>
        </w:rPr>
      </w:pPr>
      <w:r w:rsidRPr="00C23E88">
        <w:rPr>
          <w:rFonts w:cs="Times New Roman"/>
          <w:i/>
          <w:iCs/>
          <w:lang w:val="hu-HU"/>
        </w:rPr>
        <w:t xml:space="preserve">Fogfejlődési rendellenességek </w:t>
      </w:r>
    </w:p>
    <w:p w14:paraId="017B4419" w14:textId="32042B95" w:rsidR="00C23E88" w:rsidRPr="00A5740F" w:rsidRDefault="00C23E88" w:rsidP="00927D61">
      <w:pPr>
        <w:pStyle w:val="Szvegtrzs"/>
        <w:ind w:left="0"/>
        <w:rPr>
          <w:rFonts w:cs="Times New Roman"/>
        </w:rPr>
      </w:pPr>
      <w:r w:rsidRPr="00C23E88">
        <w:rPr>
          <w:rFonts w:cs="Times New Roman"/>
          <w:lang w:val="hu-HU"/>
        </w:rPr>
        <w:t>Fogfejlődési rendellenességeket figyeltek meg a preklinikai vizsgálatokban (lásd 5.3</w:t>
      </w:r>
      <w:r w:rsidR="00111501">
        <w:rPr>
          <w:rFonts w:cs="Times New Roman"/>
          <w:lang w:val="hu-HU"/>
        </w:rPr>
        <w:t> </w:t>
      </w:r>
      <w:r w:rsidRPr="00C23E88">
        <w:rPr>
          <w:rFonts w:cs="Times New Roman"/>
          <w:lang w:val="hu-HU"/>
        </w:rPr>
        <w:t>pont). A gyermekgyógyászati vizsgálatban nem igazolták a fogfejlődési rendellenességek kockázatát. Óvintézkedésként rendszeresen, legalább 6</w:t>
      </w:r>
      <w:r w:rsidR="00111501">
        <w:rPr>
          <w:rFonts w:cs="Times New Roman"/>
          <w:lang w:val="hu-HU"/>
        </w:rPr>
        <w:t> </w:t>
      </w:r>
      <w:r w:rsidRPr="00C23E88">
        <w:rPr>
          <w:rFonts w:cs="Times New Roman"/>
          <w:lang w:val="hu-HU"/>
        </w:rPr>
        <w:t>havonta a fogfejlődés befejeződéséig szájüregi fogászati vizsgálatot kell végezni.</w:t>
      </w:r>
    </w:p>
    <w:p w14:paraId="378E0CB2" w14:textId="77777777" w:rsidR="00F5603F" w:rsidRPr="00A5740F" w:rsidRDefault="00F5603F" w:rsidP="009106D9">
      <w:pPr>
        <w:rPr>
          <w:rFonts w:ascii="Times New Roman" w:eastAsia="Times New Roman" w:hAnsi="Times New Roman" w:cs="Times New Roman"/>
        </w:rPr>
      </w:pPr>
    </w:p>
    <w:p w14:paraId="46F25470" w14:textId="77777777" w:rsidR="00F5603F" w:rsidRPr="00A5740F" w:rsidRDefault="00612B56" w:rsidP="00A5740F">
      <w:pPr>
        <w:pStyle w:val="Cmsor1"/>
        <w:keepNext/>
        <w:rPr>
          <w:bCs/>
        </w:rPr>
      </w:pPr>
      <w:r w:rsidRPr="00A5740F">
        <w:t>4.5</w:t>
      </w:r>
      <w:r w:rsidRPr="00A5740F">
        <w:tab/>
        <w:t>Gyógyszerkölcsönhatások</w:t>
      </w:r>
      <w:r w:rsidRPr="00A5740F">
        <w:rPr>
          <w:spacing w:val="-2"/>
        </w:rPr>
        <w:t xml:space="preserve"> </w:t>
      </w:r>
      <w:r w:rsidRPr="00A5740F">
        <w:t>és egyéb interakciók</w:t>
      </w:r>
    </w:p>
    <w:p w14:paraId="599E31B1" w14:textId="77777777" w:rsidR="00F5603F" w:rsidRPr="00A5740F" w:rsidRDefault="00F5603F" w:rsidP="009106D9">
      <w:pPr>
        <w:rPr>
          <w:rFonts w:ascii="Times New Roman" w:eastAsia="Times New Roman" w:hAnsi="Times New Roman" w:cs="Times New Roman"/>
          <w:b/>
          <w:bCs/>
        </w:rPr>
      </w:pPr>
    </w:p>
    <w:p w14:paraId="758E6D89" w14:textId="77777777" w:rsidR="004E545D" w:rsidRPr="00A5740F" w:rsidRDefault="004E545D" w:rsidP="004E545D">
      <w:pPr>
        <w:pStyle w:val="Szvegtrzs"/>
        <w:ind w:left="0"/>
        <w:rPr>
          <w:rFonts w:cs="Times New Roman"/>
          <w:u w:val="single" w:color="000000"/>
        </w:rPr>
      </w:pPr>
      <w:r w:rsidRPr="00A5740F">
        <w:rPr>
          <w:rFonts w:cs="Times New Roman"/>
          <w:u w:val="single" w:color="000000"/>
        </w:rPr>
        <w:t>P-glikoprotein (P-gp)</w:t>
      </w:r>
    </w:p>
    <w:p w14:paraId="5467607C" w14:textId="6B59A88F" w:rsidR="004E545D" w:rsidRPr="002E182A" w:rsidRDefault="004E545D" w:rsidP="004E545D">
      <w:pPr>
        <w:pStyle w:val="Szvegtrzs"/>
        <w:ind w:left="0"/>
        <w:rPr>
          <w:rFonts w:cs="Times New Roman"/>
          <w:lang w:val="pl-PL"/>
        </w:rPr>
      </w:pPr>
      <w:r w:rsidRPr="002E182A">
        <w:rPr>
          <w:rFonts w:cs="Times New Roman"/>
          <w:lang w:val="pl-PL"/>
        </w:rPr>
        <w:lastRenderedPageBreak/>
        <w:t>A nintedanib a P-gp szubsztrátja (lásd 5.2</w:t>
      </w:r>
      <w:r w:rsidR="00C174F5">
        <w:rPr>
          <w:rFonts w:cs="Times New Roman"/>
          <w:lang w:val="pl-PL"/>
        </w:rPr>
        <w:t> </w:t>
      </w:r>
      <w:r w:rsidRPr="002E182A">
        <w:rPr>
          <w:rFonts w:cs="Times New Roman"/>
          <w:lang w:val="pl-PL"/>
        </w:rPr>
        <w:t>pont). A potens P-gp gátló ketokonazollal együtt történő</w:t>
      </w:r>
      <w:r w:rsidR="00AD07E9">
        <w:rPr>
          <w:rFonts w:cs="Times New Roman"/>
          <w:lang w:val="pl-PL"/>
        </w:rPr>
        <w:t xml:space="preserve"> </w:t>
      </w:r>
      <w:r w:rsidRPr="002E182A">
        <w:rPr>
          <w:rFonts w:cs="Times New Roman"/>
          <w:lang w:val="pl-PL"/>
        </w:rPr>
        <w:t>alkalmazás a nintedanib-expozíciót az AUC alapján 1,61-szorosára, a C</w:t>
      </w:r>
      <w:r w:rsidRPr="002E182A">
        <w:rPr>
          <w:rFonts w:cs="Times New Roman"/>
          <w:vertAlign w:val="subscript"/>
          <w:lang w:val="pl-PL"/>
        </w:rPr>
        <w:t>max</w:t>
      </w:r>
      <w:r w:rsidRPr="002E182A">
        <w:rPr>
          <w:rFonts w:cs="Times New Roman"/>
          <w:lang w:val="pl-PL"/>
        </w:rPr>
        <w:t xml:space="preserve"> alapján pedig</w:t>
      </w:r>
      <w:r w:rsidR="00AD07E9">
        <w:rPr>
          <w:rFonts w:cs="Times New Roman"/>
          <w:lang w:val="pl-PL"/>
        </w:rPr>
        <w:t xml:space="preserve"> </w:t>
      </w:r>
      <w:r w:rsidRPr="002E182A">
        <w:rPr>
          <w:rFonts w:cs="Times New Roman"/>
          <w:lang w:val="pl-PL"/>
        </w:rPr>
        <w:t>1,83-szorosára növelte egy célzott gyógyszerinterakciós vizsgálatban. A potens P-gp induktor</w:t>
      </w:r>
      <w:r w:rsidR="00AD07E9">
        <w:rPr>
          <w:rFonts w:cs="Times New Roman"/>
          <w:lang w:val="pl-PL"/>
        </w:rPr>
        <w:t xml:space="preserve"> </w:t>
      </w:r>
      <w:r w:rsidRPr="002E182A">
        <w:rPr>
          <w:rFonts w:cs="Times New Roman"/>
          <w:lang w:val="pl-PL"/>
        </w:rPr>
        <w:t>rifampicinnel végzett gyógyszerinterakciós vizsgálatban a nintedanib-expozíció a rifampicinnel együtt</w:t>
      </w:r>
      <w:r w:rsidR="00AD07E9">
        <w:rPr>
          <w:rFonts w:cs="Times New Roman"/>
          <w:lang w:val="pl-PL"/>
        </w:rPr>
        <w:t xml:space="preserve"> </w:t>
      </w:r>
      <w:r w:rsidRPr="002E182A">
        <w:rPr>
          <w:rFonts w:cs="Times New Roman"/>
          <w:lang w:val="pl-PL"/>
        </w:rPr>
        <w:t>történő alkalmazáskor az AUC alapján 50,3%-ra, a C</w:t>
      </w:r>
      <w:r w:rsidRPr="002E182A">
        <w:rPr>
          <w:rFonts w:cs="Times New Roman"/>
          <w:vertAlign w:val="subscript"/>
          <w:lang w:val="pl-PL"/>
        </w:rPr>
        <w:t>max</w:t>
      </w:r>
      <w:r w:rsidRPr="002E182A">
        <w:rPr>
          <w:rFonts w:cs="Times New Roman"/>
          <w:lang w:val="pl-PL"/>
        </w:rPr>
        <w:t xml:space="preserve"> alapján pedig 60,3%-ra csökkent a nintedanib</w:t>
      </w:r>
      <w:r w:rsidR="00AD07E9">
        <w:rPr>
          <w:rFonts w:cs="Times New Roman"/>
          <w:lang w:val="pl-PL"/>
        </w:rPr>
        <w:t xml:space="preserve"> </w:t>
      </w:r>
      <w:r w:rsidRPr="002E182A">
        <w:rPr>
          <w:rFonts w:cs="Times New Roman"/>
          <w:lang w:val="pl-PL"/>
        </w:rPr>
        <w:t>önmagában történő alkalmazásához képest. Nintedanib</w:t>
      </w:r>
      <w:r w:rsidR="00FF4B00">
        <w:rPr>
          <w:rFonts w:cs="Times New Roman"/>
          <w:lang w:val="pl-PL"/>
        </w:rPr>
        <w:t>bal</w:t>
      </w:r>
      <w:r w:rsidRPr="002E182A">
        <w:rPr>
          <w:rFonts w:cs="Times New Roman"/>
          <w:lang w:val="pl-PL"/>
        </w:rPr>
        <w:t xml:space="preserve"> együtt adva a potens P-gp gátlók (p</w:t>
      </w:r>
      <w:r w:rsidR="00AD07E9">
        <w:rPr>
          <w:rFonts w:cs="Times New Roman"/>
          <w:lang w:val="pl-PL"/>
        </w:rPr>
        <w:t xml:space="preserve">l. </w:t>
      </w:r>
      <w:r w:rsidRPr="002E182A">
        <w:rPr>
          <w:rFonts w:cs="Times New Roman"/>
          <w:lang w:val="pl-PL"/>
        </w:rPr>
        <w:t>ketokonazol, eritomicin vagy ciklosporin) megnövelhetik a nintedanib-expozíciót. Ilyen esetekben a</w:t>
      </w:r>
      <w:r w:rsidR="00AD07E9">
        <w:rPr>
          <w:rFonts w:cs="Times New Roman"/>
          <w:lang w:val="pl-PL"/>
        </w:rPr>
        <w:t xml:space="preserve"> </w:t>
      </w:r>
      <w:r w:rsidRPr="002E182A">
        <w:rPr>
          <w:rFonts w:cs="Times New Roman"/>
          <w:lang w:val="pl-PL"/>
        </w:rPr>
        <w:t>betegeknél szorosan ellenőrizni kell a nintedanibbal szembeni toleranciát. A nemkívánatos reakciók</w:t>
      </w:r>
      <w:r w:rsidR="00AD07E9">
        <w:rPr>
          <w:rFonts w:cs="Times New Roman"/>
          <w:lang w:val="pl-PL"/>
        </w:rPr>
        <w:t xml:space="preserve"> </w:t>
      </w:r>
      <w:r w:rsidRPr="002E182A">
        <w:rPr>
          <w:rFonts w:cs="Times New Roman"/>
          <w:lang w:val="pl-PL"/>
        </w:rPr>
        <w:t>kezelése a nintedanib-kezelés megszakítását, dóziscsökkentést vagy a terápia abbahagyását teheti</w:t>
      </w:r>
      <w:r w:rsidR="00AD07E9">
        <w:rPr>
          <w:rFonts w:cs="Times New Roman"/>
          <w:lang w:val="pl-PL"/>
        </w:rPr>
        <w:t xml:space="preserve"> </w:t>
      </w:r>
      <w:r w:rsidRPr="002E182A">
        <w:rPr>
          <w:rFonts w:cs="Times New Roman"/>
          <w:lang w:val="pl-PL"/>
        </w:rPr>
        <w:t>szükségessé (lásd 4.2</w:t>
      </w:r>
      <w:r w:rsidR="00C174F5">
        <w:rPr>
          <w:rFonts w:cs="Times New Roman"/>
          <w:lang w:val="pl-PL"/>
        </w:rPr>
        <w:t> </w:t>
      </w:r>
      <w:r w:rsidRPr="002E182A">
        <w:rPr>
          <w:rFonts w:cs="Times New Roman"/>
          <w:lang w:val="pl-PL"/>
        </w:rPr>
        <w:t>pont).</w:t>
      </w:r>
    </w:p>
    <w:p w14:paraId="32DD9242" w14:textId="77777777" w:rsidR="004E545D" w:rsidRPr="002E182A" w:rsidRDefault="004E545D" w:rsidP="004E545D">
      <w:pPr>
        <w:pStyle w:val="Szvegtrzs"/>
        <w:ind w:left="0"/>
        <w:rPr>
          <w:rFonts w:cs="Times New Roman"/>
          <w:lang w:val="pl-PL"/>
        </w:rPr>
      </w:pPr>
    </w:p>
    <w:p w14:paraId="30869406" w14:textId="6FBABDD7" w:rsidR="004E545D" w:rsidRPr="002E182A" w:rsidRDefault="004E545D" w:rsidP="004E545D">
      <w:pPr>
        <w:pStyle w:val="Szvegtrzs"/>
        <w:ind w:left="0"/>
        <w:rPr>
          <w:rFonts w:cs="Times New Roman"/>
          <w:lang w:val="pl-PL"/>
        </w:rPr>
      </w:pPr>
      <w:r w:rsidRPr="002E182A">
        <w:rPr>
          <w:rFonts w:cs="Times New Roman"/>
          <w:lang w:val="pl-PL"/>
        </w:rPr>
        <w:t>A potens P-gp induktorok (</w:t>
      </w:r>
      <w:r w:rsidR="00942BAD" w:rsidRPr="00942BAD">
        <w:rPr>
          <w:rFonts w:cs="Times New Roman"/>
          <w:lang w:val="pl-PL"/>
        </w:rPr>
        <w:t>pl.</w:t>
      </w:r>
      <w:r w:rsidRPr="002E182A">
        <w:rPr>
          <w:rFonts w:cs="Times New Roman"/>
          <w:lang w:val="pl-PL"/>
        </w:rPr>
        <w:t xml:space="preserve"> rifampicin, karbamazepin, fenitoin és a közönséges orbáncfű)</w:t>
      </w:r>
      <w:r w:rsidR="00AD07E9">
        <w:rPr>
          <w:rFonts w:cs="Times New Roman"/>
          <w:lang w:val="pl-PL"/>
        </w:rPr>
        <w:t xml:space="preserve"> </w:t>
      </w:r>
      <w:r w:rsidRPr="002E182A">
        <w:rPr>
          <w:rFonts w:cs="Times New Roman"/>
          <w:lang w:val="pl-PL"/>
        </w:rPr>
        <w:t>csökkenthetik a nintedanib-expozíciót. Mérlegelendő másik együttesen alkalmazott gyógyszer</w:t>
      </w:r>
      <w:r w:rsidR="00AD07E9">
        <w:rPr>
          <w:rFonts w:cs="Times New Roman"/>
          <w:lang w:val="pl-PL"/>
        </w:rPr>
        <w:t xml:space="preserve"> </w:t>
      </w:r>
      <w:r w:rsidRPr="002E182A">
        <w:rPr>
          <w:rFonts w:cs="Times New Roman"/>
          <w:lang w:val="pl-PL"/>
        </w:rPr>
        <w:t>választása, amely nem vagy csak minimális mértékben rendelkezik P-gp indukciós potenciállal.</w:t>
      </w:r>
    </w:p>
    <w:p w14:paraId="44E8327A" w14:textId="77777777" w:rsidR="004E545D" w:rsidRPr="002E182A" w:rsidRDefault="004E545D" w:rsidP="004E545D">
      <w:pPr>
        <w:pStyle w:val="Szvegtrzs"/>
        <w:ind w:left="0"/>
        <w:rPr>
          <w:rFonts w:cs="Times New Roman"/>
          <w:lang w:val="pl-PL"/>
        </w:rPr>
      </w:pPr>
    </w:p>
    <w:p w14:paraId="35E980F3" w14:textId="7940C591" w:rsidR="004E545D" w:rsidRPr="002E182A" w:rsidRDefault="004E545D" w:rsidP="004E545D">
      <w:pPr>
        <w:pStyle w:val="Szvegtrzs"/>
        <w:ind w:left="0"/>
        <w:rPr>
          <w:rFonts w:cs="Times New Roman"/>
          <w:u w:val="single"/>
          <w:lang w:val="pl-PL"/>
        </w:rPr>
      </w:pPr>
      <w:r w:rsidRPr="002E182A">
        <w:rPr>
          <w:rFonts w:cs="Times New Roman"/>
          <w:u w:val="single"/>
          <w:lang w:val="pl-PL"/>
        </w:rPr>
        <w:t>Citokróm (CYP)-enzimek</w:t>
      </w:r>
    </w:p>
    <w:p w14:paraId="2B84301C" w14:textId="69A46EA8" w:rsidR="004E545D" w:rsidRPr="002E182A" w:rsidRDefault="004E545D" w:rsidP="004E545D">
      <w:pPr>
        <w:pStyle w:val="Szvegtrzs"/>
        <w:ind w:left="0"/>
        <w:rPr>
          <w:rFonts w:cs="Times New Roman"/>
          <w:lang w:val="pl-PL"/>
        </w:rPr>
      </w:pPr>
      <w:r w:rsidRPr="002E182A">
        <w:rPr>
          <w:rFonts w:cs="Times New Roman"/>
          <w:lang w:val="pl-PL"/>
        </w:rPr>
        <w:t>A nintedanib biotranszformációjáért csak kis mértékben felelősek a CYP-enzimek. A nintedanib és</w:t>
      </w:r>
      <w:r w:rsidR="00342662">
        <w:rPr>
          <w:rFonts w:cs="Times New Roman"/>
          <w:lang w:val="pl-PL"/>
        </w:rPr>
        <w:t xml:space="preserve"> </w:t>
      </w:r>
      <w:r w:rsidRPr="002E182A">
        <w:rPr>
          <w:rFonts w:cs="Times New Roman"/>
          <w:lang w:val="pl-PL"/>
        </w:rPr>
        <w:t>metabolitjai – a BIBF 1202 szabad sav molekularész és glükuronidja, a BIBF 1202 glükuronid –</w:t>
      </w:r>
      <w:r w:rsidR="00342662">
        <w:rPr>
          <w:rFonts w:cs="Times New Roman"/>
          <w:lang w:val="pl-PL"/>
        </w:rPr>
        <w:t xml:space="preserve"> </w:t>
      </w:r>
      <w:r w:rsidRPr="002E182A">
        <w:rPr>
          <w:rFonts w:cs="Times New Roman"/>
          <w:lang w:val="pl-PL"/>
        </w:rPr>
        <w:t>preklinikai vizsgálatokban nem gátolták vagy indukálták a CYP-enzimeket (lásd 5.2</w:t>
      </w:r>
      <w:r w:rsidR="00C60F35">
        <w:rPr>
          <w:rFonts w:cs="Times New Roman"/>
          <w:lang w:val="pl-PL"/>
        </w:rPr>
        <w:t> </w:t>
      </w:r>
      <w:r w:rsidRPr="002E182A">
        <w:rPr>
          <w:rFonts w:cs="Times New Roman"/>
          <w:lang w:val="pl-PL"/>
        </w:rPr>
        <w:t>pont). A</w:t>
      </w:r>
      <w:r w:rsidR="00342662">
        <w:rPr>
          <w:rFonts w:cs="Times New Roman"/>
          <w:lang w:val="pl-PL"/>
        </w:rPr>
        <w:t xml:space="preserve"> </w:t>
      </w:r>
      <w:r w:rsidRPr="002E182A">
        <w:rPr>
          <w:rFonts w:cs="Times New Roman"/>
          <w:lang w:val="pl-PL"/>
        </w:rPr>
        <w:t>nintedanibbal a CYP-metabolizmus alapján fellépő gyógyszerinterakciók valószínűsége ezért</w:t>
      </w:r>
      <w:r w:rsidR="00342662">
        <w:rPr>
          <w:rFonts w:cs="Times New Roman"/>
          <w:lang w:val="pl-PL"/>
        </w:rPr>
        <w:t xml:space="preserve"> </w:t>
      </w:r>
      <w:r w:rsidRPr="002E182A">
        <w:rPr>
          <w:rFonts w:cs="Times New Roman"/>
          <w:lang w:val="pl-PL"/>
        </w:rPr>
        <w:t>alacsonynak tekinthető.</w:t>
      </w:r>
    </w:p>
    <w:p w14:paraId="6ADE0499" w14:textId="77777777" w:rsidR="004E545D" w:rsidRPr="002E182A" w:rsidRDefault="004E545D" w:rsidP="004E545D">
      <w:pPr>
        <w:pStyle w:val="Szvegtrzs"/>
        <w:ind w:left="0"/>
        <w:rPr>
          <w:rFonts w:cs="Times New Roman"/>
          <w:lang w:val="pl-PL"/>
        </w:rPr>
      </w:pPr>
    </w:p>
    <w:p w14:paraId="09365EDE" w14:textId="1AE55441" w:rsidR="004E545D" w:rsidRPr="002E182A" w:rsidRDefault="004E545D" w:rsidP="004E545D">
      <w:pPr>
        <w:pStyle w:val="Szvegtrzs"/>
        <w:ind w:left="0"/>
        <w:rPr>
          <w:rFonts w:cs="Times New Roman"/>
          <w:u w:val="single"/>
          <w:lang w:val="pl-PL"/>
        </w:rPr>
      </w:pPr>
      <w:r w:rsidRPr="002E182A">
        <w:rPr>
          <w:rFonts w:cs="Times New Roman"/>
          <w:u w:val="single"/>
          <w:lang w:val="pl-PL"/>
        </w:rPr>
        <w:t>Együttes alkalmazás más gyógyszerekkel</w:t>
      </w:r>
    </w:p>
    <w:p w14:paraId="4DC726F1" w14:textId="643614D8" w:rsidR="004E545D" w:rsidRPr="002E182A" w:rsidRDefault="004E545D" w:rsidP="004E545D">
      <w:pPr>
        <w:pStyle w:val="Szvegtrzs"/>
        <w:ind w:left="0"/>
        <w:rPr>
          <w:rFonts w:cs="Times New Roman"/>
          <w:lang w:val="pl-PL"/>
        </w:rPr>
      </w:pPr>
      <w:r w:rsidRPr="002E182A">
        <w:rPr>
          <w:rFonts w:cs="Times New Roman"/>
          <w:lang w:val="pl-PL"/>
        </w:rPr>
        <w:t>A nintedanib orális hormonális fogamzásgátlókkal való együttes alkalmazása nem befolyásolta</w:t>
      </w:r>
      <w:r w:rsidR="00342662">
        <w:rPr>
          <w:rFonts w:cs="Times New Roman"/>
          <w:lang w:val="pl-PL"/>
        </w:rPr>
        <w:t xml:space="preserve"> </w:t>
      </w:r>
      <w:r w:rsidRPr="002E182A">
        <w:rPr>
          <w:rFonts w:cs="Times New Roman"/>
          <w:lang w:val="pl-PL"/>
        </w:rPr>
        <w:t>jelentős mértékben az orális hormonális fogamzásgátlók farmakokinetikai tulajdonságait (lásd</w:t>
      </w:r>
      <w:r w:rsidR="00342662">
        <w:rPr>
          <w:rFonts w:cs="Times New Roman"/>
          <w:lang w:val="pl-PL"/>
        </w:rPr>
        <w:t xml:space="preserve"> </w:t>
      </w:r>
      <w:r w:rsidRPr="002E182A">
        <w:rPr>
          <w:rFonts w:cs="Times New Roman"/>
          <w:lang w:val="pl-PL"/>
        </w:rPr>
        <w:t>5.2</w:t>
      </w:r>
      <w:r w:rsidR="00C60F35">
        <w:rPr>
          <w:rFonts w:cs="Times New Roman"/>
          <w:lang w:val="pl-PL"/>
        </w:rPr>
        <w:t> </w:t>
      </w:r>
      <w:r w:rsidRPr="002E182A">
        <w:rPr>
          <w:rFonts w:cs="Times New Roman"/>
          <w:lang w:val="pl-PL"/>
        </w:rPr>
        <w:t>pont).</w:t>
      </w:r>
    </w:p>
    <w:p w14:paraId="33509B1F" w14:textId="77777777" w:rsidR="004E545D" w:rsidRPr="002E182A" w:rsidRDefault="004E545D" w:rsidP="009106D9">
      <w:pPr>
        <w:pStyle w:val="Szvegtrzs"/>
        <w:ind w:left="0"/>
        <w:rPr>
          <w:rFonts w:cs="Times New Roman"/>
          <w:u w:val="single" w:color="000000"/>
          <w:lang w:val="pl-PL"/>
        </w:rPr>
      </w:pPr>
    </w:p>
    <w:p w14:paraId="3E83941D" w14:textId="09CA9F4E" w:rsidR="004E545D" w:rsidRDefault="004E545D" w:rsidP="004E545D">
      <w:pPr>
        <w:pStyle w:val="Szvegtrzs"/>
        <w:ind w:left="0"/>
        <w:rPr>
          <w:rFonts w:cs="Times New Roman"/>
          <w:lang w:val="pl-PL"/>
        </w:rPr>
      </w:pPr>
      <w:r w:rsidRPr="002E182A">
        <w:rPr>
          <w:rFonts w:cs="Times New Roman"/>
          <w:lang w:val="pl-PL"/>
        </w:rPr>
        <w:t>A nintedanib együttes alkalmazása bozentánnal nem okozott változást a nintedanib</w:t>
      </w:r>
      <w:r w:rsidR="00342662">
        <w:rPr>
          <w:rFonts w:cs="Times New Roman"/>
          <w:lang w:val="pl-PL"/>
        </w:rPr>
        <w:t xml:space="preserve"> </w:t>
      </w:r>
      <w:r w:rsidRPr="002E182A">
        <w:rPr>
          <w:rFonts w:cs="Times New Roman"/>
          <w:lang w:val="pl-PL"/>
        </w:rPr>
        <w:t>farmakokinetikájában (lásd 5.2</w:t>
      </w:r>
      <w:r w:rsidR="00C60F35">
        <w:rPr>
          <w:rFonts w:cs="Times New Roman"/>
          <w:lang w:val="pl-PL"/>
        </w:rPr>
        <w:t> </w:t>
      </w:r>
      <w:r w:rsidRPr="002E182A">
        <w:rPr>
          <w:rFonts w:cs="Times New Roman"/>
          <w:lang w:val="pl-PL"/>
        </w:rPr>
        <w:t>pont).</w:t>
      </w:r>
    </w:p>
    <w:p w14:paraId="0FA342AD" w14:textId="77777777" w:rsidR="00C23E88" w:rsidRDefault="00C23E88" w:rsidP="004E545D">
      <w:pPr>
        <w:pStyle w:val="Szvegtrzs"/>
        <w:ind w:left="0"/>
        <w:rPr>
          <w:rFonts w:cs="Times New Roman"/>
          <w:lang w:val="pl-PL"/>
        </w:rPr>
      </w:pPr>
    </w:p>
    <w:p w14:paraId="418F186A" w14:textId="77777777" w:rsidR="00C23E88" w:rsidRPr="00300950" w:rsidRDefault="00C23E88" w:rsidP="00300950">
      <w:pPr>
        <w:pStyle w:val="Szvegtrzs"/>
        <w:ind w:left="0"/>
        <w:rPr>
          <w:rFonts w:cs="Times New Roman"/>
          <w:u w:val="single"/>
          <w:lang w:val="hu-HU"/>
        </w:rPr>
      </w:pPr>
      <w:r w:rsidRPr="00300950">
        <w:rPr>
          <w:rFonts w:cs="Times New Roman"/>
          <w:u w:val="single"/>
          <w:lang w:val="hu-HU"/>
        </w:rPr>
        <w:t xml:space="preserve">Gyermekek és serdülők </w:t>
      </w:r>
    </w:p>
    <w:p w14:paraId="23819AFE" w14:textId="29A861B1" w:rsidR="00C23E88" w:rsidRPr="002E182A" w:rsidRDefault="00C23E88" w:rsidP="00C23E88">
      <w:pPr>
        <w:pStyle w:val="Szvegtrzs"/>
        <w:ind w:left="0"/>
        <w:rPr>
          <w:rFonts w:cs="Times New Roman"/>
          <w:lang w:val="pl-PL"/>
        </w:rPr>
      </w:pPr>
      <w:r w:rsidRPr="00C23E88">
        <w:rPr>
          <w:rFonts w:cs="Times New Roman"/>
          <w:lang w:val="hu-HU"/>
        </w:rPr>
        <w:t>Interakciós vizsgálatokat csak felnőttek körében végeztek.</w:t>
      </w:r>
    </w:p>
    <w:p w14:paraId="42EF7FF0" w14:textId="77777777" w:rsidR="00F5603F" w:rsidRPr="002E182A" w:rsidRDefault="00F5603F" w:rsidP="009106D9">
      <w:pPr>
        <w:rPr>
          <w:rFonts w:ascii="Times New Roman" w:eastAsia="Times New Roman" w:hAnsi="Times New Roman" w:cs="Times New Roman"/>
          <w:lang w:val="pl-PL"/>
        </w:rPr>
      </w:pPr>
    </w:p>
    <w:p w14:paraId="790BFC91" w14:textId="704D859A" w:rsidR="00F5603F" w:rsidRPr="002E182A" w:rsidRDefault="009106D9" w:rsidP="009106D9">
      <w:pPr>
        <w:pStyle w:val="Cmsor1"/>
        <w:rPr>
          <w:bCs/>
          <w:lang w:val="pl-PL"/>
        </w:rPr>
      </w:pPr>
      <w:r w:rsidRPr="002E182A">
        <w:rPr>
          <w:lang w:val="pl-PL"/>
        </w:rPr>
        <w:t>4.6</w:t>
      </w:r>
      <w:r w:rsidRPr="002E182A">
        <w:rPr>
          <w:lang w:val="pl-PL"/>
        </w:rPr>
        <w:tab/>
      </w:r>
      <w:r w:rsidR="00612B56" w:rsidRPr="002E182A">
        <w:rPr>
          <w:lang w:val="pl-PL"/>
        </w:rPr>
        <w:t>Termékenység, terhesség</w:t>
      </w:r>
      <w:r w:rsidR="00612B56" w:rsidRPr="002E182A">
        <w:rPr>
          <w:spacing w:val="-5"/>
          <w:lang w:val="pl-PL"/>
        </w:rPr>
        <w:t xml:space="preserve"> </w:t>
      </w:r>
      <w:r w:rsidR="00612B56" w:rsidRPr="002E182A">
        <w:rPr>
          <w:lang w:val="pl-PL"/>
        </w:rPr>
        <w:t>és szoptatás</w:t>
      </w:r>
    </w:p>
    <w:p w14:paraId="5BE53378" w14:textId="77777777" w:rsidR="00F5603F" w:rsidRPr="002E182A" w:rsidRDefault="00F5603F" w:rsidP="009106D9">
      <w:pPr>
        <w:rPr>
          <w:rFonts w:ascii="Times New Roman" w:eastAsia="Times New Roman" w:hAnsi="Times New Roman" w:cs="Times New Roman"/>
          <w:b/>
          <w:bCs/>
          <w:lang w:val="pl-PL"/>
        </w:rPr>
      </w:pPr>
    </w:p>
    <w:p w14:paraId="13287A85" w14:textId="77777777" w:rsidR="00D94772" w:rsidRPr="002E182A" w:rsidRDefault="00D94772" w:rsidP="00D94772">
      <w:pPr>
        <w:pStyle w:val="Szvegtrzs"/>
        <w:ind w:left="0"/>
        <w:rPr>
          <w:rFonts w:cs="Times New Roman"/>
          <w:spacing w:val="-1"/>
          <w:u w:val="single"/>
          <w:lang w:val="pl-PL"/>
        </w:rPr>
      </w:pPr>
      <w:r w:rsidRPr="002E182A">
        <w:rPr>
          <w:rFonts w:cs="Times New Roman"/>
          <w:spacing w:val="-1"/>
          <w:u w:val="single"/>
          <w:lang w:val="pl-PL"/>
        </w:rPr>
        <w:t>Fogamzóképes korban lévő nők / fogamzásgátlás</w:t>
      </w:r>
    </w:p>
    <w:p w14:paraId="6AED8E1F" w14:textId="405BFB52" w:rsidR="00D94772" w:rsidRPr="002E182A" w:rsidRDefault="00D94772" w:rsidP="00D94772">
      <w:pPr>
        <w:pStyle w:val="Szvegtrzs"/>
        <w:ind w:left="0"/>
        <w:rPr>
          <w:rFonts w:cs="Times New Roman"/>
          <w:spacing w:val="-1"/>
          <w:lang w:val="pl-PL"/>
        </w:rPr>
      </w:pPr>
      <w:r w:rsidRPr="002E182A">
        <w:rPr>
          <w:rFonts w:cs="Times New Roman"/>
          <w:spacing w:val="-1"/>
          <w:lang w:val="pl-PL"/>
        </w:rPr>
        <w:t>A nintedanib emberben magzati károsodást okozhat (lásd 5.3</w:t>
      </w:r>
      <w:r w:rsidR="00C60F35">
        <w:rPr>
          <w:rFonts w:cs="Times New Roman"/>
          <w:spacing w:val="-1"/>
          <w:lang w:val="pl-PL"/>
        </w:rPr>
        <w:t> </w:t>
      </w:r>
      <w:r w:rsidRPr="002E182A">
        <w:rPr>
          <w:rFonts w:cs="Times New Roman"/>
          <w:spacing w:val="-1"/>
          <w:lang w:val="pl-PL"/>
        </w:rPr>
        <w:t>pont), ezért fel kell hívni a</w:t>
      </w:r>
      <w:r w:rsidR="00342662">
        <w:rPr>
          <w:rFonts w:cs="Times New Roman"/>
          <w:spacing w:val="-1"/>
          <w:lang w:val="pl-PL"/>
        </w:rPr>
        <w:t xml:space="preserve"> </w:t>
      </w:r>
      <w:r w:rsidRPr="002E182A">
        <w:rPr>
          <w:rFonts w:cs="Times New Roman"/>
          <w:spacing w:val="-1"/>
          <w:lang w:val="pl-PL"/>
        </w:rPr>
        <w:t>fogamzóképes korban lévő nők figyelmét arra, hogy a nintedanib-kezelés alatt ne essenek teherbe, és hogy a nintedanib-kezelés kezdetekor, alatt és a nintedanib utolsó adagját követően legalább 3</w:t>
      </w:r>
      <w:r w:rsidR="00C60F35">
        <w:rPr>
          <w:rFonts w:cs="Times New Roman"/>
          <w:spacing w:val="-1"/>
          <w:lang w:val="pl-PL"/>
        </w:rPr>
        <w:t> </w:t>
      </w:r>
      <w:r w:rsidRPr="002E182A">
        <w:rPr>
          <w:rFonts w:cs="Times New Roman"/>
          <w:spacing w:val="-1"/>
          <w:lang w:val="pl-PL"/>
        </w:rPr>
        <w:t>hónapig nagy hatékonyságú fogamzásgátló módszereket kell alkalmazniuk. A nintedanib nem befolyásolta</w:t>
      </w:r>
      <w:r w:rsidR="00342662">
        <w:rPr>
          <w:rFonts w:cs="Times New Roman"/>
          <w:spacing w:val="-1"/>
          <w:lang w:val="pl-PL"/>
        </w:rPr>
        <w:t xml:space="preserve"> </w:t>
      </w:r>
      <w:r w:rsidRPr="002E182A">
        <w:rPr>
          <w:rFonts w:cs="Times New Roman"/>
          <w:spacing w:val="-1"/>
          <w:lang w:val="pl-PL"/>
        </w:rPr>
        <w:t>jelentősen az etinilösztradiol és a levonorgesztrel plazmaexpozícióját (lásd 5.2</w:t>
      </w:r>
      <w:r w:rsidR="00C60F35">
        <w:rPr>
          <w:rFonts w:cs="Times New Roman"/>
          <w:spacing w:val="-1"/>
          <w:lang w:val="pl-PL"/>
        </w:rPr>
        <w:t> </w:t>
      </w:r>
      <w:r w:rsidRPr="002E182A">
        <w:rPr>
          <w:rFonts w:cs="Times New Roman"/>
          <w:spacing w:val="-1"/>
          <w:lang w:val="pl-PL"/>
        </w:rPr>
        <w:t>pont). Az orális</w:t>
      </w:r>
      <w:r w:rsidR="00342662">
        <w:rPr>
          <w:rFonts w:cs="Times New Roman"/>
          <w:spacing w:val="-1"/>
          <w:lang w:val="pl-PL"/>
        </w:rPr>
        <w:t xml:space="preserve"> </w:t>
      </w:r>
      <w:r w:rsidRPr="002E182A">
        <w:rPr>
          <w:rFonts w:cs="Times New Roman"/>
          <w:spacing w:val="-1"/>
          <w:lang w:val="pl-PL"/>
        </w:rPr>
        <w:t>hormonális fogamzásgátlók hatásosságát ronthatja a hányás és/vagy a hasmenés, vagy egyéb olyan</w:t>
      </w:r>
      <w:r w:rsidR="00342662">
        <w:rPr>
          <w:rFonts w:cs="Times New Roman"/>
          <w:spacing w:val="-1"/>
          <w:lang w:val="pl-PL"/>
        </w:rPr>
        <w:t xml:space="preserve"> </w:t>
      </w:r>
      <w:r w:rsidRPr="002E182A">
        <w:rPr>
          <w:rFonts w:cs="Times New Roman"/>
          <w:spacing w:val="-1"/>
          <w:lang w:val="pl-PL"/>
        </w:rPr>
        <w:t>állapotok, amelyek befolyásolhatják a felszívódást. Azo</w:t>
      </w:r>
      <w:r w:rsidR="00FF4B00">
        <w:rPr>
          <w:rFonts w:cs="Times New Roman"/>
          <w:spacing w:val="-1"/>
          <w:lang w:val="pl-PL"/>
        </w:rPr>
        <w:t>knak a</w:t>
      </w:r>
      <w:r w:rsidRPr="002E182A">
        <w:rPr>
          <w:rFonts w:cs="Times New Roman"/>
          <w:spacing w:val="-1"/>
          <w:lang w:val="pl-PL"/>
        </w:rPr>
        <w:t xml:space="preserve"> nőknek, akik orális hormonális</w:t>
      </w:r>
      <w:r w:rsidR="00342662">
        <w:rPr>
          <w:rFonts w:cs="Times New Roman"/>
          <w:spacing w:val="-1"/>
          <w:lang w:val="pl-PL"/>
        </w:rPr>
        <w:t xml:space="preserve"> </w:t>
      </w:r>
      <w:r w:rsidRPr="002E182A">
        <w:rPr>
          <w:rFonts w:cs="Times New Roman"/>
          <w:spacing w:val="-1"/>
          <w:lang w:val="pl-PL"/>
        </w:rPr>
        <w:t>fogamzásgátlást alkalmaznak és ilyen állapotokat tapasztalnak, tanácsolni</w:t>
      </w:r>
      <w:r w:rsidR="00FF4B00">
        <w:rPr>
          <w:rFonts w:cs="Times New Roman"/>
          <w:spacing w:val="-1"/>
          <w:lang w:val="pl-PL"/>
        </w:rPr>
        <w:t xml:space="preserve"> kell</w:t>
      </w:r>
      <w:r w:rsidRPr="002E182A">
        <w:rPr>
          <w:rFonts w:cs="Times New Roman"/>
          <w:spacing w:val="-1"/>
          <w:lang w:val="pl-PL"/>
        </w:rPr>
        <w:t>, hogy</w:t>
      </w:r>
      <w:r w:rsidR="00342662">
        <w:rPr>
          <w:rFonts w:cs="Times New Roman"/>
          <w:spacing w:val="-1"/>
          <w:lang w:val="pl-PL"/>
        </w:rPr>
        <w:t xml:space="preserve"> </w:t>
      </w:r>
      <w:r w:rsidRPr="002E182A">
        <w:rPr>
          <w:rFonts w:cs="Times New Roman"/>
          <w:spacing w:val="-1"/>
          <w:lang w:val="pl-PL"/>
        </w:rPr>
        <w:t>alkalmazzanak egy alternatív, nagy hatékonyságú fogamzásgátló módszert.</w:t>
      </w:r>
    </w:p>
    <w:p w14:paraId="68C38523" w14:textId="77777777" w:rsidR="00D94772" w:rsidRPr="002E182A" w:rsidRDefault="00D94772" w:rsidP="00D94772">
      <w:pPr>
        <w:pStyle w:val="Szvegtrzs"/>
        <w:ind w:left="0"/>
        <w:rPr>
          <w:rFonts w:cs="Times New Roman"/>
          <w:spacing w:val="-1"/>
          <w:lang w:val="pl-PL"/>
        </w:rPr>
      </w:pPr>
    </w:p>
    <w:p w14:paraId="36722B6E" w14:textId="6D40C49C" w:rsidR="00D94772" w:rsidRPr="002E182A" w:rsidRDefault="00D94772" w:rsidP="00D94772">
      <w:pPr>
        <w:pStyle w:val="Szvegtrzs"/>
        <w:ind w:left="0"/>
        <w:rPr>
          <w:rFonts w:cs="Times New Roman"/>
          <w:spacing w:val="-1"/>
          <w:u w:val="single"/>
          <w:lang w:val="pl-PL"/>
        </w:rPr>
      </w:pPr>
      <w:r w:rsidRPr="002E182A">
        <w:rPr>
          <w:rFonts w:cs="Times New Roman"/>
          <w:spacing w:val="-1"/>
          <w:u w:val="single"/>
          <w:lang w:val="pl-PL"/>
        </w:rPr>
        <w:t>Terhesség</w:t>
      </w:r>
    </w:p>
    <w:p w14:paraId="6D5B7393" w14:textId="23C54DFC" w:rsidR="00D94772" w:rsidRPr="002E182A" w:rsidRDefault="00D94772" w:rsidP="00D94772">
      <w:pPr>
        <w:pStyle w:val="Szvegtrzs"/>
        <w:ind w:left="0"/>
        <w:rPr>
          <w:rFonts w:cs="Times New Roman"/>
          <w:spacing w:val="-1"/>
          <w:lang w:val="pl-PL"/>
        </w:rPr>
      </w:pPr>
      <w:r w:rsidRPr="002E182A">
        <w:rPr>
          <w:rFonts w:cs="Times New Roman"/>
          <w:spacing w:val="-1"/>
          <w:lang w:val="pl-PL"/>
        </w:rPr>
        <w:t>A nintedanib terhes nőknél történő alkalmazása tekintetében nem áll rendelkezésre információ, de</w:t>
      </w:r>
      <w:r w:rsidR="00342662">
        <w:rPr>
          <w:rFonts w:cs="Times New Roman"/>
          <w:spacing w:val="-1"/>
          <w:lang w:val="pl-PL"/>
        </w:rPr>
        <w:t xml:space="preserve"> </w:t>
      </w:r>
      <w:r w:rsidRPr="002E182A">
        <w:rPr>
          <w:rFonts w:cs="Times New Roman"/>
          <w:spacing w:val="-1"/>
          <w:lang w:val="pl-PL"/>
        </w:rPr>
        <w:t>állatokon végzett preklinikai vizsgálatok a hatóanyag reproduktív toxicitását igazolták (lásd 5.3</w:t>
      </w:r>
      <w:r w:rsidR="00C60F35">
        <w:rPr>
          <w:rFonts w:cs="Times New Roman"/>
          <w:spacing w:val="-1"/>
          <w:lang w:val="pl-PL"/>
        </w:rPr>
        <w:t> </w:t>
      </w:r>
      <w:r w:rsidRPr="002E182A">
        <w:rPr>
          <w:rFonts w:cs="Times New Roman"/>
          <w:spacing w:val="-1"/>
          <w:lang w:val="pl-PL"/>
        </w:rPr>
        <w:t>pont).</w:t>
      </w:r>
    </w:p>
    <w:p w14:paraId="4BD22F6F" w14:textId="634D842D" w:rsidR="00D94772" w:rsidRPr="002E182A" w:rsidRDefault="00D94772" w:rsidP="00D94772">
      <w:pPr>
        <w:pStyle w:val="Szvegtrzs"/>
        <w:ind w:left="0"/>
        <w:rPr>
          <w:rFonts w:cs="Times New Roman"/>
          <w:spacing w:val="-1"/>
          <w:lang w:val="pl-PL"/>
        </w:rPr>
      </w:pPr>
      <w:r w:rsidRPr="002E182A">
        <w:rPr>
          <w:rFonts w:cs="Times New Roman"/>
          <w:spacing w:val="-1"/>
          <w:lang w:val="pl-PL"/>
        </w:rPr>
        <w:t>Mivel a nintedanib emberben is magzati károsodást okozhat, terhesség alatt tilos alkalmazni (lásd</w:t>
      </w:r>
      <w:r w:rsidR="00342662">
        <w:rPr>
          <w:rFonts w:cs="Times New Roman"/>
          <w:spacing w:val="-1"/>
          <w:lang w:val="pl-PL"/>
        </w:rPr>
        <w:t xml:space="preserve"> </w:t>
      </w:r>
      <w:r w:rsidRPr="002E182A">
        <w:rPr>
          <w:rFonts w:cs="Times New Roman"/>
          <w:spacing w:val="-1"/>
          <w:lang w:val="pl-PL"/>
        </w:rPr>
        <w:t>4.3</w:t>
      </w:r>
      <w:r w:rsidR="00C60F35">
        <w:rPr>
          <w:rFonts w:cs="Times New Roman"/>
          <w:spacing w:val="-1"/>
          <w:lang w:val="pl-PL"/>
        </w:rPr>
        <w:t> </w:t>
      </w:r>
      <w:r w:rsidRPr="002E182A">
        <w:rPr>
          <w:rFonts w:cs="Times New Roman"/>
          <w:spacing w:val="-1"/>
          <w:lang w:val="pl-PL"/>
        </w:rPr>
        <w:t>pont), és terhességi tesztet kell végezni a nintedanib-kezelés megkezdése előtt, valamint szükség esetén a kezelés során.</w:t>
      </w:r>
    </w:p>
    <w:p w14:paraId="656D1966" w14:textId="77777777" w:rsidR="00D94772" w:rsidRPr="002E182A" w:rsidRDefault="00D94772" w:rsidP="00D94772">
      <w:pPr>
        <w:pStyle w:val="Szvegtrzs"/>
        <w:ind w:left="0"/>
        <w:rPr>
          <w:rFonts w:cs="Times New Roman"/>
          <w:spacing w:val="-1"/>
          <w:lang w:val="pl-PL"/>
        </w:rPr>
      </w:pPr>
    </w:p>
    <w:p w14:paraId="1B6F49FC" w14:textId="25596801" w:rsidR="00D94772" w:rsidRPr="002E182A" w:rsidRDefault="00D94772" w:rsidP="00D94772">
      <w:pPr>
        <w:pStyle w:val="Szvegtrzs"/>
        <w:ind w:left="0"/>
        <w:rPr>
          <w:rFonts w:cs="Times New Roman"/>
          <w:spacing w:val="-1"/>
          <w:lang w:val="pl-PL"/>
        </w:rPr>
      </w:pPr>
      <w:r w:rsidRPr="002E182A">
        <w:rPr>
          <w:rFonts w:cs="Times New Roman"/>
          <w:spacing w:val="-1"/>
          <w:lang w:val="pl-PL"/>
        </w:rPr>
        <w:t>A nőbetegek figyelmét fel kell hívni arra, hogy amennyiben a nintedanib-terápia alatt teherbe esnek,</w:t>
      </w:r>
      <w:r w:rsidR="00342662">
        <w:rPr>
          <w:rFonts w:cs="Times New Roman"/>
          <w:spacing w:val="-1"/>
          <w:lang w:val="pl-PL"/>
        </w:rPr>
        <w:t xml:space="preserve"> </w:t>
      </w:r>
      <w:r w:rsidRPr="002E182A">
        <w:rPr>
          <w:rFonts w:cs="Times New Roman"/>
          <w:spacing w:val="-1"/>
          <w:lang w:val="pl-PL"/>
        </w:rPr>
        <w:t>tájékoztassák kezelőorvosukat vagy gyógyszerészüket.</w:t>
      </w:r>
    </w:p>
    <w:p w14:paraId="7C3EB860" w14:textId="77777777" w:rsidR="00D94772" w:rsidRPr="002E182A" w:rsidRDefault="00D94772" w:rsidP="00D94772">
      <w:pPr>
        <w:pStyle w:val="Szvegtrzs"/>
        <w:ind w:left="0"/>
        <w:rPr>
          <w:rFonts w:cs="Times New Roman"/>
          <w:spacing w:val="-1"/>
          <w:lang w:val="pl-PL"/>
        </w:rPr>
      </w:pPr>
    </w:p>
    <w:p w14:paraId="249740C0" w14:textId="4A300002" w:rsidR="00D94772" w:rsidRPr="00342662" w:rsidRDefault="00D94772" w:rsidP="00D94772">
      <w:pPr>
        <w:pStyle w:val="Szvegtrzs"/>
        <w:ind w:left="0"/>
        <w:rPr>
          <w:rFonts w:cs="Times New Roman"/>
          <w:spacing w:val="-1"/>
          <w:lang w:val="pl-PL"/>
        </w:rPr>
      </w:pPr>
      <w:r w:rsidRPr="002E182A">
        <w:rPr>
          <w:rFonts w:cs="Times New Roman"/>
          <w:spacing w:val="-1"/>
          <w:lang w:val="pl-PL"/>
        </w:rPr>
        <w:t>Ha a beteg teherbe esik, miközben a nintedanibot kapja, a kezelést le kell állítani, és tájékoztatni kell a</w:t>
      </w:r>
      <w:r w:rsidR="00342662">
        <w:rPr>
          <w:rFonts w:cs="Times New Roman"/>
          <w:spacing w:val="-1"/>
          <w:lang w:val="pl-PL"/>
        </w:rPr>
        <w:t xml:space="preserve"> </w:t>
      </w:r>
      <w:r w:rsidRPr="00342662">
        <w:rPr>
          <w:rFonts w:cs="Times New Roman"/>
          <w:spacing w:val="-1"/>
          <w:lang w:val="pl-PL"/>
        </w:rPr>
        <w:lastRenderedPageBreak/>
        <w:t>beteget a lehetséges magzati kockázatról.</w:t>
      </w:r>
    </w:p>
    <w:p w14:paraId="0BC5C946" w14:textId="77777777" w:rsidR="00D94772" w:rsidRPr="00342662" w:rsidRDefault="00D94772" w:rsidP="00D94772">
      <w:pPr>
        <w:pStyle w:val="Szvegtrzs"/>
        <w:ind w:left="0"/>
        <w:rPr>
          <w:rFonts w:cs="Times New Roman"/>
          <w:spacing w:val="-1"/>
          <w:lang w:val="pl-PL"/>
        </w:rPr>
      </w:pPr>
    </w:p>
    <w:p w14:paraId="599BC8F6" w14:textId="77777777" w:rsidR="00D94772" w:rsidRPr="00110009" w:rsidRDefault="00D94772" w:rsidP="00D94772">
      <w:pPr>
        <w:pStyle w:val="Szvegtrzs"/>
        <w:ind w:left="0"/>
        <w:rPr>
          <w:rFonts w:cs="Times New Roman"/>
          <w:spacing w:val="-1"/>
          <w:u w:val="single"/>
          <w:lang w:val="pl-PL"/>
        </w:rPr>
      </w:pPr>
      <w:r w:rsidRPr="00110009">
        <w:rPr>
          <w:rFonts w:cs="Times New Roman"/>
          <w:spacing w:val="-1"/>
          <w:u w:val="single"/>
          <w:lang w:val="pl-PL"/>
        </w:rPr>
        <w:t>Szoptatás</w:t>
      </w:r>
    </w:p>
    <w:p w14:paraId="142D88B1" w14:textId="2FD4A510" w:rsidR="00D94772" w:rsidRPr="00110009" w:rsidRDefault="00D94772" w:rsidP="00D94772">
      <w:pPr>
        <w:pStyle w:val="Szvegtrzs"/>
        <w:ind w:left="0"/>
        <w:rPr>
          <w:rFonts w:cs="Times New Roman"/>
          <w:spacing w:val="-1"/>
          <w:lang w:val="pl-PL"/>
        </w:rPr>
      </w:pPr>
      <w:r w:rsidRPr="00110009">
        <w:rPr>
          <w:rFonts w:cs="Times New Roman"/>
          <w:spacing w:val="-1"/>
          <w:lang w:val="pl-PL"/>
        </w:rPr>
        <w:t xml:space="preserve">A nintedanib, </w:t>
      </w:r>
      <w:r w:rsidR="00580B0B" w:rsidRPr="00A15F63">
        <w:rPr>
          <w:rFonts w:cs="Times New Roman"/>
          <w:spacing w:val="-1"/>
          <w:lang w:val="hu-HU"/>
        </w:rPr>
        <w:t>ill</w:t>
      </w:r>
      <w:r w:rsidR="00580B0B">
        <w:rPr>
          <w:rFonts w:cs="Times New Roman"/>
          <w:spacing w:val="-1"/>
          <w:lang w:val="hu-HU"/>
        </w:rPr>
        <w:t>.</w:t>
      </w:r>
      <w:r w:rsidRPr="00110009">
        <w:rPr>
          <w:rFonts w:cs="Times New Roman"/>
          <w:spacing w:val="-1"/>
          <w:lang w:val="pl-PL"/>
        </w:rPr>
        <w:t xml:space="preserve"> metabolitjainak humán anyatejbe történő kiválasztódásáról nincs információ.</w:t>
      </w:r>
      <w:r w:rsidR="003C044C" w:rsidRPr="00110009">
        <w:rPr>
          <w:rFonts w:cs="Times New Roman"/>
          <w:spacing w:val="-1"/>
          <w:lang w:val="pl-PL"/>
        </w:rPr>
        <w:t xml:space="preserve"> </w:t>
      </w:r>
      <w:r w:rsidRPr="00110009">
        <w:rPr>
          <w:rFonts w:cs="Times New Roman"/>
          <w:spacing w:val="-1"/>
          <w:lang w:val="pl-PL"/>
        </w:rPr>
        <w:t>Preklinikai vizsgálatok azt igazolták, hogy a nintedanib és metabolitjai kis mennyiségben (a beadott</w:t>
      </w:r>
      <w:r w:rsidR="003C044C" w:rsidRPr="00110009">
        <w:rPr>
          <w:rFonts w:cs="Times New Roman"/>
          <w:spacing w:val="-1"/>
          <w:lang w:val="pl-PL"/>
        </w:rPr>
        <w:t xml:space="preserve"> </w:t>
      </w:r>
      <w:r w:rsidRPr="00110009">
        <w:rPr>
          <w:rFonts w:cs="Times New Roman"/>
          <w:spacing w:val="-1"/>
          <w:lang w:val="pl-PL"/>
        </w:rPr>
        <w:t>adag ≤</w:t>
      </w:r>
      <w:r w:rsidR="00C60F35">
        <w:rPr>
          <w:rFonts w:cs="Times New Roman"/>
          <w:spacing w:val="-1"/>
          <w:lang w:val="pl-PL"/>
        </w:rPr>
        <w:t> </w:t>
      </w:r>
      <w:r w:rsidRPr="00110009">
        <w:rPr>
          <w:rFonts w:cs="Times New Roman"/>
          <w:spacing w:val="-1"/>
          <w:lang w:val="pl-PL"/>
        </w:rPr>
        <w:t>0,5%-a) kiválasztódnak laktáló patkányok tejébe. Az anyatejjel táplált csecsemőre nézve a</w:t>
      </w:r>
      <w:r w:rsidR="003C044C" w:rsidRPr="00110009">
        <w:rPr>
          <w:rFonts w:cs="Times New Roman"/>
          <w:spacing w:val="-1"/>
          <w:lang w:val="pl-PL"/>
        </w:rPr>
        <w:t xml:space="preserve"> </w:t>
      </w:r>
      <w:r w:rsidRPr="00110009">
        <w:rPr>
          <w:rFonts w:cs="Times New Roman"/>
          <w:spacing w:val="-1"/>
          <w:lang w:val="pl-PL"/>
        </w:rPr>
        <w:t>kockázatot nem lehet kizárni. A nintedanib alkalmazásának ideje alatt a szoptatást fel kell függeszteni.</w:t>
      </w:r>
    </w:p>
    <w:p w14:paraId="1EE1B1A7" w14:textId="77777777" w:rsidR="00D94772" w:rsidRPr="00110009" w:rsidRDefault="00D94772" w:rsidP="00D94772">
      <w:pPr>
        <w:pStyle w:val="Szvegtrzs"/>
        <w:ind w:left="0"/>
        <w:rPr>
          <w:rFonts w:cs="Times New Roman"/>
          <w:spacing w:val="-1"/>
          <w:lang w:val="pl-PL"/>
        </w:rPr>
      </w:pPr>
    </w:p>
    <w:p w14:paraId="31E1A9CC" w14:textId="3DC738FA" w:rsidR="00D94772" w:rsidRPr="00110009" w:rsidRDefault="00D94772" w:rsidP="00D94772">
      <w:pPr>
        <w:pStyle w:val="Szvegtrzs"/>
        <w:ind w:left="0"/>
        <w:rPr>
          <w:rFonts w:cs="Times New Roman"/>
          <w:spacing w:val="-1"/>
          <w:u w:val="single"/>
          <w:lang w:val="pl-PL"/>
        </w:rPr>
      </w:pPr>
      <w:r w:rsidRPr="00110009">
        <w:rPr>
          <w:rFonts w:cs="Times New Roman"/>
          <w:spacing w:val="-1"/>
          <w:u w:val="single"/>
          <w:lang w:val="pl-PL"/>
        </w:rPr>
        <w:t>Termékenység</w:t>
      </w:r>
    </w:p>
    <w:p w14:paraId="2091A2C7" w14:textId="65617BDB" w:rsidR="00F5603F" w:rsidRPr="00110009" w:rsidRDefault="00D94772" w:rsidP="00D94772">
      <w:pPr>
        <w:pStyle w:val="Szvegtrzs"/>
        <w:ind w:left="0"/>
        <w:rPr>
          <w:rFonts w:cs="Times New Roman"/>
          <w:spacing w:val="-1"/>
          <w:lang w:val="pl-PL"/>
        </w:rPr>
      </w:pPr>
      <w:r w:rsidRPr="00110009">
        <w:rPr>
          <w:rFonts w:cs="Times New Roman"/>
          <w:spacing w:val="-1"/>
          <w:lang w:val="pl-PL"/>
        </w:rPr>
        <w:t>Preklinikai vizsgálatok során nem igazoltak a hím állatok termékenységére gyakorolt hatást (lásd</w:t>
      </w:r>
      <w:r w:rsidR="003C044C" w:rsidRPr="00110009">
        <w:rPr>
          <w:rFonts w:cs="Times New Roman"/>
          <w:spacing w:val="-1"/>
          <w:lang w:val="pl-PL"/>
        </w:rPr>
        <w:t xml:space="preserve"> </w:t>
      </w:r>
      <w:r w:rsidRPr="00110009">
        <w:rPr>
          <w:rFonts w:cs="Times New Roman"/>
          <w:spacing w:val="-1"/>
          <w:lang w:val="pl-PL"/>
        </w:rPr>
        <w:t>5.3</w:t>
      </w:r>
      <w:r w:rsidR="00C60F35">
        <w:rPr>
          <w:rFonts w:cs="Times New Roman"/>
          <w:spacing w:val="-1"/>
          <w:lang w:val="pl-PL"/>
        </w:rPr>
        <w:t> </w:t>
      </w:r>
      <w:r w:rsidRPr="00110009">
        <w:rPr>
          <w:rFonts w:cs="Times New Roman"/>
          <w:spacing w:val="-1"/>
          <w:lang w:val="pl-PL"/>
        </w:rPr>
        <w:t>pont). Szubkrónikus és krónikus toxicitási vizsgálatok alapján nincs bizonyíték arra, hogy a</w:t>
      </w:r>
      <w:r w:rsidR="003C044C" w:rsidRPr="00110009">
        <w:rPr>
          <w:rFonts w:cs="Times New Roman"/>
          <w:spacing w:val="-1"/>
          <w:lang w:val="pl-PL"/>
        </w:rPr>
        <w:t xml:space="preserve"> </w:t>
      </w:r>
      <w:r w:rsidRPr="00110009">
        <w:rPr>
          <w:rFonts w:cs="Times New Roman"/>
          <w:spacing w:val="-1"/>
          <w:lang w:val="pl-PL"/>
        </w:rPr>
        <w:t>nőstény patkányok termékenysége károsodna a napi kétszer 150</w:t>
      </w:r>
      <w:r w:rsidR="00E8062E">
        <w:rPr>
          <w:rFonts w:cs="Times New Roman"/>
          <w:spacing w:val="-1"/>
          <w:lang w:val="pl-PL"/>
        </w:rPr>
        <w:t> </w:t>
      </w:r>
      <w:r w:rsidRPr="00110009">
        <w:rPr>
          <w:rFonts w:cs="Times New Roman"/>
          <w:spacing w:val="-1"/>
          <w:lang w:val="pl-PL"/>
        </w:rPr>
        <w:t xml:space="preserve">mg-os ajánlott maximális </w:t>
      </w:r>
      <w:r w:rsidR="003C044C" w:rsidRPr="00110009">
        <w:rPr>
          <w:rFonts w:cs="Times New Roman"/>
          <w:spacing w:val="-1"/>
          <w:lang w:val="pl-PL"/>
        </w:rPr>
        <w:t>hum</w:t>
      </w:r>
      <w:r w:rsidR="00FF4B00">
        <w:rPr>
          <w:rFonts w:cs="Times New Roman"/>
          <w:spacing w:val="-1"/>
          <w:lang w:val="pl-PL"/>
        </w:rPr>
        <w:t>á</w:t>
      </w:r>
      <w:r w:rsidR="003C044C" w:rsidRPr="00110009">
        <w:rPr>
          <w:rFonts w:cs="Times New Roman"/>
          <w:spacing w:val="-1"/>
          <w:lang w:val="pl-PL"/>
        </w:rPr>
        <w:t xml:space="preserve">n </w:t>
      </w:r>
      <w:r w:rsidRPr="00110009">
        <w:rPr>
          <w:rFonts w:cs="Times New Roman"/>
          <w:spacing w:val="-1"/>
          <w:lang w:val="pl-PL"/>
        </w:rPr>
        <w:t>dózisnak (maximum recommended human dose, MRHD) megfelelő mértékű szisztémás expozíció</w:t>
      </w:r>
      <w:r w:rsidR="003C044C" w:rsidRPr="00110009">
        <w:rPr>
          <w:rFonts w:cs="Times New Roman"/>
          <w:spacing w:val="-1"/>
          <w:lang w:val="pl-PL"/>
        </w:rPr>
        <w:t xml:space="preserve"> </w:t>
      </w:r>
      <w:r w:rsidRPr="00110009">
        <w:rPr>
          <w:rFonts w:cs="Times New Roman"/>
          <w:spacing w:val="-1"/>
          <w:lang w:val="pl-PL"/>
        </w:rPr>
        <w:t>mellett (lásd 5.3 pont).</w:t>
      </w:r>
      <w:r w:rsidRPr="00110009">
        <w:rPr>
          <w:rFonts w:cs="Times New Roman"/>
          <w:spacing w:val="-1"/>
          <w:lang w:val="pl-PL"/>
        </w:rPr>
        <w:cr/>
      </w:r>
    </w:p>
    <w:p w14:paraId="0E1E60D2" w14:textId="7E39D260" w:rsidR="00F5603F" w:rsidRPr="00110009" w:rsidRDefault="009106D9" w:rsidP="00E86C85">
      <w:pPr>
        <w:pStyle w:val="Cmsor1"/>
        <w:ind w:left="709" w:hanging="709"/>
        <w:rPr>
          <w:bCs/>
          <w:lang w:val="pl-PL"/>
        </w:rPr>
      </w:pPr>
      <w:r w:rsidRPr="00110009">
        <w:rPr>
          <w:lang w:val="pl-PL"/>
        </w:rPr>
        <w:t>4.7</w:t>
      </w:r>
      <w:r w:rsidRPr="00110009">
        <w:rPr>
          <w:lang w:val="pl-PL"/>
        </w:rPr>
        <w:tab/>
      </w:r>
      <w:r w:rsidR="00612B56" w:rsidRPr="00110009">
        <w:rPr>
          <w:lang w:val="pl-PL"/>
        </w:rPr>
        <w:t>A készítmény hatásai</w:t>
      </w:r>
      <w:r w:rsidR="00612B56" w:rsidRPr="00110009">
        <w:rPr>
          <w:spacing w:val="1"/>
          <w:lang w:val="pl-PL"/>
        </w:rPr>
        <w:t xml:space="preserve"> </w:t>
      </w:r>
      <w:r w:rsidR="00612B56" w:rsidRPr="00110009">
        <w:rPr>
          <w:lang w:val="pl-PL"/>
        </w:rPr>
        <w:t>a gépjárművezetéshez</w:t>
      </w:r>
      <w:r w:rsidR="00612B56" w:rsidRPr="00110009">
        <w:rPr>
          <w:spacing w:val="-2"/>
          <w:lang w:val="pl-PL"/>
        </w:rPr>
        <w:t xml:space="preserve"> </w:t>
      </w:r>
      <w:r w:rsidR="00612B56" w:rsidRPr="00110009">
        <w:rPr>
          <w:lang w:val="pl-PL"/>
        </w:rPr>
        <w:t>és</w:t>
      </w:r>
      <w:r w:rsidR="00612B56" w:rsidRPr="00110009">
        <w:rPr>
          <w:spacing w:val="3"/>
          <w:lang w:val="pl-PL"/>
        </w:rPr>
        <w:t xml:space="preserve"> </w:t>
      </w:r>
      <w:r w:rsidR="00612B56" w:rsidRPr="00110009">
        <w:rPr>
          <w:lang w:val="pl-PL"/>
        </w:rPr>
        <w:t>a</w:t>
      </w:r>
      <w:r w:rsidR="00612B56" w:rsidRPr="00110009">
        <w:rPr>
          <w:spacing w:val="-3"/>
          <w:lang w:val="pl-PL"/>
        </w:rPr>
        <w:t xml:space="preserve"> </w:t>
      </w:r>
      <w:r w:rsidR="00612B56" w:rsidRPr="00110009">
        <w:rPr>
          <w:lang w:val="pl-PL"/>
        </w:rPr>
        <w:t>gépek kezeléséhez</w:t>
      </w:r>
      <w:r w:rsidR="00612B56" w:rsidRPr="00110009">
        <w:rPr>
          <w:spacing w:val="-2"/>
          <w:lang w:val="pl-PL"/>
        </w:rPr>
        <w:t xml:space="preserve"> </w:t>
      </w:r>
      <w:r w:rsidR="00612B56" w:rsidRPr="00110009">
        <w:rPr>
          <w:lang w:val="pl-PL"/>
        </w:rPr>
        <w:t>szükséges</w:t>
      </w:r>
      <w:r w:rsidR="00612B56" w:rsidRPr="00110009">
        <w:rPr>
          <w:spacing w:val="-2"/>
          <w:lang w:val="pl-PL"/>
        </w:rPr>
        <w:t xml:space="preserve"> </w:t>
      </w:r>
      <w:r w:rsidR="00612B56" w:rsidRPr="00110009">
        <w:rPr>
          <w:lang w:val="pl-PL"/>
        </w:rPr>
        <w:t>képességekre</w:t>
      </w:r>
    </w:p>
    <w:p w14:paraId="3E75186E" w14:textId="77777777" w:rsidR="00F5603F" w:rsidRPr="00110009" w:rsidRDefault="00F5603F" w:rsidP="009106D9">
      <w:pPr>
        <w:rPr>
          <w:rFonts w:ascii="Times New Roman" w:eastAsia="Times New Roman" w:hAnsi="Times New Roman" w:cs="Times New Roman"/>
          <w:b/>
          <w:bCs/>
          <w:lang w:val="pl-PL"/>
        </w:rPr>
      </w:pPr>
    </w:p>
    <w:p w14:paraId="3122654A" w14:textId="34157E88" w:rsidR="00F5603F" w:rsidRPr="00110009" w:rsidRDefault="00574159" w:rsidP="00574159">
      <w:pPr>
        <w:pStyle w:val="Szvegtrzs"/>
        <w:ind w:left="0"/>
        <w:rPr>
          <w:rFonts w:cs="Times New Roman"/>
          <w:lang w:val="pl-PL"/>
        </w:rPr>
      </w:pPr>
      <w:r w:rsidRPr="00110009">
        <w:rPr>
          <w:rFonts w:cs="Times New Roman"/>
          <w:lang w:val="pl-PL"/>
        </w:rPr>
        <w:t>A nintedanib kismértékben befolyásolja a gépjárművezetéshez és a gépek kezeléséhez szükséges</w:t>
      </w:r>
      <w:r w:rsidR="003C044C" w:rsidRPr="00110009">
        <w:rPr>
          <w:rFonts w:cs="Times New Roman"/>
          <w:lang w:val="pl-PL"/>
        </w:rPr>
        <w:t xml:space="preserve"> </w:t>
      </w:r>
      <w:r w:rsidRPr="00110009">
        <w:rPr>
          <w:rFonts w:cs="Times New Roman"/>
          <w:lang w:val="pl-PL"/>
        </w:rPr>
        <w:t>képességeket. Fel kell hívni a betegek figyelmét, hogy legyenek óvatosak, ha a nintedanib-kezelés alatt gépjárművet vezetnek vagy gépeket kezelnek.</w:t>
      </w:r>
      <w:r w:rsidRPr="00110009">
        <w:rPr>
          <w:rFonts w:cs="Times New Roman"/>
          <w:lang w:val="pl-PL"/>
        </w:rPr>
        <w:cr/>
      </w:r>
    </w:p>
    <w:p w14:paraId="0F9488B3" w14:textId="656F918D" w:rsidR="00F5603F" w:rsidRPr="00110009" w:rsidRDefault="009106D9" w:rsidP="009106D9">
      <w:pPr>
        <w:pStyle w:val="Cmsor1"/>
        <w:rPr>
          <w:bCs/>
          <w:lang w:val="pl-PL"/>
        </w:rPr>
      </w:pPr>
      <w:r w:rsidRPr="00110009">
        <w:rPr>
          <w:lang w:val="pl-PL"/>
        </w:rPr>
        <w:t>4.8</w:t>
      </w:r>
      <w:r w:rsidRPr="00110009">
        <w:rPr>
          <w:lang w:val="pl-PL"/>
        </w:rPr>
        <w:tab/>
      </w:r>
      <w:r w:rsidR="00612B56" w:rsidRPr="00110009">
        <w:rPr>
          <w:lang w:val="pl-PL"/>
        </w:rPr>
        <w:t>Nemkívánatos hatások,</w:t>
      </w:r>
      <w:r w:rsidR="00612B56" w:rsidRPr="00110009">
        <w:rPr>
          <w:spacing w:val="-2"/>
          <w:lang w:val="pl-PL"/>
        </w:rPr>
        <w:t xml:space="preserve"> </w:t>
      </w:r>
      <w:r w:rsidR="00612B56" w:rsidRPr="00110009">
        <w:rPr>
          <w:lang w:val="pl-PL"/>
        </w:rPr>
        <w:t>mellékhatások</w:t>
      </w:r>
    </w:p>
    <w:p w14:paraId="504CF313" w14:textId="77777777" w:rsidR="00F5603F" w:rsidRPr="00110009" w:rsidRDefault="00F5603F" w:rsidP="009106D9">
      <w:pPr>
        <w:rPr>
          <w:rFonts w:ascii="Times New Roman" w:eastAsia="Times New Roman" w:hAnsi="Times New Roman" w:cs="Times New Roman"/>
          <w:b/>
          <w:bCs/>
          <w:lang w:val="pl-PL"/>
        </w:rPr>
      </w:pPr>
    </w:p>
    <w:p w14:paraId="3315F4A6" w14:textId="77777777" w:rsidR="00F5603F" w:rsidRPr="00110009" w:rsidRDefault="00612B56" w:rsidP="009106D9">
      <w:pPr>
        <w:pStyle w:val="Szvegtrzs"/>
        <w:ind w:left="0"/>
        <w:rPr>
          <w:rFonts w:cs="Times New Roman"/>
          <w:lang w:val="pl-PL"/>
        </w:rPr>
      </w:pPr>
      <w:r w:rsidRPr="00110009">
        <w:rPr>
          <w:rFonts w:cs="Times New Roman"/>
          <w:u w:val="single" w:color="000000"/>
          <w:lang w:val="pl-PL"/>
        </w:rPr>
        <w:t>A</w:t>
      </w:r>
      <w:r w:rsidRPr="00110009">
        <w:rPr>
          <w:rFonts w:cs="Times New Roman"/>
          <w:spacing w:val="-2"/>
          <w:u w:val="single" w:color="000000"/>
          <w:lang w:val="pl-PL"/>
        </w:rPr>
        <w:t xml:space="preserve"> </w:t>
      </w:r>
      <w:r w:rsidRPr="00110009">
        <w:rPr>
          <w:rFonts w:cs="Times New Roman"/>
          <w:spacing w:val="-1"/>
          <w:u w:val="single" w:color="000000"/>
          <w:lang w:val="pl-PL"/>
        </w:rPr>
        <w:t>biztonságossági</w:t>
      </w:r>
      <w:r w:rsidRPr="00110009">
        <w:rPr>
          <w:rFonts w:cs="Times New Roman"/>
          <w:spacing w:val="-2"/>
          <w:u w:val="single" w:color="000000"/>
          <w:lang w:val="pl-PL"/>
        </w:rPr>
        <w:t xml:space="preserve"> </w:t>
      </w:r>
      <w:r w:rsidRPr="00110009">
        <w:rPr>
          <w:rFonts w:cs="Times New Roman"/>
          <w:spacing w:val="-1"/>
          <w:u w:val="single" w:color="000000"/>
          <w:lang w:val="pl-PL"/>
        </w:rPr>
        <w:t>profil</w:t>
      </w:r>
      <w:r w:rsidRPr="00110009">
        <w:rPr>
          <w:rFonts w:cs="Times New Roman"/>
          <w:u w:val="single" w:color="000000"/>
          <w:lang w:val="pl-PL"/>
        </w:rPr>
        <w:t xml:space="preserve"> </w:t>
      </w:r>
      <w:r w:rsidRPr="00110009">
        <w:rPr>
          <w:rFonts w:cs="Times New Roman"/>
          <w:spacing w:val="-1"/>
          <w:u w:val="single" w:color="000000"/>
          <w:lang w:val="pl-PL"/>
        </w:rPr>
        <w:t>összefoglalása</w:t>
      </w:r>
    </w:p>
    <w:p w14:paraId="66B2439C" w14:textId="67D96064" w:rsidR="000950F6" w:rsidRPr="00110009" w:rsidRDefault="000950F6" w:rsidP="000950F6">
      <w:pPr>
        <w:pStyle w:val="Szvegtrzs"/>
        <w:ind w:left="0"/>
        <w:rPr>
          <w:rFonts w:cs="Times New Roman"/>
          <w:lang w:val="pl-PL"/>
        </w:rPr>
      </w:pPr>
      <w:r w:rsidRPr="00110009">
        <w:rPr>
          <w:rFonts w:cs="Times New Roman"/>
          <w:lang w:val="pl-PL"/>
        </w:rPr>
        <w:t>A klinikai vizsgálatokban és a forgalomba hozatalt követően a nintedanib alkalmazásával járó,</w:t>
      </w:r>
      <w:r w:rsidR="003C044C" w:rsidRPr="00110009">
        <w:rPr>
          <w:rFonts w:cs="Times New Roman"/>
          <w:lang w:val="pl-PL"/>
        </w:rPr>
        <w:t xml:space="preserve"> </w:t>
      </w:r>
      <w:r w:rsidRPr="00110009">
        <w:rPr>
          <w:rFonts w:cs="Times New Roman"/>
          <w:lang w:val="pl-PL"/>
        </w:rPr>
        <w:t>leggyakrabban jelentett mellékhatások közé tartozott a hasmenés, a hányinger és a hányás, a hasi</w:t>
      </w:r>
      <w:r w:rsidR="00E82C47" w:rsidRPr="00110009">
        <w:rPr>
          <w:rFonts w:cs="Times New Roman"/>
          <w:lang w:val="pl-PL"/>
        </w:rPr>
        <w:t xml:space="preserve"> </w:t>
      </w:r>
      <w:r w:rsidRPr="00110009">
        <w:rPr>
          <w:rFonts w:cs="Times New Roman"/>
          <w:lang w:val="pl-PL"/>
        </w:rPr>
        <w:t>fájdalom, a csökkent étvágy, a testtömegcsökkenés és a májenzimszintek emelkedése.</w:t>
      </w:r>
    </w:p>
    <w:p w14:paraId="0830D084" w14:textId="1953C262" w:rsidR="000950F6" w:rsidRPr="00110009" w:rsidRDefault="000950F6" w:rsidP="000950F6">
      <w:pPr>
        <w:pStyle w:val="Szvegtrzs"/>
        <w:ind w:left="0"/>
        <w:rPr>
          <w:rFonts w:cs="Times New Roman"/>
          <w:lang w:val="pl-PL"/>
        </w:rPr>
      </w:pPr>
      <w:r w:rsidRPr="00110009">
        <w:rPr>
          <w:rFonts w:cs="Times New Roman"/>
          <w:lang w:val="pl-PL"/>
        </w:rPr>
        <w:t>A kiválasztott mellékhatások ellátását illetően lásd a 4.4</w:t>
      </w:r>
      <w:r w:rsidR="004710C6">
        <w:rPr>
          <w:rFonts w:cs="Times New Roman"/>
          <w:lang w:val="pl-PL"/>
        </w:rPr>
        <w:t> </w:t>
      </w:r>
      <w:r w:rsidRPr="00110009">
        <w:rPr>
          <w:rFonts w:cs="Times New Roman"/>
          <w:lang w:val="pl-PL"/>
        </w:rPr>
        <w:t>pontot</w:t>
      </w:r>
      <w:r w:rsidR="006F3A6A">
        <w:rPr>
          <w:rFonts w:cs="Times New Roman"/>
          <w:lang w:val="pl-PL"/>
        </w:rPr>
        <w:t>.</w:t>
      </w:r>
    </w:p>
    <w:p w14:paraId="720655FF" w14:textId="77777777" w:rsidR="000950F6" w:rsidRPr="00110009" w:rsidRDefault="000950F6" w:rsidP="000950F6">
      <w:pPr>
        <w:pStyle w:val="Szvegtrzs"/>
        <w:ind w:left="0"/>
        <w:rPr>
          <w:rFonts w:cs="Times New Roman"/>
          <w:lang w:val="pl-PL"/>
        </w:rPr>
      </w:pPr>
    </w:p>
    <w:p w14:paraId="2E1BE233" w14:textId="77777777" w:rsidR="00F5603F" w:rsidRPr="00110009" w:rsidRDefault="00F5603F" w:rsidP="009106D9">
      <w:pPr>
        <w:rPr>
          <w:rFonts w:ascii="Times New Roman" w:eastAsia="Times New Roman" w:hAnsi="Times New Roman" w:cs="Times New Roman"/>
          <w:lang w:val="pl-PL"/>
        </w:rPr>
      </w:pPr>
    </w:p>
    <w:p w14:paraId="7EC19691" w14:textId="77777777" w:rsidR="00F5603F" w:rsidRPr="00110009" w:rsidRDefault="00612B56" w:rsidP="009106D9">
      <w:pPr>
        <w:pStyle w:val="Szvegtrzs"/>
        <w:ind w:left="0"/>
        <w:rPr>
          <w:rFonts w:cs="Times New Roman"/>
          <w:spacing w:val="-1"/>
          <w:u w:val="single" w:color="000000"/>
          <w:lang w:val="pl-PL"/>
        </w:rPr>
      </w:pPr>
      <w:r w:rsidRPr="00110009">
        <w:rPr>
          <w:rFonts w:cs="Times New Roman"/>
          <w:u w:val="single" w:color="000000"/>
          <w:lang w:val="pl-PL"/>
        </w:rPr>
        <w:t>A</w:t>
      </w:r>
      <w:r w:rsidRPr="00110009">
        <w:rPr>
          <w:rFonts w:cs="Times New Roman"/>
          <w:spacing w:val="-2"/>
          <w:u w:val="single" w:color="000000"/>
          <w:lang w:val="pl-PL"/>
        </w:rPr>
        <w:t xml:space="preserve"> </w:t>
      </w:r>
      <w:r w:rsidRPr="00110009">
        <w:rPr>
          <w:rFonts w:cs="Times New Roman"/>
          <w:spacing w:val="-1"/>
          <w:u w:val="single" w:color="000000"/>
          <w:lang w:val="pl-PL"/>
        </w:rPr>
        <w:t>mellékhatások</w:t>
      </w:r>
      <w:r w:rsidRPr="00110009">
        <w:rPr>
          <w:rFonts w:cs="Times New Roman"/>
          <w:spacing w:val="-3"/>
          <w:u w:val="single" w:color="000000"/>
          <w:lang w:val="pl-PL"/>
        </w:rPr>
        <w:t xml:space="preserve"> </w:t>
      </w:r>
      <w:r w:rsidRPr="00110009">
        <w:rPr>
          <w:rFonts w:cs="Times New Roman"/>
          <w:spacing w:val="-1"/>
          <w:u w:val="single" w:color="000000"/>
          <w:lang w:val="pl-PL"/>
        </w:rPr>
        <w:t>táblázatos</w:t>
      </w:r>
      <w:r w:rsidRPr="00110009">
        <w:rPr>
          <w:rFonts w:cs="Times New Roman"/>
          <w:spacing w:val="-2"/>
          <w:u w:val="single" w:color="000000"/>
          <w:lang w:val="pl-PL"/>
        </w:rPr>
        <w:t xml:space="preserve"> </w:t>
      </w:r>
      <w:r w:rsidRPr="00110009">
        <w:rPr>
          <w:rFonts w:cs="Times New Roman"/>
          <w:spacing w:val="-1"/>
          <w:u w:val="single" w:color="000000"/>
          <w:lang w:val="pl-PL"/>
        </w:rPr>
        <w:t>felsorolása</w:t>
      </w:r>
    </w:p>
    <w:p w14:paraId="1ACB20C5" w14:textId="317141C6" w:rsidR="000950F6" w:rsidRPr="00110009" w:rsidRDefault="000950F6" w:rsidP="000950F6">
      <w:pPr>
        <w:pStyle w:val="Szvegtrzs"/>
        <w:ind w:left="0"/>
        <w:rPr>
          <w:rFonts w:cs="Times New Roman"/>
          <w:lang w:val="pl-PL"/>
        </w:rPr>
      </w:pPr>
      <w:r w:rsidRPr="00110009">
        <w:rPr>
          <w:rFonts w:cs="Times New Roman"/>
          <w:lang w:val="pl-PL"/>
        </w:rPr>
        <w:t xml:space="preserve">A </w:t>
      </w:r>
      <w:r w:rsidR="00663E40">
        <w:rPr>
          <w:rFonts w:cs="Times New Roman"/>
          <w:lang w:val="pl-PL"/>
        </w:rPr>
        <w:t>2</w:t>
      </w:r>
      <w:r w:rsidRPr="00110009">
        <w:rPr>
          <w:rFonts w:cs="Times New Roman"/>
          <w:lang w:val="pl-PL"/>
        </w:rPr>
        <w:t>.</w:t>
      </w:r>
      <w:r w:rsidR="00104624">
        <w:rPr>
          <w:rFonts w:cs="Times New Roman"/>
          <w:lang w:val="pl-PL"/>
        </w:rPr>
        <w:t> </w:t>
      </w:r>
      <w:r w:rsidRPr="00110009">
        <w:rPr>
          <w:rFonts w:cs="Times New Roman"/>
          <w:lang w:val="pl-PL"/>
        </w:rPr>
        <w:t>táblázat adja meg a mellékhatások MedDRA szervrendszerenkénti (Szervrendszer – SOC)</w:t>
      </w:r>
      <w:r w:rsidR="00E82C47" w:rsidRPr="00110009">
        <w:rPr>
          <w:rFonts w:cs="Times New Roman"/>
          <w:lang w:val="pl-PL"/>
        </w:rPr>
        <w:t xml:space="preserve"> </w:t>
      </w:r>
      <w:r w:rsidRPr="00110009">
        <w:rPr>
          <w:rFonts w:cs="Times New Roman"/>
          <w:lang w:val="pl-PL"/>
        </w:rPr>
        <w:t>összefoglalását és a gyakorisági kategóriákat az alábbi konvenció alapján:</w:t>
      </w:r>
    </w:p>
    <w:p w14:paraId="1745EE94" w14:textId="56D49C82" w:rsidR="000950F6" w:rsidRPr="00110009" w:rsidRDefault="000950F6" w:rsidP="000950F6">
      <w:pPr>
        <w:pStyle w:val="Szvegtrzs"/>
        <w:ind w:left="0"/>
        <w:rPr>
          <w:rFonts w:cs="Times New Roman"/>
          <w:lang w:val="pl-PL"/>
        </w:rPr>
      </w:pPr>
      <w:r w:rsidRPr="00110009">
        <w:rPr>
          <w:rFonts w:cs="Times New Roman"/>
          <w:lang w:val="pl-PL"/>
        </w:rPr>
        <w:t>nagyon gyakori (≥</w:t>
      </w:r>
      <w:r w:rsidR="006F3A6A">
        <w:rPr>
          <w:rFonts w:cs="Times New Roman"/>
          <w:lang w:val="pl-PL"/>
        </w:rPr>
        <w:t> </w:t>
      </w:r>
      <w:r w:rsidRPr="00110009">
        <w:rPr>
          <w:rFonts w:cs="Times New Roman"/>
          <w:lang w:val="pl-PL"/>
        </w:rPr>
        <w:t>1/10); gyakori (≥</w:t>
      </w:r>
      <w:r w:rsidR="00242B40">
        <w:rPr>
          <w:rFonts w:cs="Times New Roman"/>
          <w:lang w:val="pl-PL"/>
        </w:rPr>
        <w:t> </w:t>
      </w:r>
      <w:r w:rsidRPr="00110009">
        <w:rPr>
          <w:rFonts w:cs="Times New Roman"/>
          <w:lang w:val="pl-PL"/>
        </w:rPr>
        <w:t>1/100 – &lt;</w:t>
      </w:r>
      <w:r w:rsidR="00242B40">
        <w:rPr>
          <w:rFonts w:cs="Times New Roman"/>
          <w:lang w:val="pl-PL"/>
        </w:rPr>
        <w:t> </w:t>
      </w:r>
      <w:r w:rsidRPr="00110009">
        <w:rPr>
          <w:rFonts w:cs="Times New Roman"/>
          <w:lang w:val="pl-PL"/>
        </w:rPr>
        <w:t>1/10); nem gyakori (≥</w:t>
      </w:r>
      <w:r w:rsidR="00242B40">
        <w:rPr>
          <w:rFonts w:cs="Times New Roman"/>
          <w:lang w:val="pl-PL"/>
        </w:rPr>
        <w:t> </w:t>
      </w:r>
      <w:r w:rsidRPr="00110009">
        <w:rPr>
          <w:rFonts w:cs="Times New Roman"/>
          <w:lang w:val="pl-PL"/>
        </w:rPr>
        <w:t>1/1000 – &lt;</w:t>
      </w:r>
      <w:r w:rsidR="00242B40">
        <w:rPr>
          <w:rFonts w:cs="Times New Roman"/>
          <w:lang w:val="pl-PL"/>
        </w:rPr>
        <w:t> </w:t>
      </w:r>
      <w:r w:rsidRPr="00110009">
        <w:rPr>
          <w:rFonts w:cs="Times New Roman"/>
          <w:lang w:val="pl-PL"/>
        </w:rPr>
        <w:t>1/100); ritka</w:t>
      </w:r>
      <w:r w:rsidR="00E82C47" w:rsidRPr="00110009">
        <w:rPr>
          <w:rFonts w:cs="Times New Roman"/>
          <w:lang w:val="pl-PL"/>
        </w:rPr>
        <w:t xml:space="preserve"> </w:t>
      </w:r>
      <w:r w:rsidRPr="00110009">
        <w:rPr>
          <w:rFonts w:cs="Times New Roman"/>
          <w:lang w:val="pl-PL"/>
        </w:rPr>
        <w:t>(≥</w:t>
      </w:r>
      <w:r w:rsidR="006D6F3E">
        <w:rPr>
          <w:rFonts w:cs="Times New Roman"/>
          <w:lang w:val="pl-PL"/>
        </w:rPr>
        <w:t> </w:t>
      </w:r>
      <w:r w:rsidRPr="00110009">
        <w:rPr>
          <w:rFonts w:cs="Times New Roman"/>
          <w:lang w:val="pl-PL"/>
        </w:rPr>
        <w:t>1/10</w:t>
      </w:r>
      <w:r w:rsidR="006D6F3E">
        <w:rPr>
          <w:rFonts w:cs="Times New Roman"/>
          <w:lang w:val="pl-PL"/>
        </w:rPr>
        <w:t> </w:t>
      </w:r>
      <w:r w:rsidRPr="00110009">
        <w:rPr>
          <w:rFonts w:cs="Times New Roman"/>
          <w:lang w:val="pl-PL"/>
        </w:rPr>
        <w:t>000 – &lt;</w:t>
      </w:r>
      <w:r w:rsidR="00242B40">
        <w:rPr>
          <w:rFonts w:cs="Times New Roman"/>
          <w:lang w:val="pl-PL"/>
        </w:rPr>
        <w:t> </w:t>
      </w:r>
      <w:r w:rsidRPr="00110009">
        <w:rPr>
          <w:rFonts w:cs="Times New Roman"/>
          <w:lang w:val="pl-PL"/>
        </w:rPr>
        <w:t>1/1000); nagyon ritka (&lt;</w:t>
      </w:r>
      <w:r w:rsidR="00104624">
        <w:rPr>
          <w:rFonts w:cs="Times New Roman"/>
          <w:lang w:val="pl-PL"/>
        </w:rPr>
        <w:t> </w:t>
      </w:r>
      <w:r w:rsidRPr="00110009">
        <w:rPr>
          <w:rFonts w:cs="Times New Roman"/>
          <w:lang w:val="pl-PL"/>
        </w:rPr>
        <w:t>1/10</w:t>
      </w:r>
      <w:r w:rsidR="00FF4B00">
        <w:rPr>
          <w:rFonts w:cs="Times New Roman"/>
          <w:lang w:val="pl-PL"/>
        </w:rPr>
        <w:t> </w:t>
      </w:r>
      <w:r w:rsidRPr="00110009">
        <w:rPr>
          <w:rFonts w:cs="Times New Roman"/>
          <w:lang w:val="pl-PL"/>
        </w:rPr>
        <w:t>000), nem ismert (a gyakoriság a rendelkezésre álló</w:t>
      </w:r>
      <w:r w:rsidR="00E82C47" w:rsidRPr="00110009">
        <w:rPr>
          <w:rFonts w:cs="Times New Roman"/>
          <w:lang w:val="pl-PL"/>
        </w:rPr>
        <w:t xml:space="preserve"> </w:t>
      </w:r>
      <w:r w:rsidRPr="00110009">
        <w:rPr>
          <w:rFonts w:cs="Times New Roman"/>
          <w:lang w:val="pl-PL"/>
        </w:rPr>
        <w:t>adatokból nem állapítható meg).</w:t>
      </w:r>
    </w:p>
    <w:p w14:paraId="26FB8558" w14:textId="77777777" w:rsidR="008D7715" w:rsidRPr="00110009" w:rsidRDefault="008D7715" w:rsidP="000950F6">
      <w:pPr>
        <w:pStyle w:val="Szvegtrzs"/>
        <w:ind w:left="0"/>
        <w:rPr>
          <w:rFonts w:cs="Times New Roman"/>
          <w:lang w:val="pl-PL"/>
        </w:rPr>
      </w:pPr>
    </w:p>
    <w:p w14:paraId="7E8BBDF3" w14:textId="21CC624B" w:rsidR="000950F6" w:rsidRPr="00110009" w:rsidRDefault="00A62E43" w:rsidP="00300950">
      <w:pPr>
        <w:pStyle w:val="Szvegtrzs"/>
        <w:ind w:left="360"/>
        <w:rPr>
          <w:rFonts w:cs="Times New Roman"/>
          <w:b/>
          <w:bCs/>
          <w:lang w:val="pl-PL"/>
        </w:rPr>
      </w:pPr>
      <w:r>
        <w:rPr>
          <w:rFonts w:cs="Times New Roman"/>
          <w:b/>
          <w:bCs/>
          <w:lang w:val="pl-PL"/>
        </w:rPr>
        <w:t xml:space="preserve">2. </w:t>
      </w:r>
      <w:r w:rsidR="000950F6" w:rsidRPr="00110009">
        <w:rPr>
          <w:rFonts w:cs="Times New Roman"/>
          <w:b/>
          <w:bCs/>
          <w:lang w:val="pl-PL"/>
        </w:rPr>
        <w:t>táblázat: A mellékhatások összefoglalása gyakorisági kategóriánként</w:t>
      </w:r>
    </w:p>
    <w:tbl>
      <w:tblPr>
        <w:tblW w:w="9095" w:type="dxa"/>
        <w:tblInd w:w="114" w:type="dxa"/>
        <w:tblLayout w:type="fixed"/>
        <w:tblCellMar>
          <w:left w:w="0" w:type="dxa"/>
          <w:right w:w="0" w:type="dxa"/>
        </w:tblCellMar>
        <w:tblLook w:val="0000" w:firstRow="0" w:lastRow="0" w:firstColumn="0" w:lastColumn="0" w:noHBand="0" w:noVBand="0"/>
      </w:tblPr>
      <w:tblGrid>
        <w:gridCol w:w="2433"/>
        <w:gridCol w:w="2268"/>
        <w:gridCol w:w="2303"/>
        <w:gridCol w:w="2091"/>
      </w:tblGrid>
      <w:tr w:rsidR="000950F6" w:rsidRPr="000950F6" w14:paraId="1A8984DE" w14:textId="77777777" w:rsidTr="00E0772D">
        <w:trPr>
          <w:trHeight w:hRule="exact" w:val="314"/>
          <w:tblHeader/>
        </w:trPr>
        <w:tc>
          <w:tcPr>
            <w:tcW w:w="2433" w:type="dxa"/>
            <w:tcBorders>
              <w:top w:val="single" w:sz="4" w:space="0" w:color="000000"/>
              <w:left w:val="single" w:sz="4" w:space="0" w:color="000000"/>
              <w:bottom w:val="single" w:sz="4" w:space="0" w:color="000000"/>
              <w:right w:val="single" w:sz="4" w:space="0" w:color="000000"/>
            </w:tcBorders>
          </w:tcPr>
          <w:p w14:paraId="5101C4CE" w14:textId="77777777" w:rsidR="000950F6" w:rsidRPr="00110009" w:rsidRDefault="000950F6" w:rsidP="008D7715">
            <w:pPr>
              <w:pStyle w:val="Szvegtrzs"/>
              <w:ind w:left="0"/>
              <w:rPr>
                <w:rFonts w:cs="Times New Roman"/>
                <w:b/>
                <w:bCs/>
                <w:lang w:val="pl-PL"/>
              </w:rPr>
            </w:pPr>
          </w:p>
        </w:tc>
        <w:tc>
          <w:tcPr>
            <w:tcW w:w="6662" w:type="dxa"/>
            <w:gridSpan w:val="3"/>
            <w:tcBorders>
              <w:top w:val="single" w:sz="4" w:space="0" w:color="000000"/>
              <w:left w:val="single" w:sz="4" w:space="0" w:color="000000"/>
              <w:bottom w:val="single" w:sz="4" w:space="0" w:color="000000"/>
              <w:right w:val="single" w:sz="4" w:space="0" w:color="000000"/>
            </w:tcBorders>
          </w:tcPr>
          <w:p w14:paraId="4BE7E6AE" w14:textId="582DDAE1" w:rsidR="000950F6" w:rsidRPr="000950F6" w:rsidRDefault="000950F6" w:rsidP="000950F6">
            <w:pPr>
              <w:pStyle w:val="Szvegtrzs"/>
              <w:ind w:left="0"/>
              <w:jc w:val="center"/>
              <w:rPr>
                <w:rFonts w:cs="Times New Roman"/>
                <w:b/>
                <w:bCs/>
                <w:lang w:val="en-GB"/>
              </w:rPr>
            </w:pPr>
            <w:r>
              <w:rPr>
                <w:rFonts w:cs="Times New Roman"/>
                <w:b/>
                <w:bCs/>
                <w:lang w:val="en-GB"/>
              </w:rPr>
              <w:t>Gyakoriság</w:t>
            </w:r>
          </w:p>
        </w:tc>
      </w:tr>
      <w:tr w:rsidR="000950F6" w:rsidRPr="000950F6" w14:paraId="3C9FB07E" w14:textId="77777777" w:rsidTr="00E0772D">
        <w:trPr>
          <w:trHeight w:hRule="exact" w:val="1141"/>
          <w:tblHeader/>
        </w:trPr>
        <w:tc>
          <w:tcPr>
            <w:tcW w:w="2433" w:type="dxa"/>
            <w:tcBorders>
              <w:top w:val="single" w:sz="4" w:space="0" w:color="000000"/>
              <w:left w:val="single" w:sz="4" w:space="0" w:color="000000"/>
              <w:bottom w:val="single" w:sz="4" w:space="0" w:color="000000"/>
              <w:right w:val="single" w:sz="4" w:space="0" w:color="000000"/>
            </w:tcBorders>
            <w:vAlign w:val="center"/>
          </w:tcPr>
          <w:p w14:paraId="4260285C" w14:textId="62907CF1" w:rsidR="000950F6" w:rsidRDefault="000950F6" w:rsidP="008D7715">
            <w:pPr>
              <w:pStyle w:val="Szvegtrzs"/>
              <w:jc w:val="center"/>
              <w:rPr>
                <w:rFonts w:cs="Times New Roman"/>
                <w:b/>
                <w:bCs/>
                <w:lang w:val="en-GB"/>
              </w:rPr>
            </w:pPr>
            <w:r w:rsidRPr="000950F6">
              <w:rPr>
                <w:rFonts w:cs="Times New Roman"/>
                <w:b/>
                <w:bCs/>
                <w:lang w:val="en-GB"/>
              </w:rPr>
              <w:t>Szervrendszer</w:t>
            </w:r>
            <w:r w:rsidR="006D6F3E">
              <w:rPr>
                <w:rFonts w:cs="Times New Roman"/>
                <w:b/>
                <w:bCs/>
                <w:lang w:val="en-GB"/>
              </w:rPr>
              <w:t>enkénti</w:t>
            </w:r>
          </w:p>
          <w:p w14:paraId="5C160496" w14:textId="6AA36042" w:rsidR="006D6F3E" w:rsidRPr="000950F6" w:rsidRDefault="006D6F3E" w:rsidP="008D7715">
            <w:pPr>
              <w:pStyle w:val="Szvegtrzs"/>
              <w:jc w:val="center"/>
              <w:rPr>
                <w:rFonts w:cs="Times New Roman"/>
                <w:b/>
                <w:bCs/>
                <w:lang w:val="en-GB"/>
              </w:rPr>
            </w:pPr>
            <w:r>
              <w:rPr>
                <w:rFonts w:cs="Times New Roman"/>
                <w:b/>
                <w:bCs/>
                <w:lang w:val="en-GB"/>
              </w:rPr>
              <w:t>besorolás</w:t>
            </w:r>
          </w:p>
          <w:p w14:paraId="2959F2C2" w14:textId="7DF91AD9" w:rsidR="000950F6" w:rsidRPr="000950F6" w:rsidRDefault="000950F6" w:rsidP="008D7715">
            <w:pPr>
              <w:pStyle w:val="Szvegtrzs"/>
              <w:ind w:left="0"/>
              <w:jc w:val="center"/>
              <w:rPr>
                <w:rFonts w:cs="Times New Roman"/>
                <w:lang w:val="en-GB"/>
              </w:rPr>
            </w:pPr>
            <w:r w:rsidRPr="000950F6">
              <w:rPr>
                <w:rFonts w:cs="Times New Roman"/>
                <w:lang w:val="en-GB"/>
              </w:rPr>
              <w:t>előnyben részesített kifejezés</w:t>
            </w:r>
          </w:p>
        </w:tc>
        <w:tc>
          <w:tcPr>
            <w:tcW w:w="2268" w:type="dxa"/>
            <w:tcBorders>
              <w:top w:val="single" w:sz="4" w:space="0" w:color="000000"/>
              <w:left w:val="single" w:sz="4" w:space="0" w:color="000000"/>
              <w:bottom w:val="single" w:sz="4" w:space="0" w:color="000000"/>
              <w:right w:val="single" w:sz="4" w:space="0" w:color="000000"/>
            </w:tcBorders>
            <w:vAlign w:val="center"/>
          </w:tcPr>
          <w:p w14:paraId="09E5F403" w14:textId="77777777" w:rsidR="008D7715" w:rsidRPr="008D7715" w:rsidRDefault="008D7715" w:rsidP="008D7715">
            <w:pPr>
              <w:pStyle w:val="Szvegtrzs"/>
              <w:jc w:val="center"/>
              <w:rPr>
                <w:rFonts w:cs="Times New Roman"/>
                <w:b/>
                <w:bCs/>
                <w:lang w:val="en-GB"/>
              </w:rPr>
            </w:pPr>
            <w:r w:rsidRPr="008D7715">
              <w:rPr>
                <w:rFonts w:cs="Times New Roman"/>
                <w:b/>
                <w:bCs/>
                <w:lang w:val="en-GB"/>
              </w:rPr>
              <w:t>Idiopathiás</w:t>
            </w:r>
          </w:p>
          <w:p w14:paraId="7AC2D56A" w14:textId="3584FFCB" w:rsidR="000950F6" w:rsidRPr="000950F6" w:rsidRDefault="008D7715" w:rsidP="008D7715">
            <w:pPr>
              <w:pStyle w:val="Szvegtrzs"/>
              <w:ind w:left="0"/>
              <w:jc w:val="center"/>
              <w:rPr>
                <w:rFonts w:cs="Times New Roman"/>
                <w:b/>
                <w:bCs/>
                <w:lang w:val="en-GB"/>
              </w:rPr>
            </w:pPr>
            <w:r w:rsidRPr="008D7715">
              <w:rPr>
                <w:rFonts w:cs="Times New Roman"/>
                <w:b/>
                <w:bCs/>
                <w:lang w:val="en-GB"/>
              </w:rPr>
              <w:t>pulmon</w:t>
            </w:r>
            <w:r w:rsidR="006D6F3E">
              <w:rPr>
                <w:rFonts w:cs="Times New Roman"/>
                <w:b/>
                <w:bCs/>
                <w:lang w:val="en-GB"/>
              </w:rPr>
              <w:t>á</w:t>
            </w:r>
            <w:r w:rsidRPr="008D7715">
              <w:rPr>
                <w:rFonts w:cs="Times New Roman"/>
                <w:b/>
                <w:bCs/>
                <w:lang w:val="en-GB"/>
              </w:rPr>
              <w:t>lis fibrózis</w:t>
            </w:r>
          </w:p>
        </w:tc>
        <w:tc>
          <w:tcPr>
            <w:tcW w:w="2303" w:type="dxa"/>
            <w:tcBorders>
              <w:top w:val="single" w:sz="4" w:space="0" w:color="000000"/>
              <w:left w:val="single" w:sz="4" w:space="0" w:color="000000"/>
              <w:bottom w:val="single" w:sz="4" w:space="0" w:color="000000"/>
              <w:right w:val="single" w:sz="4" w:space="0" w:color="000000"/>
            </w:tcBorders>
            <w:vAlign w:val="center"/>
          </w:tcPr>
          <w:p w14:paraId="06A99401" w14:textId="595300AB" w:rsidR="008D7715" w:rsidRPr="008D7715" w:rsidRDefault="008D7715" w:rsidP="008D7715">
            <w:pPr>
              <w:pStyle w:val="Szvegtrzs"/>
              <w:jc w:val="center"/>
              <w:rPr>
                <w:rFonts w:cs="Times New Roman"/>
                <w:b/>
                <w:bCs/>
                <w:lang w:val="en-GB"/>
              </w:rPr>
            </w:pPr>
            <w:r w:rsidRPr="008D7715">
              <w:rPr>
                <w:rFonts w:cs="Times New Roman"/>
                <w:b/>
                <w:bCs/>
                <w:lang w:val="en-GB"/>
              </w:rPr>
              <w:t>Egyéb,</w:t>
            </w:r>
            <w:r>
              <w:rPr>
                <w:rFonts w:cs="Times New Roman"/>
                <w:b/>
                <w:bCs/>
                <w:lang w:val="en-GB"/>
              </w:rPr>
              <w:t xml:space="preserve"> </w:t>
            </w:r>
            <w:r w:rsidRPr="008D7715">
              <w:rPr>
                <w:rFonts w:cs="Times New Roman"/>
                <w:b/>
                <w:bCs/>
                <w:lang w:val="en-GB"/>
              </w:rPr>
              <w:t>progresszív</w:t>
            </w:r>
          </w:p>
          <w:p w14:paraId="32AD594D" w14:textId="36199B3B" w:rsidR="008D7715" w:rsidRPr="008D7715" w:rsidRDefault="008D7715" w:rsidP="008D7715">
            <w:pPr>
              <w:pStyle w:val="Szvegtrzs"/>
              <w:jc w:val="center"/>
              <w:rPr>
                <w:rFonts w:cs="Times New Roman"/>
                <w:b/>
                <w:bCs/>
                <w:lang w:val="en-GB"/>
              </w:rPr>
            </w:pPr>
            <w:r w:rsidRPr="008D7715">
              <w:rPr>
                <w:rFonts w:cs="Times New Roman"/>
                <w:b/>
                <w:bCs/>
                <w:lang w:val="en-GB"/>
              </w:rPr>
              <w:t>fenotípusú,</w:t>
            </w:r>
            <w:r>
              <w:rPr>
                <w:rFonts w:cs="Times New Roman"/>
                <w:b/>
                <w:bCs/>
                <w:lang w:val="en-GB"/>
              </w:rPr>
              <w:t xml:space="preserve"> </w:t>
            </w:r>
            <w:r w:rsidRPr="008D7715">
              <w:rPr>
                <w:rFonts w:cs="Times New Roman"/>
                <w:b/>
                <w:bCs/>
                <w:lang w:val="en-GB"/>
              </w:rPr>
              <w:t>krónikus</w:t>
            </w:r>
          </w:p>
          <w:p w14:paraId="1F8234A7" w14:textId="0F64FBEE" w:rsidR="000950F6" w:rsidRPr="000950F6" w:rsidRDefault="008D7715" w:rsidP="008D7715">
            <w:pPr>
              <w:pStyle w:val="Szvegtrzs"/>
              <w:ind w:left="0"/>
              <w:jc w:val="center"/>
              <w:rPr>
                <w:rFonts w:cs="Times New Roman"/>
                <w:b/>
                <w:bCs/>
                <w:lang w:val="en-GB"/>
              </w:rPr>
            </w:pPr>
            <w:r w:rsidRPr="008D7715">
              <w:rPr>
                <w:rFonts w:cs="Times New Roman"/>
                <w:b/>
                <w:bCs/>
                <w:lang w:val="en-GB"/>
              </w:rPr>
              <w:t>fibrotizáló ILD</w:t>
            </w:r>
          </w:p>
        </w:tc>
        <w:tc>
          <w:tcPr>
            <w:tcW w:w="2091" w:type="dxa"/>
            <w:tcBorders>
              <w:top w:val="single" w:sz="4" w:space="0" w:color="000000"/>
              <w:left w:val="single" w:sz="4" w:space="0" w:color="000000"/>
              <w:bottom w:val="single" w:sz="4" w:space="0" w:color="000000"/>
              <w:right w:val="single" w:sz="4" w:space="0" w:color="000000"/>
            </w:tcBorders>
            <w:vAlign w:val="center"/>
          </w:tcPr>
          <w:p w14:paraId="785D7119" w14:textId="77777777" w:rsidR="008D7715" w:rsidRPr="008D7715" w:rsidRDefault="008D7715" w:rsidP="008D7715">
            <w:pPr>
              <w:pStyle w:val="Szvegtrzs"/>
              <w:jc w:val="center"/>
              <w:rPr>
                <w:rFonts w:cs="Times New Roman"/>
                <w:b/>
                <w:bCs/>
                <w:lang w:val="en-GB"/>
              </w:rPr>
            </w:pPr>
            <w:r w:rsidRPr="008D7715">
              <w:rPr>
                <w:rFonts w:cs="Times New Roman"/>
                <w:b/>
                <w:bCs/>
                <w:lang w:val="en-GB"/>
              </w:rPr>
              <w:t>Szisztémás</w:t>
            </w:r>
          </w:p>
          <w:p w14:paraId="33C8D2BB" w14:textId="77777777" w:rsidR="008D7715" w:rsidRPr="008D7715" w:rsidRDefault="008D7715" w:rsidP="008D7715">
            <w:pPr>
              <w:pStyle w:val="Szvegtrzs"/>
              <w:jc w:val="center"/>
              <w:rPr>
                <w:rFonts w:cs="Times New Roman"/>
                <w:b/>
                <w:bCs/>
                <w:lang w:val="en-GB"/>
              </w:rPr>
            </w:pPr>
            <w:r w:rsidRPr="008D7715">
              <w:rPr>
                <w:rFonts w:cs="Times New Roman"/>
                <w:b/>
                <w:bCs/>
                <w:lang w:val="en-GB"/>
              </w:rPr>
              <w:t>sclerosissal társuló</w:t>
            </w:r>
          </w:p>
          <w:p w14:paraId="3A491325" w14:textId="77777777" w:rsidR="008D7715" w:rsidRPr="008D7715" w:rsidRDefault="008D7715" w:rsidP="008D7715">
            <w:pPr>
              <w:pStyle w:val="Szvegtrzs"/>
              <w:jc w:val="center"/>
              <w:rPr>
                <w:rFonts w:cs="Times New Roman"/>
                <w:b/>
                <w:bCs/>
                <w:lang w:val="en-GB"/>
              </w:rPr>
            </w:pPr>
            <w:r w:rsidRPr="008D7715">
              <w:rPr>
                <w:rFonts w:cs="Times New Roman"/>
                <w:b/>
                <w:bCs/>
                <w:lang w:val="en-GB"/>
              </w:rPr>
              <w:t>interstitialis</w:t>
            </w:r>
          </w:p>
          <w:p w14:paraId="612AA8EF" w14:textId="207049A9" w:rsidR="000950F6" w:rsidRPr="000950F6" w:rsidRDefault="008D7715" w:rsidP="008D7715">
            <w:pPr>
              <w:pStyle w:val="Szvegtrzs"/>
              <w:ind w:left="0"/>
              <w:jc w:val="center"/>
              <w:rPr>
                <w:rFonts w:cs="Times New Roman"/>
                <w:b/>
                <w:bCs/>
                <w:lang w:val="en-GB"/>
              </w:rPr>
            </w:pPr>
            <w:r w:rsidRPr="008D7715">
              <w:rPr>
                <w:rFonts w:cs="Times New Roman"/>
                <w:b/>
                <w:bCs/>
                <w:lang w:val="en-GB"/>
              </w:rPr>
              <w:t>tüdőbetegség</w:t>
            </w:r>
          </w:p>
        </w:tc>
      </w:tr>
      <w:tr w:rsidR="000950F6" w:rsidRPr="000950F6" w14:paraId="76FB5785" w14:textId="77777777" w:rsidTr="00E0772D">
        <w:trPr>
          <w:trHeight w:hRule="exact" w:val="292"/>
        </w:trPr>
        <w:tc>
          <w:tcPr>
            <w:tcW w:w="9095" w:type="dxa"/>
            <w:gridSpan w:val="4"/>
            <w:tcBorders>
              <w:top w:val="single" w:sz="4" w:space="0" w:color="000000"/>
              <w:left w:val="single" w:sz="4" w:space="0" w:color="000000"/>
              <w:bottom w:val="single" w:sz="4" w:space="0" w:color="000000"/>
              <w:right w:val="single" w:sz="4" w:space="0" w:color="000000"/>
            </w:tcBorders>
          </w:tcPr>
          <w:p w14:paraId="5542992E" w14:textId="1F477339" w:rsidR="000950F6" w:rsidRPr="000950F6" w:rsidRDefault="008D7715" w:rsidP="008D7715">
            <w:pPr>
              <w:pStyle w:val="Szvegtrzs"/>
              <w:ind w:left="0"/>
              <w:rPr>
                <w:rFonts w:cs="Times New Roman"/>
                <w:b/>
                <w:bCs/>
              </w:rPr>
            </w:pPr>
            <w:r w:rsidRPr="008D7715">
              <w:rPr>
                <w:rFonts w:cs="Times New Roman"/>
                <w:b/>
                <w:bCs/>
              </w:rPr>
              <w:t>Vérképzőszervi és nyirokrendszeri betegségek és tünetek</w:t>
            </w:r>
          </w:p>
        </w:tc>
      </w:tr>
      <w:tr w:rsidR="000950F6" w:rsidRPr="000950F6" w14:paraId="2CB204C9" w14:textId="77777777" w:rsidTr="00E0772D">
        <w:trPr>
          <w:trHeight w:hRule="exact" w:val="267"/>
        </w:trPr>
        <w:tc>
          <w:tcPr>
            <w:tcW w:w="2433" w:type="dxa"/>
            <w:tcBorders>
              <w:top w:val="single" w:sz="4" w:space="0" w:color="000000"/>
              <w:left w:val="single" w:sz="4" w:space="0" w:color="000000"/>
              <w:bottom w:val="single" w:sz="4" w:space="0" w:color="000000"/>
              <w:right w:val="single" w:sz="4" w:space="0" w:color="000000"/>
            </w:tcBorders>
          </w:tcPr>
          <w:p w14:paraId="2359730B" w14:textId="2241706E" w:rsidR="000950F6" w:rsidRPr="000950F6" w:rsidRDefault="000950F6" w:rsidP="008D7715">
            <w:pPr>
              <w:pStyle w:val="Szvegtrzs"/>
              <w:ind w:left="0"/>
              <w:rPr>
                <w:rFonts w:cs="Times New Roman"/>
              </w:rPr>
            </w:pPr>
            <w:r w:rsidRPr="000950F6">
              <w:rPr>
                <w:rFonts w:cs="Times New Roman"/>
              </w:rPr>
              <w:t>Thrombocytopenia</w:t>
            </w:r>
          </w:p>
        </w:tc>
        <w:tc>
          <w:tcPr>
            <w:tcW w:w="2268" w:type="dxa"/>
            <w:tcBorders>
              <w:top w:val="single" w:sz="4" w:space="0" w:color="000000"/>
              <w:left w:val="single" w:sz="4" w:space="0" w:color="000000"/>
              <w:bottom w:val="single" w:sz="4" w:space="0" w:color="000000"/>
              <w:right w:val="single" w:sz="4" w:space="0" w:color="000000"/>
            </w:tcBorders>
          </w:tcPr>
          <w:p w14:paraId="399F2BDD" w14:textId="74691F3B" w:rsidR="000950F6" w:rsidRPr="000950F6" w:rsidRDefault="008D7715" w:rsidP="000950F6">
            <w:pPr>
              <w:pStyle w:val="Szvegtrzs"/>
              <w:ind w:left="0"/>
              <w:rPr>
                <w:rFonts w:cs="Times New Roman"/>
              </w:rPr>
            </w:pPr>
            <w:r>
              <w:rPr>
                <w:rFonts w:cs="Times New Roman"/>
              </w:rPr>
              <w:t>Nem gyakori</w:t>
            </w:r>
          </w:p>
        </w:tc>
        <w:tc>
          <w:tcPr>
            <w:tcW w:w="2303" w:type="dxa"/>
            <w:tcBorders>
              <w:top w:val="single" w:sz="4" w:space="0" w:color="000000"/>
              <w:left w:val="single" w:sz="4" w:space="0" w:color="000000"/>
              <w:bottom w:val="single" w:sz="4" w:space="0" w:color="000000"/>
              <w:right w:val="single" w:sz="4" w:space="0" w:color="000000"/>
            </w:tcBorders>
          </w:tcPr>
          <w:p w14:paraId="2A627FF9" w14:textId="4FB61BA3" w:rsidR="000950F6" w:rsidRPr="000950F6" w:rsidRDefault="008D7715" w:rsidP="000950F6">
            <w:pPr>
              <w:pStyle w:val="Szvegtrzs"/>
              <w:ind w:left="0"/>
              <w:rPr>
                <w:rFonts w:cs="Times New Roman"/>
              </w:rPr>
            </w:pPr>
            <w:r>
              <w:rPr>
                <w:rFonts w:cs="Times New Roman"/>
              </w:rPr>
              <w:t>Nem gyakori</w:t>
            </w:r>
          </w:p>
        </w:tc>
        <w:tc>
          <w:tcPr>
            <w:tcW w:w="2091" w:type="dxa"/>
            <w:tcBorders>
              <w:top w:val="single" w:sz="4" w:space="0" w:color="000000"/>
              <w:left w:val="single" w:sz="4" w:space="0" w:color="000000"/>
              <w:bottom w:val="single" w:sz="4" w:space="0" w:color="000000"/>
              <w:right w:val="single" w:sz="4" w:space="0" w:color="000000"/>
            </w:tcBorders>
          </w:tcPr>
          <w:p w14:paraId="1FD44043" w14:textId="309FFFA2" w:rsidR="000950F6" w:rsidRPr="000950F6" w:rsidRDefault="008D7715" w:rsidP="000950F6">
            <w:pPr>
              <w:pStyle w:val="Szvegtrzs"/>
              <w:ind w:left="0"/>
              <w:rPr>
                <w:rFonts w:cs="Times New Roman"/>
              </w:rPr>
            </w:pPr>
            <w:r>
              <w:rPr>
                <w:rFonts w:cs="Times New Roman"/>
              </w:rPr>
              <w:t>Nem gyakori</w:t>
            </w:r>
          </w:p>
        </w:tc>
      </w:tr>
      <w:tr w:rsidR="000950F6" w:rsidRPr="000950F6" w14:paraId="597B9ACD" w14:textId="77777777" w:rsidTr="00E0772D">
        <w:trPr>
          <w:trHeight w:hRule="exact" w:val="286"/>
        </w:trPr>
        <w:tc>
          <w:tcPr>
            <w:tcW w:w="9095" w:type="dxa"/>
            <w:gridSpan w:val="4"/>
            <w:tcBorders>
              <w:top w:val="single" w:sz="4" w:space="0" w:color="000000"/>
              <w:left w:val="single" w:sz="4" w:space="0" w:color="000000"/>
              <w:bottom w:val="single" w:sz="4" w:space="0" w:color="000000"/>
              <w:right w:val="single" w:sz="4" w:space="0" w:color="000000"/>
            </w:tcBorders>
          </w:tcPr>
          <w:p w14:paraId="446E6092" w14:textId="4D619DB3" w:rsidR="000950F6" w:rsidRPr="000950F6" w:rsidRDefault="008D7715" w:rsidP="008D7715">
            <w:pPr>
              <w:pStyle w:val="Szvegtrzs"/>
              <w:ind w:left="0"/>
              <w:rPr>
                <w:rFonts w:cs="Times New Roman"/>
                <w:b/>
                <w:bCs/>
                <w:lang w:val="en-GB"/>
              </w:rPr>
            </w:pPr>
            <w:r w:rsidRPr="008D7715">
              <w:rPr>
                <w:rFonts w:cs="Times New Roman"/>
                <w:b/>
                <w:bCs/>
                <w:lang w:val="en-GB"/>
              </w:rPr>
              <w:t>Anyagcsere és táplálkozási betegségek és tünetek</w:t>
            </w:r>
          </w:p>
        </w:tc>
      </w:tr>
      <w:tr w:rsidR="000950F6" w:rsidRPr="000950F6" w14:paraId="180F5067" w14:textId="77777777" w:rsidTr="00E0772D">
        <w:trPr>
          <w:trHeight w:hRule="exact" w:val="289"/>
        </w:trPr>
        <w:tc>
          <w:tcPr>
            <w:tcW w:w="2433" w:type="dxa"/>
            <w:tcBorders>
              <w:top w:val="single" w:sz="4" w:space="0" w:color="000000"/>
              <w:left w:val="single" w:sz="4" w:space="0" w:color="000000"/>
              <w:bottom w:val="single" w:sz="4" w:space="0" w:color="000000"/>
              <w:right w:val="single" w:sz="4" w:space="0" w:color="000000"/>
            </w:tcBorders>
          </w:tcPr>
          <w:p w14:paraId="75EE9B89" w14:textId="4721DE4C" w:rsidR="000950F6" w:rsidRPr="000950F6" w:rsidRDefault="008D7715" w:rsidP="008D7715">
            <w:pPr>
              <w:pStyle w:val="Szvegtrzs"/>
              <w:ind w:left="0"/>
              <w:rPr>
                <w:rFonts w:cs="Times New Roman"/>
              </w:rPr>
            </w:pPr>
            <w:r w:rsidRPr="008D7715">
              <w:rPr>
                <w:rFonts w:cs="Times New Roman"/>
              </w:rPr>
              <w:t>Testtömegcsökkenés</w:t>
            </w:r>
          </w:p>
        </w:tc>
        <w:tc>
          <w:tcPr>
            <w:tcW w:w="2268" w:type="dxa"/>
            <w:tcBorders>
              <w:top w:val="single" w:sz="4" w:space="0" w:color="000000"/>
              <w:left w:val="single" w:sz="4" w:space="0" w:color="000000"/>
              <w:bottom w:val="single" w:sz="4" w:space="0" w:color="000000"/>
              <w:right w:val="single" w:sz="4" w:space="0" w:color="000000"/>
            </w:tcBorders>
          </w:tcPr>
          <w:p w14:paraId="5DD1DAA4" w14:textId="4F4E38CE" w:rsidR="000950F6" w:rsidRPr="000950F6" w:rsidRDefault="008D7715" w:rsidP="000950F6">
            <w:pPr>
              <w:pStyle w:val="Szvegtrzs"/>
              <w:ind w:left="0"/>
              <w:rPr>
                <w:rFonts w:cs="Times New Roman"/>
              </w:rPr>
            </w:pPr>
            <w:r>
              <w:rPr>
                <w:rFonts w:cs="Times New Roman"/>
              </w:rPr>
              <w:t>Gyakori</w:t>
            </w:r>
          </w:p>
        </w:tc>
        <w:tc>
          <w:tcPr>
            <w:tcW w:w="2303" w:type="dxa"/>
            <w:tcBorders>
              <w:top w:val="single" w:sz="4" w:space="0" w:color="000000"/>
              <w:left w:val="single" w:sz="4" w:space="0" w:color="000000"/>
              <w:bottom w:val="single" w:sz="4" w:space="0" w:color="000000"/>
              <w:right w:val="single" w:sz="4" w:space="0" w:color="000000"/>
            </w:tcBorders>
          </w:tcPr>
          <w:p w14:paraId="56BDB9CA" w14:textId="45C0F000" w:rsidR="000950F6" w:rsidRPr="000950F6" w:rsidRDefault="008D7715" w:rsidP="000950F6">
            <w:pPr>
              <w:pStyle w:val="Szvegtrzs"/>
              <w:ind w:left="0"/>
              <w:rPr>
                <w:rFonts w:cs="Times New Roman"/>
              </w:rPr>
            </w:pPr>
            <w:r>
              <w:rPr>
                <w:rFonts w:cs="Times New Roman"/>
              </w:rPr>
              <w:t>Gyakori</w:t>
            </w:r>
          </w:p>
        </w:tc>
        <w:tc>
          <w:tcPr>
            <w:tcW w:w="2091" w:type="dxa"/>
            <w:tcBorders>
              <w:top w:val="single" w:sz="4" w:space="0" w:color="000000"/>
              <w:left w:val="single" w:sz="4" w:space="0" w:color="000000"/>
              <w:bottom w:val="single" w:sz="4" w:space="0" w:color="000000"/>
              <w:right w:val="single" w:sz="4" w:space="0" w:color="000000"/>
            </w:tcBorders>
          </w:tcPr>
          <w:p w14:paraId="478D7005" w14:textId="1AA3A6D6" w:rsidR="000950F6" w:rsidRPr="000950F6" w:rsidRDefault="008D7715" w:rsidP="000950F6">
            <w:pPr>
              <w:pStyle w:val="Szvegtrzs"/>
              <w:ind w:left="0"/>
              <w:rPr>
                <w:rFonts w:cs="Times New Roman"/>
                <w:lang w:val="en-GB"/>
              </w:rPr>
            </w:pPr>
            <w:r>
              <w:rPr>
                <w:rFonts w:cs="Times New Roman"/>
              </w:rPr>
              <w:t>Gyakori</w:t>
            </w:r>
          </w:p>
        </w:tc>
      </w:tr>
      <w:tr w:rsidR="000950F6" w:rsidRPr="000950F6" w14:paraId="09BE0B32" w14:textId="77777777" w:rsidTr="00E0772D">
        <w:trPr>
          <w:trHeight w:hRule="exact" w:val="280"/>
        </w:trPr>
        <w:tc>
          <w:tcPr>
            <w:tcW w:w="2433" w:type="dxa"/>
            <w:tcBorders>
              <w:top w:val="single" w:sz="4" w:space="0" w:color="000000"/>
              <w:left w:val="single" w:sz="4" w:space="0" w:color="000000"/>
              <w:bottom w:val="single" w:sz="4" w:space="0" w:color="000000"/>
              <w:right w:val="single" w:sz="4" w:space="0" w:color="000000"/>
            </w:tcBorders>
          </w:tcPr>
          <w:p w14:paraId="1E8C3811" w14:textId="2232B483" w:rsidR="000950F6" w:rsidRPr="000950F6" w:rsidRDefault="008D7715" w:rsidP="008D7715">
            <w:pPr>
              <w:pStyle w:val="Szvegtrzs"/>
              <w:ind w:left="0"/>
              <w:rPr>
                <w:rFonts w:cs="Times New Roman"/>
                <w:lang w:val="en-GB"/>
              </w:rPr>
            </w:pPr>
            <w:r>
              <w:rPr>
                <w:rFonts w:cs="Times New Roman"/>
                <w:lang w:val="en-GB"/>
              </w:rPr>
              <w:t>Csökkent étvágy</w:t>
            </w:r>
          </w:p>
        </w:tc>
        <w:tc>
          <w:tcPr>
            <w:tcW w:w="2268" w:type="dxa"/>
            <w:tcBorders>
              <w:top w:val="single" w:sz="4" w:space="0" w:color="000000"/>
              <w:left w:val="single" w:sz="4" w:space="0" w:color="000000"/>
              <w:bottom w:val="single" w:sz="4" w:space="0" w:color="000000"/>
              <w:right w:val="single" w:sz="4" w:space="0" w:color="000000"/>
            </w:tcBorders>
          </w:tcPr>
          <w:p w14:paraId="044FA3F2" w14:textId="35741F16" w:rsidR="000950F6" w:rsidRPr="000950F6" w:rsidRDefault="008D7715" w:rsidP="000950F6">
            <w:pPr>
              <w:pStyle w:val="Szvegtrzs"/>
              <w:ind w:left="0"/>
              <w:rPr>
                <w:rFonts w:cs="Times New Roman"/>
                <w:lang w:val="en-GB"/>
              </w:rPr>
            </w:pPr>
            <w:r>
              <w:rPr>
                <w:rFonts w:cs="Times New Roman"/>
              </w:rPr>
              <w:t>Gyakori</w:t>
            </w:r>
          </w:p>
        </w:tc>
        <w:tc>
          <w:tcPr>
            <w:tcW w:w="2303" w:type="dxa"/>
            <w:tcBorders>
              <w:top w:val="single" w:sz="4" w:space="0" w:color="000000"/>
              <w:left w:val="single" w:sz="4" w:space="0" w:color="000000"/>
              <w:bottom w:val="single" w:sz="4" w:space="0" w:color="000000"/>
              <w:right w:val="single" w:sz="4" w:space="0" w:color="000000"/>
            </w:tcBorders>
          </w:tcPr>
          <w:p w14:paraId="7E511E20" w14:textId="625CD1C9" w:rsidR="000950F6" w:rsidRPr="000950F6" w:rsidRDefault="008D7715" w:rsidP="000950F6">
            <w:pPr>
              <w:pStyle w:val="Szvegtrzs"/>
              <w:ind w:left="0"/>
              <w:rPr>
                <w:rFonts w:cs="Times New Roman"/>
                <w:lang w:val="en-GB"/>
              </w:rPr>
            </w:pPr>
            <w:r>
              <w:rPr>
                <w:rFonts w:cs="Times New Roman"/>
                <w:lang w:val="en-GB"/>
              </w:rPr>
              <w:t>Nagyon gyakori</w:t>
            </w:r>
          </w:p>
        </w:tc>
        <w:tc>
          <w:tcPr>
            <w:tcW w:w="2091" w:type="dxa"/>
            <w:tcBorders>
              <w:top w:val="single" w:sz="4" w:space="0" w:color="000000"/>
              <w:left w:val="single" w:sz="4" w:space="0" w:color="000000"/>
              <w:bottom w:val="single" w:sz="4" w:space="0" w:color="000000"/>
              <w:right w:val="single" w:sz="4" w:space="0" w:color="000000"/>
            </w:tcBorders>
          </w:tcPr>
          <w:p w14:paraId="08FDC011" w14:textId="27E85874" w:rsidR="000950F6" w:rsidRPr="000950F6" w:rsidRDefault="008D7715" w:rsidP="000950F6">
            <w:pPr>
              <w:pStyle w:val="Szvegtrzs"/>
              <w:ind w:left="0"/>
              <w:rPr>
                <w:rFonts w:cs="Times New Roman"/>
                <w:lang w:val="en-GB"/>
              </w:rPr>
            </w:pPr>
            <w:r>
              <w:rPr>
                <w:rFonts w:cs="Times New Roman"/>
              </w:rPr>
              <w:t>Gyakori</w:t>
            </w:r>
          </w:p>
        </w:tc>
      </w:tr>
      <w:tr w:rsidR="000950F6" w:rsidRPr="000950F6" w14:paraId="22068647" w14:textId="77777777" w:rsidTr="00E0772D">
        <w:trPr>
          <w:trHeight w:hRule="exact" w:val="283"/>
        </w:trPr>
        <w:tc>
          <w:tcPr>
            <w:tcW w:w="2433" w:type="dxa"/>
            <w:tcBorders>
              <w:top w:val="single" w:sz="4" w:space="0" w:color="000000"/>
              <w:left w:val="single" w:sz="4" w:space="0" w:color="000000"/>
              <w:bottom w:val="single" w:sz="4" w:space="0" w:color="000000"/>
              <w:right w:val="single" w:sz="4" w:space="0" w:color="000000"/>
            </w:tcBorders>
          </w:tcPr>
          <w:p w14:paraId="5AC0276C" w14:textId="0E43B9AB" w:rsidR="000950F6" w:rsidRPr="000950F6" w:rsidRDefault="000950F6" w:rsidP="008D7715">
            <w:pPr>
              <w:pStyle w:val="Szvegtrzs"/>
              <w:ind w:left="0"/>
              <w:rPr>
                <w:rFonts w:cs="Times New Roman"/>
                <w:lang w:val="en-GB"/>
              </w:rPr>
            </w:pPr>
            <w:r w:rsidRPr="000950F6">
              <w:rPr>
                <w:rFonts w:cs="Times New Roman"/>
                <w:lang w:val="en-GB"/>
              </w:rPr>
              <w:t>Dehydratio</w:t>
            </w:r>
          </w:p>
        </w:tc>
        <w:tc>
          <w:tcPr>
            <w:tcW w:w="2268" w:type="dxa"/>
            <w:tcBorders>
              <w:top w:val="single" w:sz="4" w:space="0" w:color="000000"/>
              <w:left w:val="single" w:sz="4" w:space="0" w:color="000000"/>
              <w:bottom w:val="single" w:sz="4" w:space="0" w:color="000000"/>
              <w:right w:val="single" w:sz="4" w:space="0" w:color="000000"/>
            </w:tcBorders>
          </w:tcPr>
          <w:p w14:paraId="18B54529" w14:textId="07493A5B" w:rsidR="000950F6" w:rsidRPr="000950F6" w:rsidRDefault="008D7715" w:rsidP="000950F6">
            <w:pPr>
              <w:pStyle w:val="Szvegtrzs"/>
              <w:ind w:left="0"/>
              <w:rPr>
                <w:rFonts w:cs="Times New Roman"/>
                <w:lang w:val="en-GB"/>
              </w:rPr>
            </w:pPr>
            <w:r>
              <w:rPr>
                <w:rFonts w:cs="Times New Roman"/>
                <w:lang w:val="en-GB"/>
              </w:rPr>
              <w:t>Nem gyakori</w:t>
            </w:r>
          </w:p>
        </w:tc>
        <w:tc>
          <w:tcPr>
            <w:tcW w:w="2303" w:type="dxa"/>
            <w:tcBorders>
              <w:top w:val="single" w:sz="4" w:space="0" w:color="000000"/>
              <w:left w:val="single" w:sz="4" w:space="0" w:color="000000"/>
              <w:bottom w:val="single" w:sz="4" w:space="0" w:color="000000"/>
              <w:right w:val="single" w:sz="4" w:space="0" w:color="000000"/>
            </w:tcBorders>
          </w:tcPr>
          <w:p w14:paraId="7D2AF116" w14:textId="6D50C436" w:rsidR="000950F6" w:rsidRPr="000950F6" w:rsidRDefault="008D7715" w:rsidP="000950F6">
            <w:pPr>
              <w:pStyle w:val="Szvegtrzs"/>
              <w:ind w:left="0"/>
              <w:rPr>
                <w:rFonts w:cs="Times New Roman"/>
                <w:lang w:val="en-GB"/>
              </w:rPr>
            </w:pPr>
            <w:r>
              <w:rPr>
                <w:rFonts w:cs="Times New Roman"/>
                <w:lang w:val="en-GB"/>
              </w:rPr>
              <w:t>Nem gyakori</w:t>
            </w:r>
          </w:p>
        </w:tc>
        <w:tc>
          <w:tcPr>
            <w:tcW w:w="2091" w:type="dxa"/>
            <w:tcBorders>
              <w:top w:val="single" w:sz="4" w:space="0" w:color="000000"/>
              <w:left w:val="single" w:sz="4" w:space="0" w:color="000000"/>
              <w:bottom w:val="single" w:sz="4" w:space="0" w:color="000000"/>
              <w:right w:val="single" w:sz="4" w:space="0" w:color="000000"/>
            </w:tcBorders>
          </w:tcPr>
          <w:p w14:paraId="736FC5DC" w14:textId="7DA8003A" w:rsidR="000950F6" w:rsidRPr="000950F6" w:rsidRDefault="008D7715" w:rsidP="000950F6">
            <w:pPr>
              <w:pStyle w:val="Szvegtrzs"/>
              <w:ind w:left="0"/>
              <w:rPr>
                <w:rFonts w:cs="Times New Roman"/>
                <w:lang w:val="en-GB"/>
              </w:rPr>
            </w:pPr>
            <w:r>
              <w:rPr>
                <w:rFonts w:cs="Times New Roman"/>
                <w:lang w:val="en-GB"/>
              </w:rPr>
              <w:t>Nem ismert</w:t>
            </w:r>
          </w:p>
        </w:tc>
      </w:tr>
      <w:tr w:rsidR="00384A84" w:rsidRPr="000950F6" w14:paraId="1D71F350" w14:textId="77777777" w:rsidTr="005A289C">
        <w:trPr>
          <w:trHeight w:hRule="exact" w:val="283"/>
        </w:trPr>
        <w:tc>
          <w:tcPr>
            <w:tcW w:w="9095" w:type="dxa"/>
            <w:gridSpan w:val="4"/>
            <w:tcBorders>
              <w:top w:val="single" w:sz="4" w:space="0" w:color="000000"/>
              <w:left w:val="single" w:sz="4" w:space="0" w:color="000000"/>
              <w:bottom w:val="single" w:sz="4" w:space="0" w:color="000000"/>
              <w:right w:val="single" w:sz="4" w:space="0" w:color="000000"/>
            </w:tcBorders>
          </w:tcPr>
          <w:p w14:paraId="115C4FE6" w14:textId="22442909" w:rsidR="00384A84" w:rsidRPr="00300950" w:rsidRDefault="00384A84" w:rsidP="000950F6">
            <w:pPr>
              <w:pStyle w:val="Szvegtrzs"/>
              <w:ind w:left="0"/>
              <w:rPr>
                <w:rFonts w:cs="Times New Roman"/>
                <w:b/>
                <w:bCs/>
                <w:lang w:val="en-GB"/>
              </w:rPr>
            </w:pPr>
            <w:r w:rsidRPr="00300950">
              <w:rPr>
                <w:rFonts w:cs="Times New Roman"/>
                <w:b/>
                <w:bCs/>
                <w:lang w:val="en-GB"/>
              </w:rPr>
              <w:t>Idegrendszeri betegségek és tünetek</w:t>
            </w:r>
          </w:p>
        </w:tc>
      </w:tr>
      <w:tr w:rsidR="007A3E7F" w:rsidRPr="000950F6" w14:paraId="2C507B83" w14:textId="77777777" w:rsidTr="00E0772D">
        <w:trPr>
          <w:trHeight w:hRule="exact" w:val="283"/>
        </w:trPr>
        <w:tc>
          <w:tcPr>
            <w:tcW w:w="2433" w:type="dxa"/>
            <w:tcBorders>
              <w:top w:val="single" w:sz="4" w:space="0" w:color="000000"/>
              <w:left w:val="single" w:sz="4" w:space="0" w:color="000000"/>
              <w:bottom w:val="single" w:sz="4" w:space="0" w:color="000000"/>
              <w:right w:val="single" w:sz="4" w:space="0" w:color="000000"/>
            </w:tcBorders>
          </w:tcPr>
          <w:p w14:paraId="3FA2B674" w14:textId="58EF8E78" w:rsidR="007A3E7F" w:rsidRPr="000950F6" w:rsidRDefault="007A3E7F" w:rsidP="007A3E7F">
            <w:pPr>
              <w:pStyle w:val="Szvegtrzs"/>
              <w:ind w:left="0"/>
              <w:rPr>
                <w:rFonts w:cs="Times New Roman"/>
                <w:lang w:val="en-GB"/>
              </w:rPr>
            </w:pPr>
            <w:r>
              <w:rPr>
                <w:rFonts w:cs="Times New Roman"/>
                <w:lang w:val="en-GB"/>
              </w:rPr>
              <w:t>Fejfájás</w:t>
            </w:r>
          </w:p>
        </w:tc>
        <w:tc>
          <w:tcPr>
            <w:tcW w:w="2268" w:type="dxa"/>
            <w:tcBorders>
              <w:top w:val="single" w:sz="4" w:space="0" w:color="000000"/>
              <w:left w:val="single" w:sz="4" w:space="0" w:color="000000"/>
              <w:bottom w:val="single" w:sz="4" w:space="0" w:color="000000"/>
              <w:right w:val="single" w:sz="4" w:space="0" w:color="000000"/>
            </w:tcBorders>
          </w:tcPr>
          <w:p w14:paraId="603E448C" w14:textId="65DC4872" w:rsidR="007A3E7F" w:rsidRDefault="007A3E7F" w:rsidP="007A3E7F">
            <w:pPr>
              <w:pStyle w:val="Szvegtrzs"/>
              <w:ind w:left="0"/>
              <w:rPr>
                <w:rFonts w:cs="Times New Roman"/>
                <w:lang w:val="en-GB"/>
              </w:rPr>
            </w:pPr>
            <w:r w:rsidRPr="00257DE2">
              <w:rPr>
                <w:rFonts w:cs="Times New Roman"/>
              </w:rPr>
              <w:t>Gyakori</w:t>
            </w:r>
          </w:p>
        </w:tc>
        <w:tc>
          <w:tcPr>
            <w:tcW w:w="2303" w:type="dxa"/>
            <w:tcBorders>
              <w:top w:val="single" w:sz="4" w:space="0" w:color="000000"/>
              <w:left w:val="single" w:sz="4" w:space="0" w:color="000000"/>
              <w:bottom w:val="single" w:sz="4" w:space="0" w:color="000000"/>
              <w:right w:val="single" w:sz="4" w:space="0" w:color="000000"/>
            </w:tcBorders>
          </w:tcPr>
          <w:p w14:paraId="4FD8A8D8" w14:textId="4ED433F3" w:rsidR="007A3E7F" w:rsidRDefault="007A3E7F" w:rsidP="007A3E7F">
            <w:pPr>
              <w:pStyle w:val="Szvegtrzs"/>
              <w:ind w:left="0"/>
              <w:rPr>
                <w:rFonts w:cs="Times New Roman"/>
                <w:lang w:val="en-GB"/>
              </w:rPr>
            </w:pPr>
            <w:r w:rsidRPr="00257DE2">
              <w:rPr>
                <w:rFonts w:cs="Times New Roman"/>
              </w:rPr>
              <w:t>Gyakori</w:t>
            </w:r>
          </w:p>
        </w:tc>
        <w:tc>
          <w:tcPr>
            <w:tcW w:w="2091" w:type="dxa"/>
            <w:tcBorders>
              <w:top w:val="single" w:sz="4" w:space="0" w:color="000000"/>
              <w:left w:val="single" w:sz="4" w:space="0" w:color="000000"/>
              <w:bottom w:val="single" w:sz="4" w:space="0" w:color="000000"/>
              <w:right w:val="single" w:sz="4" w:space="0" w:color="000000"/>
            </w:tcBorders>
          </w:tcPr>
          <w:p w14:paraId="45D23538" w14:textId="3DD9D8C1" w:rsidR="007A3E7F" w:rsidRDefault="007A3E7F" w:rsidP="007A3E7F">
            <w:pPr>
              <w:pStyle w:val="Szvegtrzs"/>
              <w:ind w:left="0"/>
              <w:rPr>
                <w:rFonts w:cs="Times New Roman"/>
                <w:lang w:val="en-GB"/>
              </w:rPr>
            </w:pPr>
            <w:r w:rsidRPr="00257DE2">
              <w:rPr>
                <w:rFonts w:cs="Times New Roman"/>
              </w:rPr>
              <w:t>Gyakori</w:t>
            </w:r>
          </w:p>
        </w:tc>
      </w:tr>
      <w:tr w:rsidR="007A3E7F" w:rsidRPr="000950F6" w14:paraId="1BF3CC21" w14:textId="77777777" w:rsidTr="00300950">
        <w:trPr>
          <w:trHeight w:hRule="exact" w:val="671"/>
        </w:trPr>
        <w:tc>
          <w:tcPr>
            <w:tcW w:w="2433" w:type="dxa"/>
            <w:tcBorders>
              <w:top w:val="single" w:sz="4" w:space="0" w:color="000000"/>
              <w:left w:val="single" w:sz="4" w:space="0" w:color="000000"/>
              <w:bottom w:val="single" w:sz="4" w:space="0" w:color="000000"/>
              <w:right w:val="single" w:sz="4" w:space="0" w:color="000000"/>
            </w:tcBorders>
          </w:tcPr>
          <w:p w14:paraId="32F402F8" w14:textId="53B0A5F0" w:rsidR="007A3E7F" w:rsidRPr="000950F6" w:rsidRDefault="007A3E7F" w:rsidP="007A3E7F">
            <w:pPr>
              <w:pStyle w:val="Szvegtrzs"/>
              <w:ind w:left="0"/>
              <w:rPr>
                <w:rFonts w:cs="Times New Roman"/>
                <w:lang w:val="en-GB"/>
              </w:rPr>
            </w:pPr>
            <w:r w:rsidRPr="007A3E7F">
              <w:rPr>
                <w:rFonts w:cs="Times New Roman"/>
                <w:lang w:val="en-GB"/>
              </w:rPr>
              <w:t>Posterior reverzibilis encephalopathia szindróma</w:t>
            </w:r>
          </w:p>
        </w:tc>
        <w:tc>
          <w:tcPr>
            <w:tcW w:w="2268" w:type="dxa"/>
            <w:tcBorders>
              <w:top w:val="single" w:sz="4" w:space="0" w:color="000000"/>
              <w:left w:val="single" w:sz="4" w:space="0" w:color="000000"/>
              <w:bottom w:val="single" w:sz="4" w:space="0" w:color="000000"/>
              <w:right w:val="single" w:sz="4" w:space="0" w:color="000000"/>
            </w:tcBorders>
          </w:tcPr>
          <w:p w14:paraId="5622C4E6" w14:textId="61B1F93D" w:rsidR="007A3E7F" w:rsidRDefault="007A3E7F" w:rsidP="007A3E7F">
            <w:pPr>
              <w:pStyle w:val="Szvegtrzs"/>
              <w:ind w:left="0"/>
              <w:rPr>
                <w:rFonts w:cs="Times New Roman"/>
                <w:lang w:val="en-GB"/>
              </w:rPr>
            </w:pPr>
            <w:r w:rsidRPr="00D3726D">
              <w:rPr>
                <w:rFonts w:cs="Times New Roman"/>
                <w:lang w:val="en-GB"/>
              </w:rPr>
              <w:t>Nem ismert</w:t>
            </w:r>
          </w:p>
        </w:tc>
        <w:tc>
          <w:tcPr>
            <w:tcW w:w="2303" w:type="dxa"/>
            <w:tcBorders>
              <w:top w:val="single" w:sz="4" w:space="0" w:color="000000"/>
              <w:left w:val="single" w:sz="4" w:space="0" w:color="000000"/>
              <w:bottom w:val="single" w:sz="4" w:space="0" w:color="000000"/>
              <w:right w:val="single" w:sz="4" w:space="0" w:color="000000"/>
            </w:tcBorders>
          </w:tcPr>
          <w:p w14:paraId="0EE89F79" w14:textId="03B392D9" w:rsidR="007A3E7F" w:rsidRDefault="007A3E7F" w:rsidP="007A3E7F">
            <w:pPr>
              <w:pStyle w:val="Szvegtrzs"/>
              <w:ind w:left="0"/>
              <w:rPr>
                <w:rFonts w:cs="Times New Roman"/>
                <w:lang w:val="en-GB"/>
              </w:rPr>
            </w:pPr>
            <w:r w:rsidRPr="00D3726D">
              <w:rPr>
                <w:rFonts w:cs="Times New Roman"/>
                <w:lang w:val="en-GB"/>
              </w:rPr>
              <w:t>Nem ismert</w:t>
            </w:r>
          </w:p>
        </w:tc>
        <w:tc>
          <w:tcPr>
            <w:tcW w:w="2091" w:type="dxa"/>
            <w:tcBorders>
              <w:top w:val="single" w:sz="4" w:space="0" w:color="000000"/>
              <w:left w:val="single" w:sz="4" w:space="0" w:color="000000"/>
              <w:bottom w:val="single" w:sz="4" w:space="0" w:color="000000"/>
              <w:right w:val="single" w:sz="4" w:space="0" w:color="000000"/>
            </w:tcBorders>
          </w:tcPr>
          <w:p w14:paraId="0D3A985C" w14:textId="1B1541B6" w:rsidR="007A3E7F" w:rsidRDefault="007A3E7F" w:rsidP="007A3E7F">
            <w:pPr>
              <w:pStyle w:val="Szvegtrzs"/>
              <w:ind w:left="0"/>
              <w:rPr>
                <w:rFonts w:cs="Times New Roman"/>
                <w:lang w:val="en-GB"/>
              </w:rPr>
            </w:pPr>
            <w:r w:rsidRPr="00D3726D">
              <w:rPr>
                <w:rFonts w:cs="Times New Roman"/>
                <w:lang w:val="en-GB"/>
              </w:rPr>
              <w:t>Nem ismert</w:t>
            </w:r>
          </w:p>
        </w:tc>
      </w:tr>
      <w:tr w:rsidR="000950F6" w:rsidRPr="000950F6" w14:paraId="70A1FF06" w14:textId="77777777" w:rsidTr="00E0772D">
        <w:trPr>
          <w:trHeight w:hRule="exact" w:val="288"/>
        </w:trPr>
        <w:tc>
          <w:tcPr>
            <w:tcW w:w="9095" w:type="dxa"/>
            <w:gridSpan w:val="4"/>
            <w:tcBorders>
              <w:top w:val="single" w:sz="4" w:space="0" w:color="000000"/>
              <w:left w:val="single" w:sz="4" w:space="0" w:color="000000"/>
              <w:bottom w:val="single" w:sz="4" w:space="0" w:color="000000"/>
              <w:right w:val="single" w:sz="4" w:space="0" w:color="000000"/>
            </w:tcBorders>
          </w:tcPr>
          <w:p w14:paraId="6F5A2749" w14:textId="303A30B7" w:rsidR="000950F6" w:rsidRPr="000950F6" w:rsidRDefault="008D7715" w:rsidP="008D7715">
            <w:pPr>
              <w:pStyle w:val="Szvegtrzs"/>
              <w:ind w:left="0"/>
              <w:rPr>
                <w:rFonts w:cs="Times New Roman"/>
                <w:b/>
                <w:bCs/>
                <w:lang w:val="en-GB"/>
              </w:rPr>
            </w:pPr>
            <w:r w:rsidRPr="008D7715">
              <w:rPr>
                <w:rFonts w:cs="Times New Roman"/>
                <w:b/>
                <w:bCs/>
                <w:lang w:val="en-GB"/>
              </w:rPr>
              <w:t>Szívbetegségek és a szívvel kapcsolatos tünetek</w:t>
            </w:r>
          </w:p>
        </w:tc>
      </w:tr>
      <w:tr w:rsidR="000950F6" w:rsidRPr="000950F6" w14:paraId="32D7B250" w14:textId="77777777" w:rsidTr="00E0772D">
        <w:trPr>
          <w:trHeight w:hRule="exact" w:val="291"/>
        </w:trPr>
        <w:tc>
          <w:tcPr>
            <w:tcW w:w="2433" w:type="dxa"/>
            <w:tcBorders>
              <w:top w:val="single" w:sz="4" w:space="0" w:color="000000"/>
              <w:left w:val="single" w:sz="4" w:space="0" w:color="000000"/>
              <w:bottom w:val="single" w:sz="4" w:space="0" w:color="000000"/>
              <w:right w:val="single" w:sz="4" w:space="0" w:color="000000"/>
            </w:tcBorders>
          </w:tcPr>
          <w:p w14:paraId="11C16B6A" w14:textId="1FF1F219" w:rsidR="000950F6" w:rsidRPr="000950F6" w:rsidRDefault="000950F6" w:rsidP="008D7715">
            <w:pPr>
              <w:pStyle w:val="Szvegtrzs"/>
              <w:ind w:left="0"/>
              <w:rPr>
                <w:rFonts w:cs="Times New Roman"/>
                <w:lang w:val="en-GB"/>
              </w:rPr>
            </w:pPr>
            <w:r w:rsidRPr="000950F6">
              <w:rPr>
                <w:rFonts w:cs="Times New Roman"/>
                <w:lang w:val="en-GB"/>
              </w:rPr>
              <w:lastRenderedPageBreak/>
              <w:t>Myocardial</w:t>
            </w:r>
            <w:r w:rsidR="008D7715">
              <w:rPr>
                <w:rFonts w:cs="Times New Roman"/>
                <w:lang w:val="en-GB"/>
              </w:rPr>
              <w:t>is</w:t>
            </w:r>
            <w:r w:rsidRPr="000950F6">
              <w:rPr>
                <w:rFonts w:cs="Times New Roman"/>
                <w:lang w:val="en-GB"/>
              </w:rPr>
              <w:t xml:space="preserve"> infarct</w:t>
            </w:r>
            <w:r w:rsidR="008D7715">
              <w:rPr>
                <w:rFonts w:cs="Times New Roman"/>
                <w:lang w:val="en-GB"/>
              </w:rPr>
              <w:t>us</w:t>
            </w:r>
          </w:p>
        </w:tc>
        <w:tc>
          <w:tcPr>
            <w:tcW w:w="2268" w:type="dxa"/>
            <w:tcBorders>
              <w:top w:val="single" w:sz="4" w:space="0" w:color="000000"/>
              <w:left w:val="single" w:sz="4" w:space="0" w:color="000000"/>
              <w:bottom w:val="single" w:sz="4" w:space="0" w:color="000000"/>
              <w:right w:val="single" w:sz="4" w:space="0" w:color="000000"/>
            </w:tcBorders>
          </w:tcPr>
          <w:p w14:paraId="44427A14" w14:textId="42B41C2D" w:rsidR="000950F6" w:rsidRPr="000950F6" w:rsidRDefault="008D7715" w:rsidP="000950F6">
            <w:pPr>
              <w:pStyle w:val="Szvegtrzs"/>
              <w:ind w:left="0"/>
              <w:rPr>
                <w:rFonts w:cs="Times New Roman"/>
                <w:lang w:val="en-GB"/>
              </w:rPr>
            </w:pPr>
            <w:r>
              <w:rPr>
                <w:rFonts w:cs="Times New Roman"/>
                <w:lang w:val="en-GB"/>
              </w:rPr>
              <w:t>Nem gyakori</w:t>
            </w:r>
          </w:p>
        </w:tc>
        <w:tc>
          <w:tcPr>
            <w:tcW w:w="2303" w:type="dxa"/>
            <w:tcBorders>
              <w:top w:val="single" w:sz="4" w:space="0" w:color="000000"/>
              <w:left w:val="single" w:sz="4" w:space="0" w:color="000000"/>
              <w:bottom w:val="single" w:sz="4" w:space="0" w:color="000000"/>
              <w:right w:val="single" w:sz="4" w:space="0" w:color="000000"/>
            </w:tcBorders>
          </w:tcPr>
          <w:p w14:paraId="4552306D" w14:textId="163CD296" w:rsidR="000950F6" w:rsidRPr="000950F6" w:rsidRDefault="008D7715" w:rsidP="000950F6">
            <w:pPr>
              <w:pStyle w:val="Szvegtrzs"/>
              <w:ind w:left="0"/>
              <w:rPr>
                <w:rFonts w:cs="Times New Roman"/>
                <w:lang w:val="en-GB"/>
              </w:rPr>
            </w:pPr>
            <w:r>
              <w:rPr>
                <w:rFonts w:cs="Times New Roman"/>
                <w:lang w:val="en-GB"/>
              </w:rPr>
              <w:t>Nem gyakori</w:t>
            </w:r>
          </w:p>
        </w:tc>
        <w:tc>
          <w:tcPr>
            <w:tcW w:w="2091" w:type="dxa"/>
            <w:tcBorders>
              <w:top w:val="single" w:sz="4" w:space="0" w:color="000000"/>
              <w:left w:val="single" w:sz="4" w:space="0" w:color="000000"/>
              <w:bottom w:val="single" w:sz="4" w:space="0" w:color="000000"/>
              <w:right w:val="single" w:sz="4" w:space="0" w:color="000000"/>
            </w:tcBorders>
          </w:tcPr>
          <w:p w14:paraId="7D18934B" w14:textId="5CA20B1B" w:rsidR="000950F6" w:rsidRPr="000950F6" w:rsidRDefault="008D7715" w:rsidP="000950F6">
            <w:pPr>
              <w:pStyle w:val="Szvegtrzs"/>
              <w:ind w:left="0"/>
              <w:rPr>
                <w:rFonts w:cs="Times New Roman"/>
                <w:lang w:val="en-GB"/>
              </w:rPr>
            </w:pPr>
            <w:r>
              <w:rPr>
                <w:rFonts w:cs="Times New Roman"/>
                <w:lang w:val="en-GB"/>
              </w:rPr>
              <w:t>Nem ismert</w:t>
            </w:r>
          </w:p>
        </w:tc>
      </w:tr>
      <w:tr w:rsidR="000950F6" w:rsidRPr="000950F6" w14:paraId="173D17F1" w14:textId="77777777" w:rsidTr="00E0772D">
        <w:trPr>
          <w:trHeight w:hRule="exact" w:val="282"/>
        </w:trPr>
        <w:tc>
          <w:tcPr>
            <w:tcW w:w="9095" w:type="dxa"/>
            <w:gridSpan w:val="4"/>
            <w:tcBorders>
              <w:top w:val="single" w:sz="4" w:space="0" w:color="000000"/>
              <w:left w:val="single" w:sz="4" w:space="0" w:color="000000"/>
              <w:bottom w:val="single" w:sz="4" w:space="0" w:color="000000"/>
              <w:right w:val="single" w:sz="4" w:space="0" w:color="000000"/>
            </w:tcBorders>
          </w:tcPr>
          <w:p w14:paraId="17E06987" w14:textId="0241E70D" w:rsidR="000950F6" w:rsidRPr="000950F6" w:rsidRDefault="008D7715" w:rsidP="00A5740F">
            <w:pPr>
              <w:pStyle w:val="Szvegtrzs"/>
              <w:keepNext/>
              <w:ind w:left="0"/>
              <w:rPr>
                <w:rFonts w:cs="Times New Roman"/>
                <w:b/>
                <w:bCs/>
                <w:lang w:val="en-GB"/>
              </w:rPr>
            </w:pPr>
            <w:r w:rsidRPr="008D7715">
              <w:rPr>
                <w:rFonts w:cs="Times New Roman"/>
                <w:b/>
                <w:bCs/>
                <w:lang w:val="en-GB"/>
              </w:rPr>
              <w:t>Érbetegségek és tünetek</w:t>
            </w:r>
          </w:p>
        </w:tc>
      </w:tr>
      <w:tr w:rsidR="000950F6" w:rsidRPr="000950F6" w14:paraId="74341E9C" w14:textId="77777777" w:rsidTr="00E0772D">
        <w:trPr>
          <w:trHeight w:hRule="exact" w:val="555"/>
        </w:trPr>
        <w:tc>
          <w:tcPr>
            <w:tcW w:w="2433" w:type="dxa"/>
            <w:tcBorders>
              <w:top w:val="single" w:sz="4" w:space="0" w:color="000000"/>
              <w:left w:val="single" w:sz="4" w:space="0" w:color="000000"/>
              <w:bottom w:val="single" w:sz="4" w:space="0" w:color="000000"/>
              <w:right w:val="single" w:sz="4" w:space="0" w:color="000000"/>
            </w:tcBorders>
          </w:tcPr>
          <w:p w14:paraId="1DCC3F5C" w14:textId="741A1E40" w:rsidR="000950F6" w:rsidRPr="000950F6" w:rsidRDefault="008D7715" w:rsidP="008D7715">
            <w:pPr>
              <w:pStyle w:val="Szvegtrzs"/>
              <w:ind w:left="0"/>
              <w:rPr>
                <w:rFonts w:cs="Times New Roman"/>
                <w:lang w:val="en-GB"/>
              </w:rPr>
            </w:pPr>
            <w:r w:rsidRPr="008D7715">
              <w:rPr>
                <w:rFonts w:cs="Times New Roman"/>
                <w:lang w:val="en-GB"/>
              </w:rPr>
              <w:t>Vérzés (lásd 4.4 pont)</w:t>
            </w:r>
          </w:p>
        </w:tc>
        <w:tc>
          <w:tcPr>
            <w:tcW w:w="2268" w:type="dxa"/>
            <w:tcBorders>
              <w:top w:val="single" w:sz="4" w:space="0" w:color="000000"/>
              <w:left w:val="single" w:sz="4" w:space="0" w:color="000000"/>
              <w:bottom w:val="single" w:sz="4" w:space="0" w:color="000000"/>
              <w:right w:val="single" w:sz="4" w:space="0" w:color="000000"/>
            </w:tcBorders>
          </w:tcPr>
          <w:p w14:paraId="3FA778D9" w14:textId="732AB158" w:rsidR="000950F6" w:rsidRPr="000950F6" w:rsidRDefault="008D7715" w:rsidP="000950F6">
            <w:pPr>
              <w:pStyle w:val="Szvegtrzs"/>
              <w:ind w:left="0"/>
              <w:rPr>
                <w:rFonts w:cs="Times New Roman"/>
                <w:lang w:val="en-GB"/>
              </w:rPr>
            </w:pPr>
            <w:r>
              <w:rPr>
                <w:rFonts w:cs="Times New Roman"/>
              </w:rPr>
              <w:t>Gyakori</w:t>
            </w:r>
          </w:p>
        </w:tc>
        <w:tc>
          <w:tcPr>
            <w:tcW w:w="2303" w:type="dxa"/>
            <w:tcBorders>
              <w:top w:val="single" w:sz="4" w:space="0" w:color="000000"/>
              <w:left w:val="single" w:sz="4" w:space="0" w:color="000000"/>
              <w:bottom w:val="single" w:sz="4" w:space="0" w:color="000000"/>
              <w:right w:val="single" w:sz="4" w:space="0" w:color="000000"/>
            </w:tcBorders>
          </w:tcPr>
          <w:p w14:paraId="16D4012A" w14:textId="53793A4E" w:rsidR="000950F6" w:rsidRPr="000950F6" w:rsidRDefault="008D7715" w:rsidP="000950F6">
            <w:pPr>
              <w:pStyle w:val="Szvegtrzs"/>
              <w:ind w:left="0"/>
              <w:rPr>
                <w:rFonts w:cs="Times New Roman"/>
                <w:lang w:val="en-GB"/>
              </w:rPr>
            </w:pPr>
            <w:r>
              <w:rPr>
                <w:rFonts w:cs="Times New Roman"/>
              </w:rPr>
              <w:t>Gyakori</w:t>
            </w:r>
          </w:p>
        </w:tc>
        <w:tc>
          <w:tcPr>
            <w:tcW w:w="2091" w:type="dxa"/>
            <w:tcBorders>
              <w:top w:val="single" w:sz="4" w:space="0" w:color="000000"/>
              <w:left w:val="single" w:sz="4" w:space="0" w:color="000000"/>
              <w:bottom w:val="single" w:sz="4" w:space="0" w:color="000000"/>
              <w:right w:val="single" w:sz="4" w:space="0" w:color="000000"/>
            </w:tcBorders>
          </w:tcPr>
          <w:p w14:paraId="5E3D640D" w14:textId="67B6994D" w:rsidR="000950F6" w:rsidRPr="000950F6" w:rsidRDefault="008D7715" w:rsidP="000950F6">
            <w:pPr>
              <w:pStyle w:val="Szvegtrzs"/>
              <w:ind w:left="0"/>
              <w:rPr>
                <w:rFonts w:cs="Times New Roman"/>
                <w:lang w:val="en-GB"/>
              </w:rPr>
            </w:pPr>
            <w:r>
              <w:rPr>
                <w:rFonts w:cs="Times New Roman"/>
              </w:rPr>
              <w:t>Gyakori</w:t>
            </w:r>
          </w:p>
        </w:tc>
      </w:tr>
      <w:tr w:rsidR="000950F6" w:rsidRPr="000950F6" w14:paraId="110ACE7F" w14:textId="77777777" w:rsidTr="00E0772D">
        <w:trPr>
          <w:trHeight w:hRule="exact" w:val="294"/>
        </w:trPr>
        <w:tc>
          <w:tcPr>
            <w:tcW w:w="2433" w:type="dxa"/>
            <w:tcBorders>
              <w:top w:val="single" w:sz="4" w:space="0" w:color="000000"/>
              <w:left w:val="single" w:sz="4" w:space="0" w:color="000000"/>
              <w:bottom w:val="single" w:sz="4" w:space="0" w:color="000000"/>
              <w:right w:val="single" w:sz="4" w:space="0" w:color="000000"/>
            </w:tcBorders>
          </w:tcPr>
          <w:p w14:paraId="0E87495A" w14:textId="2F2A4146" w:rsidR="000950F6" w:rsidRPr="000950F6" w:rsidRDefault="000950F6" w:rsidP="008D7715">
            <w:pPr>
              <w:pStyle w:val="Szvegtrzs"/>
              <w:ind w:left="0"/>
              <w:rPr>
                <w:rFonts w:cs="Times New Roman"/>
                <w:lang w:val="en-GB"/>
              </w:rPr>
            </w:pPr>
            <w:r w:rsidRPr="000950F6">
              <w:rPr>
                <w:rFonts w:cs="Times New Roman"/>
                <w:lang w:val="en-GB"/>
              </w:rPr>
              <w:t>Hypert</w:t>
            </w:r>
            <w:r w:rsidR="008D7715">
              <w:rPr>
                <w:rFonts w:cs="Times New Roman"/>
                <w:lang w:val="en-GB"/>
              </w:rPr>
              <w:t>onia</w:t>
            </w:r>
          </w:p>
        </w:tc>
        <w:tc>
          <w:tcPr>
            <w:tcW w:w="2268" w:type="dxa"/>
            <w:tcBorders>
              <w:top w:val="single" w:sz="4" w:space="0" w:color="000000"/>
              <w:left w:val="single" w:sz="4" w:space="0" w:color="000000"/>
              <w:bottom w:val="single" w:sz="4" w:space="0" w:color="000000"/>
              <w:right w:val="single" w:sz="4" w:space="0" w:color="000000"/>
            </w:tcBorders>
          </w:tcPr>
          <w:p w14:paraId="7715ACC7" w14:textId="3BC287A3" w:rsidR="000950F6" w:rsidRPr="000950F6" w:rsidRDefault="008D7715" w:rsidP="000950F6">
            <w:pPr>
              <w:pStyle w:val="Szvegtrzs"/>
              <w:ind w:left="0"/>
              <w:rPr>
                <w:rFonts w:cs="Times New Roman"/>
                <w:lang w:val="en-GB"/>
              </w:rPr>
            </w:pPr>
            <w:r>
              <w:rPr>
                <w:rFonts w:cs="Times New Roman"/>
                <w:lang w:val="en-GB"/>
              </w:rPr>
              <w:t>Nem gyakori</w:t>
            </w:r>
          </w:p>
        </w:tc>
        <w:tc>
          <w:tcPr>
            <w:tcW w:w="2303" w:type="dxa"/>
            <w:tcBorders>
              <w:top w:val="single" w:sz="4" w:space="0" w:color="000000"/>
              <w:left w:val="single" w:sz="4" w:space="0" w:color="000000"/>
              <w:bottom w:val="single" w:sz="4" w:space="0" w:color="000000"/>
              <w:right w:val="single" w:sz="4" w:space="0" w:color="000000"/>
            </w:tcBorders>
          </w:tcPr>
          <w:p w14:paraId="15923925" w14:textId="7A45E49B" w:rsidR="000950F6" w:rsidRPr="000950F6" w:rsidRDefault="008D7715" w:rsidP="000950F6">
            <w:pPr>
              <w:pStyle w:val="Szvegtrzs"/>
              <w:ind w:left="0"/>
              <w:rPr>
                <w:rFonts w:cs="Times New Roman"/>
              </w:rPr>
            </w:pPr>
            <w:r>
              <w:rPr>
                <w:rFonts w:cs="Times New Roman"/>
              </w:rPr>
              <w:t>Gyakori</w:t>
            </w:r>
          </w:p>
        </w:tc>
        <w:tc>
          <w:tcPr>
            <w:tcW w:w="2091" w:type="dxa"/>
            <w:tcBorders>
              <w:top w:val="single" w:sz="4" w:space="0" w:color="000000"/>
              <w:left w:val="single" w:sz="4" w:space="0" w:color="000000"/>
              <w:bottom w:val="single" w:sz="4" w:space="0" w:color="000000"/>
              <w:right w:val="single" w:sz="4" w:space="0" w:color="000000"/>
            </w:tcBorders>
          </w:tcPr>
          <w:p w14:paraId="25A6F4D1" w14:textId="0BC963FB" w:rsidR="000950F6" w:rsidRPr="000950F6" w:rsidRDefault="008D7715" w:rsidP="000950F6">
            <w:pPr>
              <w:pStyle w:val="Szvegtrzs"/>
              <w:ind w:left="0"/>
              <w:rPr>
                <w:rFonts w:cs="Times New Roman"/>
              </w:rPr>
            </w:pPr>
            <w:r>
              <w:rPr>
                <w:rFonts w:cs="Times New Roman"/>
              </w:rPr>
              <w:t>Gyakori</w:t>
            </w:r>
          </w:p>
        </w:tc>
      </w:tr>
      <w:tr w:rsidR="000950F6" w:rsidRPr="000950F6" w14:paraId="415FCC0C" w14:textId="77777777" w:rsidTr="00E0772D">
        <w:trPr>
          <w:trHeight w:hRule="exact" w:val="553"/>
        </w:trPr>
        <w:tc>
          <w:tcPr>
            <w:tcW w:w="2433" w:type="dxa"/>
            <w:tcBorders>
              <w:top w:val="single" w:sz="4" w:space="0" w:color="000000"/>
              <w:left w:val="single" w:sz="4" w:space="0" w:color="000000"/>
              <w:bottom w:val="single" w:sz="4" w:space="0" w:color="000000"/>
              <w:right w:val="single" w:sz="4" w:space="0" w:color="000000"/>
            </w:tcBorders>
          </w:tcPr>
          <w:p w14:paraId="66A08612" w14:textId="4A55DD0C" w:rsidR="000950F6" w:rsidRPr="000950F6" w:rsidRDefault="008D7715" w:rsidP="006660BC">
            <w:pPr>
              <w:pStyle w:val="Szvegtrzs"/>
              <w:ind w:left="0"/>
              <w:rPr>
                <w:rFonts w:cs="Times New Roman"/>
              </w:rPr>
            </w:pPr>
            <w:r w:rsidRPr="008D7715">
              <w:rPr>
                <w:rFonts w:cs="Times New Roman"/>
              </w:rPr>
              <w:t>Aneurysma és arteria</w:t>
            </w:r>
            <w:r w:rsidR="006660BC">
              <w:rPr>
                <w:rFonts w:cs="Times New Roman"/>
              </w:rPr>
              <w:t xml:space="preserve"> </w:t>
            </w:r>
            <w:r w:rsidRPr="008D7715">
              <w:rPr>
                <w:rFonts w:cs="Times New Roman"/>
              </w:rPr>
              <w:t>dissectio</w:t>
            </w:r>
          </w:p>
        </w:tc>
        <w:tc>
          <w:tcPr>
            <w:tcW w:w="2268" w:type="dxa"/>
            <w:tcBorders>
              <w:top w:val="single" w:sz="4" w:space="0" w:color="000000"/>
              <w:left w:val="single" w:sz="4" w:space="0" w:color="000000"/>
              <w:bottom w:val="single" w:sz="4" w:space="0" w:color="000000"/>
              <w:right w:val="single" w:sz="4" w:space="0" w:color="000000"/>
            </w:tcBorders>
          </w:tcPr>
          <w:p w14:paraId="374459A0" w14:textId="049226A1" w:rsidR="000950F6" w:rsidRPr="000950F6" w:rsidRDefault="008D7715" w:rsidP="000950F6">
            <w:pPr>
              <w:pStyle w:val="Szvegtrzs"/>
              <w:ind w:left="0"/>
              <w:rPr>
                <w:rFonts w:cs="Times New Roman"/>
              </w:rPr>
            </w:pPr>
            <w:r>
              <w:rPr>
                <w:rFonts w:cs="Times New Roman"/>
                <w:lang w:val="en-GB"/>
              </w:rPr>
              <w:t>Nem ismert</w:t>
            </w:r>
          </w:p>
        </w:tc>
        <w:tc>
          <w:tcPr>
            <w:tcW w:w="2303" w:type="dxa"/>
            <w:tcBorders>
              <w:top w:val="single" w:sz="4" w:space="0" w:color="000000"/>
              <w:left w:val="single" w:sz="4" w:space="0" w:color="000000"/>
              <w:bottom w:val="single" w:sz="4" w:space="0" w:color="000000"/>
              <w:right w:val="single" w:sz="4" w:space="0" w:color="000000"/>
            </w:tcBorders>
          </w:tcPr>
          <w:p w14:paraId="542F16FB" w14:textId="42F7D1D4" w:rsidR="000950F6" w:rsidRPr="000950F6" w:rsidRDefault="008D7715" w:rsidP="000950F6">
            <w:pPr>
              <w:pStyle w:val="Szvegtrzs"/>
              <w:ind w:left="0"/>
              <w:rPr>
                <w:rFonts w:cs="Times New Roman"/>
              </w:rPr>
            </w:pPr>
            <w:r>
              <w:rPr>
                <w:rFonts w:cs="Times New Roman"/>
                <w:lang w:val="en-GB"/>
              </w:rPr>
              <w:t>Nem ismert</w:t>
            </w:r>
          </w:p>
        </w:tc>
        <w:tc>
          <w:tcPr>
            <w:tcW w:w="2091" w:type="dxa"/>
            <w:tcBorders>
              <w:top w:val="single" w:sz="4" w:space="0" w:color="000000"/>
              <w:left w:val="single" w:sz="4" w:space="0" w:color="000000"/>
              <w:bottom w:val="single" w:sz="4" w:space="0" w:color="000000"/>
              <w:right w:val="single" w:sz="4" w:space="0" w:color="000000"/>
            </w:tcBorders>
          </w:tcPr>
          <w:p w14:paraId="2D917C71" w14:textId="13411C07" w:rsidR="000950F6" w:rsidRPr="000950F6" w:rsidRDefault="008D7715" w:rsidP="000950F6">
            <w:pPr>
              <w:pStyle w:val="Szvegtrzs"/>
              <w:ind w:left="0"/>
              <w:rPr>
                <w:rFonts w:cs="Times New Roman"/>
                <w:lang w:val="en-GB"/>
              </w:rPr>
            </w:pPr>
            <w:r>
              <w:rPr>
                <w:rFonts w:cs="Times New Roman"/>
                <w:lang w:val="en-GB"/>
              </w:rPr>
              <w:t>Nem ismert</w:t>
            </w:r>
          </w:p>
        </w:tc>
      </w:tr>
      <w:tr w:rsidR="000950F6" w:rsidRPr="000950F6" w14:paraId="5FE638CA" w14:textId="77777777" w:rsidTr="00E0772D">
        <w:trPr>
          <w:trHeight w:hRule="exact" w:val="292"/>
        </w:trPr>
        <w:tc>
          <w:tcPr>
            <w:tcW w:w="9095" w:type="dxa"/>
            <w:gridSpan w:val="4"/>
            <w:tcBorders>
              <w:top w:val="single" w:sz="4" w:space="0" w:color="000000"/>
              <w:left w:val="single" w:sz="4" w:space="0" w:color="000000"/>
              <w:bottom w:val="single" w:sz="4" w:space="0" w:color="000000"/>
              <w:right w:val="single" w:sz="4" w:space="0" w:color="000000"/>
            </w:tcBorders>
          </w:tcPr>
          <w:p w14:paraId="1323CFC3" w14:textId="17E4FC18" w:rsidR="000950F6" w:rsidRPr="000950F6" w:rsidRDefault="008D7715" w:rsidP="008D7715">
            <w:pPr>
              <w:pStyle w:val="Szvegtrzs"/>
              <w:ind w:left="0"/>
              <w:rPr>
                <w:rFonts w:cs="Times New Roman"/>
                <w:b/>
                <w:bCs/>
                <w:lang w:val="en-GB"/>
              </w:rPr>
            </w:pPr>
            <w:r w:rsidRPr="008D7715">
              <w:rPr>
                <w:rFonts w:cs="Times New Roman"/>
                <w:b/>
                <w:bCs/>
                <w:lang w:val="en-GB"/>
              </w:rPr>
              <w:t>Emésztőrendszeri betegségek és tünetek</w:t>
            </w:r>
          </w:p>
        </w:tc>
      </w:tr>
      <w:tr w:rsidR="000950F6" w:rsidRPr="000950F6" w14:paraId="26454B42" w14:textId="77777777" w:rsidTr="00E0772D">
        <w:trPr>
          <w:trHeight w:hRule="exact" w:val="281"/>
        </w:trPr>
        <w:tc>
          <w:tcPr>
            <w:tcW w:w="2433" w:type="dxa"/>
            <w:tcBorders>
              <w:top w:val="single" w:sz="4" w:space="0" w:color="000000"/>
              <w:left w:val="single" w:sz="4" w:space="0" w:color="000000"/>
              <w:bottom w:val="single" w:sz="4" w:space="0" w:color="000000"/>
              <w:right w:val="single" w:sz="4" w:space="0" w:color="000000"/>
            </w:tcBorders>
          </w:tcPr>
          <w:p w14:paraId="1E1D8C21" w14:textId="4ADC27BF" w:rsidR="000950F6" w:rsidRPr="000950F6" w:rsidRDefault="008D7715" w:rsidP="008D7715">
            <w:pPr>
              <w:pStyle w:val="Szvegtrzs"/>
              <w:ind w:left="0"/>
              <w:rPr>
                <w:rFonts w:cs="Times New Roman"/>
              </w:rPr>
            </w:pPr>
            <w:r w:rsidRPr="008D7715">
              <w:rPr>
                <w:rFonts w:cs="Times New Roman"/>
              </w:rPr>
              <w:t>Hasmenés</w:t>
            </w:r>
          </w:p>
        </w:tc>
        <w:tc>
          <w:tcPr>
            <w:tcW w:w="2268" w:type="dxa"/>
            <w:tcBorders>
              <w:top w:val="single" w:sz="4" w:space="0" w:color="000000"/>
              <w:left w:val="single" w:sz="4" w:space="0" w:color="000000"/>
              <w:bottom w:val="single" w:sz="4" w:space="0" w:color="000000"/>
              <w:right w:val="single" w:sz="4" w:space="0" w:color="000000"/>
            </w:tcBorders>
          </w:tcPr>
          <w:p w14:paraId="6E95934B" w14:textId="0B62339D" w:rsidR="000950F6" w:rsidRPr="000950F6" w:rsidRDefault="008D7715" w:rsidP="000950F6">
            <w:pPr>
              <w:pStyle w:val="Szvegtrzs"/>
              <w:ind w:left="0"/>
              <w:rPr>
                <w:rFonts w:cs="Times New Roman"/>
              </w:rPr>
            </w:pPr>
            <w:r>
              <w:rPr>
                <w:rFonts w:cs="Times New Roman"/>
              </w:rPr>
              <w:t>Nagyon gyakori</w:t>
            </w:r>
          </w:p>
        </w:tc>
        <w:tc>
          <w:tcPr>
            <w:tcW w:w="2303" w:type="dxa"/>
            <w:tcBorders>
              <w:top w:val="single" w:sz="4" w:space="0" w:color="000000"/>
              <w:left w:val="single" w:sz="4" w:space="0" w:color="000000"/>
              <w:bottom w:val="single" w:sz="4" w:space="0" w:color="000000"/>
              <w:right w:val="single" w:sz="4" w:space="0" w:color="000000"/>
            </w:tcBorders>
          </w:tcPr>
          <w:p w14:paraId="7B40A51F" w14:textId="55BA83D8" w:rsidR="000950F6" w:rsidRPr="000950F6" w:rsidRDefault="008D7715" w:rsidP="000950F6">
            <w:pPr>
              <w:pStyle w:val="Szvegtrzs"/>
              <w:ind w:left="0"/>
              <w:rPr>
                <w:rFonts w:cs="Times New Roman"/>
              </w:rPr>
            </w:pPr>
            <w:r>
              <w:rPr>
                <w:rFonts w:cs="Times New Roman"/>
              </w:rPr>
              <w:t>Nagyon gyakori</w:t>
            </w:r>
          </w:p>
        </w:tc>
        <w:tc>
          <w:tcPr>
            <w:tcW w:w="2091" w:type="dxa"/>
            <w:tcBorders>
              <w:top w:val="single" w:sz="4" w:space="0" w:color="000000"/>
              <w:left w:val="single" w:sz="4" w:space="0" w:color="000000"/>
              <w:bottom w:val="single" w:sz="4" w:space="0" w:color="000000"/>
              <w:right w:val="single" w:sz="4" w:space="0" w:color="000000"/>
            </w:tcBorders>
          </w:tcPr>
          <w:p w14:paraId="7A0B8048" w14:textId="73E06E9F" w:rsidR="000950F6" w:rsidRPr="000950F6" w:rsidRDefault="008D7715" w:rsidP="000950F6">
            <w:pPr>
              <w:pStyle w:val="Szvegtrzs"/>
              <w:ind w:left="0"/>
              <w:rPr>
                <w:rFonts w:cs="Times New Roman"/>
                <w:lang w:val="en-GB"/>
              </w:rPr>
            </w:pPr>
            <w:r>
              <w:rPr>
                <w:rFonts w:cs="Times New Roman"/>
              </w:rPr>
              <w:t>Nagyon gyakori</w:t>
            </w:r>
          </w:p>
        </w:tc>
      </w:tr>
      <w:tr w:rsidR="000950F6" w:rsidRPr="000950F6" w14:paraId="0014364C" w14:textId="77777777" w:rsidTr="00E0772D">
        <w:trPr>
          <w:trHeight w:hRule="exact" w:val="286"/>
        </w:trPr>
        <w:tc>
          <w:tcPr>
            <w:tcW w:w="2433" w:type="dxa"/>
            <w:tcBorders>
              <w:top w:val="single" w:sz="4" w:space="0" w:color="000000"/>
              <w:left w:val="single" w:sz="4" w:space="0" w:color="000000"/>
              <w:bottom w:val="single" w:sz="4" w:space="0" w:color="000000"/>
              <w:right w:val="single" w:sz="4" w:space="0" w:color="000000"/>
            </w:tcBorders>
          </w:tcPr>
          <w:p w14:paraId="4B64FB9E" w14:textId="6BB06BE6" w:rsidR="000950F6" w:rsidRPr="000950F6" w:rsidRDefault="008D7715" w:rsidP="008D7715">
            <w:pPr>
              <w:pStyle w:val="Szvegtrzs"/>
              <w:ind w:left="0"/>
              <w:rPr>
                <w:rFonts w:cs="Times New Roman"/>
              </w:rPr>
            </w:pPr>
            <w:r w:rsidRPr="008D7715">
              <w:rPr>
                <w:rFonts w:cs="Times New Roman"/>
              </w:rPr>
              <w:t>Hányinger</w:t>
            </w:r>
          </w:p>
        </w:tc>
        <w:tc>
          <w:tcPr>
            <w:tcW w:w="2268" w:type="dxa"/>
            <w:tcBorders>
              <w:top w:val="single" w:sz="4" w:space="0" w:color="000000"/>
              <w:left w:val="single" w:sz="4" w:space="0" w:color="000000"/>
              <w:bottom w:val="single" w:sz="4" w:space="0" w:color="000000"/>
              <w:right w:val="single" w:sz="4" w:space="0" w:color="000000"/>
            </w:tcBorders>
          </w:tcPr>
          <w:p w14:paraId="7C15B1AA" w14:textId="2C486660" w:rsidR="000950F6" w:rsidRPr="000950F6" w:rsidRDefault="008D7715" w:rsidP="000950F6">
            <w:pPr>
              <w:pStyle w:val="Szvegtrzs"/>
              <w:ind w:left="0"/>
              <w:rPr>
                <w:rFonts w:cs="Times New Roman"/>
              </w:rPr>
            </w:pPr>
            <w:r>
              <w:rPr>
                <w:rFonts w:cs="Times New Roman"/>
              </w:rPr>
              <w:t>Nagyon gyakori</w:t>
            </w:r>
          </w:p>
        </w:tc>
        <w:tc>
          <w:tcPr>
            <w:tcW w:w="2303" w:type="dxa"/>
            <w:tcBorders>
              <w:top w:val="single" w:sz="4" w:space="0" w:color="000000"/>
              <w:left w:val="single" w:sz="4" w:space="0" w:color="000000"/>
              <w:bottom w:val="single" w:sz="4" w:space="0" w:color="000000"/>
              <w:right w:val="single" w:sz="4" w:space="0" w:color="000000"/>
            </w:tcBorders>
          </w:tcPr>
          <w:p w14:paraId="674DBBB8" w14:textId="5168BCA9" w:rsidR="000950F6" w:rsidRPr="000950F6" w:rsidRDefault="008D7715" w:rsidP="000950F6">
            <w:pPr>
              <w:pStyle w:val="Szvegtrzs"/>
              <w:ind w:left="0"/>
              <w:rPr>
                <w:rFonts w:cs="Times New Roman"/>
              </w:rPr>
            </w:pPr>
            <w:r>
              <w:rPr>
                <w:rFonts w:cs="Times New Roman"/>
              </w:rPr>
              <w:t>Nagyon gyakori</w:t>
            </w:r>
          </w:p>
        </w:tc>
        <w:tc>
          <w:tcPr>
            <w:tcW w:w="2091" w:type="dxa"/>
            <w:tcBorders>
              <w:top w:val="single" w:sz="4" w:space="0" w:color="000000"/>
              <w:left w:val="single" w:sz="4" w:space="0" w:color="000000"/>
              <w:bottom w:val="single" w:sz="4" w:space="0" w:color="000000"/>
              <w:right w:val="single" w:sz="4" w:space="0" w:color="000000"/>
            </w:tcBorders>
          </w:tcPr>
          <w:p w14:paraId="2C277084" w14:textId="252DFE86" w:rsidR="000950F6" w:rsidRPr="000950F6" w:rsidRDefault="008D7715" w:rsidP="000950F6">
            <w:pPr>
              <w:pStyle w:val="Szvegtrzs"/>
              <w:ind w:left="0"/>
              <w:rPr>
                <w:rFonts w:cs="Times New Roman"/>
                <w:lang w:val="en-GB"/>
              </w:rPr>
            </w:pPr>
            <w:r>
              <w:rPr>
                <w:rFonts w:cs="Times New Roman"/>
              </w:rPr>
              <w:t>Nagyon gyakori</w:t>
            </w:r>
          </w:p>
        </w:tc>
      </w:tr>
      <w:tr w:rsidR="000950F6" w:rsidRPr="000950F6" w14:paraId="1AAC1F61" w14:textId="77777777" w:rsidTr="00E0772D">
        <w:trPr>
          <w:trHeight w:hRule="exact" w:val="275"/>
        </w:trPr>
        <w:tc>
          <w:tcPr>
            <w:tcW w:w="2433" w:type="dxa"/>
            <w:tcBorders>
              <w:top w:val="single" w:sz="4" w:space="0" w:color="000000"/>
              <w:left w:val="single" w:sz="4" w:space="0" w:color="000000"/>
              <w:bottom w:val="single" w:sz="4" w:space="0" w:color="000000"/>
              <w:right w:val="single" w:sz="4" w:space="0" w:color="000000"/>
            </w:tcBorders>
          </w:tcPr>
          <w:p w14:paraId="2273B9E2" w14:textId="17A5E2E3" w:rsidR="000950F6" w:rsidRPr="000950F6" w:rsidRDefault="008D7715" w:rsidP="008D7715">
            <w:pPr>
              <w:pStyle w:val="Szvegtrzs"/>
              <w:ind w:left="0"/>
              <w:rPr>
                <w:rFonts w:cs="Times New Roman"/>
                <w:lang w:val="en-GB"/>
              </w:rPr>
            </w:pPr>
            <w:r w:rsidRPr="008D7715">
              <w:rPr>
                <w:rFonts w:cs="Times New Roman"/>
                <w:lang w:val="en-GB"/>
              </w:rPr>
              <w:t>Hasi fájdalom</w:t>
            </w:r>
          </w:p>
        </w:tc>
        <w:tc>
          <w:tcPr>
            <w:tcW w:w="2268" w:type="dxa"/>
            <w:tcBorders>
              <w:top w:val="single" w:sz="4" w:space="0" w:color="000000"/>
              <w:left w:val="single" w:sz="4" w:space="0" w:color="000000"/>
              <w:bottom w:val="single" w:sz="4" w:space="0" w:color="000000"/>
              <w:right w:val="single" w:sz="4" w:space="0" w:color="000000"/>
            </w:tcBorders>
          </w:tcPr>
          <w:p w14:paraId="4CAED663" w14:textId="7B92E319" w:rsidR="000950F6" w:rsidRPr="000950F6" w:rsidRDefault="008D7715" w:rsidP="000950F6">
            <w:pPr>
              <w:pStyle w:val="Szvegtrzs"/>
              <w:ind w:left="0"/>
              <w:rPr>
                <w:rFonts w:cs="Times New Roman"/>
                <w:lang w:val="en-GB"/>
              </w:rPr>
            </w:pPr>
            <w:r>
              <w:rPr>
                <w:rFonts w:cs="Times New Roman"/>
              </w:rPr>
              <w:t>Nagyon gyakori</w:t>
            </w:r>
          </w:p>
        </w:tc>
        <w:tc>
          <w:tcPr>
            <w:tcW w:w="2303" w:type="dxa"/>
            <w:tcBorders>
              <w:top w:val="single" w:sz="4" w:space="0" w:color="000000"/>
              <w:left w:val="single" w:sz="4" w:space="0" w:color="000000"/>
              <w:bottom w:val="single" w:sz="4" w:space="0" w:color="000000"/>
              <w:right w:val="single" w:sz="4" w:space="0" w:color="000000"/>
            </w:tcBorders>
          </w:tcPr>
          <w:p w14:paraId="6A637FC9" w14:textId="3E140711" w:rsidR="000950F6" w:rsidRPr="000950F6" w:rsidRDefault="008D7715" w:rsidP="000950F6">
            <w:pPr>
              <w:pStyle w:val="Szvegtrzs"/>
              <w:ind w:left="0"/>
              <w:rPr>
                <w:rFonts w:cs="Times New Roman"/>
                <w:lang w:val="en-GB"/>
              </w:rPr>
            </w:pPr>
            <w:r>
              <w:rPr>
                <w:rFonts w:cs="Times New Roman"/>
              </w:rPr>
              <w:t>Nagyon gyakori</w:t>
            </w:r>
          </w:p>
        </w:tc>
        <w:tc>
          <w:tcPr>
            <w:tcW w:w="2091" w:type="dxa"/>
            <w:tcBorders>
              <w:top w:val="single" w:sz="4" w:space="0" w:color="000000"/>
              <w:left w:val="single" w:sz="4" w:space="0" w:color="000000"/>
              <w:bottom w:val="single" w:sz="4" w:space="0" w:color="000000"/>
              <w:right w:val="single" w:sz="4" w:space="0" w:color="000000"/>
            </w:tcBorders>
          </w:tcPr>
          <w:p w14:paraId="062A2A79" w14:textId="7535C015" w:rsidR="000950F6" w:rsidRPr="000950F6" w:rsidRDefault="008D7715" w:rsidP="000950F6">
            <w:pPr>
              <w:pStyle w:val="Szvegtrzs"/>
              <w:ind w:left="0"/>
              <w:rPr>
                <w:rFonts w:cs="Times New Roman"/>
                <w:lang w:val="en-GB"/>
              </w:rPr>
            </w:pPr>
            <w:r>
              <w:rPr>
                <w:rFonts w:cs="Times New Roman"/>
              </w:rPr>
              <w:t>Nagyon gyakori</w:t>
            </w:r>
          </w:p>
        </w:tc>
      </w:tr>
      <w:tr w:rsidR="000950F6" w:rsidRPr="000950F6" w14:paraId="06ACDEDA" w14:textId="77777777" w:rsidTr="00E0772D">
        <w:trPr>
          <w:trHeight w:hRule="exact" w:val="294"/>
        </w:trPr>
        <w:tc>
          <w:tcPr>
            <w:tcW w:w="2433" w:type="dxa"/>
            <w:tcBorders>
              <w:top w:val="single" w:sz="4" w:space="0" w:color="000000"/>
              <w:left w:val="single" w:sz="4" w:space="0" w:color="000000"/>
              <w:bottom w:val="single" w:sz="4" w:space="0" w:color="000000"/>
              <w:right w:val="single" w:sz="4" w:space="0" w:color="000000"/>
            </w:tcBorders>
          </w:tcPr>
          <w:p w14:paraId="583C8149" w14:textId="5CB70447" w:rsidR="000950F6" w:rsidRPr="000950F6" w:rsidRDefault="008D7715" w:rsidP="008D7715">
            <w:pPr>
              <w:pStyle w:val="Szvegtrzs"/>
              <w:ind w:left="0"/>
              <w:rPr>
                <w:rFonts w:cs="Times New Roman"/>
                <w:lang w:val="en-GB"/>
              </w:rPr>
            </w:pPr>
            <w:r w:rsidRPr="008D7715">
              <w:rPr>
                <w:rFonts w:cs="Times New Roman"/>
                <w:lang w:val="en-GB"/>
              </w:rPr>
              <w:t>Hányás</w:t>
            </w:r>
            <w:r>
              <w:rPr>
                <w:rFonts w:cs="Times New Roman"/>
                <w:lang w:val="en-GB"/>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2438BE70" w14:textId="423ABC48" w:rsidR="000950F6" w:rsidRPr="000950F6" w:rsidRDefault="008D7715" w:rsidP="000950F6">
            <w:pPr>
              <w:pStyle w:val="Szvegtrzs"/>
              <w:ind w:left="0"/>
              <w:rPr>
                <w:rFonts w:cs="Times New Roman"/>
                <w:lang w:val="en-GB"/>
              </w:rPr>
            </w:pPr>
            <w:r>
              <w:rPr>
                <w:rFonts w:cs="Times New Roman"/>
              </w:rPr>
              <w:t>Gyakori</w:t>
            </w:r>
          </w:p>
        </w:tc>
        <w:tc>
          <w:tcPr>
            <w:tcW w:w="2303" w:type="dxa"/>
            <w:tcBorders>
              <w:top w:val="single" w:sz="4" w:space="0" w:color="000000"/>
              <w:left w:val="single" w:sz="4" w:space="0" w:color="000000"/>
              <w:bottom w:val="single" w:sz="4" w:space="0" w:color="000000"/>
              <w:right w:val="single" w:sz="4" w:space="0" w:color="000000"/>
            </w:tcBorders>
          </w:tcPr>
          <w:p w14:paraId="2FEE9E43" w14:textId="4C874206" w:rsidR="000950F6" w:rsidRPr="000950F6" w:rsidRDefault="008D7715" w:rsidP="000950F6">
            <w:pPr>
              <w:pStyle w:val="Szvegtrzs"/>
              <w:ind w:left="0"/>
              <w:rPr>
                <w:rFonts w:cs="Times New Roman"/>
                <w:lang w:val="en-GB"/>
              </w:rPr>
            </w:pPr>
            <w:r>
              <w:rPr>
                <w:rFonts w:cs="Times New Roman"/>
              </w:rPr>
              <w:t>Nagyon gyakori</w:t>
            </w:r>
          </w:p>
        </w:tc>
        <w:tc>
          <w:tcPr>
            <w:tcW w:w="2091" w:type="dxa"/>
            <w:tcBorders>
              <w:top w:val="single" w:sz="4" w:space="0" w:color="000000"/>
              <w:left w:val="single" w:sz="4" w:space="0" w:color="000000"/>
              <w:bottom w:val="single" w:sz="4" w:space="0" w:color="000000"/>
              <w:right w:val="single" w:sz="4" w:space="0" w:color="000000"/>
            </w:tcBorders>
          </w:tcPr>
          <w:p w14:paraId="703A466E" w14:textId="2976439F" w:rsidR="000950F6" w:rsidRPr="000950F6" w:rsidRDefault="008D7715" w:rsidP="000950F6">
            <w:pPr>
              <w:pStyle w:val="Szvegtrzs"/>
              <w:ind w:left="0"/>
              <w:rPr>
                <w:rFonts w:cs="Times New Roman"/>
                <w:lang w:val="en-GB"/>
              </w:rPr>
            </w:pPr>
            <w:r>
              <w:rPr>
                <w:rFonts w:cs="Times New Roman"/>
              </w:rPr>
              <w:t>Nagyon gyakori</w:t>
            </w:r>
          </w:p>
        </w:tc>
      </w:tr>
      <w:tr w:rsidR="000950F6" w:rsidRPr="000950F6" w14:paraId="25A21F04" w14:textId="77777777" w:rsidTr="00E0772D">
        <w:trPr>
          <w:trHeight w:hRule="exact" w:val="283"/>
        </w:trPr>
        <w:tc>
          <w:tcPr>
            <w:tcW w:w="2433" w:type="dxa"/>
            <w:tcBorders>
              <w:top w:val="single" w:sz="4" w:space="0" w:color="000000"/>
              <w:left w:val="single" w:sz="4" w:space="0" w:color="000000"/>
              <w:bottom w:val="single" w:sz="4" w:space="0" w:color="000000"/>
              <w:right w:val="single" w:sz="4" w:space="0" w:color="000000"/>
            </w:tcBorders>
          </w:tcPr>
          <w:p w14:paraId="30EE1276" w14:textId="742C04A9" w:rsidR="000950F6" w:rsidRPr="000950F6" w:rsidRDefault="000950F6" w:rsidP="008D7715">
            <w:pPr>
              <w:pStyle w:val="Szvegtrzs"/>
              <w:ind w:left="0"/>
              <w:rPr>
                <w:rFonts w:cs="Times New Roman"/>
                <w:lang w:val="en-GB"/>
              </w:rPr>
            </w:pPr>
            <w:r w:rsidRPr="000950F6">
              <w:rPr>
                <w:rFonts w:cs="Times New Roman"/>
                <w:lang w:val="en-GB"/>
              </w:rPr>
              <w:t>Pancreatitis</w:t>
            </w:r>
          </w:p>
        </w:tc>
        <w:tc>
          <w:tcPr>
            <w:tcW w:w="2268" w:type="dxa"/>
            <w:tcBorders>
              <w:top w:val="single" w:sz="4" w:space="0" w:color="000000"/>
              <w:left w:val="single" w:sz="4" w:space="0" w:color="000000"/>
              <w:bottom w:val="single" w:sz="4" w:space="0" w:color="000000"/>
              <w:right w:val="single" w:sz="4" w:space="0" w:color="000000"/>
            </w:tcBorders>
          </w:tcPr>
          <w:p w14:paraId="3846F45C" w14:textId="3F34FB2B" w:rsidR="000950F6" w:rsidRPr="000950F6" w:rsidRDefault="008D7715" w:rsidP="000950F6">
            <w:pPr>
              <w:pStyle w:val="Szvegtrzs"/>
              <w:ind w:left="0"/>
              <w:rPr>
                <w:rFonts w:cs="Times New Roman"/>
                <w:lang w:val="en-GB"/>
              </w:rPr>
            </w:pPr>
            <w:r>
              <w:rPr>
                <w:rFonts w:cs="Times New Roman"/>
                <w:lang w:val="en-GB"/>
              </w:rPr>
              <w:t>Nem gyakori</w:t>
            </w:r>
          </w:p>
        </w:tc>
        <w:tc>
          <w:tcPr>
            <w:tcW w:w="2303" w:type="dxa"/>
            <w:tcBorders>
              <w:top w:val="single" w:sz="4" w:space="0" w:color="000000"/>
              <w:left w:val="single" w:sz="4" w:space="0" w:color="000000"/>
              <w:bottom w:val="single" w:sz="4" w:space="0" w:color="000000"/>
              <w:right w:val="single" w:sz="4" w:space="0" w:color="000000"/>
            </w:tcBorders>
          </w:tcPr>
          <w:p w14:paraId="15194FCE" w14:textId="508CB9A7" w:rsidR="000950F6" w:rsidRPr="000950F6" w:rsidRDefault="008D7715" w:rsidP="000950F6">
            <w:pPr>
              <w:pStyle w:val="Szvegtrzs"/>
              <w:ind w:left="0"/>
              <w:rPr>
                <w:rFonts w:cs="Times New Roman"/>
                <w:lang w:val="en-GB"/>
              </w:rPr>
            </w:pPr>
            <w:r>
              <w:rPr>
                <w:rFonts w:cs="Times New Roman"/>
                <w:lang w:val="en-GB"/>
              </w:rPr>
              <w:t>Nem gyakori</w:t>
            </w:r>
          </w:p>
        </w:tc>
        <w:tc>
          <w:tcPr>
            <w:tcW w:w="2091" w:type="dxa"/>
            <w:tcBorders>
              <w:top w:val="single" w:sz="4" w:space="0" w:color="000000"/>
              <w:left w:val="single" w:sz="4" w:space="0" w:color="000000"/>
              <w:bottom w:val="single" w:sz="4" w:space="0" w:color="000000"/>
              <w:right w:val="single" w:sz="4" w:space="0" w:color="000000"/>
            </w:tcBorders>
          </w:tcPr>
          <w:p w14:paraId="07175846" w14:textId="0C60189D" w:rsidR="000950F6" w:rsidRPr="000950F6" w:rsidRDefault="008D7715" w:rsidP="000950F6">
            <w:pPr>
              <w:pStyle w:val="Szvegtrzs"/>
              <w:ind w:left="0"/>
              <w:rPr>
                <w:rFonts w:cs="Times New Roman"/>
                <w:lang w:val="en-GB"/>
              </w:rPr>
            </w:pPr>
            <w:r>
              <w:rPr>
                <w:rFonts w:cs="Times New Roman"/>
                <w:lang w:val="en-GB"/>
              </w:rPr>
              <w:t>Nem ismert</w:t>
            </w:r>
          </w:p>
        </w:tc>
      </w:tr>
      <w:tr w:rsidR="000950F6" w:rsidRPr="000950F6" w14:paraId="2B7BB423" w14:textId="77777777" w:rsidTr="00E0772D">
        <w:trPr>
          <w:trHeight w:hRule="exact" w:val="274"/>
        </w:trPr>
        <w:tc>
          <w:tcPr>
            <w:tcW w:w="2433" w:type="dxa"/>
            <w:tcBorders>
              <w:top w:val="single" w:sz="4" w:space="0" w:color="000000"/>
              <w:left w:val="single" w:sz="4" w:space="0" w:color="000000"/>
              <w:bottom w:val="single" w:sz="4" w:space="0" w:color="000000"/>
              <w:right w:val="single" w:sz="4" w:space="0" w:color="000000"/>
            </w:tcBorders>
          </w:tcPr>
          <w:p w14:paraId="578CAF06" w14:textId="57BBC4AC" w:rsidR="000950F6" w:rsidRPr="000950F6" w:rsidRDefault="000950F6" w:rsidP="008D7715">
            <w:pPr>
              <w:pStyle w:val="Szvegtrzs"/>
              <w:ind w:left="0"/>
              <w:rPr>
                <w:rFonts w:cs="Times New Roman"/>
                <w:lang w:val="en-GB"/>
              </w:rPr>
            </w:pPr>
            <w:r w:rsidRPr="000950F6">
              <w:rPr>
                <w:rFonts w:cs="Times New Roman"/>
                <w:lang w:val="en-GB"/>
              </w:rPr>
              <w:t>Colitis</w:t>
            </w:r>
          </w:p>
        </w:tc>
        <w:tc>
          <w:tcPr>
            <w:tcW w:w="2268" w:type="dxa"/>
            <w:tcBorders>
              <w:top w:val="single" w:sz="4" w:space="0" w:color="000000"/>
              <w:left w:val="single" w:sz="4" w:space="0" w:color="000000"/>
              <w:bottom w:val="single" w:sz="4" w:space="0" w:color="000000"/>
              <w:right w:val="single" w:sz="4" w:space="0" w:color="000000"/>
            </w:tcBorders>
          </w:tcPr>
          <w:p w14:paraId="4B235976" w14:textId="409F74A0" w:rsidR="000950F6" w:rsidRPr="000950F6" w:rsidRDefault="008D7715" w:rsidP="000950F6">
            <w:pPr>
              <w:pStyle w:val="Szvegtrzs"/>
              <w:ind w:left="0"/>
              <w:rPr>
                <w:rFonts w:cs="Times New Roman"/>
                <w:lang w:val="en-GB"/>
              </w:rPr>
            </w:pPr>
            <w:r>
              <w:rPr>
                <w:rFonts w:cs="Times New Roman"/>
                <w:lang w:val="en-GB"/>
              </w:rPr>
              <w:t>Nem gyakori</w:t>
            </w:r>
          </w:p>
        </w:tc>
        <w:tc>
          <w:tcPr>
            <w:tcW w:w="2303" w:type="dxa"/>
            <w:tcBorders>
              <w:top w:val="single" w:sz="4" w:space="0" w:color="000000"/>
              <w:left w:val="single" w:sz="4" w:space="0" w:color="000000"/>
              <w:bottom w:val="single" w:sz="4" w:space="0" w:color="000000"/>
              <w:right w:val="single" w:sz="4" w:space="0" w:color="000000"/>
            </w:tcBorders>
          </w:tcPr>
          <w:p w14:paraId="262BED5E" w14:textId="6E47EC98" w:rsidR="000950F6" w:rsidRPr="000950F6" w:rsidRDefault="008D7715" w:rsidP="000950F6">
            <w:pPr>
              <w:pStyle w:val="Szvegtrzs"/>
              <w:ind w:left="0"/>
              <w:rPr>
                <w:rFonts w:cs="Times New Roman"/>
                <w:lang w:val="en-GB"/>
              </w:rPr>
            </w:pPr>
            <w:r>
              <w:rPr>
                <w:rFonts w:cs="Times New Roman"/>
                <w:lang w:val="en-GB"/>
              </w:rPr>
              <w:t>Nem gyakori</w:t>
            </w:r>
          </w:p>
        </w:tc>
        <w:tc>
          <w:tcPr>
            <w:tcW w:w="2091" w:type="dxa"/>
            <w:tcBorders>
              <w:top w:val="single" w:sz="4" w:space="0" w:color="000000"/>
              <w:left w:val="single" w:sz="4" w:space="0" w:color="000000"/>
              <w:bottom w:val="single" w:sz="4" w:space="0" w:color="000000"/>
              <w:right w:val="single" w:sz="4" w:space="0" w:color="000000"/>
            </w:tcBorders>
          </w:tcPr>
          <w:p w14:paraId="7E3DFF65" w14:textId="06F0BF4D" w:rsidR="000950F6" w:rsidRPr="000950F6" w:rsidRDefault="008D7715" w:rsidP="000950F6">
            <w:pPr>
              <w:pStyle w:val="Szvegtrzs"/>
              <w:ind w:left="0"/>
              <w:rPr>
                <w:rFonts w:cs="Times New Roman"/>
                <w:lang w:val="en-GB"/>
              </w:rPr>
            </w:pPr>
            <w:r>
              <w:rPr>
                <w:rFonts w:cs="Times New Roman"/>
                <w:lang w:val="en-GB"/>
              </w:rPr>
              <w:t>Nem gyakori</w:t>
            </w:r>
          </w:p>
        </w:tc>
      </w:tr>
      <w:tr w:rsidR="000950F6" w:rsidRPr="00580B0B" w14:paraId="62CDB654" w14:textId="77777777" w:rsidTr="00E0772D">
        <w:trPr>
          <w:trHeight w:hRule="exact" w:val="292"/>
        </w:trPr>
        <w:tc>
          <w:tcPr>
            <w:tcW w:w="9095" w:type="dxa"/>
            <w:gridSpan w:val="4"/>
            <w:tcBorders>
              <w:top w:val="single" w:sz="4" w:space="0" w:color="000000"/>
              <w:left w:val="single" w:sz="4" w:space="0" w:color="000000"/>
              <w:bottom w:val="single" w:sz="4" w:space="0" w:color="000000"/>
              <w:right w:val="single" w:sz="4" w:space="0" w:color="000000"/>
            </w:tcBorders>
          </w:tcPr>
          <w:p w14:paraId="43BA72AA" w14:textId="3F8D357C" w:rsidR="000950F6" w:rsidRPr="00580B0B" w:rsidRDefault="008D7715" w:rsidP="008D7715">
            <w:pPr>
              <w:pStyle w:val="Szvegtrzs"/>
              <w:ind w:left="0"/>
              <w:rPr>
                <w:rFonts w:cs="Times New Roman"/>
                <w:b/>
                <w:bCs/>
                <w:lang w:val="en-GB"/>
              </w:rPr>
            </w:pPr>
            <w:r w:rsidRPr="00580B0B">
              <w:rPr>
                <w:rFonts w:cs="Times New Roman"/>
                <w:b/>
                <w:bCs/>
                <w:lang w:val="en-GB"/>
              </w:rPr>
              <w:t xml:space="preserve">Máj- és epebetegségek, </w:t>
            </w:r>
            <w:r w:rsidR="00580B0B" w:rsidRPr="00580B0B">
              <w:rPr>
                <w:rFonts w:cs="Times New Roman"/>
                <w:b/>
                <w:bCs/>
                <w:spacing w:val="-1"/>
                <w:lang w:val="hu-HU"/>
              </w:rPr>
              <w:t>ill</w:t>
            </w:r>
            <w:r w:rsidR="008E5CD4">
              <w:rPr>
                <w:rFonts w:cs="Times New Roman"/>
                <w:b/>
                <w:bCs/>
                <w:spacing w:val="-1"/>
                <w:lang w:val="hu-HU"/>
              </w:rPr>
              <w:t>.</w:t>
            </w:r>
            <w:r w:rsidRPr="00580B0B">
              <w:rPr>
                <w:rFonts w:cs="Times New Roman"/>
                <w:b/>
                <w:bCs/>
                <w:lang w:val="en-GB"/>
              </w:rPr>
              <w:t xml:space="preserve"> tünetek</w:t>
            </w:r>
          </w:p>
        </w:tc>
      </w:tr>
      <w:tr w:rsidR="000950F6" w:rsidRPr="000950F6" w14:paraId="35525D99" w14:textId="77777777" w:rsidTr="00E0772D">
        <w:trPr>
          <w:trHeight w:hRule="exact" w:val="516"/>
        </w:trPr>
        <w:tc>
          <w:tcPr>
            <w:tcW w:w="2433" w:type="dxa"/>
            <w:tcBorders>
              <w:top w:val="single" w:sz="4" w:space="0" w:color="000000"/>
              <w:left w:val="single" w:sz="4" w:space="0" w:color="000000"/>
              <w:bottom w:val="single" w:sz="4" w:space="0" w:color="000000"/>
              <w:right w:val="single" w:sz="4" w:space="0" w:color="000000"/>
            </w:tcBorders>
          </w:tcPr>
          <w:p w14:paraId="7A3E87E3" w14:textId="77777777" w:rsidR="002870A6" w:rsidRPr="002870A6" w:rsidRDefault="002870A6" w:rsidP="002870A6">
            <w:pPr>
              <w:pStyle w:val="Szvegtrzs"/>
              <w:ind w:left="0"/>
              <w:rPr>
                <w:rFonts w:cs="Times New Roman"/>
                <w:lang w:val="en-GB"/>
              </w:rPr>
            </w:pPr>
            <w:r w:rsidRPr="002870A6">
              <w:rPr>
                <w:rFonts w:cs="Times New Roman"/>
                <w:lang w:val="en-GB"/>
              </w:rPr>
              <w:t>Gyógyszerindukált</w:t>
            </w:r>
          </w:p>
          <w:p w14:paraId="08D894CD" w14:textId="4BF00879" w:rsidR="000950F6" w:rsidRPr="000950F6" w:rsidRDefault="002870A6" w:rsidP="002870A6">
            <w:pPr>
              <w:pStyle w:val="Szvegtrzs"/>
              <w:ind w:left="0"/>
              <w:rPr>
                <w:rFonts w:cs="Times New Roman"/>
                <w:lang w:val="en-GB"/>
              </w:rPr>
            </w:pPr>
            <w:r w:rsidRPr="002870A6">
              <w:rPr>
                <w:rFonts w:cs="Times New Roman"/>
                <w:lang w:val="en-GB"/>
              </w:rPr>
              <w:t>májkárosodás</w:t>
            </w:r>
          </w:p>
        </w:tc>
        <w:tc>
          <w:tcPr>
            <w:tcW w:w="2268" w:type="dxa"/>
            <w:tcBorders>
              <w:top w:val="single" w:sz="4" w:space="0" w:color="000000"/>
              <w:left w:val="single" w:sz="4" w:space="0" w:color="000000"/>
              <w:bottom w:val="single" w:sz="4" w:space="0" w:color="000000"/>
              <w:right w:val="single" w:sz="4" w:space="0" w:color="000000"/>
            </w:tcBorders>
          </w:tcPr>
          <w:p w14:paraId="77D13F9B" w14:textId="3C0358F6" w:rsidR="000950F6" w:rsidRPr="000950F6" w:rsidRDefault="008D7715" w:rsidP="000950F6">
            <w:pPr>
              <w:pStyle w:val="Szvegtrzs"/>
              <w:ind w:left="0"/>
              <w:rPr>
                <w:rFonts w:cs="Times New Roman"/>
                <w:lang w:val="en-GB"/>
              </w:rPr>
            </w:pPr>
            <w:r>
              <w:rPr>
                <w:rFonts w:cs="Times New Roman"/>
                <w:lang w:val="en-GB"/>
              </w:rPr>
              <w:t>Nem gyakori</w:t>
            </w:r>
          </w:p>
        </w:tc>
        <w:tc>
          <w:tcPr>
            <w:tcW w:w="2303" w:type="dxa"/>
            <w:tcBorders>
              <w:top w:val="single" w:sz="4" w:space="0" w:color="000000"/>
              <w:left w:val="single" w:sz="4" w:space="0" w:color="000000"/>
              <w:bottom w:val="single" w:sz="4" w:space="0" w:color="000000"/>
              <w:right w:val="single" w:sz="4" w:space="0" w:color="000000"/>
            </w:tcBorders>
          </w:tcPr>
          <w:p w14:paraId="318213EC" w14:textId="135298ED" w:rsidR="000950F6" w:rsidRPr="000950F6" w:rsidRDefault="008D7715" w:rsidP="000950F6">
            <w:pPr>
              <w:pStyle w:val="Szvegtrzs"/>
              <w:ind w:left="0"/>
              <w:rPr>
                <w:rFonts w:cs="Times New Roman"/>
                <w:lang w:val="en-GB"/>
              </w:rPr>
            </w:pPr>
            <w:r>
              <w:rPr>
                <w:rFonts w:cs="Times New Roman"/>
              </w:rPr>
              <w:t>Gyakori</w:t>
            </w:r>
          </w:p>
        </w:tc>
        <w:tc>
          <w:tcPr>
            <w:tcW w:w="2091" w:type="dxa"/>
            <w:tcBorders>
              <w:top w:val="single" w:sz="4" w:space="0" w:color="000000"/>
              <w:left w:val="single" w:sz="4" w:space="0" w:color="000000"/>
              <w:bottom w:val="single" w:sz="4" w:space="0" w:color="000000"/>
              <w:right w:val="single" w:sz="4" w:space="0" w:color="000000"/>
            </w:tcBorders>
          </w:tcPr>
          <w:p w14:paraId="66430CE3" w14:textId="194E53CD" w:rsidR="000950F6" w:rsidRPr="000950F6" w:rsidRDefault="008D7715" w:rsidP="000950F6">
            <w:pPr>
              <w:pStyle w:val="Szvegtrzs"/>
              <w:ind w:left="0"/>
              <w:rPr>
                <w:rFonts w:cs="Times New Roman"/>
                <w:lang w:val="en-GB"/>
              </w:rPr>
            </w:pPr>
            <w:r>
              <w:rPr>
                <w:rFonts w:cs="Times New Roman"/>
                <w:lang w:val="en-GB"/>
              </w:rPr>
              <w:t>Nem gyakori</w:t>
            </w:r>
          </w:p>
        </w:tc>
      </w:tr>
      <w:tr w:rsidR="000950F6" w:rsidRPr="000950F6" w14:paraId="40765026" w14:textId="77777777" w:rsidTr="00E0772D">
        <w:trPr>
          <w:trHeight w:hRule="exact" w:val="516"/>
        </w:trPr>
        <w:tc>
          <w:tcPr>
            <w:tcW w:w="2433" w:type="dxa"/>
            <w:tcBorders>
              <w:top w:val="single" w:sz="4" w:space="0" w:color="000000"/>
              <w:left w:val="single" w:sz="4" w:space="0" w:color="000000"/>
              <w:bottom w:val="single" w:sz="4" w:space="0" w:color="000000"/>
              <w:right w:val="single" w:sz="4" w:space="0" w:color="000000"/>
            </w:tcBorders>
          </w:tcPr>
          <w:p w14:paraId="33DD7719" w14:textId="32E8AFA9" w:rsidR="000950F6" w:rsidRPr="000950F6" w:rsidRDefault="002870A6" w:rsidP="008D7715">
            <w:pPr>
              <w:pStyle w:val="Szvegtrzs"/>
              <w:ind w:left="0"/>
              <w:rPr>
                <w:rFonts w:cs="Times New Roman"/>
                <w:lang w:val="en-GB"/>
              </w:rPr>
            </w:pPr>
            <w:r w:rsidRPr="002870A6">
              <w:rPr>
                <w:rFonts w:cs="Times New Roman"/>
                <w:lang w:val="en-GB"/>
              </w:rPr>
              <w:t>Emelkedett májenzimszintek</w:t>
            </w:r>
          </w:p>
        </w:tc>
        <w:tc>
          <w:tcPr>
            <w:tcW w:w="2268" w:type="dxa"/>
            <w:tcBorders>
              <w:top w:val="single" w:sz="4" w:space="0" w:color="000000"/>
              <w:left w:val="single" w:sz="4" w:space="0" w:color="000000"/>
              <w:bottom w:val="single" w:sz="4" w:space="0" w:color="000000"/>
              <w:right w:val="single" w:sz="4" w:space="0" w:color="000000"/>
            </w:tcBorders>
          </w:tcPr>
          <w:p w14:paraId="522EBC9E" w14:textId="3E46555E" w:rsidR="000950F6" w:rsidRPr="000950F6" w:rsidRDefault="008D7715" w:rsidP="000950F6">
            <w:pPr>
              <w:pStyle w:val="Szvegtrzs"/>
              <w:ind w:left="0"/>
              <w:rPr>
                <w:rFonts w:cs="Times New Roman"/>
                <w:lang w:val="en-GB"/>
              </w:rPr>
            </w:pPr>
            <w:r>
              <w:rPr>
                <w:rFonts w:cs="Times New Roman"/>
              </w:rPr>
              <w:t>Nagyon gyakori</w:t>
            </w:r>
          </w:p>
        </w:tc>
        <w:tc>
          <w:tcPr>
            <w:tcW w:w="2303" w:type="dxa"/>
            <w:tcBorders>
              <w:top w:val="single" w:sz="4" w:space="0" w:color="000000"/>
              <w:left w:val="single" w:sz="4" w:space="0" w:color="000000"/>
              <w:bottom w:val="single" w:sz="4" w:space="0" w:color="000000"/>
              <w:right w:val="single" w:sz="4" w:space="0" w:color="000000"/>
            </w:tcBorders>
          </w:tcPr>
          <w:p w14:paraId="6606DEA0" w14:textId="2E3BE4EE" w:rsidR="000950F6" w:rsidRPr="000950F6" w:rsidRDefault="008D7715" w:rsidP="000950F6">
            <w:pPr>
              <w:pStyle w:val="Szvegtrzs"/>
              <w:ind w:left="0"/>
              <w:rPr>
                <w:rFonts w:cs="Times New Roman"/>
                <w:lang w:val="en-GB"/>
              </w:rPr>
            </w:pPr>
            <w:r>
              <w:rPr>
                <w:rFonts w:cs="Times New Roman"/>
              </w:rPr>
              <w:t>Nagyon gyakori</w:t>
            </w:r>
          </w:p>
        </w:tc>
        <w:tc>
          <w:tcPr>
            <w:tcW w:w="2091" w:type="dxa"/>
            <w:tcBorders>
              <w:top w:val="single" w:sz="4" w:space="0" w:color="000000"/>
              <w:left w:val="single" w:sz="4" w:space="0" w:color="000000"/>
              <w:bottom w:val="single" w:sz="4" w:space="0" w:color="000000"/>
              <w:right w:val="single" w:sz="4" w:space="0" w:color="000000"/>
            </w:tcBorders>
          </w:tcPr>
          <w:p w14:paraId="3097892D" w14:textId="4FE990CC" w:rsidR="000950F6" w:rsidRPr="000950F6" w:rsidRDefault="008D7715" w:rsidP="000950F6">
            <w:pPr>
              <w:pStyle w:val="Szvegtrzs"/>
              <w:ind w:left="0"/>
              <w:rPr>
                <w:rFonts w:cs="Times New Roman"/>
                <w:lang w:val="en-GB"/>
              </w:rPr>
            </w:pPr>
            <w:r>
              <w:rPr>
                <w:rFonts w:cs="Times New Roman"/>
              </w:rPr>
              <w:t>Nagyon gyakori</w:t>
            </w:r>
          </w:p>
        </w:tc>
      </w:tr>
      <w:tr w:rsidR="000950F6" w:rsidRPr="000950F6" w14:paraId="487E00B9" w14:textId="77777777" w:rsidTr="002870A6">
        <w:trPr>
          <w:trHeight w:hRule="exact" w:val="867"/>
        </w:trPr>
        <w:tc>
          <w:tcPr>
            <w:tcW w:w="2433" w:type="dxa"/>
            <w:tcBorders>
              <w:top w:val="single" w:sz="4" w:space="0" w:color="000000"/>
              <w:left w:val="single" w:sz="4" w:space="0" w:color="000000"/>
              <w:bottom w:val="single" w:sz="4" w:space="0" w:color="000000"/>
              <w:right w:val="single" w:sz="4" w:space="0" w:color="000000"/>
            </w:tcBorders>
          </w:tcPr>
          <w:p w14:paraId="15EDA29D" w14:textId="1F54858E" w:rsidR="000950F6" w:rsidRPr="000950F6" w:rsidRDefault="002870A6" w:rsidP="002870A6">
            <w:pPr>
              <w:pStyle w:val="Szvegtrzs"/>
              <w:ind w:left="0"/>
              <w:rPr>
                <w:rFonts w:cs="Times New Roman"/>
                <w:lang w:val="en-GB"/>
              </w:rPr>
            </w:pPr>
            <w:r w:rsidRPr="002870A6">
              <w:rPr>
                <w:rFonts w:cs="Times New Roman"/>
                <w:lang w:val="en-GB"/>
              </w:rPr>
              <w:t xml:space="preserve">Emelkedett </w:t>
            </w:r>
            <w:r w:rsidR="006D6F3E" w:rsidRPr="00C6719D">
              <w:rPr>
                <w:rFonts w:cs="Times New Roman"/>
                <w:color w:val="000000"/>
                <w:lang w:eastAsia="hu-HU"/>
              </w:rPr>
              <w:t>glutamát-piruvát-transzamináz</w:t>
            </w:r>
            <w:r w:rsidRPr="002870A6">
              <w:rPr>
                <w:rFonts w:cs="Times New Roman"/>
                <w:lang w:val="en-GB"/>
              </w:rPr>
              <w:t xml:space="preserve"> </w:t>
            </w:r>
            <w:r w:rsidR="006D6F3E" w:rsidRPr="002870A6">
              <w:rPr>
                <w:rFonts w:cs="Times New Roman"/>
                <w:lang w:val="en-GB"/>
              </w:rPr>
              <w:t>G</w:t>
            </w:r>
            <w:r w:rsidR="006D6F3E">
              <w:rPr>
                <w:rFonts w:cs="Times New Roman"/>
                <w:lang w:val="en-GB"/>
              </w:rPr>
              <w:t xml:space="preserve">PT </w:t>
            </w:r>
            <w:r w:rsidRPr="002870A6">
              <w:rPr>
                <w:rFonts w:cs="Times New Roman"/>
                <w:lang w:val="en-GB"/>
              </w:rPr>
              <w:t>(AL</w:t>
            </w:r>
            <w:r w:rsidR="006D6F3E">
              <w:rPr>
                <w:rFonts w:cs="Times New Roman"/>
                <w:lang w:val="en-GB"/>
              </w:rPr>
              <w:t>A</w:t>
            </w:r>
            <w:r w:rsidRPr="002870A6">
              <w:rPr>
                <w:rFonts w:cs="Times New Roman"/>
                <w:lang w:val="en-GB"/>
              </w:rPr>
              <w:t>T)</w:t>
            </w:r>
          </w:p>
        </w:tc>
        <w:tc>
          <w:tcPr>
            <w:tcW w:w="2268" w:type="dxa"/>
            <w:tcBorders>
              <w:top w:val="single" w:sz="4" w:space="0" w:color="000000"/>
              <w:left w:val="single" w:sz="4" w:space="0" w:color="000000"/>
              <w:bottom w:val="single" w:sz="4" w:space="0" w:color="000000"/>
              <w:right w:val="single" w:sz="4" w:space="0" w:color="000000"/>
            </w:tcBorders>
          </w:tcPr>
          <w:p w14:paraId="58842E96" w14:textId="35436526" w:rsidR="000950F6" w:rsidRPr="000950F6" w:rsidRDefault="008D7715" w:rsidP="000950F6">
            <w:pPr>
              <w:pStyle w:val="Szvegtrzs"/>
              <w:ind w:left="0"/>
              <w:rPr>
                <w:rFonts w:cs="Times New Roman"/>
                <w:lang w:val="en-GB"/>
              </w:rPr>
            </w:pPr>
            <w:r>
              <w:rPr>
                <w:rFonts w:cs="Times New Roman"/>
              </w:rPr>
              <w:t>Gyakori</w:t>
            </w:r>
          </w:p>
        </w:tc>
        <w:tc>
          <w:tcPr>
            <w:tcW w:w="2303" w:type="dxa"/>
            <w:tcBorders>
              <w:top w:val="single" w:sz="4" w:space="0" w:color="000000"/>
              <w:left w:val="single" w:sz="4" w:space="0" w:color="000000"/>
              <w:bottom w:val="single" w:sz="4" w:space="0" w:color="000000"/>
              <w:right w:val="single" w:sz="4" w:space="0" w:color="000000"/>
            </w:tcBorders>
          </w:tcPr>
          <w:p w14:paraId="61FC0A41" w14:textId="0D230191" w:rsidR="000950F6" w:rsidRPr="000950F6" w:rsidRDefault="008D7715" w:rsidP="000950F6">
            <w:pPr>
              <w:pStyle w:val="Szvegtrzs"/>
              <w:ind w:left="0"/>
              <w:rPr>
                <w:rFonts w:cs="Times New Roman"/>
                <w:lang w:val="en-GB"/>
              </w:rPr>
            </w:pPr>
            <w:r>
              <w:rPr>
                <w:rFonts w:cs="Times New Roman"/>
              </w:rPr>
              <w:t>Nagyon gyakori</w:t>
            </w:r>
          </w:p>
        </w:tc>
        <w:tc>
          <w:tcPr>
            <w:tcW w:w="2091" w:type="dxa"/>
            <w:tcBorders>
              <w:top w:val="single" w:sz="4" w:space="0" w:color="000000"/>
              <w:left w:val="single" w:sz="4" w:space="0" w:color="000000"/>
              <w:bottom w:val="single" w:sz="4" w:space="0" w:color="000000"/>
              <w:right w:val="single" w:sz="4" w:space="0" w:color="000000"/>
            </w:tcBorders>
          </w:tcPr>
          <w:p w14:paraId="1D2250AF" w14:textId="1E028E82" w:rsidR="000950F6" w:rsidRPr="000950F6" w:rsidRDefault="008D7715" w:rsidP="000950F6">
            <w:pPr>
              <w:pStyle w:val="Szvegtrzs"/>
              <w:ind w:left="0"/>
              <w:rPr>
                <w:rFonts w:cs="Times New Roman"/>
                <w:lang w:val="en-GB"/>
              </w:rPr>
            </w:pPr>
            <w:r>
              <w:rPr>
                <w:rFonts w:cs="Times New Roman"/>
              </w:rPr>
              <w:t>Gyakori</w:t>
            </w:r>
          </w:p>
        </w:tc>
      </w:tr>
      <w:tr w:rsidR="000950F6" w:rsidRPr="000950F6" w14:paraId="27407467" w14:textId="77777777" w:rsidTr="00E0772D">
        <w:trPr>
          <w:trHeight w:hRule="exact" w:val="801"/>
        </w:trPr>
        <w:tc>
          <w:tcPr>
            <w:tcW w:w="2433" w:type="dxa"/>
            <w:tcBorders>
              <w:top w:val="single" w:sz="4" w:space="0" w:color="000000"/>
              <w:left w:val="single" w:sz="4" w:space="0" w:color="000000"/>
              <w:bottom w:val="single" w:sz="4" w:space="0" w:color="000000"/>
              <w:right w:val="single" w:sz="4" w:space="0" w:color="000000"/>
            </w:tcBorders>
          </w:tcPr>
          <w:p w14:paraId="15FBA449" w14:textId="23D2876B" w:rsidR="002870A6" w:rsidRPr="002870A6" w:rsidRDefault="002870A6" w:rsidP="002870A6">
            <w:pPr>
              <w:pStyle w:val="Szvegtrzs"/>
              <w:ind w:left="0"/>
              <w:rPr>
                <w:rFonts w:cs="Times New Roman"/>
                <w:lang w:val="en-GB"/>
              </w:rPr>
            </w:pPr>
            <w:r w:rsidRPr="002870A6">
              <w:rPr>
                <w:rFonts w:cs="Times New Roman"/>
                <w:lang w:val="en-GB"/>
              </w:rPr>
              <w:t xml:space="preserve">Emelkedett </w:t>
            </w:r>
            <w:r w:rsidR="006D6F3E">
              <w:rPr>
                <w:rFonts w:cs="Times New Roman"/>
                <w:lang w:val="en-GB"/>
              </w:rPr>
              <w:t>glutamát-oxálacetát-transzamináz</w:t>
            </w:r>
            <w:r w:rsidRPr="002870A6">
              <w:rPr>
                <w:rFonts w:cs="Times New Roman"/>
                <w:lang w:val="en-GB"/>
              </w:rPr>
              <w:t xml:space="preserve"> GOT</w:t>
            </w:r>
            <w:r w:rsidR="006D6F3E">
              <w:rPr>
                <w:rFonts w:cs="Times New Roman"/>
                <w:lang w:val="en-GB"/>
              </w:rPr>
              <w:t xml:space="preserve"> (ASAT)</w:t>
            </w:r>
          </w:p>
          <w:p w14:paraId="24EE870F" w14:textId="3BC96B52" w:rsidR="000950F6" w:rsidRPr="000950F6" w:rsidRDefault="002870A6" w:rsidP="002870A6">
            <w:pPr>
              <w:pStyle w:val="Szvegtrzs"/>
              <w:ind w:left="0"/>
              <w:rPr>
                <w:rFonts w:cs="Times New Roman"/>
                <w:lang w:val="en-GB"/>
              </w:rPr>
            </w:pPr>
            <w:r w:rsidRPr="002870A6">
              <w:rPr>
                <w:rFonts w:cs="Times New Roman"/>
                <w:lang w:val="en-GB"/>
              </w:rPr>
              <w:t>(AS</w:t>
            </w:r>
            <w:r w:rsidR="006D6F3E">
              <w:rPr>
                <w:rFonts w:cs="Times New Roman"/>
                <w:lang w:val="en-GB"/>
              </w:rPr>
              <w:t>A</w:t>
            </w:r>
            <w:r w:rsidRPr="002870A6">
              <w:rPr>
                <w:rFonts w:cs="Times New Roman"/>
                <w:lang w:val="en-GB"/>
              </w:rPr>
              <w:t>T)</w:t>
            </w:r>
          </w:p>
        </w:tc>
        <w:tc>
          <w:tcPr>
            <w:tcW w:w="2268" w:type="dxa"/>
            <w:tcBorders>
              <w:top w:val="single" w:sz="4" w:space="0" w:color="000000"/>
              <w:left w:val="single" w:sz="4" w:space="0" w:color="000000"/>
              <w:bottom w:val="single" w:sz="4" w:space="0" w:color="000000"/>
              <w:right w:val="single" w:sz="4" w:space="0" w:color="000000"/>
            </w:tcBorders>
          </w:tcPr>
          <w:p w14:paraId="6DC019B9" w14:textId="2189BECE" w:rsidR="000950F6" w:rsidRPr="000950F6" w:rsidRDefault="008D7715" w:rsidP="000950F6">
            <w:pPr>
              <w:pStyle w:val="Szvegtrzs"/>
              <w:ind w:left="0"/>
              <w:rPr>
                <w:rFonts w:cs="Times New Roman"/>
                <w:lang w:val="en-GB"/>
              </w:rPr>
            </w:pPr>
            <w:r>
              <w:rPr>
                <w:rFonts w:cs="Times New Roman"/>
              </w:rPr>
              <w:t>Gyakori</w:t>
            </w:r>
          </w:p>
        </w:tc>
        <w:tc>
          <w:tcPr>
            <w:tcW w:w="2303" w:type="dxa"/>
            <w:tcBorders>
              <w:top w:val="single" w:sz="4" w:space="0" w:color="000000"/>
              <w:left w:val="single" w:sz="4" w:space="0" w:color="000000"/>
              <w:bottom w:val="single" w:sz="4" w:space="0" w:color="000000"/>
              <w:right w:val="single" w:sz="4" w:space="0" w:color="000000"/>
            </w:tcBorders>
          </w:tcPr>
          <w:p w14:paraId="7DA7AEC9" w14:textId="3E775386" w:rsidR="000950F6" w:rsidRPr="000950F6" w:rsidRDefault="008D7715" w:rsidP="000950F6">
            <w:pPr>
              <w:pStyle w:val="Szvegtrzs"/>
              <w:ind w:left="0"/>
              <w:rPr>
                <w:rFonts w:cs="Times New Roman"/>
                <w:lang w:val="en-GB"/>
              </w:rPr>
            </w:pPr>
            <w:r>
              <w:rPr>
                <w:rFonts w:cs="Times New Roman"/>
              </w:rPr>
              <w:t>Gyakori</w:t>
            </w:r>
          </w:p>
        </w:tc>
        <w:tc>
          <w:tcPr>
            <w:tcW w:w="2091" w:type="dxa"/>
            <w:tcBorders>
              <w:top w:val="single" w:sz="4" w:space="0" w:color="000000"/>
              <w:left w:val="single" w:sz="4" w:space="0" w:color="000000"/>
              <w:bottom w:val="single" w:sz="4" w:space="0" w:color="000000"/>
              <w:right w:val="single" w:sz="4" w:space="0" w:color="000000"/>
            </w:tcBorders>
          </w:tcPr>
          <w:p w14:paraId="24E95A78" w14:textId="6737C575" w:rsidR="000950F6" w:rsidRPr="000950F6" w:rsidRDefault="008D7715" w:rsidP="000950F6">
            <w:pPr>
              <w:pStyle w:val="Szvegtrzs"/>
              <w:ind w:left="0"/>
              <w:rPr>
                <w:rFonts w:cs="Times New Roman"/>
                <w:lang w:val="en-GB"/>
              </w:rPr>
            </w:pPr>
            <w:r>
              <w:rPr>
                <w:rFonts w:cs="Times New Roman"/>
              </w:rPr>
              <w:t>Gyakori</w:t>
            </w:r>
          </w:p>
        </w:tc>
      </w:tr>
      <w:tr w:rsidR="000950F6" w:rsidRPr="000950F6" w14:paraId="6CD0E26B" w14:textId="77777777" w:rsidTr="00E0772D">
        <w:trPr>
          <w:trHeight w:hRule="exact" w:val="844"/>
        </w:trPr>
        <w:tc>
          <w:tcPr>
            <w:tcW w:w="2433" w:type="dxa"/>
            <w:tcBorders>
              <w:top w:val="single" w:sz="4" w:space="0" w:color="000000"/>
              <w:left w:val="single" w:sz="4" w:space="0" w:color="000000"/>
              <w:bottom w:val="single" w:sz="4" w:space="0" w:color="000000"/>
              <w:right w:val="single" w:sz="4" w:space="0" w:color="000000"/>
            </w:tcBorders>
          </w:tcPr>
          <w:p w14:paraId="6EBE5FD8" w14:textId="3406E863" w:rsidR="000950F6" w:rsidRPr="000950F6" w:rsidRDefault="002870A6" w:rsidP="008D7715">
            <w:pPr>
              <w:pStyle w:val="Szvegtrzs"/>
              <w:ind w:left="0"/>
              <w:rPr>
                <w:rFonts w:cs="Times New Roman"/>
                <w:lang w:val="en-GB"/>
              </w:rPr>
            </w:pPr>
            <w:r w:rsidRPr="002870A6">
              <w:rPr>
                <w:rFonts w:cs="Times New Roman"/>
                <w:lang w:val="en-GB"/>
              </w:rPr>
              <w:t>Emelkedett gamma</w:t>
            </w:r>
            <w:r>
              <w:rPr>
                <w:rFonts w:cs="Times New Roman"/>
                <w:lang w:val="en-GB"/>
              </w:rPr>
              <w:t xml:space="preserve">- </w:t>
            </w:r>
            <w:r w:rsidRPr="002870A6">
              <w:rPr>
                <w:rFonts w:cs="Times New Roman"/>
                <w:lang w:val="en-GB"/>
              </w:rPr>
              <w:t>glutamil-transzferáz (GGT)</w:t>
            </w:r>
          </w:p>
        </w:tc>
        <w:tc>
          <w:tcPr>
            <w:tcW w:w="2268" w:type="dxa"/>
            <w:tcBorders>
              <w:top w:val="single" w:sz="4" w:space="0" w:color="000000"/>
              <w:left w:val="single" w:sz="4" w:space="0" w:color="000000"/>
              <w:bottom w:val="single" w:sz="4" w:space="0" w:color="000000"/>
              <w:right w:val="single" w:sz="4" w:space="0" w:color="000000"/>
            </w:tcBorders>
          </w:tcPr>
          <w:p w14:paraId="186FC5CD" w14:textId="2B884D06" w:rsidR="000950F6" w:rsidRPr="000950F6" w:rsidRDefault="008D7715" w:rsidP="000950F6">
            <w:pPr>
              <w:pStyle w:val="Szvegtrzs"/>
              <w:ind w:left="0"/>
              <w:rPr>
                <w:rFonts w:cs="Times New Roman"/>
                <w:lang w:val="en-GB"/>
              </w:rPr>
            </w:pPr>
            <w:r>
              <w:rPr>
                <w:rFonts w:cs="Times New Roman"/>
              </w:rPr>
              <w:t>Gyakori</w:t>
            </w:r>
          </w:p>
        </w:tc>
        <w:tc>
          <w:tcPr>
            <w:tcW w:w="2303" w:type="dxa"/>
            <w:tcBorders>
              <w:top w:val="single" w:sz="4" w:space="0" w:color="000000"/>
              <w:left w:val="single" w:sz="4" w:space="0" w:color="000000"/>
              <w:bottom w:val="single" w:sz="4" w:space="0" w:color="000000"/>
              <w:right w:val="single" w:sz="4" w:space="0" w:color="000000"/>
            </w:tcBorders>
          </w:tcPr>
          <w:p w14:paraId="13040558" w14:textId="374AD5F4" w:rsidR="000950F6" w:rsidRPr="000950F6" w:rsidRDefault="008D7715" w:rsidP="000950F6">
            <w:pPr>
              <w:pStyle w:val="Szvegtrzs"/>
              <w:ind w:left="0"/>
              <w:rPr>
                <w:rFonts w:cs="Times New Roman"/>
                <w:lang w:val="en-GB"/>
              </w:rPr>
            </w:pPr>
            <w:r>
              <w:rPr>
                <w:rFonts w:cs="Times New Roman"/>
              </w:rPr>
              <w:t>Gyakori</w:t>
            </w:r>
          </w:p>
        </w:tc>
        <w:tc>
          <w:tcPr>
            <w:tcW w:w="2091" w:type="dxa"/>
            <w:tcBorders>
              <w:top w:val="single" w:sz="4" w:space="0" w:color="000000"/>
              <w:left w:val="single" w:sz="4" w:space="0" w:color="000000"/>
              <w:bottom w:val="single" w:sz="4" w:space="0" w:color="000000"/>
              <w:right w:val="single" w:sz="4" w:space="0" w:color="000000"/>
            </w:tcBorders>
          </w:tcPr>
          <w:p w14:paraId="1C4DB978" w14:textId="626FC648" w:rsidR="000950F6" w:rsidRPr="000950F6" w:rsidRDefault="008D7715" w:rsidP="000950F6">
            <w:pPr>
              <w:pStyle w:val="Szvegtrzs"/>
              <w:ind w:left="0"/>
              <w:rPr>
                <w:rFonts w:cs="Times New Roman"/>
                <w:lang w:val="en-GB"/>
              </w:rPr>
            </w:pPr>
            <w:r>
              <w:rPr>
                <w:rFonts w:cs="Times New Roman"/>
              </w:rPr>
              <w:t>Gyakori</w:t>
            </w:r>
          </w:p>
        </w:tc>
      </w:tr>
      <w:tr w:rsidR="000950F6" w:rsidRPr="000950F6" w14:paraId="5FAE91BA" w14:textId="77777777" w:rsidTr="00E0772D">
        <w:trPr>
          <w:trHeight w:hRule="exact" w:val="292"/>
        </w:trPr>
        <w:tc>
          <w:tcPr>
            <w:tcW w:w="2433" w:type="dxa"/>
            <w:tcBorders>
              <w:top w:val="single" w:sz="4" w:space="0" w:color="000000"/>
              <w:left w:val="single" w:sz="4" w:space="0" w:color="000000"/>
              <w:bottom w:val="single" w:sz="4" w:space="0" w:color="000000"/>
              <w:right w:val="single" w:sz="4" w:space="0" w:color="000000"/>
            </w:tcBorders>
          </w:tcPr>
          <w:p w14:paraId="248B1B0F" w14:textId="080DF1BD" w:rsidR="000950F6" w:rsidRPr="000950F6" w:rsidRDefault="000950F6" w:rsidP="008D7715">
            <w:pPr>
              <w:pStyle w:val="Szvegtrzs"/>
              <w:ind w:left="0"/>
              <w:rPr>
                <w:rFonts w:cs="Times New Roman"/>
                <w:lang w:val="en-GB"/>
              </w:rPr>
            </w:pPr>
            <w:r w:rsidRPr="000950F6">
              <w:rPr>
                <w:rFonts w:cs="Times New Roman"/>
                <w:lang w:val="en-GB"/>
              </w:rPr>
              <w:t>Hyperbilirubinaemia</w:t>
            </w:r>
          </w:p>
        </w:tc>
        <w:tc>
          <w:tcPr>
            <w:tcW w:w="2268" w:type="dxa"/>
            <w:tcBorders>
              <w:top w:val="single" w:sz="4" w:space="0" w:color="000000"/>
              <w:left w:val="single" w:sz="4" w:space="0" w:color="000000"/>
              <w:bottom w:val="single" w:sz="4" w:space="0" w:color="000000"/>
              <w:right w:val="single" w:sz="4" w:space="0" w:color="000000"/>
            </w:tcBorders>
          </w:tcPr>
          <w:p w14:paraId="0799CF6A" w14:textId="0F3CB0CD" w:rsidR="000950F6" w:rsidRPr="000950F6" w:rsidRDefault="008D7715" w:rsidP="000950F6">
            <w:pPr>
              <w:pStyle w:val="Szvegtrzs"/>
              <w:ind w:left="0"/>
              <w:rPr>
                <w:rFonts w:cs="Times New Roman"/>
                <w:lang w:val="en-GB"/>
              </w:rPr>
            </w:pPr>
            <w:r>
              <w:rPr>
                <w:rFonts w:cs="Times New Roman"/>
                <w:lang w:val="en-GB"/>
              </w:rPr>
              <w:t>Nem gyakori</w:t>
            </w:r>
          </w:p>
        </w:tc>
        <w:tc>
          <w:tcPr>
            <w:tcW w:w="2303" w:type="dxa"/>
            <w:tcBorders>
              <w:top w:val="single" w:sz="4" w:space="0" w:color="000000"/>
              <w:left w:val="single" w:sz="4" w:space="0" w:color="000000"/>
              <w:bottom w:val="single" w:sz="4" w:space="0" w:color="000000"/>
              <w:right w:val="single" w:sz="4" w:space="0" w:color="000000"/>
            </w:tcBorders>
          </w:tcPr>
          <w:p w14:paraId="32B6DB7E" w14:textId="7F83958D" w:rsidR="000950F6" w:rsidRPr="000950F6" w:rsidRDefault="008D7715" w:rsidP="000950F6">
            <w:pPr>
              <w:pStyle w:val="Szvegtrzs"/>
              <w:ind w:left="0"/>
              <w:rPr>
                <w:rFonts w:cs="Times New Roman"/>
                <w:lang w:val="en-GB"/>
              </w:rPr>
            </w:pPr>
            <w:r>
              <w:rPr>
                <w:rFonts w:cs="Times New Roman"/>
                <w:lang w:val="en-GB"/>
              </w:rPr>
              <w:t>Nem gyakori</w:t>
            </w:r>
          </w:p>
        </w:tc>
        <w:tc>
          <w:tcPr>
            <w:tcW w:w="2091" w:type="dxa"/>
            <w:tcBorders>
              <w:top w:val="single" w:sz="4" w:space="0" w:color="000000"/>
              <w:left w:val="single" w:sz="4" w:space="0" w:color="000000"/>
              <w:bottom w:val="single" w:sz="4" w:space="0" w:color="000000"/>
              <w:right w:val="single" w:sz="4" w:space="0" w:color="000000"/>
            </w:tcBorders>
          </w:tcPr>
          <w:p w14:paraId="2C0F3D47" w14:textId="6A5DCE42" w:rsidR="000950F6" w:rsidRPr="000950F6" w:rsidRDefault="008D7715" w:rsidP="000950F6">
            <w:pPr>
              <w:pStyle w:val="Szvegtrzs"/>
              <w:ind w:left="0"/>
              <w:rPr>
                <w:rFonts w:cs="Times New Roman"/>
                <w:lang w:val="en-GB"/>
              </w:rPr>
            </w:pPr>
            <w:r>
              <w:rPr>
                <w:rFonts w:cs="Times New Roman"/>
                <w:lang w:val="en-GB"/>
              </w:rPr>
              <w:t>Nem ismert</w:t>
            </w:r>
          </w:p>
        </w:tc>
      </w:tr>
      <w:tr w:rsidR="000950F6" w:rsidRPr="000950F6" w14:paraId="31144616" w14:textId="77777777" w:rsidTr="00E0772D">
        <w:trPr>
          <w:trHeight w:hRule="exact" w:val="844"/>
        </w:trPr>
        <w:tc>
          <w:tcPr>
            <w:tcW w:w="2433" w:type="dxa"/>
            <w:tcBorders>
              <w:top w:val="single" w:sz="4" w:space="0" w:color="000000"/>
              <w:left w:val="single" w:sz="4" w:space="0" w:color="000000"/>
              <w:bottom w:val="single" w:sz="4" w:space="0" w:color="000000"/>
              <w:right w:val="single" w:sz="4" w:space="0" w:color="000000"/>
            </w:tcBorders>
          </w:tcPr>
          <w:p w14:paraId="47196A9B" w14:textId="7F891194" w:rsidR="000950F6" w:rsidRPr="000950F6" w:rsidRDefault="002870A6" w:rsidP="00F9182F">
            <w:pPr>
              <w:pStyle w:val="Szvegtrzs"/>
              <w:ind w:left="0"/>
              <w:rPr>
                <w:rFonts w:cs="Times New Roman"/>
                <w:lang w:val="en-GB"/>
              </w:rPr>
            </w:pPr>
            <w:r w:rsidRPr="002870A6">
              <w:rPr>
                <w:rFonts w:cs="Times New Roman"/>
                <w:lang w:val="en-GB"/>
              </w:rPr>
              <w:t>Emelkedett</w:t>
            </w:r>
            <w:r w:rsidR="00F9182F">
              <w:rPr>
                <w:rFonts w:cs="Times New Roman"/>
                <w:lang w:val="en-GB"/>
              </w:rPr>
              <w:t xml:space="preserve"> </w:t>
            </w:r>
            <w:r w:rsidRPr="002870A6">
              <w:rPr>
                <w:rFonts w:cs="Times New Roman"/>
                <w:lang w:val="en-GB"/>
              </w:rPr>
              <w:t>alkalikus</w:t>
            </w:r>
            <w:r w:rsidR="007A03F7">
              <w:rPr>
                <w:rFonts w:cs="Times New Roman"/>
                <w:lang w:val="en-GB"/>
              </w:rPr>
              <w:t xml:space="preserve"> </w:t>
            </w:r>
            <w:r w:rsidRPr="002870A6">
              <w:rPr>
                <w:rFonts w:cs="Times New Roman"/>
                <w:lang w:val="en-GB"/>
              </w:rPr>
              <w:t>foszfatáz (ALKP)</w:t>
            </w:r>
            <w:r w:rsidR="007A03F7">
              <w:rPr>
                <w:rFonts w:cs="Times New Roman"/>
                <w:lang w:val="en-GB"/>
              </w:rPr>
              <w:t>-</w:t>
            </w:r>
            <w:r w:rsidRPr="002870A6">
              <w:rPr>
                <w:rFonts w:cs="Times New Roman"/>
                <w:lang w:val="en-GB"/>
              </w:rPr>
              <w:t>szint a vérben</w:t>
            </w:r>
          </w:p>
        </w:tc>
        <w:tc>
          <w:tcPr>
            <w:tcW w:w="2268" w:type="dxa"/>
            <w:tcBorders>
              <w:top w:val="single" w:sz="4" w:space="0" w:color="000000"/>
              <w:left w:val="single" w:sz="4" w:space="0" w:color="000000"/>
              <w:bottom w:val="single" w:sz="4" w:space="0" w:color="000000"/>
              <w:right w:val="single" w:sz="4" w:space="0" w:color="000000"/>
            </w:tcBorders>
          </w:tcPr>
          <w:p w14:paraId="351B9493" w14:textId="748F2ECB" w:rsidR="000950F6" w:rsidRPr="000950F6" w:rsidRDefault="008D7715" w:rsidP="000950F6">
            <w:pPr>
              <w:pStyle w:val="Szvegtrzs"/>
              <w:ind w:left="0"/>
              <w:rPr>
                <w:rFonts w:cs="Times New Roman"/>
                <w:lang w:val="en-GB"/>
              </w:rPr>
            </w:pPr>
            <w:r>
              <w:rPr>
                <w:rFonts w:cs="Times New Roman"/>
                <w:lang w:val="en-GB"/>
              </w:rPr>
              <w:t>Nem gyakori</w:t>
            </w:r>
          </w:p>
        </w:tc>
        <w:tc>
          <w:tcPr>
            <w:tcW w:w="2303" w:type="dxa"/>
            <w:tcBorders>
              <w:top w:val="single" w:sz="4" w:space="0" w:color="000000"/>
              <w:left w:val="single" w:sz="4" w:space="0" w:color="000000"/>
              <w:bottom w:val="single" w:sz="4" w:space="0" w:color="000000"/>
              <w:right w:val="single" w:sz="4" w:space="0" w:color="000000"/>
            </w:tcBorders>
          </w:tcPr>
          <w:p w14:paraId="7E1FA430" w14:textId="7FC5FFF7" w:rsidR="000950F6" w:rsidRPr="000950F6" w:rsidRDefault="008D7715" w:rsidP="000950F6">
            <w:pPr>
              <w:pStyle w:val="Szvegtrzs"/>
              <w:ind w:left="0"/>
              <w:rPr>
                <w:rFonts w:cs="Times New Roman"/>
                <w:lang w:val="en-GB"/>
              </w:rPr>
            </w:pPr>
            <w:r>
              <w:rPr>
                <w:rFonts w:cs="Times New Roman"/>
              </w:rPr>
              <w:t>Gyakori</w:t>
            </w:r>
          </w:p>
        </w:tc>
        <w:tc>
          <w:tcPr>
            <w:tcW w:w="2091" w:type="dxa"/>
            <w:tcBorders>
              <w:top w:val="single" w:sz="4" w:space="0" w:color="000000"/>
              <w:left w:val="single" w:sz="4" w:space="0" w:color="000000"/>
              <w:bottom w:val="single" w:sz="4" w:space="0" w:color="000000"/>
              <w:right w:val="single" w:sz="4" w:space="0" w:color="000000"/>
            </w:tcBorders>
          </w:tcPr>
          <w:p w14:paraId="1EEACF02" w14:textId="2B0CDEFC" w:rsidR="000950F6" w:rsidRPr="000950F6" w:rsidRDefault="008D7715" w:rsidP="000950F6">
            <w:pPr>
              <w:pStyle w:val="Szvegtrzs"/>
              <w:ind w:left="0"/>
              <w:rPr>
                <w:rFonts w:cs="Times New Roman"/>
                <w:lang w:val="en-GB"/>
              </w:rPr>
            </w:pPr>
            <w:r>
              <w:rPr>
                <w:rFonts w:cs="Times New Roman"/>
              </w:rPr>
              <w:t>Gyakori</w:t>
            </w:r>
          </w:p>
        </w:tc>
      </w:tr>
      <w:tr w:rsidR="000950F6" w:rsidRPr="000950F6" w14:paraId="0D9A6127" w14:textId="77777777" w:rsidTr="00E0772D">
        <w:trPr>
          <w:trHeight w:hRule="exact" w:val="290"/>
        </w:trPr>
        <w:tc>
          <w:tcPr>
            <w:tcW w:w="9095" w:type="dxa"/>
            <w:gridSpan w:val="4"/>
            <w:tcBorders>
              <w:top w:val="single" w:sz="4" w:space="0" w:color="000000"/>
              <w:left w:val="single" w:sz="4" w:space="0" w:color="000000"/>
              <w:bottom w:val="single" w:sz="4" w:space="0" w:color="000000"/>
              <w:right w:val="single" w:sz="4" w:space="0" w:color="000000"/>
            </w:tcBorders>
          </w:tcPr>
          <w:p w14:paraId="71D182F8" w14:textId="52A2DEEB" w:rsidR="000950F6" w:rsidRPr="000950F6" w:rsidRDefault="002870A6" w:rsidP="008D7715">
            <w:pPr>
              <w:pStyle w:val="Szvegtrzs"/>
              <w:ind w:left="0"/>
              <w:rPr>
                <w:rFonts w:cs="Times New Roman"/>
                <w:b/>
                <w:bCs/>
                <w:lang w:val="en-GB"/>
              </w:rPr>
            </w:pPr>
            <w:r w:rsidRPr="002870A6">
              <w:rPr>
                <w:rFonts w:cs="Times New Roman"/>
                <w:b/>
                <w:bCs/>
                <w:lang w:val="en-GB"/>
              </w:rPr>
              <w:t>A bőr és a bőr alatti szövet betegségei és tünetei</w:t>
            </w:r>
          </w:p>
        </w:tc>
      </w:tr>
      <w:tr w:rsidR="000950F6" w:rsidRPr="000950F6" w14:paraId="74747CA9" w14:textId="77777777" w:rsidTr="00E0772D">
        <w:trPr>
          <w:trHeight w:hRule="exact" w:val="294"/>
        </w:trPr>
        <w:tc>
          <w:tcPr>
            <w:tcW w:w="2433" w:type="dxa"/>
            <w:tcBorders>
              <w:top w:val="single" w:sz="4" w:space="0" w:color="000000"/>
              <w:left w:val="single" w:sz="4" w:space="0" w:color="000000"/>
              <w:bottom w:val="single" w:sz="4" w:space="0" w:color="000000"/>
              <w:right w:val="single" w:sz="4" w:space="0" w:color="000000"/>
            </w:tcBorders>
          </w:tcPr>
          <w:p w14:paraId="768DCEC9" w14:textId="5D03FD1D" w:rsidR="000950F6" w:rsidRPr="000950F6" w:rsidRDefault="002870A6" w:rsidP="008D7715">
            <w:pPr>
              <w:pStyle w:val="Szvegtrzs"/>
              <w:ind w:left="0"/>
              <w:rPr>
                <w:rFonts w:cs="Times New Roman"/>
                <w:lang w:val="en-GB"/>
              </w:rPr>
            </w:pPr>
            <w:r w:rsidRPr="002870A6">
              <w:rPr>
                <w:rFonts w:cs="Times New Roman"/>
                <w:lang w:val="en-GB"/>
              </w:rPr>
              <w:t>Bőrkiütés</w:t>
            </w:r>
          </w:p>
        </w:tc>
        <w:tc>
          <w:tcPr>
            <w:tcW w:w="2268" w:type="dxa"/>
            <w:tcBorders>
              <w:top w:val="single" w:sz="4" w:space="0" w:color="000000"/>
              <w:left w:val="single" w:sz="4" w:space="0" w:color="000000"/>
              <w:bottom w:val="single" w:sz="4" w:space="0" w:color="000000"/>
              <w:right w:val="single" w:sz="4" w:space="0" w:color="000000"/>
            </w:tcBorders>
          </w:tcPr>
          <w:p w14:paraId="3942E902" w14:textId="6C463BBC" w:rsidR="000950F6" w:rsidRPr="000950F6" w:rsidRDefault="008D7715" w:rsidP="000950F6">
            <w:pPr>
              <w:pStyle w:val="Szvegtrzs"/>
              <w:ind w:left="0"/>
              <w:rPr>
                <w:rFonts w:cs="Times New Roman"/>
                <w:lang w:val="en-GB"/>
              </w:rPr>
            </w:pPr>
            <w:r>
              <w:rPr>
                <w:rFonts w:cs="Times New Roman"/>
              </w:rPr>
              <w:t>Gyakori</w:t>
            </w:r>
          </w:p>
        </w:tc>
        <w:tc>
          <w:tcPr>
            <w:tcW w:w="2303" w:type="dxa"/>
            <w:tcBorders>
              <w:top w:val="single" w:sz="4" w:space="0" w:color="000000"/>
              <w:left w:val="single" w:sz="4" w:space="0" w:color="000000"/>
              <w:bottom w:val="single" w:sz="4" w:space="0" w:color="000000"/>
              <w:right w:val="single" w:sz="4" w:space="0" w:color="000000"/>
            </w:tcBorders>
          </w:tcPr>
          <w:p w14:paraId="56F1D275" w14:textId="727966E9" w:rsidR="000950F6" w:rsidRPr="000950F6" w:rsidRDefault="008D7715" w:rsidP="000950F6">
            <w:pPr>
              <w:pStyle w:val="Szvegtrzs"/>
              <w:ind w:left="0"/>
              <w:rPr>
                <w:rFonts w:cs="Times New Roman"/>
                <w:lang w:val="en-GB"/>
              </w:rPr>
            </w:pPr>
            <w:r>
              <w:rPr>
                <w:rFonts w:cs="Times New Roman"/>
              </w:rPr>
              <w:t>Gyakori</w:t>
            </w:r>
          </w:p>
        </w:tc>
        <w:tc>
          <w:tcPr>
            <w:tcW w:w="2091" w:type="dxa"/>
            <w:tcBorders>
              <w:top w:val="single" w:sz="4" w:space="0" w:color="000000"/>
              <w:left w:val="single" w:sz="4" w:space="0" w:color="000000"/>
              <w:bottom w:val="single" w:sz="4" w:space="0" w:color="000000"/>
              <w:right w:val="single" w:sz="4" w:space="0" w:color="000000"/>
            </w:tcBorders>
          </w:tcPr>
          <w:p w14:paraId="1623BF74" w14:textId="7374647A" w:rsidR="000950F6" w:rsidRPr="000950F6" w:rsidRDefault="008D7715" w:rsidP="000950F6">
            <w:pPr>
              <w:pStyle w:val="Szvegtrzs"/>
              <w:ind w:left="0"/>
              <w:rPr>
                <w:rFonts w:cs="Times New Roman"/>
                <w:lang w:val="en-GB"/>
              </w:rPr>
            </w:pPr>
            <w:r>
              <w:rPr>
                <w:rFonts w:cs="Times New Roman"/>
                <w:lang w:val="en-GB"/>
              </w:rPr>
              <w:t>Nem gyakori</w:t>
            </w:r>
          </w:p>
        </w:tc>
      </w:tr>
      <w:tr w:rsidR="000950F6" w:rsidRPr="000950F6" w14:paraId="14B9C43B" w14:textId="77777777" w:rsidTr="00E0772D">
        <w:trPr>
          <w:trHeight w:hRule="exact" w:val="283"/>
        </w:trPr>
        <w:tc>
          <w:tcPr>
            <w:tcW w:w="2433" w:type="dxa"/>
            <w:tcBorders>
              <w:top w:val="single" w:sz="4" w:space="0" w:color="000000"/>
              <w:left w:val="single" w:sz="4" w:space="0" w:color="000000"/>
              <w:bottom w:val="single" w:sz="4" w:space="0" w:color="000000"/>
              <w:right w:val="single" w:sz="4" w:space="0" w:color="000000"/>
            </w:tcBorders>
          </w:tcPr>
          <w:p w14:paraId="33DF5016" w14:textId="7A31DE97" w:rsidR="000950F6" w:rsidRPr="000950F6" w:rsidRDefault="002870A6" w:rsidP="008D7715">
            <w:pPr>
              <w:pStyle w:val="Szvegtrzs"/>
              <w:ind w:left="0"/>
              <w:rPr>
                <w:rFonts w:cs="Times New Roman"/>
                <w:lang w:val="en-GB"/>
              </w:rPr>
            </w:pPr>
            <w:r w:rsidRPr="002870A6">
              <w:rPr>
                <w:rFonts w:cs="Times New Roman"/>
                <w:lang w:val="en-GB"/>
              </w:rPr>
              <w:t>Viszketés</w:t>
            </w:r>
          </w:p>
        </w:tc>
        <w:tc>
          <w:tcPr>
            <w:tcW w:w="2268" w:type="dxa"/>
            <w:tcBorders>
              <w:top w:val="single" w:sz="4" w:space="0" w:color="000000"/>
              <w:left w:val="single" w:sz="4" w:space="0" w:color="000000"/>
              <w:bottom w:val="single" w:sz="4" w:space="0" w:color="000000"/>
              <w:right w:val="single" w:sz="4" w:space="0" w:color="000000"/>
            </w:tcBorders>
          </w:tcPr>
          <w:p w14:paraId="19103D07" w14:textId="4628E342" w:rsidR="000950F6" w:rsidRPr="000950F6" w:rsidRDefault="008D7715" w:rsidP="000950F6">
            <w:pPr>
              <w:pStyle w:val="Szvegtrzs"/>
              <w:ind w:left="0"/>
              <w:rPr>
                <w:rFonts w:cs="Times New Roman"/>
                <w:lang w:val="en-GB"/>
              </w:rPr>
            </w:pPr>
            <w:r>
              <w:rPr>
                <w:rFonts w:cs="Times New Roman"/>
                <w:lang w:val="en-GB"/>
              </w:rPr>
              <w:t>Nem gyakori</w:t>
            </w:r>
          </w:p>
        </w:tc>
        <w:tc>
          <w:tcPr>
            <w:tcW w:w="2303" w:type="dxa"/>
            <w:tcBorders>
              <w:top w:val="single" w:sz="4" w:space="0" w:color="000000"/>
              <w:left w:val="single" w:sz="4" w:space="0" w:color="000000"/>
              <w:bottom w:val="single" w:sz="4" w:space="0" w:color="000000"/>
              <w:right w:val="single" w:sz="4" w:space="0" w:color="000000"/>
            </w:tcBorders>
          </w:tcPr>
          <w:p w14:paraId="1F01F1A3" w14:textId="7450B18E" w:rsidR="000950F6" w:rsidRPr="000950F6" w:rsidRDefault="008D7715" w:rsidP="000950F6">
            <w:pPr>
              <w:pStyle w:val="Szvegtrzs"/>
              <w:ind w:left="0"/>
              <w:rPr>
                <w:rFonts w:cs="Times New Roman"/>
                <w:lang w:val="en-GB"/>
              </w:rPr>
            </w:pPr>
            <w:r>
              <w:rPr>
                <w:rFonts w:cs="Times New Roman"/>
                <w:lang w:val="en-GB"/>
              </w:rPr>
              <w:t>Nem gyakori</w:t>
            </w:r>
          </w:p>
        </w:tc>
        <w:tc>
          <w:tcPr>
            <w:tcW w:w="2091" w:type="dxa"/>
            <w:tcBorders>
              <w:top w:val="single" w:sz="4" w:space="0" w:color="000000"/>
              <w:left w:val="single" w:sz="4" w:space="0" w:color="000000"/>
              <w:bottom w:val="single" w:sz="4" w:space="0" w:color="000000"/>
              <w:right w:val="single" w:sz="4" w:space="0" w:color="000000"/>
            </w:tcBorders>
          </w:tcPr>
          <w:p w14:paraId="289FC79E" w14:textId="7DEF6C11" w:rsidR="000950F6" w:rsidRPr="000950F6" w:rsidRDefault="008D7715" w:rsidP="000950F6">
            <w:pPr>
              <w:pStyle w:val="Szvegtrzs"/>
              <w:ind w:left="0"/>
              <w:rPr>
                <w:rFonts w:cs="Times New Roman"/>
                <w:lang w:val="en-GB"/>
              </w:rPr>
            </w:pPr>
            <w:r>
              <w:rPr>
                <w:rFonts w:cs="Times New Roman"/>
                <w:lang w:val="en-GB"/>
              </w:rPr>
              <w:t>Nem gyakori</w:t>
            </w:r>
          </w:p>
        </w:tc>
      </w:tr>
      <w:tr w:rsidR="000950F6" w:rsidRPr="000950F6" w14:paraId="038B83FA" w14:textId="77777777" w:rsidTr="00E0772D">
        <w:trPr>
          <w:trHeight w:hRule="exact" w:val="288"/>
        </w:trPr>
        <w:tc>
          <w:tcPr>
            <w:tcW w:w="2433" w:type="dxa"/>
            <w:tcBorders>
              <w:top w:val="single" w:sz="4" w:space="0" w:color="000000"/>
              <w:left w:val="single" w:sz="4" w:space="0" w:color="000000"/>
              <w:bottom w:val="single" w:sz="4" w:space="0" w:color="000000"/>
              <w:right w:val="single" w:sz="4" w:space="0" w:color="000000"/>
            </w:tcBorders>
          </w:tcPr>
          <w:p w14:paraId="35A9B804" w14:textId="71EF58BE" w:rsidR="000950F6" w:rsidRPr="000950F6" w:rsidRDefault="002870A6" w:rsidP="008D7715">
            <w:pPr>
              <w:pStyle w:val="Szvegtrzs"/>
              <w:ind w:left="0"/>
              <w:rPr>
                <w:rFonts w:cs="Times New Roman"/>
                <w:lang w:val="en-GB"/>
              </w:rPr>
            </w:pPr>
            <w:r w:rsidRPr="002870A6">
              <w:rPr>
                <w:rFonts w:cs="Times New Roman"/>
                <w:lang w:val="en-GB"/>
              </w:rPr>
              <w:t>Alopécia</w:t>
            </w:r>
          </w:p>
        </w:tc>
        <w:tc>
          <w:tcPr>
            <w:tcW w:w="2268" w:type="dxa"/>
            <w:tcBorders>
              <w:top w:val="single" w:sz="4" w:space="0" w:color="000000"/>
              <w:left w:val="single" w:sz="4" w:space="0" w:color="000000"/>
              <w:bottom w:val="single" w:sz="4" w:space="0" w:color="000000"/>
              <w:right w:val="single" w:sz="4" w:space="0" w:color="000000"/>
            </w:tcBorders>
          </w:tcPr>
          <w:p w14:paraId="4B054E37" w14:textId="748936D8" w:rsidR="000950F6" w:rsidRPr="000950F6" w:rsidRDefault="008D7715" w:rsidP="000950F6">
            <w:pPr>
              <w:pStyle w:val="Szvegtrzs"/>
              <w:ind w:left="0"/>
              <w:rPr>
                <w:rFonts w:cs="Times New Roman"/>
                <w:lang w:val="en-GB"/>
              </w:rPr>
            </w:pPr>
            <w:r>
              <w:rPr>
                <w:rFonts w:cs="Times New Roman"/>
                <w:lang w:val="en-GB"/>
              </w:rPr>
              <w:t>Nem gyakori</w:t>
            </w:r>
          </w:p>
        </w:tc>
        <w:tc>
          <w:tcPr>
            <w:tcW w:w="2303" w:type="dxa"/>
            <w:tcBorders>
              <w:top w:val="single" w:sz="4" w:space="0" w:color="000000"/>
              <w:left w:val="single" w:sz="4" w:space="0" w:color="000000"/>
              <w:bottom w:val="single" w:sz="4" w:space="0" w:color="000000"/>
              <w:right w:val="single" w:sz="4" w:space="0" w:color="000000"/>
            </w:tcBorders>
          </w:tcPr>
          <w:p w14:paraId="259668E0" w14:textId="4BF5D267" w:rsidR="000950F6" w:rsidRPr="000950F6" w:rsidRDefault="008D7715" w:rsidP="000950F6">
            <w:pPr>
              <w:pStyle w:val="Szvegtrzs"/>
              <w:ind w:left="0"/>
              <w:rPr>
                <w:rFonts w:cs="Times New Roman"/>
                <w:lang w:val="en-GB"/>
              </w:rPr>
            </w:pPr>
            <w:r>
              <w:rPr>
                <w:rFonts w:cs="Times New Roman"/>
                <w:lang w:val="en-GB"/>
              </w:rPr>
              <w:t>Nem gyakori</w:t>
            </w:r>
          </w:p>
        </w:tc>
        <w:tc>
          <w:tcPr>
            <w:tcW w:w="2091" w:type="dxa"/>
            <w:tcBorders>
              <w:top w:val="single" w:sz="4" w:space="0" w:color="000000"/>
              <w:left w:val="single" w:sz="4" w:space="0" w:color="000000"/>
              <w:bottom w:val="single" w:sz="4" w:space="0" w:color="000000"/>
              <w:right w:val="single" w:sz="4" w:space="0" w:color="000000"/>
            </w:tcBorders>
          </w:tcPr>
          <w:p w14:paraId="16422B80" w14:textId="4C41A7AE" w:rsidR="000950F6" w:rsidRPr="000950F6" w:rsidRDefault="008D7715" w:rsidP="000950F6">
            <w:pPr>
              <w:pStyle w:val="Szvegtrzs"/>
              <w:ind w:left="0"/>
              <w:rPr>
                <w:rFonts w:cs="Times New Roman"/>
                <w:lang w:val="en-GB"/>
              </w:rPr>
            </w:pPr>
            <w:r>
              <w:rPr>
                <w:rFonts w:cs="Times New Roman"/>
                <w:lang w:val="en-GB"/>
              </w:rPr>
              <w:t>Nem ismert</w:t>
            </w:r>
          </w:p>
        </w:tc>
      </w:tr>
      <w:tr w:rsidR="000950F6" w:rsidRPr="000950F6" w14:paraId="741BEEC9" w14:textId="77777777" w:rsidTr="00E0772D">
        <w:trPr>
          <w:trHeight w:hRule="exact" w:val="288"/>
        </w:trPr>
        <w:tc>
          <w:tcPr>
            <w:tcW w:w="9095" w:type="dxa"/>
            <w:gridSpan w:val="4"/>
            <w:tcBorders>
              <w:top w:val="single" w:sz="4" w:space="0" w:color="000000"/>
              <w:left w:val="single" w:sz="4" w:space="0" w:color="000000"/>
              <w:bottom w:val="single" w:sz="4" w:space="0" w:color="000000"/>
              <w:right w:val="single" w:sz="4" w:space="0" w:color="000000"/>
            </w:tcBorders>
          </w:tcPr>
          <w:p w14:paraId="1A52C352" w14:textId="618A9D70" w:rsidR="000950F6" w:rsidRPr="000950F6" w:rsidRDefault="002870A6" w:rsidP="008D7715">
            <w:pPr>
              <w:pStyle w:val="Szvegtrzs"/>
              <w:ind w:left="0"/>
              <w:rPr>
                <w:rFonts w:cs="Times New Roman"/>
                <w:b/>
                <w:bCs/>
                <w:lang w:val="en-GB"/>
              </w:rPr>
            </w:pPr>
            <w:r w:rsidRPr="002870A6">
              <w:rPr>
                <w:rFonts w:cs="Times New Roman"/>
                <w:b/>
                <w:bCs/>
                <w:lang w:val="en-GB"/>
              </w:rPr>
              <w:t>Vese- és húgyúti betegségek és tünetek</w:t>
            </w:r>
          </w:p>
        </w:tc>
      </w:tr>
      <w:tr w:rsidR="000950F6" w:rsidRPr="000950F6" w14:paraId="60E856BA" w14:textId="77777777" w:rsidTr="00E0772D">
        <w:trPr>
          <w:trHeight w:hRule="exact" w:val="552"/>
        </w:trPr>
        <w:tc>
          <w:tcPr>
            <w:tcW w:w="2433" w:type="dxa"/>
            <w:tcBorders>
              <w:top w:val="single" w:sz="4" w:space="0" w:color="000000"/>
              <w:left w:val="single" w:sz="4" w:space="0" w:color="000000"/>
              <w:bottom w:val="single" w:sz="4" w:space="0" w:color="000000"/>
              <w:right w:val="single" w:sz="4" w:space="0" w:color="000000"/>
            </w:tcBorders>
          </w:tcPr>
          <w:p w14:paraId="393EE758" w14:textId="77777777" w:rsidR="00F9182F" w:rsidRDefault="002870A6" w:rsidP="00F9182F">
            <w:pPr>
              <w:pStyle w:val="Szvegtrzs"/>
              <w:ind w:left="0"/>
              <w:rPr>
                <w:rFonts w:cs="Times New Roman"/>
                <w:lang w:val="en-GB"/>
              </w:rPr>
            </w:pPr>
            <w:r w:rsidRPr="002870A6">
              <w:rPr>
                <w:rFonts w:cs="Times New Roman"/>
                <w:lang w:val="en-GB"/>
              </w:rPr>
              <w:t xml:space="preserve">Veseelégtelenség </w:t>
            </w:r>
          </w:p>
          <w:p w14:paraId="6EA49897" w14:textId="4874538D" w:rsidR="000950F6" w:rsidRPr="000950F6" w:rsidRDefault="002870A6" w:rsidP="00F9182F">
            <w:pPr>
              <w:pStyle w:val="Szvegtrzs"/>
              <w:ind w:left="0"/>
              <w:rPr>
                <w:rFonts w:cs="Times New Roman"/>
                <w:lang w:val="en-GB"/>
              </w:rPr>
            </w:pPr>
            <w:r w:rsidRPr="002870A6">
              <w:rPr>
                <w:rFonts w:cs="Times New Roman"/>
                <w:lang w:val="en-GB"/>
              </w:rPr>
              <w:t>(lásd</w:t>
            </w:r>
            <w:r w:rsidR="00F9182F">
              <w:rPr>
                <w:rFonts w:cs="Times New Roman"/>
                <w:lang w:val="en-GB"/>
              </w:rPr>
              <w:t xml:space="preserve"> </w:t>
            </w:r>
            <w:r w:rsidRPr="002870A6">
              <w:rPr>
                <w:rFonts w:cs="Times New Roman"/>
                <w:lang w:val="en-GB"/>
              </w:rPr>
              <w:t>4.4 pont)</w:t>
            </w:r>
          </w:p>
        </w:tc>
        <w:tc>
          <w:tcPr>
            <w:tcW w:w="2268" w:type="dxa"/>
            <w:tcBorders>
              <w:top w:val="single" w:sz="4" w:space="0" w:color="000000"/>
              <w:left w:val="single" w:sz="4" w:space="0" w:color="000000"/>
              <w:bottom w:val="single" w:sz="4" w:space="0" w:color="000000"/>
              <w:right w:val="single" w:sz="4" w:space="0" w:color="000000"/>
            </w:tcBorders>
          </w:tcPr>
          <w:p w14:paraId="3B7ED78F" w14:textId="3020FD6E" w:rsidR="000950F6" w:rsidRPr="000950F6" w:rsidRDefault="008D7715" w:rsidP="000950F6">
            <w:pPr>
              <w:pStyle w:val="Szvegtrzs"/>
              <w:ind w:left="0"/>
              <w:rPr>
                <w:rFonts w:cs="Times New Roman"/>
                <w:lang w:val="en-GB"/>
              </w:rPr>
            </w:pPr>
            <w:r>
              <w:rPr>
                <w:rFonts w:cs="Times New Roman"/>
                <w:lang w:val="en-GB"/>
              </w:rPr>
              <w:t>Nem ismert</w:t>
            </w:r>
          </w:p>
        </w:tc>
        <w:tc>
          <w:tcPr>
            <w:tcW w:w="2303" w:type="dxa"/>
            <w:tcBorders>
              <w:top w:val="single" w:sz="4" w:space="0" w:color="000000"/>
              <w:left w:val="single" w:sz="4" w:space="0" w:color="000000"/>
              <w:bottom w:val="single" w:sz="4" w:space="0" w:color="000000"/>
              <w:right w:val="single" w:sz="4" w:space="0" w:color="000000"/>
            </w:tcBorders>
          </w:tcPr>
          <w:p w14:paraId="0C2068C9" w14:textId="3640DA3C" w:rsidR="000950F6" w:rsidRPr="000950F6" w:rsidRDefault="008D7715" w:rsidP="000950F6">
            <w:pPr>
              <w:pStyle w:val="Szvegtrzs"/>
              <w:ind w:left="0"/>
              <w:rPr>
                <w:rFonts w:cs="Times New Roman"/>
                <w:lang w:val="en-GB"/>
              </w:rPr>
            </w:pPr>
            <w:r>
              <w:rPr>
                <w:rFonts w:cs="Times New Roman"/>
                <w:lang w:val="en-GB"/>
              </w:rPr>
              <w:t>Nem ismert</w:t>
            </w:r>
          </w:p>
        </w:tc>
        <w:tc>
          <w:tcPr>
            <w:tcW w:w="2091" w:type="dxa"/>
            <w:tcBorders>
              <w:top w:val="single" w:sz="4" w:space="0" w:color="000000"/>
              <w:left w:val="single" w:sz="4" w:space="0" w:color="000000"/>
              <w:bottom w:val="single" w:sz="4" w:space="0" w:color="000000"/>
              <w:right w:val="single" w:sz="4" w:space="0" w:color="000000"/>
            </w:tcBorders>
          </w:tcPr>
          <w:p w14:paraId="5260A6B5" w14:textId="759838A3" w:rsidR="000950F6" w:rsidRPr="000950F6" w:rsidRDefault="008D7715" w:rsidP="000950F6">
            <w:pPr>
              <w:pStyle w:val="Szvegtrzs"/>
              <w:ind w:left="0"/>
              <w:rPr>
                <w:rFonts w:cs="Times New Roman"/>
                <w:lang w:val="en-GB"/>
              </w:rPr>
            </w:pPr>
            <w:r>
              <w:rPr>
                <w:rFonts w:cs="Times New Roman"/>
                <w:lang w:val="en-GB"/>
              </w:rPr>
              <w:t>Nem gyakori</w:t>
            </w:r>
          </w:p>
        </w:tc>
      </w:tr>
      <w:tr w:rsidR="000950F6" w:rsidRPr="000950F6" w14:paraId="0AFAA7E7" w14:textId="77777777" w:rsidTr="00E0772D">
        <w:trPr>
          <w:trHeight w:hRule="exact" w:val="288"/>
        </w:trPr>
        <w:tc>
          <w:tcPr>
            <w:tcW w:w="2433" w:type="dxa"/>
            <w:tcBorders>
              <w:top w:val="single" w:sz="4" w:space="0" w:color="000000"/>
              <w:left w:val="single" w:sz="4" w:space="0" w:color="000000"/>
              <w:bottom w:val="single" w:sz="4" w:space="0" w:color="000000"/>
              <w:right w:val="single" w:sz="4" w:space="0" w:color="000000"/>
            </w:tcBorders>
          </w:tcPr>
          <w:p w14:paraId="4C5409C4" w14:textId="10461790" w:rsidR="000950F6" w:rsidRPr="000950F6" w:rsidRDefault="000950F6" w:rsidP="008D7715">
            <w:pPr>
              <w:pStyle w:val="Szvegtrzs"/>
              <w:ind w:left="0"/>
              <w:rPr>
                <w:rFonts w:cs="Times New Roman"/>
                <w:lang w:val="en-GB"/>
              </w:rPr>
            </w:pPr>
            <w:r w:rsidRPr="000950F6">
              <w:rPr>
                <w:rFonts w:cs="Times New Roman"/>
                <w:lang w:val="en-GB"/>
              </w:rPr>
              <w:t>Proteinuria</w:t>
            </w:r>
          </w:p>
        </w:tc>
        <w:tc>
          <w:tcPr>
            <w:tcW w:w="2268" w:type="dxa"/>
            <w:tcBorders>
              <w:top w:val="single" w:sz="4" w:space="0" w:color="000000"/>
              <w:left w:val="single" w:sz="4" w:space="0" w:color="000000"/>
              <w:bottom w:val="single" w:sz="4" w:space="0" w:color="000000"/>
              <w:right w:val="single" w:sz="4" w:space="0" w:color="000000"/>
            </w:tcBorders>
          </w:tcPr>
          <w:p w14:paraId="4F078922" w14:textId="01C8622E" w:rsidR="000950F6" w:rsidRPr="000950F6" w:rsidRDefault="008D7715" w:rsidP="000950F6">
            <w:pPr>
              <w:pStyle w:val="Szvegtrzs"/>
              <w:ind w:left="0"/>
              <w:rPr>
                <w:rFonts w:cs="Times New Roman"/>
                <w:lang w:val="en-GB"/>
              </w:rPr>
            </w:pPr>
            <w:r>
              <w:rPr>
                <w:rFonts w:cs="Times New Roman"/>
                <w:lang w:val="en-GB"/>
              </w:rPr>
              <w:t>Nem gyakori</w:t>
            </w:r>
          </w:p>
        </w:tc>
        <w:tc>
          <w:tcPr>
            <w:tcW w:w="2303" w:type="dxa"/>
            <w:tcBorders>
              <w:top w:val="single" w:sz="4" w:space="0" w:color="000000"/>
              <w:left w:val="single" w:sz="4" w:space="0" w:color="000000"/>
              <w:bottom w:val="single" w:sz="4" w:space="0" w:color="000000"/>
              <w:right w:val="single" w:sz="4" w:space="0" w:color="000000"/>
            </w:tcBorders>
          </w:tcPr>
          <w:p w14:paraId="6F24AA86" w14:textId="4D3ABB14" w:rsidR="000950F6" w:rsidRPr="000950F6" w:rsidRDefault="008D7715" w:rsidP="000950F6">
            <w:pPr>
              <w:pStyle w:val="Szvegtrzs"/>
              <w:ind w:left="0"/>
              <w:rPr>
                <w:rFonts w:cs="Times New Roman"/>
                <w:lang w:val="en-GB"/>
              </w:rPr>
            </w:pPr>
            <w:r>
              <w:rPr>
                <w:rFonts w:cs="Times New Roman"/>
                <w:lang w:val="en-GB"/>
              </w:rPr>
              <w:t>Nem gyakori</w:t>
            </w:r>
          </w:p>
        </w:tc>
        <w:tc>
          <w:tcPr>
            <w:tcW w:w="2091" w:type="dxa"/>
            <w:tcBorders>
              <w:top w:val="single" w:sz="4" w:space="0" w:color="000000"/>
              <w:left w:val="single" w:sz="4" w:space="0" w:color="000000"/>
              <w:bottom w:val="single" w:sz="4" w:space="0" w:color="000000"/>
              <w:right w:val="single" w:sz="4" w:space="0" w:color="000000"/>
            </w:tcBorders>
          </w:tcPr>
          <w:p w14:paraId="6CAEDA54" w14:textId="4C382DCA" w:rsidR="000950F6" w:rsidRPr="000950F6" w:rsidRDefault="008D7715" w:rsidP="000950F6">
            <w:pPr>
              <w:pStyle w:val="Szvegtrzs"/>
              <w:ind w:left="0"/>
              <w:rPr>
                <w:rFonts w:cs="Times New Roman"/>
                <w:lang w:val="en-GB"/>
              </w:rPr>
            </w:pPr>
            <w:r>
              <w:rPr>
                <w:rFonts w:cs="Times New Roman"/>
                <w:lang w:val="en-GB"/>
              </w:rPr>
              <w:t>Nem ismert</w:t>
            </w:r>
          </w:p>
        </w:tc>
      </w:tr>
      <w:tr w:rsidR="000950F6" w:rsidRPr="000950F6" w14:paraId="47BDB11A" w14:textId="77777777" w:rsidTr="00E0772D">
        <w:trPr>
          <w:trHeight w:hRule="exact" w:val="288"/>
        </w:trPr>
        <w:tc>
          <w:tcPr>
            <w:tcW w:w="9095" w:type="dxa"/>
            <w:gridSpan w:val="4"/>
            <w:tcBorders>
              <w:top w:val="single" w:sz="4" w:space="0" w:color="000000"/>
              <w:left w:val="single" w:sz="4" w:space="0" w:color="000000"/>
              <w:bottom w:val="single" w:sz="4" w:space="0" w:color="000000"/>
              <w:right w:val="single" w:sz="4" w:space="0" w:color="000000"/>
            </w:tcBorders>
          </w:tcPr>
          <w:p w14:paraId="4D08053C" w14:textId="48C5B1F0" w:rsidR="000950F6" w:rsidRPr="000950F6" w:rsidRDefault="002870A6" w:rsidP="008D7715">
            <w:pPr>
              <w:pStyle w:val="Szvegtrzs"/>
              <w:ind w:left="0"/>
              <w:rPr>
                <w:rFonts w:cs="Times New Roman"/>
                <w:b/>
                <w:bCs/>
                <w:lang w:val="en-GB"/>
              </w:rPr>
            </w:pPr>
            <w:r w:rsidRPr="002870A6">
              <w:rPr>
                <w:rFonts w:cs="Times New Roman"/>
                <w:b/>
                <w:bCs/>
                <w:lang w:val="en-GB"/>
              </w:rPr>
              <w:t>Idegrendszeri betegségek és tünetek</w:t>
            </w:r>
          </w:p>
        </w:tc>
      </w:tr>
      <w:tr w:rsidR="000950F6" w:rsidRPr="000950F6" w14:paraId="06B65057" w14:textId="77777777" w:rsidTr="00E0772D">
        <w:trPr>
          <w:trHeight w:hRule="exact" w:val="288"/>
        </w:trPr>
        <w:tc>
          <w:tcPr>
            <w:tcW w:w="2433" w:type="dxa"/>
            <w:tcBorders>
              <w:top w:val="single" w:sz="4" w:space="0" w:color="000000"/>
              <w:left w:val="single" w:sz="4" w:space="0" w:color="000000"/>
              <w:bottom w:val="single" w:sz="4" w:space="0" w:color="000000"/>
              <w:right w:val="single" w:sz="4" w:space="0" w:color="000000"/>
            </w:tcBorders>
          </w:tcPr>
          <w:p w14:paraId="53401846" w14:textId="02228670" w:rsidR="000950F6" w:rsidRPr="000950F6" w:rsidRDefault="002870A6" w:rsidP="008D7715">
            <w:pPr>
              <w:pStyle w:val="Szvegtrzs"/>
              <w:ind w:left="0"/>
              <w:rPr>
                <w:rFonts w:cs="Times New Roman"/>
                <w:lang w:val="en-GB"/>
              </w:rPr>
            </w:pPr>
            <w:r>
              <w:rPr>
                <w:rFonts w:cs="Times New Roman"/>
                <w:lang w:val="en-GB"/>
              </w:rPr>
              <w:t>Fejfájás</w:t>
            </w:r>
          </w:p>
        </w:tc>
        <w:tc>
          <w:tcPr>
            <w:tcW w:w="2268" w:type="dxa"/>
            <w:tcBorders>
              <w:top w:val="single" w:sz="4" w:space="0" w:color="000000"/>
              <w:left w:val="single" w:sz="4" w:space="0" w:color="000000"/>
              <w:bottom w:val="single" w:sz="4" w:space="0" w:color="000000"/>
              <w:right w:val="single" w:sz="4" w:space="0" w:color="000000"/>
            </w:tcBorders>
          </w:tcPr>
          <w:p w14:paraId="5CF0097F" w14:textId="2FD73DDC" w:rsidR="000950F6" w:rsidRPr="000950F6" w:rsidRDefault="008D7715" w:rsidP="000950F6">
            <w:pPr>
              <w:pStyle w:val="Szvegtrzs"/>
              <w:ind w:left="0"/>
              <w:rPr>
                <w:rFonts w:cs="Times New Roman"/>
                <w:lang w:val="en-GB"/>
              </w:rPr>
            </w:pPr>
            <w:r>
              <w:rPr>
                <w:rFonts w:cs="Times New Roman"/>
              </w:rPr>
              <w:t>Gyakori</w:t>
            </w:r>
          </w:p>
        </w:tc>
        <w:tc>
          <w:tcPr>
            <w:tcW w:w="2303" w:type="dxa"/>
            <w:tcBorders>
              <w:top w:val="single" w:sz="4" w:space="0" w:color="000000"/>
              <w:left w:val="single" w:sz="4" w:space="0" w:color="000000"/>
              <w:bottom w:val="single" w:sz="4" w:space="0" w:color="000000"/>
              <w:right w:val="single" w:sz="4" w:space="0" w:color="000000"/>
            </w:tcBorders>
          </w:tcPr>
          <w:p w14:paraId="7FA945B1" w14:textId="4056199C" w:rsidR="000950F6" w:rsidRPr="000950F6" w:rsidRDefault="008D7715" w:rsidP="000950F6">
            <w:pPr>
              <w:pStyle w:val="Szvegtrzs"/>
              <w:ind w:left="0"/>
              <w:rPr>
                <w:rFonts w:cs="Times New Roman"/>
                <w:lang w:val="en-GB"/>
              </w:rPr>
            </w:pPr>
            <w:r>
              <w:rPr>
                <w:rFonts w:cs="Times New Roman"/>
              </w:rPr>
              <w:t>Gyakori</w:t>
            </w:r>
          </w:p>
        </w:tc>
        <w:tc>
          <w:tcPr>
            <w:tcW w:w="2091" w:type="dxa"/>
            <w:tcBorders>
              <w:top w:val="single" w:sz="4" w:space="0" w:color="000000"/>
              <w:left w:val="single" w:sz="4" w:space="0" w:color="000000"/>
              <w:bottom w:val="single" w:sz="4" w:space="0" w:color="000000"/>
              <w:right w:val="single" w:sz="4" w:space="0" w:color="000000"/>
            </w:tcBorders>
          </w:tcPr>
          <w:p w14:paraId="1BE3A179" w14:textId="13DFDBA9" w:rsidR="000950F6" w:rsidRPr="000950F6" w:rsidRDefault="008D7715" w:rsidP="000950F6">
            <w:pPr>
              <w:pStyle w:val="Szvegtrzs"/>
              <w:ind w:left="0"/>
              <w:rPr>
                <w:rFonts w:cs="Times New Roman"/>
                <w:lang w:val="en-GB"/>
              </w:rPr>
            </w:pPr>
            <w:r>
              <w:rPr>
                <w:rFonts w:cs="Times New Roman"/>
              </w:rPr>
              <w:t>Gyakori</w:t>
            </w:r>
          </w:p>
        </w:tc>
      </w:tr>
    </w:tbl>
    <w:p w14:paraId="1D926575" w14:textId="77777777" w:rsidR="00F5603F" w:rsidRPr="00EF71F8" w:rsidRDefault="00F5603F" w:rsidP="009106D9">
      <w:pPr>
        <w:rPr>
          <w:rFonts w:ascii="Times New Roman" w:eastAsia="Times New Roman" w:hAnsi="Times New Roman" w:cs="Times New Roman"/>
        </w:rPr>
      </w:pPr>
    </w:p>
    <w:p w14:paraId="357380F9" w14:textId="77777777" w:rsidR="002870A6" w:rsidRDefault="002870A6" w:rsidP="002870A6">
      <w:pPr>
        <w:pStyle w:val="Szvegtrzs"/>
        <w:ind w:left="0"/>
        <w:rPr>
          <w:rFonts w:cs="Times New Roman"/>
          <w:spacing w:val="-1"/>
          <w:u w:val="single"/>
        </w:rPr>
      </w:pPr>
      <w:r w:rsidRPr="002870A6">
        <w:rPr>
          <w:rFonts w:cs="Times New Roman"/>
          <w:spacing w:val="-1"/>
          <w:u w:val="single"/>
        </w:rPr>
        <w:t>Kiválasztott mellékhatások leírása</w:t>
      </w:r>
    </w:p>
    <w:p w14:paraId="64796661" w14:textId="77777777" w:rsidR="002870A6" w:rsidRPr="002870A6" w:rsidRDefault="002870A6" w:rsidP="002870A6">
      <w:pPr>
        <w:pStyle w:val="Szvegtrzs"/>
        <w:ind w:left="0"/>
        <w:rPr>
          <w:rFonts w:cs="Times New Roman"/>
          <w:spacing w:val="-1"/>
          <w:u w:val="single"/>
        </w:rPr>
      </w:pPr>
    </w:p>
    <w:p w14:paraId="2B2796F7" w14:textId="77777777" w:rsidR="002870A6" w:rsidRPr="002870A6" w:rsidRDefault="002870A6" w:rsidP="002870A6">
      <w:pPr>
        <w:pStyle w:val="Szvegtrzs"/>
        <w:ind w:left="0"/>
        <w:rPr>
          <w:rFonts w:cs="Times New Roman"/>
          <w:i/>
          <w:iCs/>
          <w:spacing w:val="-1"/>
        </w:rPr>
      </w:pPr>
      <w:r w:rsidRPr="002870A6">
        <w:rPr>
          <w:rFonts w:cs="Times New Roman"/>
          <w:i/>
          <w:iCs/>
          <w:spacing w:val="-1"/>
        </w:rPr>
        <w:t>Hasmenés</w:t>
      </w:r>
    </w:p>
    <w:p w14:paraId="19134F20" w14:textId="60F5161B" w:rsidR="00AE7A63" w:rsidRDefault="002870A6" w:rsidP="002870A6">
      <w:pPr>
        <w:pStyle w:val="Szvegtrzs"/>
        <w:ind w:left="0"/>
        <w:rPr>
          <w:rFonts w:cs="Times New Roman"/>
          <w:spacing w:val="-1"/>
        </w:rPr>
      </w:pPr>
      <w:r w:rsidRPr="002870A6">
        <w:rPr>
          <w:rFonts w:cs="Times New Roman"/>
          <w:spacing w:val="-1"/>
        </w:rPr>
        <w:t>A klinikai vizsgálatokban (lásd 5.1</w:t>
      </w:r>
      <w:r w:rsidR="00B24C7A">
        <w:rPr>
          <w:rFonts w:cs="Times New Roman"/>
          <w:spacing w:val="-1"/>
        </w:rPr>
        <w:t> </w:t>
      </w:r>
      <w:r w:rsidRPr="002870A6">
        <w:rPr>
          <w:rFonts w:cs="Times New Roman"/>
          <w:spacing w:val="-1"/>
        </w:rPr>
        <w:t>pont) a hasmenés volt a leggyakrabban jelentett emésztőrendszeri</w:t>
      </w:r>
      <w:r w:rsidR="00D21E61">
        <w:rPr>
          <w:rFonts w:cs="Times New Roman"/>
          <w:spacing w:val="-1"/>
        </w:rPr>
        <w:t xml:space="preserve"> </w:t>
      </w:r>
      <w:r w:rsidRPr="002870A6">
        <w:rPr>
          <w:rFonts w:cs="Times New Roman"/>
          <w:spacing w:val="-1"/>
        </w:rPr>
        <w:lastRenderedPageBreak/>
        <w:t>mellékhatás. A legtöbb beteg esetében a mellékhatás enyhe vagy közepes intenzitású volt. A</w:t>
      </w:r>
      <w:r w:rsidR="00D21E61">
        <w:rPr>
          <w:rFonts w:cs="Times New Roman"/>
          <w:spacing w:val="-1"/>
        </w:rPr>
        <w:t xml:space="preserve"> </w:t>
      </w:r>
      <w:r w:rsidRPr="002870A6">
        <w:rPr>
          <w:rFonts w:cs="Times New Roman"/>
          <w:spacing w:val="-1"/>
        </w:rPr>
        <w:t>hasmenést tapasztaló betegek több mint kétharmada arról számolt be, hogy az első hasmenés már a</w:t>
      </w:r>
      <w:r w:rsidR="00D21E61">
        <w:rPr>
          <w:rFonts w:cs="Times New Roman"/>
          <w:spacing w:val="-1"/>
        </w:rPr>
        <w:t xml:space="preserve"> </w:t>
      </w:r>
      <w:r w:rsidRPr="002870A6">
        <w:rPr>
          <w:rFonts w:cs="Times New Roman"/>
          <w:spacing w:val="-1"/>
        </w:rPr>
        <w:t>kezelés első három hónapjában jelentkezett. A legtöbb beteg esetében az eseményeket hasmenés elleni</w:t>
      </w:r>
      <w:r w:rsidR="00D21E61">
        <w:rPr>
          <w:rFonts w:cs="Times New Roman"/>
          <w:spacing w:val="-1"/>
        </w:rPr>
        <w:t xml:space="preserve"> </w:t>
      </w:r>
      <w:r w:rsidRPr="002870A6">
        <w:rPr>
          <w:rFonts w:cs="Times New Roman"/>
          <w:spacing w:val="-1"/>
        </w:rPr>
        <w:t>terápiával, dóziscsökkentéssel vagy a kezelés megszakításával kezelték (lásd 4.4</w:t>
      </w:r>
      <w:r w:rsidR="00F9182F">
        <w:rPr>
          <w:rFonts w:cs="Times New Roman"/>
          <w:spacing w:val="-1"/>
        </w:rPr>
        <w:t> </w:t>
      </w:r>
      <w:r w:rsidRPr="002870A6">
        <w:rPr>
          <w:rFonts w:cs="Times New Roman"/>
          <w:spacing w:val="-1"/>
        </w:rPr>
        <w:t>pont). A klinikai</w:t>
      </w:r>
      <w:r w:rsidR="00D21E61">
        <w:rPr>
          <w:rFonts w:cs="Times New Roman"/>
          <w:spacing w:val="-1"/>
        </w:rPr>
        <w:t xml:space="preserve"> </w:t>
      </w:r>
      <w:r w:rsidRPr="002870A6">
        <w:rPr>
          <w:rFonts w:cs="Times New Roman"/>
          <w:spacing w:val="-1"/>
        </w:rPr>
        <w:t xml:space="preserve">vizsgálatokban jelentett hasmenéses események áttekintését a </w:t>
      </w:r>
      <w:r w:rsidR="008F5E55">
        <w:rPr>
          <w:rFonts w:cs="Times New Roman"/>
          <w:spacing w:val="-1"/>
        </w:rPr>
        <w:t>3</w:t>
      </w:r>
      <w:r w:rsidR="009363C0">
        <w:rPr>
          <w:rFonts w:cs="Times New Roman"/>
          <w:spacing w:val="-1"/>
        </w:rPr>
        <w:t> </w:t>
      </w:r>
      <w:r w:rsidRPr="002870A6">
        <w:rPr>
          <w:rFonts w:cs="Times New Roman"/>
          <w:spacing w:val="-1"/>
        </w:rPr>
        <w:t>táblázat tartalmazza:</w:t>
      </w:r>
    </w:p>
    <w:p w14:paraId="6ED29DCF" w14:textId="77777777" w:rsidR="00F5603F" w:rsidRPr="00EF71F8" w:rsidRDefault="00F5603F" w:rsidP="009106D9">
      <w:pPr>
        <w:rPr>
          <w:rFonts w:ascii="Times New Roman" w:eastAsia="Times New Roman" w:hAnsi="Times New Roman" w:cs="Times New Roman"/>
          <w:b/>
          <w:bCs/>
        </w:rPr>
      </w:pPr>
    </w:p>
    <w:p w14:paraId="75D59874" w14:textId="355DE718" w:rsidR="00F5603F" w:rsidRPr="002870A6" w:rsidRDefault="008F5E55" w:rsidP="009106D9">
      <w:pPr>
        <w:rPr>
          <w:rFonts w:ascii="Times New Roman" w:eastAsia="Times New Roman" w:hAnsi="Times New Roman" w:cs="Times New Roman"/>
          <w:b/>
          <w:bCs/>
        </w:rPr>
      </w:pPr>
      <w:r>
        <w:rPr>
          <w:rFonts w:ascii="Times New Roman" w:eastAsia="Times New Roman" w:hAnsi="Times New Roman" w:cs="Times New Roman"/>
          <w:b/>
          <w:bCs/>
        </w:rPr>
        <w:t>3</w:t>
      </w:r>
      <w:r w:rsidR="002870A6" w:rsidRPr="002870A6">
        <w:rPr>
          <w:rFonts w:ascii="Times New Roman" w:eastAsia="Times New Roman" w:hAnsi="Times New Roman" w:cs="Times New Roman"/>
          <w:b/>
          <w:bCs/>
        </w:rPr>
        <w:t>. táblázat: Hasmenés a klinikai vizsgálatok 52 hete alatt</w:t>
      </w:r>
    </w:p>
    <w:tbl>
      <w:tblPr>
        <w:tblStyle w:val="Rcsostblzat"/>
        <w:tblW w:w="9064" w:type="dxa"/>
        <w:tblLayout w:type="fixed"/>
        <w:tblLook w:val="04A0" w:firstRow="1" w:lastRow="0" w:firstColumn="1" w:lastColumn="0" w:noHBand="0" w:noVBand="1"/>
      </w:tblPr>
      <w:tblGrid>
        <w:gridCol w:w="1837"/>
        <w:gridCol w:w="1202"/>
        <w:gridCol w:w="1207"/>
        <w:gridCol w:w="1204"/>
        <w:gridCol w:w="1206"/>
        <w:gridCol w:w="1204"/>
        <w:gridCol w:w="1204"/>
      </w:tblGrid>
      <w:tr w:rsidR="002870A6" w:rsidRPr="002870A6" w14:paraId="3A71BADF" w14:textId="77777777" w:rsidTr="00E0772D">
        <w:tc>
          <w:tcPr>
            <w:tcW w:w="1838" w:type="dxa"/>
          </w:tcPr>
          <w:p w14:paraId="3F1405FA" w14:textId="77777777" w:rsidR="002870A6" w:rsidRPr="002870A6" w:rsidRDefault="002870A6" w:rsidP="0067565F">
            <w:pPr>
              <w:pStyle w:val="Szvegtrzs"/>
              <w:jc w:val="center"/>
              <w:rPr>
                <w:rFonts w:cs="Times New Roman"/>
                <w:spacing w:val="-1"/>
              </w:rPr>
            </w:pPr>
          </w:p>
        </w:tc>
        <w:tc>
          <w:tcPr>
            <w:tcW w:w="2410" w:type="dxa"/>
            <w:gridSpan w:val="2"/>
            <w:vAlign w:val="center"/>
          </w:tcPr>
          <w:p w14:paraId="7E362D1F" w14:textId="77777777" w:rsidR="002870A6" w:rsidRPr="002870A6" w:rsidRDefault="002870A6" w:rsidP="0067565F">
            <w:pPr>
              <w:pStyle w:val="Szvegtrzs"/>
              <w:jc w:val="center"/>
              <w:rPr>
                <w:rFonts w:cs="Times New Roman"/>
                <w:spacing w:val="-1"/>
              </w:rPr>
            </w:pPr>
            <w:r w:rsidRPr="002870A6">
              <w:rPr>
                <w:rFonts w:cs="Times New Roman"/>
                <w:spacing w:val="-1"/>
              </w:rPr>
              <w:t>INPULSIS</w:t>
            </w:r>
          </w:p>
        </w:tc>
        <w:tc>
          <w:tcPr>
            <w:tcW w:w="2410" w:type="dxa"/>
            <w:gridSpan w:val="2"/>
            <w:vAlign w:val="center"/>
          </w:tcPr>
          <w:p w14:paraId="7F6DEE47" w14:textId="77777777" w:rsidR="002870A6" w:rsidRPr="002870A6" w:rsidRDefault="002870A6" w:rsidP="0067565F">
            <w:pPr>
              <w:pStyle w:val="Szvegtrzs"/>
              <w:jc w:val="center"/>
              <w:rPr>
                <w:rFonts w:cs="Times New Roman"/>
                <w:spacing w:val="-1"/>
              </w:rPr>
            </w:pPr>
            <w:r w:rsidRPr="002870A6">
              <w:rPr>
                <w:rFonts w:cs="Times New Roman"/>
                <w:spacing w:val="-1"/>
              </w:rPr>
              <w:t>INBUILD</w:t>
            </w:r>
          </w:p>
        </w:tc>
        <w:tc>
          <w:tcPr>
            <w:tcW w:w="2406" w:type="dxa"/>
            <w:gridSpan w:val="2"/>
            <w:vAlign w:val="center"/>
          </w:tcPr>
          <w:p w14:paraId="375B08EA" w14:textId="77777777" w:rsidR="002870A6" w:rsidRPr="002870A6" w:rsidRDefault="002870A6" w:rsidP="0067565F">
            <w:pPr>
              <w:pStyle w:val="Szvegtrzs"/>
              <w:jc w:val="center"/>
              <w:rPr>
                <w:rFonts w:cs="Times New Roman"/>
                <w:spacing w:val="-1"/>
              </w:rPr>
            </w:pPr>
            <w:r w:rsidRPr="002870A6">
              <w:rPr>
                <w:rFonts w:cs="Times New Roman"/>
                <w:spacing w:val="-1"/>
              </w:rPr>
              <w:t>SENSCIS</w:t>
            </w:r>
          </w:p>
        </w:tc>
      </w:tr>
      <w:tr w:rsidR="002870A6" w:rsidRPr="002870A6" w14:paraId="3668EB52" w14:textId="77777777" w:rsidTr="00E0772D">
        <w:tc>
          <w:tcPr>
            <w:tcW w:w="1838" w:type="dxa"/>
          </w:tcPr>
          <w:p w14:paraId="381AC9E4" w14:textId="77777777" w:rsidR="002870A6" w:rsidRPr="002870A6" w:rsidRDefault="002870A6" w:rsidP="002870A6">
            <w:pPr>
              <w:pStyle w:val="Szvegtrzs"/>
              <w:rPr>
                <w:rFonts w:cs="Times New Roman"/>
                <w:spacing w:val="-1"/>
              </w:rPr>
            </w:pPr>
          </w:p>
        </w:tc>
        <w:tc>
          <w:tcPr>
            <w:tcW w:w="1203" w:type="dxa"/>
            <w:vAlign w:val="center"/>
          </w:tcPr>
          <w:p w14:paraId="76BFF13D" w14:textId="77777777" w:rsidR="002870A6" w:rsidRPr="002870A6" w:rsidRDefault="002870A6" w:rsidP="002870A6">
            <w:pPr>
              <w:pStyle w:val="Szvegtrzs"/>
              <w:rPr>
                <w:rFonts w:cs="Times New Roman"/>
                <w:spacing w:val="-1"/>
              </w:rPr>
            </w:pPr>
            <w:r w:rsidRPr="002870A6">
              <w:rPr>
                <w:rFonts w:cs="Times New Roman"/>
                <w:spacing w:val="-1"/>
              </w:rPr>
              <w:t>Placebo</w:t>
            </w:r>
          </w:p>
        </w:tc>
        <w:tc>
          <w:tcPr>
            <w:tcW w:w="1207" w:type="dxa"/>
            <w:vAlign w:val="center"/>
          </w:tcPr>
          <w:p w14:paraId="3C96A0F4" w14:textId="77777777" w:rsidR="002870A6" w:rsidRPr="002870A6" w:rsidRDefault="002870A6" w:rsidP="002870A6">
            <w:pPr>
              <w:pStyle w:val="Szvegtrzs"/>
              <w:ind w:left="0"/>
              <w:rPr>
                <w:rFonts w:cs="Times New Roman"/>
                <w:spacing w:val="-1"/>
              </w:rPr>
            </w:pPr>
            <w:r w:rsidRPr="002870A6">
              <w:rPr>
                <w:rFonts w:cs="Times New Roman"/>
                <w:spacing w:val="-1"/>
              </w:rPr>
              <w:t>Nintedanib</w:t>
            </w:r>
          </w:p>
        </w:tc>
        <w:tc>
          <w:tcPr>
            <w:tcW w:w="1204" w:type="dxa"/>
            <w:vAlign w:val="center"/>
          </w:tcPr>
          <w:p w14:paraId="79A98AC7" w14:textId="77777777" w:rsidR="002870A6" w:rsidRPr="002870A6" w:rsidRDefault="002870A6" w:rsidP="002870A6">
            <w:pPr>
              <w:pStyle w:val="Szvegtrzs"/>
              <w:rPr>
                <w:rFonts w:cs="Times New Roman"/>
                <w:spacing w:val="-1"/>
              </w:rPr>
            </w:pPr>
            <w:r w:rsidRPr="002870A6">
              <w:rPr>
                <w:rFonts w:cs="Times New Roman"/>
                <w:spacing w:val="-1"/>
              </w:rPr>
              <w:t>Placebo</w:t>
            </w:r>
          </w:p>
        </w:tc>
        <w:tc>
          <w:tcPr>
            <w:tcW w:w="1204" w:type="dxa"/>
            <w:vAlign w:val="center"/>
          </w:tcPr>
          <w:p w14:paraId="783DE1D6" w14:textId="77777777" w:rsidR="002870A6" w:rsidRPr="002870A6" w:rsidRDefault="002870A6" w:rsidP="002870A6">
            <w:pPr>
              <w:pStyle w:val="Szvegtrzs"/>
              <w:ind w:left="0"/>
              <w:rPr>
                <w:rFonts w:cs="Times New Roman"/>
                <w:spacing w:val="-1"/>
              </w:rPr>
            </w:pPr>
            <w:r w:rsidRPr="002870A6">
              <w:rPr>
                <w:rFonts w:cs="Times New Roman"/>
                <w:spacing w:val="-1"/>
              </w:rPr>
              <w:t>Nintedanib</w:t>
            </w:r>
          </w:p>
        </w:tc>
        <w:tc>
          <w:tcPr>
            <w:tcW w:w="1204" w:type="dxa"/>
            <w:vAlign w:val="center"/>
          </w:tcPr>
          <w:p w14:paraId="790DBE28" w14:textId="77777777" w:rsidR="002870A6" w:rsidRPr="002870A6" w:rsidRDefault="002870A6" w:rsidP="002870A6">
            <w:pPr>
              <w:pStyle w:val="Szvegtrzs"/>
              <w:rPr>
                <w:rFonts w:cs="Times New Roman"/>
                <w:spacing w:val="-1"/>
              </w:rPr>
            </w:pPr>
            <w:r w:rsidRPr="002870A6">
              <w:rPr>
                <w:rFonts w:cs="Times New Roman"/>
                <w:spacing w:val="-1"/>
              </w:rPr>
              <w:t>Placebo</w:t>
            </w:r>
          </w:p>
        </w:tc>
        <w:tc>
          <w:tcPr>
            <w:tcW w:w="1204" w:type="dxa"/>
            <w:vAlign w:val="center"/>
          </w:tcPr>
          <w:p w14:paraId="1F4508A2" w14:textId="77777777" w:rsidR="002870A6" w:rsidRPr="002870A6" w:rsidRDefault="002870A6" w:rsidP="002870A6">
            <w:pPr>
              <w:pStyle w:val="Szvegtrzs"/>
              <w:ind w:left="0"/>
              <w:rPr>
                <w:rFonts w:cs="Times New Roman"/>
                <w:spacing w:val="-1"/>
              </w:rPr>
            </w:pPr>
            <w:r w:rsidRPr="002870A6">
              <w:rPr>
                <w:rFonts w:cs="Times New Roman"/>
                <w:spacing w:val="-1"/>
              </w:rPr>
              <w:t>Nintedanib</w:t>
            </w:r>
          </w:p>
        </w:tc>
      </w:tr>
      <w:tr w:rsidR="002870A6" w:rsidRPr="002870A6" w14:paraId="341DF5F9" w14:textId="77777777" w:rsidTr="00E0772D">
        <w:tc>
          <w:tcPr>
            <w:tcW w:w="1838" w:type="dxa"/>
          </w:tcPr>
          <w:p w14:paraId="721872AA" w14:textId="49E26A48" w:rsidR="002870A6" w:rsidRPr="002870A6" w:rsidRDefault="002870A6" w:rsidP="002870A6">
            <w:pPr>
              <w:pStyle w:val="Szvegtrzs"/>
              <w:ind w:left="0"/>
              <w:rPr>
                <w:rFonts w:cs="Times New Roman"/>
                <w:spacing w:val="-1"/>
              </w:rPr>
            </w:pPr>
            <w:r w:rsidRPr="002870A6">
              <w:rPr>
                <w:rFonts w:cs="Times New Roman"/>
                <w:spacing w:val="-1"/>
              </w:rPr>
              <w:t>Hasmenés</w:t>
            </w:r>
          </w:p>
        </w:tc>
        <w:tc>
          <w:tcPr>
            <w:tcW w:w="1203" w:type="dxa"/>
            <w:vAlign w:val="center"/>
          </w:tcPr>
          <w:p w14:paraId="2EF3E7B5" w14:textId="77777777" w:rsidR="002870A6" w:rsidRPr="002870A6" w:rsidRDefault="002870A6" w:rsidP="008C00BA">
            <w:pPr>
              <w:pStyle w:val="Szvegtrzs"/>
              <w:jc w:val="center"/>
              <w:rPr>
                <w:rFonts w:cs="Times New Roman"/>
                <w:spacing w:val="-1"/>
              </w:rPr>
            </w:pPr>
            <w:r w:rsidRPr="002870A6">
              <w:rPr>
                <w:rFonts w:cs="Times New Roman"/>
                <w:spacing w:val="-1"/>
              </w:rPr>
              <w:t>18.4%</w:t>
            </w:r>
          </w:p>
        </w:tc>
        <w:tc>
          <w:tcPr>
            <w:tcW w:w="1207" w:type="dxa"/>
            <w:vAlign w:val="center"/>
          </w:tcPr>
          <w:p w14:paraId="5E0CDFA5" w14:textId="77777777" w:rsidR="002870A6" w:rsidRPr="002870A6" w:rsidRDefault="002870A6" w:rsidP="008C00BA">
            <w:pPr>
              <w:pStyle w:val="Szvegtrzs"/>
              <w:jc w:val="center"/>
              <w:rPr>
                <w:rFonts w:cs="Times New Roman"/>
                <w:spacing w:val="-1"/>
              </w:rPr>
            </w:pPr>
            <w:r w:rsidRPr="002870A6">
              <w:rPr>
                <w:rFonts w:cs="Times New Roman"/>
                <w:spacing w:val="-1"/>
              </w:rPr>
              <w:t>62.4%</w:t>
            </w:r>
          </w:p>
        </w:tc>
        <w:tc>
          <w:tcPr>
            <w:tcW w:w="1204" w:type="dxa"/>
            <w:vAlign w:val="center"/>
          </w:tcPr>
          <w:p w14:paraId="2EECB56D" w14:textId="77777777" w:rsidR="002870A6" w:rsidRPr="002870A6" w:rsidRDefault="002870A6" w:rsidP="008C00BA">
            <w:pPr>
              <w:pStyle w:val="Szvegtrzs"/>
              <w:jc w:val="center"/>
              <w:rPr>
                <w:rFonts w:cs="Times New Roman"/>
                <w:spacing w:val="-1"/>
              </w:rPr>
            </w:pPr>
            <w:r w:rsidRPr="002870A6">
              <w:rPr>
                <w:rFonts w:cs="Times New Roman"/>
                <w:spacing w:val="-1"/>
              </w:rPr>
              <w:t>23.9%</w:t>
            </w:r>
          </w:p>
        </w:tc>
        <w:tc>
          <w:tcPr>
            <w:tcW w:w="1204" w:type="dxa"/>
            <w:vAlign w:val="center"/>
          </w:tcPr>
          <w:p w14:paraId="49F8F36F" w14:textId="77777777" w:rsidR="002870A6" w:rsidRPr="002870A6" w:rsidRDefault="002870A6" w:rsidP="008C00BA">
            <w:pPr>
              <w:pStyle w:val="Szvegtrzs"/>
              <w:jc w:val="center"/>
              <w:rPr>
                <w:rFonts w:cs="Times New Roman"/>
                <w:spacing w:val="-1"/>
              </w:rPr>
            </w:pPr>
            <w:r w:rsidRPr="002870A6">
              <w:rPr>
                <w:rFonts w:cs="Times New Roman"/>
                <w:spacing w:val="-1"/>
              </w:rPr>
              <w:t>66.9%</w:t>
            </w:r>
          </w:p>
        </w:tc>
        <w:tc>
          <w:tcPr>
            <w:tcW w:w="1204" w:type="dxa"/>
            <w:vAlign w:val="center"/>
          </w:tcPr>
          <w:p w14:paraId="6E9FC52F" w14:textId="77777777" w:rsidR="002870A6" w:rsidRPr="002870A6" w:rsidRDefault="002870A6" w:rsidP="008C00BA">
            <w:pPr>
              <w:pStyle w:val="Szvegtrzs"/>
              <w:jc w:val="center"/>
              <w:rPr>
                <w:rFonts w:cs="Times New Roman"/>
                <w:spacing w:val="-1"/>
              </w:rPr>
            </w:pPr>
            <w:r w:rsidRPr="002870A6">
              <w:rPr>
                <w:rFonts w:cs="Times New Roman"/>
                <w:spacing w:val="-1"/>
              </w:rPr>
              <w:t>31.6%</w:t>
            </w:r>
          </w:p>
        </w:tc>
        <w:tc>
          <w:tcPr>
            <w:tcW w:w="1204" w:type="dxa"/>
            <w:vAlign w:val="center"/>
          </w:tcPr>
          <w:p w14:paraId="025C9071" w14:textId="77777777" w:rsidR="002870A6" w:rsidRPr="002870A6" w:rsidRDefault="002870A6" w:rsidP="008C00BA">
            <w:pPr>
              <w:pStyle w:val="Szvegtrzs"/>
              <w:jc w:val="center"/>
              <w:rPr>
                <w:rFonts w:cs="Times New Roman"/>
                <w:spacing w:val="-1"/>
              </w:rPr>
            </w:pPr>
            <w:r w:rsidRPr="002870A6">
              <w:rPr>
                <w:rFonts w:cs="Times New Roman"/>
                <w:spacing w:val="-1"/>
              </w:rPr>
              <w:t>75.7%</w:t>
            </w:r>
          </w:p>
        </w:tc>
      </w:tr>
      <w:tr w:rsidR="002870A6" w:rsidRPr="002870A6" w14:paraId="2ED17342" w14:textId="77777777" w:rsidTr="00E0772D">
        <w:tc>
          <w:tcPr>
            <w:tcW w:w="1838" w:type="dxa"/>
          </w:tcPr>
          <w:p w14:paraId="7C7230C4" w14:textId="02F5D8F7" w:rsidR="002870A6" w:rsidRPr="002870A6" w:rsidRDefault="002870A6" w:rsidP="002870A6">
            <w:pPr>
              <w:pStyle w:val="Szvegtrzs"/>
              <w:ind w:left="0"/>
              <w:rPr>
                <w:rFonts w:cs="Times New Roman"/>
                <w:spacing w:val="-1"/>
              </w:rPr>
            </w:pPr>
            <w:r w:rsidRPr="002870A6">
              <w:rPr>
                <w:rFonts w:cs="Times New Roman"/>
                <w:spacing w:val="-1"/>
              </w:rPr>
              <w:t>Súlyos hasmenés</w:t>
            </w:r>
          </w:p>
        </w:tc>
        <w:tc>
          <w:tcPr>
            <w:tcW w:w="1203" w:type="dxa"/>
            <w:vAlign w:val="center"/>
          </w:tcPr>
          <w:p w14:paraId="43C5C1D8" w14:textId="77777777" w:rsidR="002870A6" w:rsidRPr="002870A6" w:rsidRDefault="002870A6" w:rsidP="008C00BA">
            <w:pPr>
              <w:pStyle w:val="Szvegtrzs"/>
              <w:jc w:val="center"/>
              <w:rPr>
                <w:rFonts w:cs="Times New Roman"/>
                <w:spacing w:val="-1"/>
              </w:rPr>
            </w:pPr>
            <w:r w:rsidRPr="002870A6">
              <w:rPr>
                <w:rFonts w:cs="Times New Roman"/>
                <w:spacing w:val="-1"/>
              </w:rPr>
              <w:t>0.5%</w:t>
            </w:r>
          </w:p>
        </w:tc>
        <w:tc>
          <w:tcPr>
            <w:tcW w:w="1207" w:type="dxa"/>
            <w:vAlign w:val="center"/>
          </w:tcPr>
          <w:p w14:paraId="14AA5204" w14:textId="77777777" w:rsidR="002870A6" w:rsidRPr="002870A6" w:rsidRDefault="002870A6" w:rsidP="008C00BA">
            <w:pPr>
              <w:pStyle w:val="Szvegtrzs"/>
              <w:jc w:val="center"/>
              <w:rPr>
                <w:rFonts w:cs="Times New Roman"/>
                <w:spacing w:val="-1"/>
              </w:rPr>
            </w:pPr>
            <w:r w:rsidRPr="002870A6">
              <w:rPr>
                <w:rFonts w:cs="Times New Roman"/>
                <w:spacing w:val="-1"/>
              </w:rPr>
              <w:t>3.3%</w:t>
            </w:r>
          </w:p>
        </w:tc>
        <w:tc>
          <w:tcPr>
            <w:tcW w:w="1204" w:type="dxa"/>
            <w:vAlign w:val="center"/>
          </w:tcPr>
          <w:p w14:paraId="65190F0F" w14:textId="77777777" w:rsidR="002870A6" w:rsidRPr="002870A6" w:rsidRDefault="002870A6" w:rsidP="008C00BA">
            <w:pPr>
              <w:pStyle w:val="Szvegtrzs"/>
              <w:jc w:val="center"/>
              <w:rPr>
                <w:rFonts w:cs="Times New Roman"/>
                <w:spacing w:val="-1"/>
              </w:rPr>
            </w:pPr>
            <w:r w:rsidRPr="002870A6">
              <w:rPr>
                <w:rFonts w:cs="Times New Roman"/>
                <w:spacing w:val="-1"/>
              </w:rPr>
              <w:t>0.9%</w:t>
            </w:r>
          </w:p>
        </w:tc>
        <w:tc>
          <w:tcPr>
            <w:tcW w:w="1204" w:type="dxa"/>
            <w:vAlign w:val="center"/>
          </w:tcPr>
          <w:p w14:paraId="0D63A7B7" w14:textId="77777777" w:rsidR="002870A6" w:rsidRPr="002870A6" w:rsidRDefault="002870A6" w:rsidP="008C00BA">
            <w:pPr>
              <w:pStyle w:val="Szvegtrzs"/>
              <w:jc w:val="center"/>
              <w:rPr>
                <w:rFonts w:cs="Times New Roman"/>
                <w:spacing w:val="-1"/>
              </w:rPr>
            </w:pPr>
            <w:r w:rsidRPr="002870A6">
              <w:rPr>
                <w:rFonts w:cs="Times New Roman"/>
                <w:spacing w:val="-1"/>
              </w:rPr>
              <w:t>2.4%</w:t>
            </w:r>
          </w:p>
        </w:tc>
        <w:tc>
          <w:tcPr>
            <w:tcW w:w="1204" w:type="dxa"/>
            <w:vAlign w:val="center"/>
          </w:tcPr>
          <w:p w14:paraId="4325D539" w14:textId="77777777" w:rsidR="002870A6" w:rsidRPr="002870A6" w:rsidRDefault="002870A6" w:rsidP="008C00BA">
            <w:pPr>
              <w:pStyle w:val="Szvegtrzs"/>
              <w:jc w:val="center"/>
              <w:rPr>
                <w:rFonts w:cs="Times New Roman"/>
                <w:spacing w:val="-1"/>
              </w:rPr>
            </w:pPr>
            <w:r w:rsidRPr="002870A6">
              <w:rPr>
                <w:rFonts w:cs="Times New Roman"/>
                <w:spacing w:val="-1"/>
              </w:rPr>
              <w:t>1.0%</w:t>
            </w:r>
          </w:p>
        </w:tc>
        <w:tc>
          <w:tcPr>
            <w:tcW w:w="1204" w:type="dxa"/>
            <w:vAlign w:val="center"/>
          </w:tcPr>
          <w:p w14:paraId="1D71B8F6" w14:textId="77777777" w:rsidR="002870A6" w:rsidRPr="002870A6" w:rsidRDefault="002870A6" w:rsidP="008C00BA">
            <w:pPr>
              <w:pStyle w:val="Szvegtrzs"/>
              <w:jc w:val="center"/>
              <w:rPr>
                <w:rFonts w:cs="Times New Roman"/>
                <w:spacing w:val="-1"/>
              </w:rPr>
            </w:pPr>
            <w:r w:rsidRPr="002870A6">
              <w:rPr>
                <w:rFonts w:cs="Times New Roman"/>
                <w:spacing w:val="-1"/>
              </w:rPr>
              <w:t>4.2%</w:t>
            </w:r>
          </w:p>
        </w:tc>
      </w:tr>
      <w:tr w:rsidR="002870A6" w:rsidRPr="002870A6" w14:paraId="5403240E" w14:textId="77777777" w:rsidTr="00E0772D">
        <w:tc>
          <w:tcPr>
            <w:tcW w:w="1838" w:type="dxa"/>
          </w:tcPr>
          <w:p w14:paraId="343F862A" w14:textId="71659C59" w:rsidR="002870A6" w:rsidRPr="002870A6" w:rsidRDefault="002870A6" w:rsidP="0067565F">
            <w:pPr>
              <w:pStyle w:val="Szvegtrzs"/>
              <w:ind w:left="0"/>
              <w:rPr>
                <w:rFonts w:cs="Times New Roman"/>
                <w:spacing w:val="-1"/>
              </w:rPr>
            </w:pPr>
            <w:r w:rsidRPr="002870A6">
              <w:rPr>
                <w:rFonts w:cs="Times New Roman"/>
                <w:spacing w:val="-1"/>
              </w:rPr>
              <w:t>A</w:t>
            </w:r>
            <w:r>
              <w:rPr>
                <w:rFonts w:cs="Times New Roman"/>
                <w:spacing w:val="-1"/>
              </w:rPr>
              <w:t xml:space="preserve"> nintedanib</w:t>
            </w:r>
            <w:r w:rsidR="0067565F">
              <w:rPr>
                <w:rFonts w:cs="Times New Roman"/>
                <w:spacing w:val="-1"/>
              </w:rPr>
              <w:t xml:space="preserve"> </w:t>
            </w:r>
            <w:r w:rsidRPr="002870A6">
              <w:rPr>
                <w:rFonts w:cs="Times New Roman"/>
                <w:spacing w:val="-1"/>
              </w:rPr>
              <w:t>dóziscsökkenté</w:t>
            </w:r>
            <w:r w:rsidR="00E8297C">
              <w:rPr>
                <w:rFonts w:cs="Times New Roman"/>
                <w:spacing w:val="-1"/>
              </w:rPr>
              <w:t>-</w:t>
            </w:r>
            <w:r w:rsidRPr="002870A6">
              <w:rPr>
                <w:rFonts w:cs="Times New Roman"/>
                <w:spacing w:val="-1"/>
              </w:rPr>
              <w:t>séhez</w:t>
            </w:r>
            <w:r>
              <w:rPr>
                <w:rFonts w:cs="Times New Roman"/>
                <w:spacing w:val="-1"/>
              </w:rPr>
              <w:t xml:space="preserve"> </w:t>
            </w:r>
            <w:r w:rsidRPr="002870A6">
              <w:rPr>
                <w:rFonts w:cs="Times New Roman"/>
                <w:spacing w:val="-1"/>
              </w:rPr>
              <w:t>vezető hasmenés</w:t>
            </w:r>
          </w:p>
        </w:tc>
        <w:tc>
          <w:tcPr>
            <w:tcW w:w="1203" w:type="dxa"/>
            <w:vAlign w:val="center"/>
          </w:tcPr>
          <w:p w14:paraId="040AD546" w14:textId="77777777" w:rsidR="002870A6" w:rsidRPr="002870A6" w:rsidRDefault="002870A6" w:rsidP="008C00BA">
            <w:pPr>
              <w:pStyle w:val="Szvegtrzs"/>
              <w:jc w:val="center"/>
              <w:rPr>
                <w:rFonts w:cs="Times New Roman"/>
                <w:spacing w:val="-1"/>
              </w:rPr>
            </w:pPr>
            <w:r w:rsidRPr="002870A6">
              <w:rPr>
                <w:rFonts w:cs="Times New Roman"/>
                <w:spacing w:val="-1"/>
              </w:rPr>
              <w:t>0%</w:t>
            </w:r>
          </w:p>
        </w:tc>
        <w:tc>
          <w:tcPr>
            <w:tcW w:w="1207" w:type="dxa"/>
            <w:vAlign w:val="center"/>
          </w:tcPr>
          <w:p w14:paraId="2EA49401" w14:textId="77777777" w:rsidR="002870A6" w:rsidRPr="002870A6" w:rsidRDefault="002870A6" w:rsidP="008C00BA">
            <w:pPr>
              <w:pStyle w:val="Szvegtrzs"/>
              <w:jc w:val="center"/>
              <w:rPr>
                <w:rFonts w:cs="Times New Roman"/>
                <w:spacing w:val="-1"/>
              </w:rPr>
            </w:pPr>
            <w:r w:rsidRPr="002870A6">
              <w:rPr>
                <w:rFonts w:cs="Times New Roman"/>
                <w:spacing w:val="-1"/>
              </w:rPr>
              <w:t>10.7%</w:t>
            </w:r>
          </w:p>
        </w:tc>
        <w:tc>
          <w:tcPr>
            <w:tcW w:w="1204" w:type="dxa"/>
            <w:vAlign w:val="center"/>
          </w:tcPr>
          <w:p w14:paraId="7ACEBF54" w14:textId="77777777" w:rsidR="002870A6" w:rsidRPr="002870A6" w:rsidRDefault="002870A6" w:rsidP="008C00BA">
            <w:pPr>
              <w:pStyle w:val="Szvegtrzs"/>
              <w:jc w:val="center"/>
              <w:rPr>
                <w:rFonts w:cs="Times New Roman"/>
                <w:spacing w:val="-1"/>
              </w:rPr>
            </w:pPr>
            <w:r w:rsidRPr="002870A6">
              <w:rPr>
                <w:rFonts w:cs="Times New Roman"/>
                <w:spacing w:val="-1"/>
              </w:rPr>
              <w:t>0.9%</w:t>
            </w:r>
          </w:p>
        </w:tc>
        <w:tc>
          <w:tcPr>
            <w:tcW w:w="1204" w:type="dxa"/>
            <w:vAlign w:val="center"/>
          </w:tcPr>
          <w:p w14:paraId="688EF8F7" w14:textId="77777777" w:rsidR="002870A6" w:rsidRPr="002870A6" w:rsidRDefault="002870A6" w:rsidP="008C00BA">
            <w:pPr>
              <w:pStyle w:val="Szvegtrzs"/>
              <w:jc w:val="center"/>
              <w:rPr>
                <w:rFonts w:cs="Times New Roman"/>
                <w:spacing w:val="-1"/>
              </w:rPr>
            </w:pPr>
            <w:r w:rsidRPr="002870A6">
              <w:rPr>
                <w:rFonts w:cs="Times New Roman"/>
                <w:spacing w:val="-1"/>
              </w:rPr>
              <w:t>16.0%</w:t>
            </w:r>
          </w:p>
        </w:tc>
        <w:tc>
          <w:tcPr>
            <w:tcW w:w="1204" w:type="dxa"/>
            <w:vAlign w:val="center"/>
          </w:tcPr>
          <w:p w14:paraId="4FF21AE2" w14:textId="77777777" w:rsidR="002870A6" w:rsidRPr="002870A6" w:rsidRDefault="002870A6" w:rsidP="008C00BA">
            <w:pPr>
              <w:pStyle w:val="Szvegtrzs"/>
              <w:jc w:val="center"/>
              <w:rPr>
                <w:rFonts w:cs="Times New Roman"/>
                <w:spacing w:val="-1"/>
              </w:rPr>
            </w:pPr>
            <w:r w:rsidRPr="002870A6">
              <w:rPr>
                <w:rFonts w:cs="Times New Roman"/>
                <w:spacing w:val="-1"/>
              </w:rPr>
              <w:t>1.0%</w:t>
            </w:r>
          </w:p>
        </w:tc>
        <w:tc>
          <w:tcPr>
            <w:tcW w:w="1204" w:type="dxa"/>
            <w:vAlign w:val="center"/>
          </w:tcPr>
          <w:p w14:paraId="15FE334F" w14:textId="77777777" w:rsidR="002870A6" w:rsidRPr="002870A6" w:rsidRDefault="002870A6" w:rsidP="008C00BA">
            <w:pPr>
              <w:pStyle w:val="Szvegtrzs"/>
              <w:jc w:val="center"/>
              <w:rPr>
                <w:rFonts w:cs="Times New Roman"/>
                <w:spacing w:val="-1"/>
              </w:rPr>
            </w:pPr>
            <w:r w:rsidRPr="002870A6">
              <w:rPr>
                <w:rFonts w:cs="Times New Roman"/>
                <w:spacing w:val="-1"/>
              </w:rPr>
              <w:t>22.2%</w:t>
            </w:r>
          </w:p>
        </w:tc>
      </w:tr>
      <w:tr w:rsidR="002870A6" w:rsidRPr="002870A6" w14:paraId="1E1A9290" w14:textId="77777777" w:rsidTr="00E0772D">
        <w:tc>
          <w:tcPr>
            <w:tcW w:w="1838" w:type="dxa"/>
          </w:tcPr>
          <w:p w14:paraId="178B1C6F" w14:textId="30E66CDD" w:rsidR="002870A6" w:rsidRPr="002870A6" w:rsidRDefault="00E8297C" w:rsidP="00237632">
            <w:pPr>
              <w:pStyle w:val="Szvegtrzs"/>
              <w:ind w:left="0"/>
              <w:rPr>
                <w:rFonts w:cs="Times New Roman"/>
                <w:spacing w:val="-1"/>
              </w:rPr>
            </w:pPr>
            <w:r w:rsidRPr="00E8297C">
              <w:rPr>
                <w:rFonts w:cs="Times New Roman"/>
                <w:spacing w:val="-1"/>
              </w:rPr>
              <w:t>A nintedanib</w:t>
            </w:r>
            <w:r>
              <w:rPr>
                <w:rFonts w:cs="Times New Roman"/>
                <w:spacing w:val="-1"/>
              </w:rPr>
              <w:t xml:space="preserve"> </w:t>
            </w:r>
            <w:r w:rsidRPr="00E8297C">
              <w:rPr>
                <w:rFonts w:cs="Times New Roman"/>
                <w:spacing w:val="-1"/>
              </w:rPr>
              <w:t>leállításához vezető</w:t>
            </w:r>
            <w:r w:rsidR="00237632">
              <w:rPr>
                <w:rFonts w:cs="Times New Roman"/>
                <w:spacing w:val="-1"/>
              </w:rPr>
              <w:t xml:space="preserve"> </w:t>
            </w:r>
            <w:r w:rsidRPr="00E8297C">
              <w:rPr>
                <w:rFonts w:cs="Times New Roman"/>
                <w:spacing w:val="-1"/>
              </w:rPr>
              <w:t>hasmenés</w:t>
            </w:r>
          </w:p>
        </w:tc>
        <w:tc>
          <w:tcPr>
            <w:tcW w:w="1203" w:type="dxa"/>
            <w:vAlign w:val="center"/>
          </w:tcPr>
          <w:p w14:paraId="4ECE7EA7" w14:textId="77777777" w:rsidR="002870A6" w:rsidRPr="002870A6" w:rsidRDefault="002870A6" w:rsidP="008C00BA">
            <w:pPr>
              <w:pStyle w:val="Szvegtrzs"/>
              <w:jc w:val="center"/>
              <w:rPr>
                <w:rFonts w:cs="Times New Roman"/>
                <w:spacing w:val="-1"/>
              </w:rPr>
            </w:pPr>
            <w:r w:rsidRPr="002870A6">
              <w:rPr>
                <w:rFonts w:cs="Times New Roman"/>
                <w:spacing w:val="-1"/>
              </w:rPr>
              <w:t>0.2%</w:t>
            </w:r>
          </w:p>
        </w:tc>
        <w:tc>
          <w:tcPr>
            <w:tcW w:w="1207" w:type="dxa"/>
            <w:vAlign w:val="center"/>
          </w:tcPr>
          <w:p w14:paraId="62DDAC93" w14:textId="77777777" w:rsidR="002870A6" w:rsidRPr="002870A6" w:rsidRDefault="002870A6" w:rsidP="008C00BA">
            <w:pPr>
              <w:pStyle w:val="Szvegtrzs"/>
              <w:jc w:val="center"/>
              <w:rPr>
                <w:rFonts w:cs="Times New Roman"/>
                <w:spacing w:val="-1"/>
              </w:rPr>
            </w:pPr>
            <w:r w:rsidRPr="002870A6">
              <w:rPr>
                <w:rFonts w:cs="Times New Roman"/>
                <w:spacing w:val="-1"/>
              </w:rPr>
              <w:t>4.4%</w:t>
            </w:r>
          </w:p>
        </w:tc>
        <w:tc>
          <w:tcPr>
            <w:tcW w:w="1204" w:type="dxa"/>
            <w:vAlign w:val="center"/>
          </w:tcPr>
          <w:p w14:paraId="6D32706C" w14:textId="77777777" w:rsidR="002870A6" w:rsidRPr="002870A6" w:rsidRDefault="002870A6" w:rsidP="008C00BA">
            <w:pPr>
              <w:pStyle w:val="Szvegtrzs"/>
              <w:jc w:val="center"/>
              <w:rPr>
                <w:rFonts w:cs="Times New Roman"/>
                <w:spacing w:val="-1"/>
              </w:rPr>
            </w:pPr>
            <w:r w:rsidRPr="002870A6">
              <w:rPr>
                <w:rFonts w:cs="Times New Roman"/>
                <w:spacing w:val="-1"/>
              </w:rPr>
              <w:t>0.3%</w:t>
            </w:r>
          </w:p>
        </w:tc>
        <w:tc>
          <w:tcPr>
            <w:tcW w:w="1204" w:type="dxa"/>
            <w:vAlign w:val="center"/>
          </w:tcPr>
          <w:p w14:paraId="430FC417" w14:textId="77777777" w:rsidR="002870A6" w:rsidRPr="002870A6" w:rsidRDefault="002870A6" w:rsidP="008C00BA">
            <w:pPr>
              <w:pStyle w:val="Szvegtrzs"/>
              <w:jc w:val="center"/>
              <w:rPr>
                <w:rFonts w:cs="Times New Roman"/>
                <w:spacing w:val="-1"/>
              </w:rPr>
            </w:pPr>
            <w:r w:rsidRPr="002870A6">
              <w:rPr>
                <w:rFonts w:cs="Times New Roman"/>
                <w:spacing w:val="-1"/>
              </w:rPr>
              <w:t>5.7%</w:t>
            </w:r>
          </w:p>
        </w:tc>
        <w:tc>
          <w:tcPr>
            <w:tcW w:w="1204" w:type="dxa"/>
            <w:vAlign w:val="center"/>
          </w:tcPr>
          <w:p w14:paraId="4EE26CB6" w14:textId="77777777" w:rsidR="002870A6" w:rsidRPr="002870A6" w:rsidRDefault="002870A6" w:rsidP="008C00BA">
            <w:pPr>
              <w:pStyle w:val="Szvegtrzs"/>
              <w:jc w:val="center"/>
              <w:rPr>
                <w:rFonts w:cs="Times New Roman"/>
                <w:spacing w:val="-1"/>
              </w:rPr>
            </w:pPr>
            <w:r w:rsidRPr="002870A6">
              <w:rPr>
                <w:rFonts w:cs="Times New Roman"/>
                <w:spacing w:val="-1"/>
              </w:rPr>
              <w:t>0.3%</w:t>
            </w:r>
          </w:p>
        </w:tc>
        <w:tc>
          <w:tcPr>
            <w:tcW w:w="1204" w:type="dxa"/>
            <w:vAlign w:val="center"/>
          </w:tcPr>
          <w:p w14:paraId="5F717176" w14:textId="77777777" w:rsidR="002870A6" w:rsidRPr="002870A6" w:rsidRDefault="002870A6" w:rsidP="008C00BA">
            <w:pPr>
              <w:pStyle w:val="Szvegtrzs"/>
              <w:jc w:val="center"/>
              <w:rPr>
                <w:rFonts w:cs="Times New Roman"/>
                <w:spacing w:val="-1"/>
              </w:rPr>
            </w:pPr>
            <w:r w:rsidRPr="002870A6">
              <w:rPr>
                <w:rFonts w:cs="Times New Roman"/>
                <w:spacing w:val="-1"/>
              </w:rPr>
              <w:t>6.9%</w:t>
            </w:r>
          </w:p>
        </w:tc>
      </w:tr>
    </w:tbl>
    <w:p w14:paraId="38079934" w14:textId="77777777" w:rsidR="00DF4423" w:rsidRDefault="00DF4423" w:rsidP="009106D9">
      <w:pPr>
        <w:pStyle w:val="Szvegtrzs"/>
        <w:ind w:left="0"/>
        <w:rPr>
          <w:rFonts w:cs="Times New Roman"/>
          <w:spacing w:val="-1"/>
          <w:u w:val="single" w:color="000000"/>
        </w:rPr>
      </w:pPr>
    </w:p>
    <w:p w14:paraId="08B2D434" w14:textId="77777777" w:rsidR="00E8297C" w:rsidRPr="00E8297C" w:rsidRDefault="00E8297C" w:rsidP="00E8297C">
      <w:pPr>
        <w:pStyle w:val="Szvegtrzs"/>
        <w:ind w:left="0"/>
        <w:rPr>
          <w:rFonts w:cs="Times New Roman"/>
          <w:i/>
          <w:iCs/>
          <w:spacing w:val="-1"/>
        </w:rPr>
      </w:pPr>
      <w:r w:rsidRPr="00E8297C">
        <w:rPr>
          <w:rFonts w:cs="Times New Roman"/>
          <w:i/>
          <w:iCs/>
          <w:spacing w:val="-1"/>
        </w:rPr>
        <w:t>Emelkedett májenzimszintek</w:t>
      </w:r>
    </w:p>
    <w:p w14:paraId="51314F33" w14:textId="68445C68" w:rsidR="00E8297C" w:rsidRDefault="00E8297C" w:rsidP="00E8297C">
      <w:pPr>
        <w:pStyle w:val="Szvegtrzs"/>
        <w:ind w:left="0"/>
        <w:rPr>
          <w:rFonts w:cs="Times New Roman"/>
          <w:spacing w:val="-1"/>
        </w:rPr>
      </w:pPr>
      <w:r w:rsidRPr="00E8297C">
        <w:rPr>
          <w:rFonts w:cs="Times New Roman"/>
          <w:spacing w:val="-1"/>
        </w:rPr>
        <w:t>Az INPULSIS vizsgálatokban a</w:t>
      </w:r>
      <w:r>
        <w:rPr>
          <w:rFonts w:cs="Times New Roman"/>
          <w:spacing w:val="-1"/>
        </w:rPr>
        <w:t xml:space="preserve"> nintedanibbal</w:t>
      </w:r>
      <w:r w:rsidRPr="00E8297C">
        <w:rPr>
          <w:rFonts w:cs="Times New Roman"/>
          <w:spacing w:val="-1"/>
        </w:rPr>
        <w:t xml:space="preserve"> kezelt betegek 13,6%-ánál, míg a placebóval kezelt betegek</w:t>
      </w:r>
      <w:r>
        <w:rPr>
          <w:rFonts w:cs="Times New Roman"/>
          <w:spacing w:val="-1"/>
        </w:rPr>
        <w:t xml:space="preserve"> </w:t>
      </w:r>
      <w:r w:rsidRPr="00E8297C">
        <w:rPr>
          <w:rFonts w:cs="Times New Roman"/>
          <w:spacing w:val="-1"/>
        </w:rPr>
        <w:t>2,6%-ánál számoltak be a májenzimszintek emelkedéséről (lásd 4.4 pont). Az INBUILD vizsgálatban</w:t>
      </w:r>
      <w:r>
        <w:rPr>
          <w:rFonts w:cs="Times New Roman"/>
          <w:spacing w:val="-1"/>
        </w:rPr>
        <w:t xml:space="preserve"> </w:t>
      </w:r>
      <w:r w:rsidRPr="00E8297C">
        <w:rPr>
          <w:rFonts w:cs="Times New Roman"/>
          <w:spacing w:val="-1"/>
        </w:rPr>
        <w:t>a</w:t>
      </w:r>
      <w:r>
        <w:rPr>
          <w:rFonts w:cs="Times New Roman"/>
          <w:spacing w:val="-1"/>
        </w:rPr>
        <w:t xml:space="preserve"> nintedanibbal</w:t>
      </w:r>
      <w:r w:rsidRPr="00E8297C">
        <w:rPr>
          <w:rFonts w:cs="Times New Roman"/>
          <w:spacing w:val="-1"/>
        </w:rPr>
        <w:t xml:space="preserve"> kezelt betegek 22,6%-ánál, míg a placebóval kezelt betegek 5,7%-ánál számoltak be a</w:t>
      </w:r>
      <w:r>
        <w:rPr>
          <w:rFonts w:cs="Times New Roman"/>
          <w:spacing w:val="-1"/>
        </w:rPr>
        <w:t xml:space="preserve"> </w:t>
      </w:r>
      <w:r w:rsidRPr="00E8297C">
        <w:rPr>
          <w:rFonts w:cs="Times New Roman"/>
          <w:spacing w:val="-1"/>
        </w:rPr>
        <w:t>májenzimszintek emelkedéséről. A SENSCIS vizsgálatban a</w:t>
      </w:r>
      <w:r>
        <w:rPr>
          <w:rFonts w:cs="Times New Roman"/>
          <w:spacing w:val="-1"/>
        </w:rPr>
        <w:t xml:space="preserve"> nintedanibbal</w:t>
      </w:r>
      <w:r w:rsidRPr="00E8297C">
        <w:rPr>
          <w:rFonts w:cs="Times New Roman"/>
          <w:spacing w:val="-1"/>
        </w:rPr>
        <w:t xml:space="preserve"> kezelt betegek 13,2%-ánál, míg</w:t>
      </w:r>
      <w:r>
        <w:rPr>
          <w:rFonts w:cs="Times New Roman"/>
          <w:spacing w:val="-1"/>
        </w:rPr>
        <w:t xml:space="preserve"> </w:t>
      </w:r>
      <w:r w:rsidRPr="00E8297C">
        <w:rPr>
          <w:rFonts w:cs="Times New Roman"/>
          <w:spacing w:val="-1"/>
        </w:rPr>
        <w:t>a placebóval kezelt betegek 3,1%-ánál számoltak be a májenzimszintek emelkedéséről. A</w:t>
      </w:r>
      <w:r>
        <w:rPr>
          <w:rFonts w:cs="Times New Roman"/>
          <w:spacing w:val="-1"/>
        </w:rPr>
        <w:t xml:space="preserve"> </w:t>
      </w:r>
      <w:r w:rsidRPr="00E8297C">
        <w:rPr>
          <w:rFonts w:cs="Times New Roman"/>
          <w:spacing w:val="-1"/>
        </w:rPr>
        <w:t>májenzimszintek emelkedése reverzibilis volt, és nem járt klinikailag megnyilvánuló májbetegséggel.</w:t>
      </w:r>
      <w:r>
        <w:rPr>
          <w:rFonts w:cs="Times New Roman"/>
          <w:spacing w:val="-1"/>
        </w:rPr>
        <w:t xml:space="preserve"> </w:t>
      </w:r>
      <w:r w:rsidRPr="00E8297C">
        <w:rPr>
          <w:rFonts w:cs="Times New Roman"/>
          <w:spacing w:val="-1"/>
        </w:rPr>
        <w:t>A különleges betegcsoportokra vonatkozó további információkat, valamint a hasmenés és a</w:t>
      </w:r>
      <w:r>
        <w:rPr>
          <w:rFonts w:cs="Times New Roman"/>
          <w:spacing w:val="-1"/>
        </w:rPr>
        <w:t xml:space="preserve"> </w:t>
      </w:r>
      <w:r w:rsidRPr="00E8297C">
        <w:rPr>
          <w:rFonts w:cs="Times New Roman"/>
          <w:spacing w:val="-1"/>
        </w:rPr>
        <w:t>májenzimszint-emelkedés esetére javasolt intézkedéseket és dózismódosításokat illetően lásd még a</w:t>
      </w:r>
      <w:r w:rsidR="008C00BA">
        <w:rPr>
          <w:rFonts w:cs="Times New Roman"/>
          <w:spacing w:val="-1"/>
        </w:rPr>
        <w:t xml:space="preserve"> </w:t>
      </w:r>
      <w:r w:rsidRPr="00E8297C">
        <w:rPr>
          <w:rFonts w:cs="Times New Roman"/>
          <w:spacing w:val="-1"/>
        </w:rPr>
        <w:t>4.4, ill</w:t>
      </w:r>
      <w:r w:rsidR="00237632">
        <w:rPr>
          <w:rFonts w:cs="Times New Roman"/>
          <w:spacing w:val="-1"/>
        </w:rPr>
        <w:t>.</w:t>
      </w:r>
      <w:r w:rsidRPr="00E8297C">
        <w:rPr>
          <w:rFonts w:cs="Times New Roman"/>
          <w:spacing w:val="-1"/>
        </w:rPr>
        <w:t xml:space="preserve"> a 4.2</w:t>
      </w:r>
      <w:r w:rsidR="00237632">
        <w:rPr>
          <w:rFonts w:cs="Times New Roman"/>
          <w:spacing w:val="-1"/>
        </w:rPr>
        <w:t> </w:t>
      </w:r>
      <w:r w:rsidRPr="00E8297C">
        <w:rPr>
          <w:rFonts w:cs="Times New Roman"/>
          <w:spacing w:val="-1"/>
        </w:rPr>
        <w:t>pontot.</w:t>
      </w:r>
    </w:p>
    <w:p w14:paraId="7B60B18A" w14:textId="77777777" w:rsidR="00E8297C" w:rsidRPr="00E8297C" w:rsidRDefault="00E8297C" w:rsidP="00E8297C">
      <w:pPr>
        <w:pStyle w:val="Szvegtrzs"/>
        <w:ind w:left="0"/>
        <w:rPr>
          <w:rFonts w:cs="Times New Roman"/>
          <w:spacing w:val="-1"/>
        </w:rPr>
      </w:pPr>
    </w:p>
    <w:p w14:paraId="6BB83DE1" w14:textId="77777777" w:rsidR="00E8297C" w:rsidRPr="00E8297C" w:rsidRDefault="00E8297C" w:rsidP="00E8297C">
      <w:pPr>
        <w:pStyle w:val="Szvegtrzs"/>
        <w:ind w:left="0"/>
        <w:rPr>
          <w:rFonts w:cs="Times New Roman"/>
          <w:i/>
          <w:iCs/>
          <w:spacing w:val="-1"/>
        </w:rPr>
      </w:pPr>
      <w:r w:rsidRPr="00E8297C">
        <w:rPr>
          <w:rFonts w:cs="Times New Roman"/>
          <w:i/>
          <w:iCs/>
          <w:spacing w:val="-1"/>
        </w:rPr>
        <w:t>Vérzés</w:t>
      </w:r>
    </w:p>
    <w:p w14:paraId="40E5A369" w14:textId="2199ECB5" w:rsidR="00E8297C" w:rsidRPr="00E8297C" w:rsidRDefault="00E8297C" w:rsidP="00E8297C">
      <w:pPr>
        <w:pStyle w:val="Szvegtrzs"/>
        <w:ind w:left="0"/>
        <w:rPr>
          <w:rFonts w:cs="Times New Roman"/>
          <w:spacing w:val="-1"/>
        </w:rPr>
      </w:pPr>
      <w:r w:rsidRPr="00E8297C">
        <w:rPr>
          <w:rFonts w:cs="Times New Roman"/>
          <w:spacing w:val="-1"/>
        </w:rPr>
        <w:t>A klinikai vizsgálatokban a vérzések gyakorisága enyhén magasabb volt a</w:t>
      </w:r>
      <w:r>
        <w:rPr>
          <w:rFonts w:cs="Times New Roman"/>
          <w:spacing w:val="-1"/>
        </w:rPr>
        <w:t xml:space="preserve"> nintedanibbal</w:t>
      </w:r>
      <w:r w:rsidRPr="00E8297C">
        <w:rPr>
          <w:rFonts w:cs="Times New Roman"/>
          <w:spacing w:val="-1"/>
        </w:rPr>
        <w:t xml:space="preserve"> kezelt betegeknél,</w:t>
      </w:r>
      <w:r>
        <w:rPr>
          <w:rFonts w:cs="Times New Roman"/>
          <w:spacing w:val="-1"/>
        </w:rPr>
        <w:t xml:space="preserve"> </w:t>
      </w:r>
      <w:r w:rsidRPr="00E8297C">
        <w:rPr>
          <w:rFonts w:cs="Times New Roman"/>
          <w:spacing w:val="-1"/>
        </w:rPr>
        <w:t>vagy hasonló volt a kezelési karok között (</w:t>
      </w:r>
      <w:r>
        <w:rPr>
          <w:rFonts w:cs="Times New Roman"/>
          <w:spacing w:val="-1"/>
        </w:rPr>
        <w:t>nintedanib</w:t>
      </w:r>
      <w:r w:rsidRPr="00E8297C">
        <w:rPr>
          <w:rFonts w:cs="Times New Roman"/>
          <w:spacing w:val="-1"/>
        </w:rPr>
        <w:t>: 10,3%</w:t>
      </w:r>
      <w:r w:rsidR="007F2DCD">
        <w:rPr>
          <w:rFonts w:cs="Times New Roman"/>
          <w:spacing w:val="-1"/>
        </w:rPr>
        <w:t>,</w:t>
      </w:r>
      <w:r w:rsidRPr="00E8297C">
        <w:rPr>
          <w:rFonts w:cs="Times New Roman"/>
          <w:spacing w:val="-1"/>
        </w:rPr>
        <w:t xml:space="preserve"> szemben a placebóval: 7,8%</w:t>
      </w:r>
      <w:r w:rsidR="007F2DCD">
        <w:rPr>
          <w:rFonts w:cs="Times New Roman"/>
          <w:spacing w:val="-1"/>
        </w:rPr>
        <w:t>,</w:t>
      </w:r>
      <w:r w:rsidRPr="00E8297C">
        <w:rPr>
          <w:rFonts w:cs="Times New Roman"/>
          <w:spacing w:val="-1"/>
        </w:rPr>
        <w:t xml:space="preserve"> az INPULSIS</w:t>
      </w:r>
      <w:r w:rsidR="007F2DCD">
        <w:rPr>
          <w:rFonts w:cs="Times New Roman"/>
          <w:spacing w:val="-1"/>
        </w:rPr>
        <w:t xml:space="preserve"> vizsgálatban</w:t>
      </w:r>
      <w:r w:rsidRPr="00E8297C">
        <w:rPr>
          <w:rFonts w:cs="Times New Roman"/>
          <w:spacing w:val="-1"/>
        </w:rPr>
        <w:t>;</w:t>
      </w:r>
      <w:r>
        <w:rPr>
          <w:rFonts w:cs="Times New Roman"/>
          <w:spacing w:val="-1"/>
        </w:rPr>
        <w:t xml:space="preserve"> </w:t>
      </w:r>
      <w:r w:rsidRPr="00E8297C">
        <w:rPr>
          <w:rFonts w:cs="Times New Roman"/>
          <w:spacing w:val="-1"/>
        </w:rPr>
        <w:t>nintedanib: 11,1%</w:t>
      </w:r>
      <w:r w:rsidR="007F2DCD">
        <w:rPr>
          <w:rFonts w:cs="Times New Roman"/>
          <w:spacing w:val="-1"/>
        </w:rPr>
        <w:t>,</w:t>
      </w:r>
      <w:r w:rsidRPr="00E8297C">
        <w:rPr>
          <w:rFonts w:cs="Times New Roman"/>
          <w:spacing w:val="-1"/>
        </w:rPr>
        <w:t xml:space="preserve"> szemben a placebóval: 12,7%</w:t>
      </w:r>
      <w:r w:rsidR="007F2DCD">
        <w:rPr>
          <w:rFonts w:cs="Times New Roman"/>
          <w:spacing w:val="-1"/>
        </w:rPr>
        <w:t>,</w:t>
      </w:r>
      <w:r w:rsidRPr="00E8297C">
        <w:rPr>
          <w:rFonts w:cs="Times New Roman"/>
          <w:spacing w:val="-1"/>
        </w:rPr>
        <w:t xml:space="preserve"> az INBUILD</w:t>
      </w:r>
      <w:r w:rsidR="007F2DCD">
        <w:rPr>
          <w:rFonts w:cs="Times New Roman"/>
          <w:spacing w:val="-1"/>
        </w:rPr>
        <w:t xml:space="preserve"> vizsgálatban</w:t>
      </w:r>
      <w:r w:rsidRPr="00E8297C">
        <w:rPr>
          <w:rFonts w:cs="Times New Roman"/>
          <w:spacing w:val="-1"/>
        </w:rPr>
        <w:t>; nintedanib: 11,1%</w:t>
      </w:r>
      <w:r w:rsidR="007F2DCD">
        <w:rPr>
          <w:rFonts w:cs="Times New Roman"/>
          <w:spacing w:val="-1"/>
        </w:rPr>
        <w:t>,</w:t>
      </w:r>
      <w:r w:rsidRPr="00E8297C">
        <w:rPr>
          <w:rFonts w:cs="Times New Roman"/>
          <w:spacing w:val="-1"/>
        </w:rPr>
        <w:t xml:space="preserve"> szemben a placebóval: 8,3%</w:t>
      </w:r>
      <w:r w:rsidR="007F2DCD">
        <w:rPr>
          <w:rFonts w:cs="Times New Roman"/>
          <w:spacing w:val="-1"/>
        </w:rPr>
        <w:t>,</w:t>
      </w:r>
      <w:r w:rsidRPr="00E8297C">
        <w:rPr>
          <w:rFonts w:cs="Times New Roman"/>
          <w:spacing w:val="-1"/>
        </w:rPr>
        <w:t xml:space="preserve"> a</w:t>
      </w:r>
      <w:r>
        <w:rPr>
          <w:rFonts w:cs="Times New Roman"/>
          <w:spacing w:val="-1"/>
        </w:rPr>
        <w:t xml:space="preserve"> </w:t>
      </w:r>
      <w:r w:rsidRPr="00E8297C">
        <w:rPr>
          <w:rFonts w:cs="Times New Roman"/>
          <w:spacing w:val="-1"/>
        </w:rPr>
        <w:t>SENSCIS vizsgálatban). A leggyakrabban jelentett vérzéses esemény a nem súlyos epistaxis volt. A</w:t>
      </w:r>
      <w:r>
        <w:rPr>
          <w:rFonts w:cs="Times New Roman"/>
          <w:spacing w:val="-1"/>
        </w:rPr>
        <w:t xml:space="preserve"> </w:t>
      </w:r>
      <w:r w:rsidRPr="00E8297C">
        <w:rPr>
          <w:rFonts w:cs="Times New Roman"/>
          <w:spacing w:val="-1"/>
        </w:rPr>
        <w:t>súlyos vérzéses események gyakorisága alacsony volt a két kezelési csoportban (nintedanib: 1,3%</w:t>
      </w:r>
      <w:r w:rsidR="007F2DCD">
        <w:rPr>
          <w:rFonts w:cs="Times New Roman"/>
          <w:spacing w:val="-1"/>
        </w:rPr>
        <w:t>,</w:t>
      </w:r>
      <w:r w:rsidRPr="00E8297C">
        <w:rPr>
          <w:rFonts w:cs="Times New Roman"/>
          <w:spacing w:val="-1"/>
        </w:rPr>
        <w:t xml:space="preserve"> szemben a</w:t>
      </w:r>
      <w:r>
        <w:rPr>
          <w:rFonts w:cs="Times New Roman"/>
          <w:spacing w:val="-1"/>
        </w:rPr>
        <w:t xml:space="preserve"> </w:t>
      </w:r>
      <w:r w:rsidRPr="00E8297C">
        <w:rPr>
          <w:rFonts w:cs="Times New Roman"/>
          <w:spacing w:val="-1"/>
        </w:rPr>
        <w:t>placebóval: 1,4%</w:t>
      </w:r>
      <w:r w:rsidR="007F2DCD">
        <w:rPr>
          <w:rFonts w:cs="Times New Roman"/>
          <w:spacing w:val="-1"/>
        </w:rPr>
        <w:t>,</w:t>
      </w:r>
      <w:r w:rsidRPr="00E8297C">
        <w:rPr>
          <w:rFonts w:cs="Times New Roman"/>
          <w:spacing w:val="-1"/>
        </w:rPr>
        <w:t xml:space="preserve"> az INPULSIS</w:t>
      </w:r>
      <w:r w:rsidR="007F2DCD">
        <w:rPr>
          <w:rFonts w:cs="Times New Roman"/>
          <w:spacing w:val="-1"/>
        </w:rPr>
        <w:t xml:space="preserve"> vizsgálatban</w:t>
      </w:r>
      <w:r w:rsidRPr="00E8297C">
        <w:rPr>
          <w:rFonts w:cs="Times New Roman"/>
          <w:spacing w:val="-1"/>
        </w:rPr>
        <w:t>; nintedanib: 0,9%</w:t>
      </w:r>
      <w:r w:rsidR="007F2DCD">
        <w:rPr>
          <w:rFonts w:cs="Times New Roman"/>
          <w:spacing w:val="-1"/>
        </w:rPr>
        <w:t>,</w:t>
      </w:r>
      <w:r w:rsidRPr="00E8297C">
        <w:rPr>
          <w:rFonts w:cs="Times New Roman"/>
          <w:spacing w:val="-1"/>
        </w:rPr>
        <w:t xml:space="preserve"> szemben a placebóval: 1,5%</w:t>
      </w:r>
      <w:r w:rsidR="007F2DCD">
        <w:rPr>
          <w:rFonts w:cs="Times New Roman"/>
          <w:spacing w:val="-1"/>
        </w:rPr>
        <w:t>,</w:t>
      </w:r>
      <w:r w:rsidRPr="00E8297C">
        <w:rPr>
          <w:rFonts w:cs="Times New Roman"/>
          <w:spacing w:val="-1"/>
        </w:rPr>
        <w:t xml:space="preserve"> az INBUILD</w:t>
      </w:r>
      <w:r w:rsidR="007F2DCD">
        <w:rPr>
          <w:rFonts w:cs="Times New Roman"/>
          <w:spacing w:val="-1"/>
        </w:rPr>
        <w:t xml:space="preserve"> vizsgálatban</w:t>
      </w:r>
      <w:r w:rsidRPr="00E8297C">
        <w:rPr>
          <w:rFonts w:cs="Times New Roman"/>
          <w:spacing w:val="-1"/>
        </w:rPr>
        <w:t>; nintedanib: 1,4%</w:t>
      </w:r>
      <w:r w:rsidR="007F2DCD">
        <w:rPr>
          <w:rFonts w:cs="Times New Roman"/>
          <w:spacing w:val="-1"/>
        </w:rPr>
        <w:t>,</w:t>
      </w:r>
      <w:r>
        <w:rPr>
          <w:rFonts w:cs="Times New Roman"/>
          <w:spacing w:val="-1"/>
        </w:rPr>
        <w:t xml:space="preserve"> </w:t>
      </w:r>
      <w:r w:rsidRPr="00E8297C">
        <w:rPr>
          <w:rFonts w:cs="Times New Roman"/>
          <w:spacing w:val="-1"/>
        </w:rPr>
        <w:t>szemben a placebóval: 0,7%</w:t>
      </w:r>
      <w:r w:rsidR="007F2DCD">
        <w:rPr>
          <w:rFonts w:cs="Times New Roman"/>
          <w:spacing w:val="-1"/>
        </w:rPr>
        <w:t>,</w:t>
      </w:r>
      <w:r w:rsidRPr="00E8297C">
        <w:rPr>
          <w:rFonts w:cs="Times New Roman"/>
          <w:spacing w:val="-1"/>
        </w:rPr>
        <w:t xml:space="preserve"> a SENSCIS vizsgálatban).</w:t>
      </w:r>
      <w:r>
        <w:rPr>
          <w:rFonts w:cs="Times New Roman"/>
          <w:spacing w:val="-1"/>
        </w:rPr>
        <w:t xml:space="preserve"> </w:t>
      </w:r>
      <w:r w:rsidRPr="00E8297C">
        <w:rPr>
          <w:rFonts w:cs="Times New Roman"/>
          <w:spacing w:val="-1"/>
        </w:rPr>
        <w:t>A forgalomba hozatalt követő események között előfordultak többek között emésztőrendszeri,</w:t>
      </w:r>
      <w:r>
        <w:rPr>
          <w:rFonts w:cs="Times New Roman"/>
          <w:spacing w:val="-1"/>
        </w:rPr>
        <w:t xml:space="preserve"> </w:t>
      </w:r>
      <w:r w:rsidRPr="00E8297C">
        <w:rPr>
          <w:rFonts w:cs="Times New Roman"/>
          <w:spacing w:val="-1"/>
        </w:rPr>
        <w:t>légzőszervi és központi idegrendszeri szervrendszereket érintő események, amelyek közül a</w:t>
      </w:r>
      <w:r>
        <w:rPr>
          <w:rFonts w:cs="Times New Roman"/>
          <w:spacing w:val="-1"/>
        </w:rPr>
        <w:t xml:space="preserve"> </w:t>
      </w:r>
      <w:r w:rsidRPr="00E8297C">
        <w:rPr>
          <w:rFonts w:cs="Times New Roman"/>
          <w:spacing w:val="-1"/>
        </w:rPr>
        <w:t>leggyakoribbak az emésztőrendszeri események voltak (lásd 4.4</w:t>
      </w:r>
      <w:r w:rsidR="00237632">
        <w:rPr>
          <w:rFonts w:cs="Times New Roman"/>
          <w:spacing w:val="-1"/>
        </w:rPr>
        <w:t> </w:t>
      </w:r>
      <w:r w:rsidRPr="00E8297C">
        <w:rPr>
          <w:rFonts w:cs="Times New Roman"/>
          <w:spacing w:val="-1"/>
        </w:rPr>
        <w:t>pont).</w:t>
      </w:r>
    </w:p>
    <w:p w14:paraId="4596F170" w14:textId="77777777" w:rsidR="00E8297C" w:rsidRDefault="00E8297C" w:rsidP="00E8297C">
      <w:pPr>
        <w:pStyle w:val="Szvegtrzs"/>
        <w:ind w:left="0"/>
        <w:rPr>
          <w:rFonts w:cs="Times New Roman"/>
          <w:spacing w:val="-1"/>
        </w:rPr>
      </w:pPr>
    </w:p>
    <w:p w14:paraId="44BAB801" w14:textId="4787F38B" w:rsidR="00E8297C" w:rsidRPr="00E8297C" w:rsidRDefault="00E8297C" w:rsidP="00E8297C">
      <w:pPr>
        <w:pStyle w:val="Szvegtrzs"/>
        <w:ind w:left="0"/>
        <w:rPr>
          <w:rFonts w:cs="Times New Roman"/>
          <w:i/>
          <w:iCs/>
          <w:spacing w:val="-1"/>
        </w:rPr>
      </w:pPr>
      <w:r w:rsidRPr="00E8297C">
        <w:rPr>
          <w:rFonts w:cs="Times New Roman"/>
          <w:i/>
          <w:iCs/>
          <w:spacing w:val="-1"/>
        </w:rPr>
        <w:t>Proteinuria</w:t>
      </w:r>
    </w:p>
    <w:p w14:paraId="2104EE20" w14:textId="291A96F3" w:rsidR="002870A6" w:rsidRPr="00E8297C" w:rsidRDefault="00E8297C" w:rsidP="00E8297C">
      <w:pPr>
        <w:pStyle w:val="Szvegtrzs"/>
        <w:ind w:left="0"/>
        <w:rPr>
          <w:rFonts w:cs="Times New Roman"/>
          <w:spacing w:val="-1"/>
        </w:rPr>
      </w:pPr>
      <w:r w:rsidRPr="00E8297C">
        <w:rPr>
          <w:rFonts w:cs="Times New Roman"/>
          <w:spacing w:val="-1"/>
        </w:rPr>
        <w:t>A klinikai vizsgálatokban a proteinuria gyakorisága alacsony volt, és hasonló gyakoriságú a kezelési</w:t>
      </w:r>
      <w:r w:rsidR="006F734D">
        <w:rPr>
          <w:rFonts w:cs="Times New Roman"/>
          <w:spacing w:val="-1"/>
        </w:rPr>
        <w:t xml:space="preserve"> </w:t>
      </w:r>
      <w:r w:rsidRPr="00E8297C">
        <w:rPr>
          <w:rFonts w:cs="Times New Roman"/>
          <w:spacing w:val="-1"/>
        </w:rPr>
        <w:t>karok között (nintedanib: 0,8%</w:t>
      </w:r>
      <w:r w:rsidR="007F2DCD">
        <w:rPr>
          <w:rFonts w:cs="Times New Roman"/>
          <w:spacing w:val="-1"/>
        </w:rPr>
        <w:t>,</w:t>
      </w:r>
      <w:r w:rsidRPr="00E8297C">
        <w:rPr>
          <w:rFonts w:cs="Times New Roman"/>
          <w:spacing w:val="-1"/>
        </w:rPr>
        <w:t xml:space="preserve"> szemben a placebóval: 0,5%</w:t>
      </w:r>
      <w:r w:rsidR="007F2DCD">
        <w:rPr>
          <w:rFonts w:cs="Times New Roman"/>
          <w:spacing w:val="-1"/>
        </w:rPr>
        <w:t>,</w:t>
      </w:r>
      <w:r w:rsidRPr="00E8297C">
        <w:rPr>
          <w:rFonts w:cs="Times New Roman"/>
          <w:spacing w:val="-1"/>
        </w:rPr>
        <w:t xml:space="preserve"> az INPULSIS vizsgálatban; nintedanib: 1,5%</w:t>
      </w:r>
      <w:r w:rsidR="007F2DCD">
        <w:rPr>
          <w:rFonts w:cs="Times New Roman"/>
          <w:spacing w:val="-1"/>
        </w:rPr>
        <w:t>,</w:t>
      </w:r>
      <w:r>
        <w:rPr>
          <w:rFonts w:cs="Times New Roman"/>
          <w:spacing w:val="-1"/>
        </w:rPr>
        <w:t xml:space="preserve"> </w:t>
      </w:r>
      <w:r w:rsidRPr="00E8297C">
        <w:rPr>
          <w:rFonts w:cs="Times New Roman"/>
          <w:spacing w:val="-1"/>
        </w:rPr>
        <w:t>szemben a placebóval: 1,8%</w:t>
      </w:r>
      <w:r w:rsidR="007F2DCD">
        <w:rPr>
          <w:rFonts w:cs="Times New Roman"/>
          <w:spacing w:val="-1"/>
        </w:rPr>
        <w:t>,</w:t>
      </w:r>
      <w:r w:rsidRPr="00E8297C">
        <w:rPr>
          <w:rFonts w:cs="Times New Roman"/>
          <w:spacing w:val="-1"/>
        </w:rPr>
        <w:t xml:space="preserve"> az INBUILD vizsgálatban; nintedanib: 1,0%</w:t>
      </w:r>
      <w:r w:rsidR="007F2DCD">
        <w:rPr>
          <w:rFonts w:cs="Times New Roman"/>
          <w:spacing w:val="-1"/>
        </w:rPr>
        <w:t>,</w:t>
      </w:r>
      <w:r w:rsidRPr="00E8297C">
        <w:rPr>
          <w:rFonts w:cs="Times New Roman"/>
          <w:spacing w:val="-1"/>
        </w:rPr>
        <w:t xml:space="preserve"> szemben a placebóval: 0,0%</w:t>
      </w:r>
      <w:r w:rsidR="007F2DCD">
        <w:rPr>
          <w:rFonts w:cs="Times New Roman"/>
          <w:spacing w:val="-1"/>
        </w:rPr>
        <w:t>,</w:t>
      </w:r>
      <w:r w:rsidRPr="00E8297C">
        <w:rPr>
          <w:rFonts w:cs="Times New Roman"/>
          <w:spacing w:val="-1"/>
        </w:rPr>
        <w:t xml:space="preserve"> a</w:t>
      </w:r>
      <w:r>
        <w:rPr>
          <w:rFonts w:cs="Times New Roman"/>
          <w:spacing w:val="-1"/>
        </w:rPr>
        <w:t xml:space="preserve"> </w:t>
      </w:r>
      <w:r w:rsidRPr="00E8297C">
        <w:rPr>
          <w:rFonts w:cs="Times New Roman"/>
          <w:spacing w:val="-1"/>
        </w:rPr>
        <w:t>SENSCIS vizsgálatban). Nephrosis szindrómát nem jelentettek a klinikai vizsgálatokban. A</w:t>
      </w:r>
      <w:r w:rsidR="006F734D">
        <w:rPr>
          <w:rFonts w:cs="Times New Roman"/>
          <w:spacing w:val="-1"/>
        </w:rPr>
        <w:t xml:space="preserve"> </w:t>
      </w:r>
      <w:r w:rsidRPr="00E8297C">
        <w:rPr>
          <w:rFonts w:cs="Times New Roman"/>
          <w:spacing w:val="-1"/>
        </w:rPr>
        <w:t>forgalomba hozatalt követően nagyon kevés olyan esetet jelentettek, amelyben a proteinuria a</w:t>
      </w:r>
      <w:r w:rsidR="006F734D">
        <w:rPr>
          <w:rFonts w:cs="Times New Roman"/>
          <w:spacing w:val="-1"/>
        </w:rPr>
        <w:t xml:space="preserve"> </w:t>
      </w:r>
      <w:r w:rsidRPr="00E8297C">
        <w:rPr>
          <w:rFonts w:cs="Times New Roman"/>
          <w:spacing w:val="-1"/>
        </w:rPr>
        <w:t>nephrosisnak megfelelő tartományba esett, vesefunkció</w:t>
      </w:r>
      <w:r w:rsidR="007F2DCD">
        <w:rPr>
          <w:rFonts w:cs="Times New Roman"/>
          <w:spacing w:val="-1"/>
        </w:rPr>
        <w:t>-</w:t>
      </w:r>
      <w:r w:rsidRPr="00E8297C">
        <w:rPr>
          <w:rFonts w:cs="Times New Roman"/>
          <w:spacing w:val="-1"/>
        </w:rPr>
        <w:t>károsodással vagy anélkül. Az egyedi esetek</w:t>
      </w:r>
      <w:r w:rsidR="006F734D">
        <w:rPr>
          <w:rFonts w:cs="Times New Roman"/>
          <w:spacing w:val="-1"/>
        </w:rPr>
        <w:t xml:space="preserve"> </w:t>
      </w:r>
      <w:r w:rsidRPr="00E8297C">
        <w:rPr>
          <w:rFonts w:cs="Times New Roman"/>
          <w:spacing w:val="-1"/>
        </w:rPr>
        <w:t>szövettani eredményei megfeleltek a glomerularis microangiopathiának, vesethrombosissal vagy a</w:t>
      </w:r>
      <w:r w:rsidR="006F734D">
        <w:rPr>
          <w:rFonts w:cs="Times New Roman"/>
          <w:spacing w:val="-1"/>
        </w:rPr>
        <w:t xml:space="preserve"> </w:t>
      </w:r>
      <w:r w:rsidRPr="00E8297C">
        <w:rPr>
          <w:rFonts w:cs="Times New Roman"/>
          <w:spacing w:val="-1"/>
        </w:rPr>
        <w:t>nélkül. A</w:t>
      </w:r>
      <w:r>
        <w:rPr>
          <w:rFonts w:cs="Times New Roman"/>
          <w:spacing w:val="-1"/>
        </w:rPr>
        <w:t xml:space="preserve"> </w:t>
      </w:r>
      <w:r w:rsidRPr="00E8297C">
        <w:rPr>
          <w:rFonts w:cs="Times New Roman"/>
          <w:spacing w:val="-1"/>
        </w:rPr>
        <w:t>nintedanib</w:t>
      </w:r>
      <w:r>
        <w:rPr>
          <w:rFonts w:cs="Times New Roman"/>
          <w:spacing w:val="-1"/>
        </w:rPr>
        <w:t>-</w:t>
      </w:r>
      <w:r w:rsidRPr="00E8297C">
        <w:rPr>
          <w:rFonts w:cs="Times New Roman"/>
          <w:spacing w:val="-1"/>
        </w:rPr>
        <w:t>kezelés megszakítását követően a tünetek megszűntek, néhány esetben a proteinuria</w:t>
      </w:r>
      <w:r>
        <w:rPr>
          <w:rFonts w:cs="Times New Roman"/>
          <w:spacing w:val="-1"/>
        </w:rPr>
        <w:t xml:space="preserve"> </w:t>
      </w:r>
      <w:r w:rsidRPr="00E8297C">
        <w:rPr>
          <w:rFonts w:cs="Times New Roman"/>
          <w:spacing w:val="-1"/>
        </w:rPr>
        <w:t>megmaradt. Azoknál a betegeknél, akiknél a nephrosis szindróma jelei vagy tünetek alakulnak ki,</w:t>
      </w:r>
      <w:r>
        <w:rPr>
          <w:rFonts w:cs="Times New Roman"/>
          <w:spacing w:val="-1"/>
        </w:rPr>
        <w:t xml:space="preserve"> </w:t>
      </w:r>
      <w:r w:rsidRPr="00E8297C">
        <w:rPr>
          <w:rFonts w:cs="Times New Roman"/>
          <w:spacing w:val="-1"/>
        </w:rPr>
        <w:t>megfontolandó a kezelés megszakítása (lásd 4.4 pont).</w:t>
      </w:r>
    </w:p>
    <w:p w14:paraId="2ECEB61B" w14:textId="77777777" w:rsidR="002870A6" w:rsidRDefault="002870A6" w:rsidP="009106D9">
      <w:pPr>
        <w:pStyle w:val="Szvegtrzs"/>
        <w:ind w:left="0"/>
        <w:rPr>
          <w:rFonts w:cs="Times New Roman"/>
          <w:spacing w:val="-1"/>
          <w:u w:val="single" w:color="000000"/>
        </w:rPr>
      </w:pPr>
    </w:p>
    <w:p w14:paraId="2F17FAE6" w14:textId="77777777" w:rsidR="00663DE8" w:rsidRPr="00663DE8" w:rsidRDefault="00663DE8" w:rsidP="00300950">
      <w:pPr>
        <w:pStyle w:val="Szvegtrzs"/>
        <w:ind w:left="0"/>
        <w:rPr>
          <w:rFonts w:cs="Times New Roman"/>
          <w:spacing w:val="-1"/>
          <w:u w:val="single" w:color="000000"/>
        </w:rPr>
      </w:pPr>
      <w:r w:rsidRPr="00663DE8">
        <w:rPr>
          <w:rFonts w:cs="Times New Roman"/>
          <w:spacing w:val="-1"/>
          <w:u w:val="single" w:color="000000"/>
        </w:rPr>
        <w:t>Gyermekek és serdülők</w:t>
      </w:r>
    </w:p>
    <w:p w14:paraId="4601105D" w14:textId="77777777" w:rsidR="00663DE8" w:rsidRPr="00300950" w:rsidRDefault="00663DE8" w:rsidP="00663DE8">
      <w:pPr>
        <w:pStyle w:val="Szvegtrzs"/>
        <w:ind w:left="0"/>
        <w:rPr>
          <w:rFonts w:cs="Times New Roman"/>
          <w:spacing w:val="-1"/>
          <w:u w:color="000000"/>
        </w:rPr>
      </w:pPr>
      <w:r w:rsidRPr="00300950">
        <w:rPr>
          <w:rFonts w:cs="Times New Roman"/>
          <w:spacing w:val="-1"/>
          <w:u w:color="000000"/>
        </w:rPr>
        <w:t xml:space="preserve">A nintedanib biztonságosságára vonatkozóan korlátozottan állnak rendelkezésre adatok a gyermek- és </w:t>
      </w:r>
      <w:r w:rsidRPr="00300950">
        <w:rPr>
          <w:rFonts w:cs="Times New Roman"/>
          <w:spacing w:val="-1"/>
          <w:u w:color="000000"/>
        </w:rPr>
        <w:lastRenderedPageBreak/>
        <w:t>serdülőkorú betegpopulációban.</w:t>
      </w:r>
    </w:p>
    <w:p w14:paraId="2CF4FC77" w14:textId="77777777" w:rsidR="002C385F" w:rsidRPr="00300950" w:rsidRDefault="002C385F" w:rsidP="00300950">
      <w:pPr>
        <w:pStyle w:val="Szvegtrzs"/>
        <w:ind w:left="0"/>
        <w:rPr>
          <w:rFonts w:cs="Times New Roman"/>
          <w:spacing w:val="-1"/>
          <w:u w:color="000000"/>
        </w:rPr>
      </w:pPr>
    </w:p>
    <w:p w14:paraId="3A614112" w14:textId="3F2933CB" w:rsidR="00663DE8" w:rsidRPr="00300950" w:rsidRDefault="00663DE8" w:rsidP="00663DE8">
      <w:pPr>
        <w:pStyle w:val="Szvegtrzs"/>
        <w:ind w:left="0"/>
        <w:rPr>
          <w:rFonts w:cs="Times New Roman"/>
          <w:spacing w:val="-1"/>
          <w:u w:color="000000"/>
        </w:rPr>
      </w:pPr>
      <w:r w:rsidRPr="00300950">
        <w:rPr>
          <w:rFonts w:cs="Times New Roman"/>
          <w:spacing w:val="-1"/>
          <w:u w:color="000000"/>
        </w:rPr>
        <w:t>Összesen 39, 6. és betöltött 18. életév közötti beteget kezeltek nintedanibbal egy 24 hetes, randomizált, kettős vak, placebokontrollos vizsgálatban, majd azt követően egy változó időtartamú nyílt vizsgálatban (lásd 5.1 pont). Összhangban az IPF-ben, egyéb progresszív fenotípusú, krónikus fibrotizáló ILD-ben és SSc-ILD-ben szenvedő felnőtteknél tapasztalt biztonságossági profillal, a nintedanibbal kapcsolatban leggyakrabban jelentett mellékhatások a placebokontrollos időszakban a hasmenés (38,5%), a hányás (26,9%), a hányinger (19,2%), a hasi fájdalom (19,2%) és a fejfájás (11,5%) voltak.</w:t>
      </w:r>
    </w:p>
    <w:p w14:paraId="18A913B4" w14:textId="77777777" w:rsidR="00F3260D" w:rsidRPr="00300950" w:rsidRDefault="00F3260D" w:rsidP="00300950">
      <w:pPr>
        <w:pStyle w:val="Szvegtrzs"/>
        <w:ind w:left="0"/>
        <w:rPr>
          <w:rFonts w:cs="Times New Roman"/>
          <w:spacing w:val="-1"/>
          <w:u w:color="000000"/>
        </w:rPr>
      </w:pPr>
    </w:p>
    <w:p w14:paraId="400A276E" w14:textId="6E776306" w:rsidR="00663DE8" w:rsidRPr="00300950" w:rsidRDefault="00663DE8" w:rsidP="00663DE8">
      <w:pPr>
        <w:pStyle w:val="Szvegtrzs"/>
        <w:ind w:left="0"/>
        <w:rPr>
          <w:rFonts w:cs="Times New Roman"/>
          <w:spacing w:val="-1"/>
          <w:u w:color="000000"/>
        </w:rPr>
      </w:pPr>
      <w:r w:rsidRPr="00300950">
        <w:rPr>
          <w:rFonts w:cs="Times New Roman"/>
          <w:spacing w:val="-1"/>
          <w:u w:color="000000"/>
        </w:rPr>
        <w:t>A nintedanibbal kapcsolatban a placebokontrollos időszakban jelentett máj- és epebetegségek, illetve tünetek a májkárosodás (3,8%) és az emelkedett májfunkciós értékek (3,8%) voltak. Az adatok korlátozottsága miatt bizonytalan, hogy a gyógyszerindukált májkárosodás kockázata hasonló-e gyermekeknél és serdülőknél a felnőtteknél tapasztalthoz (lásd 4.4</w:t>
      </w:r>
      <w:r w:rsidR="00D10253">
        <w:rPr>
          <w:rFonts w:cs="Times New Roman"/>
          <w:spacing w:val="-1"/>
          <w:u w:color="000000"/>
        </w:rPr>
        <w:t> </w:t>
      </w:r>
      <w:r w:rsidRPr="00300950">
        <w:rPr>
          <w:rFonts w:cs="Times New Roman"/>
          <w:spacing w:val="-1"/>
          <w:u w:color="000000"/>
        </w:rPr>
        <w:t>pont).</w:t>
      </w:r>
    </w:p>
    <w:p w14:paraId="2125C011" w14:textId="77777777" w:rsidR="00F3260D" w:rsidRPr="00300950" w:rsidRDefault="00F3260D" w:rsidP="00300950">
      <w:pPr>
        <w:pStyle w:val="Szvegtrzs"/>
        <w:ind w:left="0"/>
        <w:rPr>
          <w:rFonts w:cs="Times New Roman"/>
          <w:spacing w:val="-1"/>
          <w:u w:color="000000"/>
        </w:rPr>
      </w:pPr>
    </w:p>
    <w:p w14:paraId="60978345" w14:textId="09F2ED25" w:rsidR="00663DE8" w:rsidRPr="00300950" w:rsidRDefault="00663DE8" w:rsidP="00663DE8">
      <w:pPr>
        <w:pStyle w:val="Szvegtrzs"/>
        <w:ind w:left="0"/>
        <w:rPr>
          <w:rFonts w:cs="Times New Roman"/>
          <w:spacing w:val="-1"/>
          <w:u w:color="000000"/>
        </w:rPr>
      </w:pPr>
      <w:r w:rsidRPr="00300950">
        <w:rPr>
          <w:rFonts w:cs="Times New Roman"/>
          <w:spacing w:val="-1"/>
          <w:u w:color="000000"/>
        </w:rPr>
        <w:t>A preklinikai vizsgálatok eredményei alapján a gyermekeknél és serdülőknél végzett vizsgálatok során</w:t>
      </w:r>
      <w:r w:rsidR="005A4523">
        <w:rPr>
          <w:rFonts w:cs="Times New Roman"/>
          <w:spacing w:val="-1"/>
          <w:u w:color="000000"/>
        </w:rPr>
        <w:t>,</w:t>
      </w:r>
      <w:r w:rsidRPr="00300950">
        <w:rPr>
          <w:rFonts w:cs="Times New Roman"/>
          <w:spacing w:val="-1"/>
          <w:u w:color="000000"/>
        </w:rPr>
        <w:t xml:space="preserve"> </w:t>
      </w:r>
      <w:r w:rsidR="005A4523">
        <w:rPr>
          <w:rFonts w:cs="Times New Roman"/>
          <w:spacing w:val="-1"/>
          <w:u w:color="000000"/>
        </w:rPr>
        <w:t xml:space="preserve">a </w:t>
      </w:r>
      <w:r w:rsidRPr="00300950">
        <w:rPr>
          <w:rFonts w:cs="Times New Roman"/>
          <w:spacing w:val="-1"/>
          <w:u w:color="000000"/>
        </w:rPr>
        <w:t>lehetséges kockázat</w:t>
      </w:r>
      <w:r w:rsidR="005A4523">
        <w:rPr>
          <w:rFonts w:cs="Times New Roman"/>
          <w:spacing w:val="-1"/>
          <w:u w:color="000000"/>
        </w:rPr>
        <w:t>ra tekintettel</w:t>
      </w:r>
      <w:r w:rsidRPr="00300950">
        <w:rPr>
          <w:rFonts w:cs="Times New Roman"/>
          <w:spacing w:val="-1"/>
          <w:u w:color="000000"/>
        </w:rPr>
        <w:t xml:space="preserve"> monitorozták a csontokat, a növekedést és a fogfejlődést (lásd 4.2,</w:t>
      </w:r>
      <w:r w:rsidR="005A4523">
        <w:rPr>
          <w:rFonts w:cs="Times New Roman"/>
          <w:spacing w:val="-1"/>
          <w:u w:color="000000"/>
        </w:rPr>
        <w:t> </w:t>
      </w:r>
      <w:r w:rsidRPr="00300950">
        <w:rPr>
          <w:rFonts w:cs="Times New Roman"/>
          <w:spacing w:val="-1"/>
          <w:u w:color="000000"/>
        </w:rPr>
        <w:t>4.4</w:t>
      </w:r>
      <w:r w:rsidR="005A4523">
        <w:rPr>
          <w:rFonts w:cs="Times New Roman"/>
          <w:spacing w:val="-1"/>
          <w:u w:color="000000"/>
        </w:rPr>
        <w:t> </w:t>
      </w:r>
      <w:r w:rsidRPr="00300950">
        <w:rPr>
          <w:rFonts w:cs="Times New Roman"/>
          <w:spacing w:val="-1"/>
          <w:u w:color="000000"/>
        </w:rPr>
        <w:t>és 5.3</w:t>
      </w:r>
      <w:r w:rsidR="005A4523">
        <w:rPr>
          <w:rFonts w:cs="Times New Roman"/>
          <w:spacing w:val="-1"/>
          <w:u w:color="000000"/>
        </w:rPr>
        <w:t> </w:t>
      </w:r>
      <w:r w:rsidRPr="00300950">
        <w:rPr>
          <w:rFonts w:cs="Times New Roman"/>
          <w:spacing w:val="-1"/>
          <w:u w:color="000000"/>
        </w:rPr>
        <w:t>pont).</w:t>
      </w:r>
    </w:p>
    <w:p w14:paraId="487D8994" w14:textId="77777777" w:rsidR="00F3260D" w:rsidRPr="00300950" w:rsidRDefault="00F3260D" w:rsidP="00300950">
      <w:pPr>
        <w:pStyle w:val="Szvegtrzs"/>
        <w:ind w:left="0"/>
        <w:rPr>
          <w:rFonts w:cs="Times New Roman"/>
          <w:spacing w:val="-1"/>
          <w:u w:color="000000"/>
        </w:rPr>
      </w:pPr>
    </w:p>
    <w:p w14:paraId="2F93E5E1" w14:textId="77777777" w:rsidR="00663DE8" w:rsidRPr="00300950" w:rsidRDefault="00663DE8" w:rsidP="00663DE8">
      <w:pPr>
        <w:pStyle w:val="Szvegtrzs"/>
        <w:ind w:left="0"/>
        <w:rPr>
          <w:rFonts w:cs="Times New Roman"/>
          <w:spacing w:val="-1"/>
          <w:u w:color="000000"/>
        </w:rPr>
      </w:pPr>
      <w:r w:rsidRPr="00300950">
        <w:rPr>
          <w:rFonts w:cs="Times New Roman"/>
          <w:spacing w:val="-1"/>
          <w:u w:color="000000"/>
        </w:rPr>
        <w:t>Azon betegek százalékos aránya, akiknél az epiphysis-fugák (növekedési régió) patológiás eltérései alakultak ki a kezeléssel összefüggésben: az érték hasonló volt a különböző kezelési csoportokban a 24. héten (7,7% mindkét kezelési csoportban). Az 52. hétig azon betegek százalékos aránya, akiknél patológiás eltérések jelentkeztek, 11,5% volt a nintedanib/nintedanib- és 15,4% a placebo/nintedanib-csoportban.</w:t>
      </w:r>
    </w:p>
    <w:p w14:paraId="4A3041E5" w14:textId="77777777" w:rsidR="00F3260D" w:rsidRPr="00300950" w:rsidRDefault="00F3260D" w:rsidP="00300950">
      <w:pPr>
        <w:pStyle w:val="Szvegtrzs"/>
        <w:ind w:left="0"/>
        <w:rPr>
          <w:rFonts w:cs="Times New Roman"/>
          <w:spacing w:val="-1"/>
          <w:u w:color="000000"/>
        </w:rPr>
      </w:pPr>
    </w:p>
    <w:p w14:paraId="57E6AD39" w14:textId="77777777" w:rsidR="00663DE8" w:rsidRPr="00300950" w:rsidRDefault="00663DE8" w:rsidP="00663DE8">
      <w:pPr>
        <w:pStyle w:val="Szvegtrzs"/>
        <w:ind w:left="0"/>
        <w:rPr>
          <w:rFonts w:cs="Times New Roman"/>
          <w:spacing w:val="-1"/>
          <w:u w:color="000000"/>
        </w:rPr>
      </w:pPr>
      <w:r w:rsidRPr="00300950">
        <w:rPr>
          <w:rFonts w:cs="Times New Roman"/>
          <w:spacing w:val="-1"/>
          <w:u w:color="000000"/>
        </w:rPr>
        <w:t>Azon betegek százalékos aránya, akiknél a fogászati vizsgálat vagy képalkotás során a kezeléssel összefüggő patológiás eltéréseket észleltek 46,2% volt a nintedanib-csoportban és 38,5% a placebocsoportban a 24. hétig tartó időszakban. Az 52. hétig patológiás vizsgálati eredményekkel rendelkező betegek százalékos aránya 50,0% volt nintedanib/nintedanib esetén és 46,2% placebo/nintedanib esetén.</w:t>
      </w:r>
    </w:p>
    <w:p w14:paraId="087ABC62" w14:textId="77777777" w:rsidR="00F3260D" w:rsidRPr="00300950" w:rsidRDefault="00F3260D" w:rsidP="00300950">
      <w:pPr>
        <w:pStyle w:val="Szvegtrzs"/>
        <w:ind w:left="0"/>
        <w:rPr>
          <w:rFonts w:cs="Times New Roman"/>
          <w:spacing w:val="-1"/>
          <w:u w:color="000000"/>
        </w:rPr>
      </w:pPr>
    </w:p>
    <w:p w14:paraId="195EAA37" w14:textId="47903E4C" w:rsidR="005D04C8" w:rsidRPr="00300950" w:rsidRDefault="00663DE8" w:rsidP="00663DE8">
      <w:pPr>
        <w:pStyle w:val="Szvegtrzs"/>
        <w:ind w:left="0"/>
        <w:rPr>
          <w:rFonts w:cs="Times New Roman"/>
          <w:spacing w:val="-1"/>
          <w:u w:color="000000"/>
        </w:rPr>
      </w:pPr>
      <w:r w:rsidRPr="00300950">
        <w:rPr>
          <w:rFonts w:cs="Times New Roman"/>
          <w:spacing w:val="-1"/>
          <w:u w:color="000000"/>
        </w:rPr>
        <w:t>Gyermekek és serdülők esetén hosszú távú biztonságossági adatok nem állnak rendelkezésre. A növekedésre, fogfejlődésre, pubertásra és májkárosodás kialakulásának kockázatára gyakorolt potenciális hatás bizonytalan.</w:t>
      </w:r>
    </w:p>
    <w:p w14:paraId="4DC619A3" w14:textId="77777777" w:rsidR="005D04C8" w:rsidRDefault="005D04C8" w:rsidP="009106D9">
      <w:pPr>
        <w:pStyle w:val="Szvegtrzs"/>
        <w:ind w:left="0"/>
        <w:rPr>
          <w:rFonts w:cs="Times New Roman"/>
          <w:spacing w:val="-1"/>
          <w:u w:val="single" w:color="000000"/>
        </w:rPr>
      </w:pPr>
    </w:p>
    <w:p w14:paraId="41853CC5" w14:textId="39CCF408" w:rsidR="00F5603F" w:rsidRPr="00EF71F8" w:rsidRDefault="00612B56" w:rsidP="00E8297C">
      <w:pPr>
        <w:pStyle w:val="Szvegtrzs"/>
        <w:ind w:left="0"/>
        <w:rPr>
          <w:rFonts w:cs="Times New Roman"/>
        </w:rPr>
      </w:pPr>
      <w:r w:rsidRPr="00EF71F8">
        <w:rPr>
          <w:rFonts w:cs="Times New Roman"/>
          <w:spacing w:val="-1"/>
          <w:u w:val="single" w:color="000000"/>
        </w:rPr>
        <w:t>Feltételezett</w:t>
      </w:r>
      <w:r w:rsidRPr="00EF71F8">
        <w:rPr>
          <w:rFonts w:cs="Times New Roman"/>
          <w:spacing w:val="-2"/>
          <w:u w:val="single" w:color="000000"/>
        </w:rPr>
        <w:t xml:space="preserve"> </w:t>
      </w:r>
      <w:r w:rsidRPr="00EF71F8">
        <w:rPr>
          <w:rFonts w:cs="Times New Roman"/>
          <w:spacing w:val="-1"/>
          <w:u w:val="single" w:color="000000"/>
        </w:rPr>
        <w:t>mellékhatások</w:t>
      </w:r>
      <w:r w:rsidRPr="00EF71F8">
        <w:rPr>
          <w:rFonts w:cs="Times New Roman"/>
          <w:spacing w:val="-3"/>
          <w:u w:val="single" w:color="000000"/>
        </w:rPr>
        <w:t xml:space="preserve"> </w:t>
      </w:r>
      <w:r w:rsidRPr="00EF71F8">
        <w:rPr>
          <w:rFonts w:cs="Times New Roman"/>
          <w:spacing w:val="-1"/>
          <w:u w:val="single" w:color="000000"/>
        </w:rPr>
        <w:t>bejelentése</w:t>
      </w:r>
    </w:p>
    <w:p w14:paraId="58E74AE8" w14:textId="478064A8" w:rsidR="00F5603F" w:rsidRPr="00EF71F8" w:rsidRDefault="00612B56" w:rsidP="00F7185C">
      <w:pPr>
        <w:pStyle w:val="Szvegtrzs"/>
        <w:ind w:left="0"/>
        <w:rPr>
          <w:rFonts w:cs="Times New Roman"/>
        </w:rPr>
      </w:pPr>
      <w:r w:rsidRPr="00EF71F8">
        <w:rPr>
          <w:rFonts w:cs="Times New Roman"/>
        </w:rPr>
        <w:t>A</w:t>
      </w:r>
      <w:r w:rsidRPr="00EF71F8">
        <w:rPr>
          <w:rFonts w:cs="Times New Roman"/>
          <w:spacing w:val="-1"/>
        </w:rPr>
        <w:t xml:space="preserve"> gyógyszer</w:t>
      </w:r>
      <w:r w:rsidRPr="00EF71F8">
        <w:rPr>
          <w:rFonts w:cs="Times New Roman"/>
          <w:spacing w:val="-2"/>
        </w:rPr>
        <w:t xml:space="preserve"> </w:t>
      </w:r>
      <w:r w:rsidRPr="00EF71F8">
        <w:rPr>
          <w:rFonts w:cs="Times New Roman"/>
          <w:spacing w:val="-1"/>
        </w:rPr>
        <w:t>engedélyezését</w:t>
      </w:r>
      <w:r w:rsidRPr="00EF71F8">
        <w:rPr>
          <w:rFonts w:cs="Times New Roman"/>
          <w:spacing w:val="1"/>
        </w:rPr>
        <w:t xml:space="preserve"> </w:t>
      </w:r>
      <w:r w:rsidRPr="00EF71F8">
        <w:rPr>
          <w:rFonts w:cs="Times New Roman"/>
          <w:spacing w:val="-1"/>
        </w:rPr>
        <w:t>követően</w:t>
      </w:r>
      <w:r w:rsidRPr="00EF71F8">
        <w:rPr>
          <w:rFonts w:cs="Times New Roman"/>
        </w:rPr>
        <w:t xml:space="preserve"> </w:t>
      </w:r>
      <w:r w:rsidRPr="00EF71F8">
        <w:rPr>
          <w:rFonts w:cs="Times New Roman"/>
          <w:spacing w:val="-1"/>
        </w:rPr>
        <w:t>lényeges</w:t>
      </w:r>
      <w:r w:rsidRPr="00EF71F8">
        <w:rPr>
          <w:rFonts w:cs="Times New Roman"/>
        </w:rPr>
        <w:t xml:space="preserve"> a</w:t>
      </w:r>
      <w:r w:rsidRPr="00EF71F8">
        <w:rPr>
          <w:rFonts w:cs="Times New Roman"/>
          <w:spacing w:val="-2"/>
        </w:rPr>
        <w:t xml:space="preserve"> </w:t>
      </w:r>
      <w:r w:rsidRPr="00EF71F8">
        <w:rPr>
          <w:rFonts w:cs="Times New Roman"/>
          <w:spacing w:val="-1"/>
        </w:rPr>
        <w:t>feltételezett</w:t>
      </w:r>
      <w:r w:rsidRPr="00EF71F8">
        <w:rPr>
          <w:rFonts w:cs="Times New Roman"/>
          <w:spacing w:val="-2"/>
        </w:rPr>
        <w:t xml:space="preserve"> </w:t>
      </w:r>
      <w:r w:rsidRPr="00EF71F8">
        <w:rPr>
          <w:rFonts w:cs="Times New Roman"/>
          <w:spacing w:val="-1"/>
        </w:rPr>
        <w:t>mellékhatások</w:t>
      </w:r>
      <w:r w:rsidRPr="00EF71F8">
        <w:rPr>
          <w:rFonts w:cs="Times New Roman"/>
          <w:spacing w:val="-3"/>
        </w:rPr>
        <w:t xml:space="preserve"> </w:t>
      </w:r>
      <w:r w:rsidRPr="00EF71F8">
        <w:rPr>
          <w:rFonts w:cs="Times New Roman"/>
          <w:spacing w:val="-1"/>
        </w:rPr>
        <w:t>bejelentése,</w:t>
      </w:r>
      <w:r w:rsidRPr="00EF71F8">
        <w:rPr>
          <w:rFonts w:cs="Times New Roman"/>
          <w:spacing w:val="-3"/>
        </w:rPr>
        <w:t xml:space="preserve"> </w:t>
      </w:r>
      <w:r w:rsidRPr="00EF71F8">
        <w:rPr>
          <w:rFonts w:cs="Times New Roman"/>
          <w:spacing w:val="-1"/>
        </w:rPr>
        <w:t>mert</w:t>
      </w:r>
      <w:r w:rsidRPr="00EF71F8">
        <w:rPr>
          <w:rFonts w:cs="Times New Roman"/>
          <w:spacing w:val="-2"/>
        </w:rPr>
        <w:t xml:space="preserve"> </w:t>
      </w:r>
      <w:r w:rsidRPr="00EF71F8">
        <w:rPr>
          <w:rFonts w:cs="Times New Roman"/>
        </w:rPr>
        <w:t>ez</w:t>
      </w:r>
      <w:r w:rsidRPr="00EF71F8">
        <w:rPr>
          <w:rFonts w:cs="Times New Roman"/>
          <w:spacing w:val="79"/>
        </w:rPr>
        <w:t xml:space="preserve"> </w:t>
      </w:r>
      <w:r w:rsidRPr="00EF71F8">
        <w:rPr>
          <w:rFonts w:cs="Times New Roman"/>
          <w:spacing w:val="-1"/>
        </w:rPr>
        <w:t>fontos</w:t>
      </w:r>
      <w:r w:rsidRPr="00EF71F8">
        <w:rPr>
          <w:rFonts w:cs="Times New Roman"/>
        </w:rPr>
        <w:t xml:space="preserve"> </w:t>
      </w:r>
      <w:r w:rsidRPr="00EF71F8">
        <w:rPr>
          <w:rFonts w:cs="Times New Roman"/>
          <w:spacing w:val="-1"/>
        </w:rPr>
        <w:t>eszköze</w:t>
      </w:r>
      <w:r w:rsidRPr="00EF71F8">
        <w:rPr>
          <w:rFonts w:cs="Times New Roman"/>
        </w:rPr>
        <w:t xml:space="preserve"> </w:t>
      </w:r>
      <w:r w:rsidRPr="00EF71F8">
        <w:rPr>
          <w:rFonts w:cs="Times New Roman"/>
          <w:spacing w:val="-1"/>
        </w:rPr>
        <w:t>annak,</w:t>
      </w:r>
      <w:r w:rsidRPr="00EF71F8">
        <w:rPr>
          <w:rFonts w:cs="Times New Roman"/>
        </w:rPr>
        <w:t xml:space="preserve"> </w:t>
      </w:r>
      <w:r w:rsidRPr="00EF71F8">
        <w:rPr>
          <w:rFonts w:cs="Times New Roman"/>
          <w:spacing w:val="-1"/>
        </w:rPr>
        <w:t>hogy</w:t>
      </w:r>
      <w:r w:rsidRPr="00EF71F8">
        <w:rPr>
          <w:rFonts w:cs="Times New Roman"/>
          <w:spacing w:val="-3"/>
        </w:rPr>
        <w:t xml:space="preserve"> </w:t>
      </w:r>
      <w:r w:rsidRPr="00EF71F8">
        <w:rPr>
          <w:rFonts w:cs="Times New Roman"/>
        </w:rPr>
        <w:t xml:space="preserve">a </w:t>
      </w:r>
      <w:r w:rsidRPr="00EF71F8">
        <w:rPr>
          <w:rFonts w:cs="Times New Roman"/>
          <w:spacing w:val="-1"/>
        </w:rPr>
        <w:t>gyógyszer</w:t>
      </w:r>
      <w:r w:rsidRPr="00EF71F8">
        <w:rPr>
          <w:rFonts w:cs="Times New Roman"/>
        </w:rPr>
        <w:t xml:space="preserve"> </w:t>
      </w:r>
      <w:r w:rsidRPr="00EF71F8">
        <w:rPr>
          <w:rFonts w:cs="Times New Roman"/>
          <w:spacing w:val="-1"/>
        </w:rPr>
        <w:t>előny/kockázat</w:t>
      </w:r>
      <w:r w:rsidRPr="00EF71F8">
        <w:rPr>
          <w:rFonts w:cs="Times New Roman"/>
          <w:spacing w:val="1"/>
        </w:rPr>
        <w:t xml:space="preserve"> </w:t>
      </w:r>
      <w:r w:rsidRPr="00EF71F8">
        <w:rPr>
          <w:rFonts w:cs="Times New Roman"/>
          <w:spacing w:val="-1"/>
        </w:rPr>
        <w:t>profilját</w:t>
      </w:r>
      <w:r w:rsidRPr="00EF71F8">
        <w:rPr>
          <w:rFonts w:cs="Times New Roman"/>
          <w:spacing w:val="-2"/>
        </w:rPr>
        <w:t xml:space="preserve"> </w:t>
      </w:r>
      <w:r w:rsidRPr="00EF71F8">
        <w:rPr>
          <w:rFonts w:cs="Times New Roman"/>
          <w:spacing w:val="-1"/>
        </w:rPr>
        <w:t>folyamatosan</w:t>
      </w:r>
      <w:r w:rsidRPr="00EF71F8">
        <w:rPr>
          <w:rFonts w:cs="Times New Roman"/>
        </w:rPr>
        <w:t xml:space="preserve"> </w:t>
      </w:r>
      <w:r w:rsidRPr="00EF71F8">
        <w:rPr>
          <w:rFonts w:cs="Times New Roman"/>
          <w:spacing w:val="-1"/>
        </w:rPr>
        <w:t>figyelemmel</w:t>
      </w:r>
      <w:r w:rsidRPr="00EF71F8">
        <w:rPr>
          <w:rFonts w:cs="Times New Roman"/>
          <w:spacing w:val="1"/>
        </w:rPr>
        <w:t xml:space="preserve"> </w:t>
      </w:r>
      <w:r w:rsidRPr="00EF71F8">
        <w:rPr>
          <w:rFonts w:cs="Times New Roman"/>
          <w:spacing w:val="-1"/>
        </w:rPr>
        <w:t>lehessen</w:t>
      </w:r>
      <w:r w:rsidRPr="00EF71F8">
        <w:rPr>
          <w:rFonts w:cs="Times New Roman"/>
          <w:spacing w:val="63"/>
        </w:rPr>
        <w:t xml:space="preserve"> </w:t>
      </w:r>
      <w:r w:rsidRPr="00EF71F8">
        <w:rPr>
          <w:rFonts w:cs="Times New Roman"/>
          <w:spacing w:val="-1"/>
        </w:rPr>
        <w:t>kísérni.</w:t>
      </w:r>
      <w:r w:rsidR="00F7185C">
        <w:rPr>
          <w:rFonts w:cs="Times New Roman"/>
          <w:spacing w:val="-1"/>
        </w:rPr>
        <w:t xml:space="preserve"> </w:t>
      </w:r>
      <w:r w:rsidRPr="00EF71F8">
        <w:rPr>
          <w:rFonts w:cs="Times New Roman"/>
          <w:spacing w:val="-1"/>
        </w:rPr>
        <w:t>Az</w:t>
      </w:r>
      <w:r w:rsidRPr="00EF71F8">
        <w:rPr>
          <w:rFonts w:cs="Times New Roman"/>
        </w:rPr>
        <w:t xml:space="preserve"> </w:t>
      </w:r>
      <w:r w:rsidRPr="00EF71F8">
        <w:rPr>
          <w:rFonts w:cs="Times New Roman"/>
          <w:spacing w:val="-1"/>
        </w:rPr>
        <w:t>egészségügyi</w:t>
      </w:r>
      <w:r w:rsidRPr="00EF71F8">
        <w:rPr>
          <w:rFonts w:cs="Times New Roman"/>
          <w:spacing w:val="1"/>
        </w:rPr>
        <w:t xml:space="preserve"> </w:t>
      </w:r>
      <w:r w:rsidRPr="00EF71F8">
        <w:rPr>
          <w:rFonts w:cs="Times New Roman"/>
          <w:spacing w:val="-1"/>
        </w:rPr>
        <w:t>szakembereket</w:t>
      </w:r>
      <w:r w:rsidRPr="00EF71F8">
        <w:rPr>
          <w:rFonts w:cs="Times New Roman"/>
          <w:spacing w:val="1"/>
        </w:rPr>
        <w:t xml:space="preserve"> </w:t>
      </w:r>
      <w:r w:rsidRPr="00EF71F8">
        <w:rPr>
          <w:rFonts w:cs="Times New Roman"/>
          <w:spacing w:val="-1"/>
        </w:rPr>
        <w:t>kérjük,</w:t>
      </w:r>
      <w:r w:rsidRPr="00EF71F8">
        <w:rPr>
          <w:rFonts w:cs="Times New Roman"/>
        </w:rPr>
        <w:t xml:space="preserve"> hogy</w:t>
      </w:r>
      <w:r w:rsidRPr="00EF71F8">
        <w:rPr>
          <w:rFonts w:cs="Times New Roman"/>
          <w:spacing w:val="-3"/>
        </w:rPr>
        <w:t xml:space="preserve"> </w:t>
      </w:r>
      <w:r w:rsidRPr="00EF71F8">
        <w:rPr>
          <w:rFonts w:cs="Times New Roman"/>
          <w:spacing w:val="-1"/>
        </w:rPr>
        <w:t>jelentsék</w:t>
      </w:r>
      <w:r w:rsidRPr="00EF71F8">
        <w:rPr>
          <w:rFonts w:cs="Times New Roman"/>
          <w:spacing w:val="3"/>
        </w:rPr>
        <w:t xml:space="preserve"> </w:t>
      </w:r>
      <w:r w:rsidRPr="00EF71F8">
        <w:rPr>
          <w:rFonts w:cs="Times New Roman"/>
        </w:rPr>
        <w:t>be</w:t>
      </w:r>
      <w:r w:rsidRPr="00EF71F8">
        <w:rPr>
          <w:rFonts w:cs="Times New Roman"/>
          <w:spacing w:val="-2"/>
        </w:rPr>
        <w:t xml:space="preserve"> </w:t>
      </w:r>
      <w:r w:rsidRPr="00EF71F8">
        <w:rPr>
          <w:rFonts w:cs="Times New Roman"/>
        </w:rPr>
        <w:t xml:space="preserve">a </w:t>
      </w:r>
      <w:r w:rsidRPr="00EF71F8">
        <w:rPr>
          <w:rFonts w:cs="Times New Roman"/>
          <w:spacing w:val="-1"/>
        </w:rPr>
        <w:t>feltételezett</w:t>
      </w:r>
      <w:r w:rsidRPr="00EF71F8">
        <w:rPr>
          <w:rFonts w:cs="Times New Roman"/>
          <w:spacing w:val="-2"/>
        </w:rPr>
        <w:t xml:space="preserve"> </w:t>
      </w:r>
      <w:r w:rsidRPr="00EF71F8">
        <w:rPr>
          <w:rFonts w:cs="Times New Roman"/>
          <w:spacing w:val="-1"/>
        </w:rPr>
        <w:t>mellékhatásokat</w:t>
      </w:r>
      <w:r w:rsidRPr="00EF71F8">
        <w:rPr>
          <w:rFonts w:cs="Times New Roman"/>
          <w:spacing w:val="1"/>
        </w:rPr>
        <w:t xml:space="preserve"> </w:t>
      </w:r>
      <w:r w:rsidRPr="00EF71F8">
        <w:rPr>
          <w:rFonts w:cs="Times New Roman"/>
        </w:rPr>
        <w:t>a</w:t>
      </w:r>
      <w:r w:rsidRPr="00EF71F8">
        <w:rPr>
          <w:rFonts w:cs="Times New Roman"/>
          <w:spacing w:val="55"/>
        </w:rPr>
        <w:t xml:space="preserve"> </w:t>
      </w:r>
      <w:r w:rsidRPr="00EF71F8">
        <w:rPr>
          <w:rFonts w:cs="Times New Roman"/>
          <w:spacing w:val="-1"/>
        </w:rPr>
        <w:t>hatóság</w:t>
      </w:r>
      <w:r w:rsidRPr="00EF71F8">
        <w:rPr>
          <w:rFonts w:cs="Times New Roman"/>
          <w:spacing w:val="-2"/>
        </w:rPr>
        <w:t xml:space="preserve"> </w:t>
      </w:r>
      <w:r w:rsidRPr="00EF71F8">
        <w:rPr>
          <w:rFonts w:cs="Times New Roman"/>
          <w:spacing w:val="-1"/>
        </w:rPr>
        <w:t>részére</w:t>
      </w:r>
      <w:r w:rsidRPr="00EF71F8">
        <w:rPr>
          <w:rFonts w:cs="Times New Roman"/>
        </w:rPr>
        <w:t xml:space="preserve"> </w:t>
      </w:r>
      <w:r w:rsidRPr="00DF4423">
        <w:rPr>
          <w:rFonts w:cs="Times New Roman"/>
          <w:highlight w:val="lightGray"/>
        </w:rPr>
        <w:t>az</w:t>
      </w:r>
      <w:r w:rsidRPr="00DF4423">
        <w:rPr>
          <w:rFonts w:cs="Times New Roman"/>
          <w:spacing w:val="1"/>
          <w:highlight w:val="lightGray"/>
        </w:rPr>
        <w:t xml:space="preserve"> </w:t>
      </w:r>
      <w:hyperlink r:id="rId7" w:history="1">
        <w:r w:rsidR="00D5532C" w:rsidRPr="00BE2A1F">
          <w:rPr>
            <w:rStyle w:val="Hiperhivatkozs"/>
            <w:highlight w:val="lightGray"/>
            <w:lang w:val="hu-HU"/>
          </w:rPr>
          <w:t>V. függelékben</w:t>
        </w:r>
      </w:hyperlink>
      <w:r w:rsidR="00D5532C">
        <w:rPr>
          <w:highlight w:val="lightGray"/>
          <w:lang w:val="hu-HU"/>
        </w:rPr>
        <w:t xml:space="preserve"> </w:t>
      </w:r>
      <w:r w:rsidRPr="00DF4423">
        <w:rPr>
          <w:rFonts w:cs="Times New Roman"/>
          <w:spacing w:val="-1"/>
          <w:highlight w:val="lightGray"/>
        </w:rPr>
        <w:t>található</w:t>
      </w:r>
      <w:r w:rsidRPr="00DF4423">
        <w:rPr>
          <w:rFonts w:cs="Times New Roman"/>
          <w:highlight w:val="lightGray"/>
        </w:rPr>
        <w:t xml:space="preserve"> </w:t>
      </w:r>
      <w:r w:rsidRPr="00DF4423">
        <w:rPr>
          <w:rFonts w:cs="Times New Roman"/>
          <w:spacing w:val="-1"/>
          <w:highlight w:val="lightGray"/>
        </w:rPr>
        <w:t>elérhetőségek</w:t>
      </w:r>
      <w:r w:rsidRPr="00DF4423">
        <w:rPr>
          <w:rFonts w:cs="Times New Roman"/>
          <w:highlight w:val="lightGray"/>
        </w:rPr>
        <w:t xml:space="preserve"> </w:t>
      </w:r>
      <w:r w:rsidRPr="00DF4423">
        <w:rPr>
          <w:rFonts w:cs="Times New Roman"/>
          <w:spacing w:val="-1"/>
          <w:highlight w:val="lightGray"/>
        </w:rPr>
        <w:t>valamelyikén</w:t>
      </w:r>
      <w:r w:rsidRPr="00DF4423">
        <w:rPr>
          <w:rFonts w:cs="Times New Roman"/>
          <w:highlight w:val="lightGray"/>
        </w:rPr>
        <w:t xml:space="preserve"> </w:t>
      </w:r>
      <w:r w:rsidRPr="00DF4423">
        <w:rPr>
          <w:rFonts w:cs="Times New Roman"/>
          <w:spacing w:val="-1"/>
          <w:highlight w:val="lightGray"/>
        </w:rPr>
        <w:t>keresztül</w:t>
      </w:r>
      <w:r w:rsidRPr="00EF71F8">
        <w:rPr>
          <w:rFonts w:cs="Times New Roman"/>
          <w:spacing w:val="-1"/>
        </w:rPr>
        <w:t>.</w:t>
      </w:r>
    </w:p>
    <w:p w14:paraId="3C31843E" w14:textId="77777777" w:rsidR="00F5603F" w:rsidRPr="00EF71F8" w:rsidRDefault="00F5603F" w:rsidP="009106D9">
      <w:pPr>
        <w:rPr>
          <w:rFonts w:ascii="Times New Roman" w:eastAsia="Times New Roman" w:hAnsi="Times New Roman" w:cs="Times New Roman"/>
        </w:rPr>
      </w:pPr>
    </w:p>
    <w:p w14:paraId="52AB0FD2" w14:textId="2078A5FE" w:rsidR="00F5603F" w:rsidRPr="00EF71F8" w:rsidRDefault="00DA1E57" w:rsidP="009106D9">
      <w:pPr>
        <w:pStyle w:val="Cmsor1"/>
        <w:rPr>
          <w:bCs/>
        </w:rPr>
      </w:pPr>
      <w:r>
        <w:t>4.9</w:t>
      </w:r>
      <w:r>
        <w:tab/>
      </w:r>
      <w:r w:rsidR="00612B56" w:rsidRPr="00EF71F8">
        <w:t>Túladagolás</w:t>
      </w:r>
    </w:p>
    <w:p w14:paraId="078AC834" w14:textId="77777777" w:rsidR="00F5603F" w:rsidRPr="00EF71F8" w:rsidRDefault="00F5603F" w:rsidP="009106D9">
      <w:pPr>
        <w:rPr>
          <w:rFonts w:ascii="Times New Roman" w:eastAsia="Times New Roman" w:hAnsi="Times New Roman" w:cs="Times New Roman"/>
          <w:b/>
          <w:bCs/>
        </w:rPr>
      </w:pPr>
    </w:p>
    <w:p w14:paraId="20DF0B70" w14:textId="08ED64A4" w:rsidR="00266996" w:rsidRDefault="00266996" w:rsidP="00266996">
      <w:pPr>
        <w:pStyle w:val="Szvegtrzs"/>
        <w:ind w:left="0"/>
        <w:rPr>
          <w:rFonts w:cs="Times New Roman"/>
        </w:rPr>
      </w:pPr>
      <w:r w:rsidRPr="00266996">
        <w:rPr>
          <w:rFonts w:cs="Times New Roman"/>
        </w:rPr>
        <w:t>A</w:t>
      </w:r>
      <w:r>
        <w:rPr>
          <w:rFonts w:cs="Times New Roman"/>
        </w:rPr>
        <w:t xml:space="preserve"> nintedanib</w:t>
      </w:r>
      <w:r w:rsidRPr="00266996">
        <w:rPr>
          <w:rFonts w:cs="Times New Roman"/>
        </w:rPr>
        <w:t xml:space="preserve"> túladagolására nincs specifikus antidotum vagy kezelés. Az onkológiai program keretén belül</w:t>
      </w:r>
      <w:r>
        <w:rPr>
          <w:rFonts w:cs="Times New Roman"/>
        </w:rPr>
        <w:t xml:space="preserve"> </w:t>
      </w:r>
      <w:r w:rsidRPr="00266996">
        <w:rPr>
          <w:rFonts w:cs="Times New Roman"/>
        </w:rPr>
        <w:t>két betegnél történt túladagolás maximálisan napi kétszer 600</w:t>
      </w:r>
      <w:r w:rsidR="008E004B">
        <w:rPr>
          <w:rFonts w:cs="Times New Roman"/>
        </w:rPr>
        <w:t> </w:t>
      </w:r>
      <w:r w:rsidRPr="00266996">
        <w:rPr>
          <w:rFonts w:cs="Times New Roman"/>
        </w:rPr>
        <w:t>mg-mal, legfeljebb nyolc napig. A</w:t>
      </w:r>
      <w:r w:rsidR="00A818B7">
        <w:rPr>
          <w:rFonts w:cs="Times New Roman"/>
        </w:rPr>
        <w:t xml:space="preserve"> </w:t>
      </w:r>
      <w:r w:rsidRPr="00266996">
        <w:rPr>
          <w:rFonts w:cs="Times New Roman"/>
        </w:rPr>
        <w:t>megfigyelt mellékhatások megfeleltek a nintedanib ismert biztonságossági profiljának, vagyis a</w:t>
      </w:r>
      <w:r w:rsidR="00A818B7">
        <w:rPr>
          <w:rFonts w:cs="Times New Roman"/>
        </w:rPr>
        <w:t xml:space="preserve"> </w:t>
      </w:r>
      <w:r w:rsidRPr="00266996">
        <w:rPr>
          <w:rFonts w:cs="Times New Roman"/>
        </w:rPr>
        <w:t>májenzimszintek emelkedése és gastrointestinalis tünetek léptek fel. Mindkét beteg felépült ezekből a</w:t>
      </w:r>
      <w:r w:rsidR="00A818B7">
        <w:rPr>
          <w:rFonts w:cs="Times New Roman"/>
        </w:rPr>
        <w:t xml:space="preserve"> </w:t>
      </w:r>
      <w:r w:rsidRPr="00266996">
        <w:rPr>
          <w:rFonts w:cs="Times New Roman"/>
        </w:rPr>
        <w:t>mellékhatásokból. Az INPULSIS vizsgálatokban egy beteg kapott véletlenül napi 600</w:t>
      </w:r>
      <w:r w:rsidR="008E004B">
        <w:rPr>
          <w:rFonts w:cs="Times New Roman"/>
        </w:rPr>
        <w:t> </w:t>
      </w:r>
      <w:r w:rsidRPr="00266996">
        <w:rPr>
          <w:rFonts w:cs="Times New Roman"/>
        </w:rPr>
        <w:t>mg-os adagot</w:t>
      </w:r>
      <w:r w:rsidR="00A818B7">
        <w:rPr>
          <w:rFonts w:cs="Times New Roman"/>
        </w:rPr>
        <w:t xml:space="preserve"> </w:t>
      </w:r>
      <w:r w:rsidRPr="00266996">
        <w:rPr>
          <w:rFonts w:cs="Times New Roman"/>
        </w:rPr>
        <w:t>összesen 21</w:t>
      </w:r>
      <w:r w:rsidR="00807E27">
        <w:rPr>
          <w:rFonts w:cs="Times New Roman"/>
        </w:rPr>
        <w:t> </w:t>
      </w:r>
      <w:r w:rsidRPr="00266996">
        <w:rPr>
          <w:rFonts w:cs="Times New Roman"/>
        </w:rPr>
        <w:t>napon át. Nem súlyos mellékhatás (nasopharyngitis) jelentkezett, amely elmúlt a hibás</w:t>
      </w:r>
      <w:r w:rsidR="00A818B7">
        <w:rPr>
          <w:rFonts w:cs="Times New Roman"/>
        </w:rPr>
        <w:t xml:space="preserve"> </w:t>
      </w:r>
      <w:r w:rsidRPr="00266996">
        <w:rPr>
          <w:rFonts w:cs="Times New Roman"/>
        </w:rPr>
        <w:t>adagolás időszakában anélkül, hogy eközben más jelentett esemény bekövetkezett volna. Túladagolás</w:t>
      </w:r>
      <w:r w:rsidR="00A818B7">
        <w:rPr>
          <w:rFonts w:cs="Times New Roman"/>
        </w:rPr>
        <w:t xml:space="preserve"> </w:t>
      </w:r>
      <w:r w:rsidRPr="00266996">
        <w:rPr>
          <w:rFonts w:cs="Times New Roman"/>
        </w:rPr>
        <w:t xml:space="preserve">esetén a kezelést meg kell szakítani, és szükség szerint általános szupportív kezelést kell kezdeni. </w:t>
      </w:r>
    </w:p>
    <w:p w14:paraId="7A57C382" w14:textId="77777777" w:rsidR="00F5603F" w:rsidRPr="00EF71F8" w:rsidRDefault="00F5603F" w:rsidP="009106D9">
      <w:pPr>
        <w:rPr>
          <w:rFonts w:ascii="Times New Roman" w:eastAsia="Times New Roman" w:hAnsi="Times New Roman" w:cs="Times New Roman"/>
        </w:rPr>
      </w:pPr>
    </w:p>
    <w:p w14:paraId="13F43BA7" w14:textId="77777777" w:rsidR="00F5603F" w:rsidRPr="00EF71F8" w:rsidRDefault="00F5603F" w:rsidP="009106D9">
      <w:pPr>
        <w:rPr>
          <w:rFonts w:ascii="Times New Roman" w:eastAsia="Times New Roman" w:hAnsi="Times New Roman" w:cs="Times New Roman"/>
        </w:rPr>
      </w:pPr>
    </w:p>
    <w:p w14:paraId="1BA13F06" w14:textId="6AF19B83" w:rsidR="00F5603F" w:rsidRPr="00EF71F8" w:rsidRDefault="00DA1E57" w:rsidP="009106D9">
      <w:pPr>
        <w:pStyle w:val="Cmsor1"/>
        <w:rPr>
          <w:bCs/>
        </w:rPr>
      </w:pPr>
      <w:r>
        <w:t>5.</w:t>
      </w:r>
      <w:r>
        <w:tab/>
      </w:r>
      <w:r w:rsidR="00612B56" w:rsidRPr="00EF71F8">
        <w:t xml:space="preserve">FARMAKOLÓGIAI </w:t>
      </w:r>
      <w:r w:rsidR="00612B56" w:rsidRPr="00EF71F8">
        <w:rPr>
          <w:spacing w:val="-2"/>
        </w:rPr>
        <w:t>TULAJDONSÁGOK</w:t>
      </w:r>
    </w:p>
    <w:p w14:paraId="13FB9C5A" w14:textId="77777777" w:rsidR="00F5603F" w:rsidRPr="00EF71F8" w:rsidRDefault="00F5603F" w:rsidP="009106D9">
      <w:pPr>
        <w:rPr>
          <w:rFonts w:ascii="Times New Roman" w:eastAsia="Times New Roman" w:hAnsi="Times New Roman" w:cs="Times New Roman"/>
          <w:b/>
          <w:bCs/>
        </w:rPr>
      </w:pPr>
    </w:p>
    <w:p w14:paraId="36A9F400" w14:textId="07235455" w:rsidR="00F5603F" w:rsidRPr="00EF71F8" w:rsidRDefault="00DA1E57" w:rsidP="00E86C85">
      <w:pPr>
        <w:tabs>
          <w:tab w:val="left" w:pos="686"/>
        </w:tabs>
        <w:rPr>
          <w:rFonts w:ascii="Times New Roman" w:eastAsia="Times New Roman" w:hAnsi="Times New Roman" w:cs="Times New Roman"/>
        </w:rPr>
      </w:pPr>
      <w:r>
        <w:rPr>
          <w:rFonts w:ascii="Times New Roman" w:hAnsi="Times New Roman" w:cs="Times New Roman"/>
          <w:b/>
          <w:spacing w:val="-1"/>
        </w:rPr>
        <w:t>5.1</w:t>
      </w:r>
      <w:r>
        <w:rPr>
          <w:rFonts w:ascii="Times New Roman" w:hAnsi="Times New Roman" w:cs="Times New Roman"/>
          <w:b/>
          <w:spacing w:val="-1"/>
        </w:rPr>
        <w:tab/>
      </w:r>
      <w:r w:rsidR="00612B56" w:rsidRPr="00EF71F8">
        <w:rPr>
          <w:rFonts w:ascii="Times New Roman" w:hAnsi="Times New Roman" w:cs="Times New Roman"/>
          <w:b/>
          <w:spacing w:val="-1"/>
        </w:rPr>
        <w:t>Farmakodinámiás</w:t>
      </w:r>
      <w:r w:rsidR="00612B56" w:rsidRPr="00EF71F8">
        <w:rPr>
          <w:rFonts w:ascii="Times New Roman" w:hAnsi="Times New Roman" w:cs="Times New Roman"/>
          <w:b/>
        </w:rPr>
        <w:t xml:space="preserve"> </w:t>
      </w:r>
      <w:r w:rsidR="00612B56" w:rsidRPr="00EF71F8">
        <w:rPr>
          <w:rFonts w:ascii="Times New Roman" w:hAnsi="Times New Roman" w:cs="Times New Roman"/>
          <w:b/>
          <w:spacing w:val="-1"/>
        </w:rPr>
        <w:t>tulajdonságok</w:t>
      </w:r>
    </w:p>
    <w:p w14:paraId="31026C88" w14:textId="77777777" w:rsidR="00F5603F" w:rsidRPr="00EF71F8" w:rsidRDefault="00F5603F" w:rsidP="009106D9">
      <w:pPr>
        <w:rPr>
          <w:rFonts w:ascii="Times New Roman" w:eastAsia="Times New Roman" w:hAnsi="Times New Roman" w:cs="Times New Roman"/>
          <w:b/>
          <w:bCs/>
        </w:rPr>
      </w:pPr>
    </w:p>
    <w:p w14:paraId="450A70A7" w14:textId="71A4F257" w:rsidR="00F5603F" w:rsidRPr="00EF71F8" w:rsidRDefault="00612B56" w:rsidP="009106D9">
      <w:pPr>
        <w:pStyle w:val="Szvegtrzs"/>
        <w:ind w:left="0"/>
        <w:rPr>
          <w:rFonts w:cs="Times New Roman"/>
        </w:rPr>
      </w:pPr>
      <w:r w:rsidRPr="00EF71F8">
        <w:rPr>
          <w:rFonts w:cs="Times New Roman"/>
          <w:spacing w:val="-1"/>
        </w:rPr>
        <w:t>Farmakoterápiás</w:t>
      </w:r>
      <w:r w:rsidRPr="00EF71F8">
        <w:rPr>
          <w:rFonts w:cs="Times New Roman"/>
        </w:rPr>
        <w:t xml:space="preserve"> </w:t>
      </w:r>
      <w:r w:rsidRPr="00EF71F8">
        <w:rPr>
          <w:rFonts w:cs="Times New Roman"/>
          <w:spacing w:val="-1"/>
        </w:rPr>
        <w:t>csoport:</w:t>
      </w:r>
      <w:r w:rsidRPr="00EF71F8">
        <w:rPr>
          <w:rFonts w:cs="Times New Roman"/>
          <w:spacing w:val="2"/>
        </w:rPr>
        <w:t xml:space="preserve"> </w:t>
      </w:r>
      <w:r w:rsidRPr="00EF71F8">
        <w:rPr>
          <w:rFonts w:cs="Times New Roman"/>
          <w:spacing w:val="-1"/>
        </w:rPr>
        <w:t>Daganatellenes</w:t>
      </w:r>
      <w:r w:rsidRPr="00EF71F8">
        <w:rPr>
          <w:rFonts w:cs="Times New Roman"/>
          <w:spacing w:val="-2"/>
        </w:rPr>
        <w:t xml:space="preserve"> </w:t>
      </w:r>
      <w:r w:rsidRPr="00EF71F8">
        <w:rPr>
          <w:rFonts w:cs="Times New Roman"/>
          <w:spacing w:val="-1"/>
        </w:rPr>
        <w:t>szerek, protein-kináz</w:t>
      </w:r>
      <w:r w:rsidRPr="00EF71F8">
        <w:rPr>
          <w:rFonts w:cs="Times New Roman"/>
          <w:spacing w:val="-2"/>
        </w:rPr>
        <w:t xml:space="preserve"> </w:t>
      </w:r>
      <w:r w:rsidRPr="00EF71F8">
        <w:rPr>
          <w:rFonts w:cs="Times New Roman"/>
          <w:spacing w:val="-1"/>
        </w:rPr>
        <w:t>inhibitorok,</w:t>
      </w:r>
      <w:r w:rsidRPr="00EF71F8">
        <w:rPr>
          <w:rFonts w:cs="Times New Roman"/>
        </w:rPr>
        <w:t xml:space="preserve"> </w:t>
      </w:r>
      <w:r w:rsidRPr="00EF71F8">
        <w:rPr>
          <w:rFonts w:cs="Times New Roman"/>
          <w:spacing w:val="-1"/>
        </w:rPr>
        <w:t>ATC</w:t>
      </w:r>
      <w:r w:rsidRPr="00EF71F8">
        <w:rPr>
          <w:rFonts w:cs="Times New Roman"/>
          <w:spacing w:val="-2"/>
        </w:rPr>
        <w:t xml:space="preserve"> </w:t>
      </w:r>
      <w:r w:rsidRPr="00EF71F8">
        <w:rPr>
          <w:rFonts w:cs="Times New Roman"/>
        </w:rPr>
        <w:t>kód:</w:t>
      </w:r>
      <w:r w:rsidRPr="00EF71F8">
        <w:rPr>
          <w:rFonts w:cs="Times New Roman"/>
          <w:spacing w:val="-1"/>
        </w:rPr>
        <w:t xml:space="preserve"> L01EX0</w:t>
      </w:r>
      <w:r w:rsidR="00266996">
        <w:rPr>
          <w:rFonts w:cs="Times New Roman"/>
          <w:spacing w:val="-1"/>
        </w:rPr>
        <w:t>9</w:t>
      </w:r>
    </w:p>
    <w:p w14:paraId="3C9088F1" w14:textId="77777777" w:rsidR="00F5603F" w:rsidRDefault="00F5603F" w:rsidP="009106D9">
      <w:pPr>
        <w:rPr>
          <w:rFonts w:ascii="Times New Roman" w:eastAsia="Times New Roman" w:hAnsi="Times New Roman" w:cs="Times New Roman"/>
        </w:rPr>
      </w:pPr>
    </w:p>
    <w:p w14:paraId="37226D49" w14:textId="77777777" w:rsidR="009044C2" w:rsidRPr="009044C2" w:rsidRDefault="009044C2" w:rsidP="009044C2">
      <w:pPr>
        <w:rPr>
          <w:rFonts w:ascii="Times New Roman" w:eastAsia="Times New Roman" w:hAnsi="Times New Roman" w:cs="Times New Roman"/>
          <w:u w:val="single"/>
        </w:rPr>
      </w:pPr>
      <w:r w:rsidRPr="009044C2">
        <w:rPr>
          <w:rFonts w:ascii="Times New Roman" w:eastAsia="Times New Roman" w:hAnsi="Times New Roman" w:cs="Times New Roman"/>
          <w:u w:val="single"/>
        </w:rPr>
        <w:t>Hatásmechanizmus</w:t>
      </w:r>
    </w:p>
    <w:p w14:paraId="44AFCE5C" w14:textId="163AA1E0" w:rsidR="009044C2" w:rsidRPr="009044C2" w:rsidRDefault="009044C2" w:rsidP="009044C2">
      <w:pPr>
        <w:rPr>
          <w:rFonts w:ascii="Times New Roman" w:eastAsia="Times New Roman" w:hAnsi="Times New Roman" w:cs="Times New Roman"/>
        </w:rPr>
      </w:pPr>
      <w:r w:rsidRPr="009044C2">
        <w:rPr>
          <w:rFonts w:ascii="Times New Roman" w:eastAsia="Times New Roman" w:hAnsi="Times New Roman" w:cs="Times New Roman"/>
        </w:rPr>
        <w:t xml:space="preserve">A nintedanib egy kis molekulájú triozin-kináz inhibitor, amely gátolja többek között a </w:t>
      </w:r>
      <w:r w:rsidR="00436499">
        <w:rPr>
          <w:rFonts w:ascii="Times New Roman" w:eastAsia="Times New Roman" w:hAnsi="Times New Roman" w:cs="Times New Roman"/>
        </w:rPr>
        <w:t>thrombocyt</w:t>
      </w:r>
      <w:r w:rsidR="008E004B">
        <w:rPr>
          <w:rFonts w:ascii="Times New Roman" w:eastAsia="Times New Roman" w:hAnsi="Times New Roman" w:cs="Times New Roman"/>
        </w:rPr>
        <w:t>a</w:t>
      </w:r>
      <w:r w:rsidR="00436499">
        <w:rPr>
          <w:rFonts w:ascii="Times New Roman" w:eastAsia="Times New Roman" w:hAnsi="Times New Roman" w:cs="Times New Roman"/>
        </w:rPr>
        <w:t xml:space="preserve"> </w:t>
      </w:r>
      <w:r w:rsidRPr="009044C2">
        <w:rPr>
          <w:rFonts w:ascii="Times New Roman" w:eastAsia="Times New Roman" w:hAnsi="Times New Roman" w:cs="Times New Roman"/>
        </w:rPr>
        <w:t>eredetű növekedési faktor receptor (PDGFR) α és β típusát, a fibroblast növekedési faktor receptor</w:t>
      </w:r>
      <w:r w:rsidR="00436499">
        <w:rPr>
          <w:rFonts w:ascii="Times New Roman" w:eastAsia="Times New Roman" w:hAnsi="Times New Roman" w:cs="Times New Roman"/>
        </w:rPr>
        <w:t xml:space="preserve"> </w:t>
      </w:r>
      <w:r w:rsidRPr="009044C2">
        <w:rPr>
          <w:rFonts w:ascii="Times New Roman" w:eastAsia="Times New Roman" w:hAnsi="Times New Roman" w:cs="Times New Roman"/>
        </w:rPr>
        <w:t>(FGFR) 1-3-as típusát és a VEGFR 1-3-as típusát. Ezenkívül a nintedanib gátolja az Lck</w:t>
      </w:r>
      <w:r w:rsidR="00436499">
        <w:rPr>
          <w:rFonts w:ascii="Times New Roman" w:eastAsia="Times New Roman" w:hAnsi="Times New Roman" w:cs="Times New Roman"/>
        </w:rPr>
        <w:t xml:space="preserve"> </w:t>
      </w:r>
      <w:r w:rsidRPr="009044C2">
        <w:rPr>
          <w:rFonts w:ascii="Times New Roman" w:eastAsia="Times New Roman" w:hAnsi="Times New Roman" w:cs="Times New Roman"/>
        </w:rPr>
        <w:t>(lymphocyta-specifikus tirozin-protein kináz), Lyn (tirozin-protein kináz lyn), Src (proto-onkogén</w:t>
      </w:r>
      <w:r w:rsidR="00436499">
        <w:rPr>
          <w:rFonts w:ascii="Times New Roman" w:eastAsia="Times New Roman" w:hAnsi="Times New Roman" w:cs="Times New Roman"/>
        </w:rPr>
        <w:t xml:space="preserve"> </w:t>
      </w:r>
      <w:r w:rsidRPr="009044C2">
        <w:rPr>
          <w:rFonts w:ascii="Times New Roman" w:eastAsia="Times New Roman" w:hAnsi="Times New Roman" w:cs="Times New Roman"/>
        </w:rPr>
        <w:t>tirozin-protein kináz src) és CSF1R (kolóniastimuláló faktor 1 receptor) kinázokat. A nintedanib</w:t>
      </w:r>
      <w:r w:rsidR="00436499">
        <w:rPr>
          <w:rFonts w:ascii="Times New Roman" w:eastAsia="Times New Roman" w:hAnsi="Times New Roman" w:cs="Times New Roman"/>
        </w:rPr>
        <w:t xml:space="preserve"> </w:t>
      </w:r>
      <w:r w:rsidRPr="009044C2">
        <w:rPr>
          <w:rFonts w:ascii="Times New Roman" w:eastAsia="Times New Roman" w:hAnsi="Times New Roman" w:cs="Times New Roman"/>
        </w:rPr>
        <w:t>kompetitíven kötődik ezen kinázok ATP-kötő zsebéhez, és gátolja azokat az intracelluláris jelátviteli</w:t>
      </w:r>
      <w:r w:rsidR="00436499">
        <w:rPr>
          <w:rFonts w:ascii="Times New Roman" w:eastAsia="Times New Roman" w:hAnsi="Times New Roman" w:cs="Times New Roman"/>
        </w:rPr>
        <w:t xml:space="preserve"> </w:t>
      </w:r>
      <w:r w:rsidRPr="009044C2">
        <w:rPr>
          <w:rFonts w:ascii="Times New Roman" w:eastAsia="Times New Roman" w:hAnsi="Times New Roman" w:cs="Times New Roman"/>
        </w:rPr>
        <w:t>kaszkádokat, amelyekről kimutatták, hogy részt vesznek a fibrotikus szövet átépítésének</w:t>
      </w:r>
      <w:r w:rsidR="00436499">
        <w:rPr>
          <w:rFonts w:ascii="Times New Roman" w:eastAsia="Times New Roman" w:hAnsi="Times New Roman" w:cs="Times New Roman"/>
        </w:rPr>
        <w:t xml:space="preserve"> </w:t>
      </w:r>
      <w:r w:rsidRPr="009044C2">
        <w:rPr>
          <w:rFonts w:ascii="Times New Roman" w:eastAsia="Times New Roman" w:hAnsi="Times New Roman" w:cs="Times New Roman"/>
        </w:rPr>
        <w:t>patogenezisében az interstitialis tüdőbetegségekben.</w:t>
      </w:r>
    </w:p>
    <w:p w14:paraId="2F681B14" w14:textId="77777777" w:rsidR="009044C2" w:rsidRDefault="009044C2" w:rsidP="009044C2">
      <w:pPr>
        <w:rPr>
          <w:rFonts w:ascii="Times New Roman" w:eastAsia="Times New Roman" w:hAnsi="Times New Roman" w:cs="Times New Roman"/>
        </w:rPr>
      </w:pPr>
    </w:p>
    <w:p w14:paraId="278C6C3A" w14:textId="2410B122" w:rsidR="009044C2" w:rsidRPr="009044C2" w:rsidRDefault="009044C2" w:rsidP="009044C2">
      <w:pPr>
        <w:rPr>
          <w:rFonts w:ascii="Times New Roman" w:eastAsia="Times New Roman" w:hAnsi="Times New Roman" w:cs="Times New Roman"/>
          <w:u w:val="single"/>
        </w:rPr>
      </w:pPr>
      <w:r w:rsidRPr="009044C2">
        <w:rPr>
          <w:rFonts w:ascii="Times New Roman" w:eastAsia="Times New Roman" w:hAnsi="Times New Roman" w:cs="Times New Roman"/>
          <w:u w:val="single"/>
        </w:rPr>
        <w:t>Farmakodinámiás hatások</w:t>
      </w:r>
    </w:p>
    <w:p w14:paraId="671D3D7D" w14:textId="6260CDFD" w:rsidR="009044C2" w:rsidRPr="009044C2" w:rsidRDefault="009044C2" w:rsidP="009044C2">
      <w:pPr>
        <w:rPr>
          <w:rFonts w:ascii="Times New Roman" w:eastAsia="Times New Roman" w:hAnsi="Times New Roman" w:cs="Times New Roman"/>
        </w:rPr>
      </w:pPr>
      <w:r w:rsidRPr="009044C2">
        <w:rPr>
          <w:rFonts w:ascii="Times New Roman" w:eastAsia="Times New Roman" w:hAnsi="Times New Roman" w:cs="Times New Roman"/>
        </w:rPr>
        <w:t xml:space="preserve">Humán sejtekkel végzett </w:t>
      </w:r>
      <w:r w:rsidRPr="009044C2">
        <w:rPr>
          <w:rFonts w:ascii="Times New Roman" w:eastAsia="Times New Roman" w:hAnsi="Times New Roman" w:cs="Times New Roman"/>
          <w:i/>
          <w:iCs/>
        </w:rPr>
        <w:t>in vitro</w:t>
      </w:r>
      <w:r w:rsidRPr="009044C2">
        <w:rPr>
          <w:rFonts w:ascii="Times New Roman" w:eastAsia="Times New Roman" w:hAnsi="Times New Roman" w:cs="Times New Roman"/>
        </w:rPr>
        <w:t xml:space="preserve"> vizsgálatokban kimutatták, hogy a nintedanib feltételezhetően gátolja</w:t>
      </w:r>
      <w:r w:rsidR="00246132">
        <w:rPr>
          <w:rFonts w:ascii="Times New Roman" w:eastAsia="Times New Roman" w:hAnsi="Times New Roman" w:cs="Times New Roman"/>
        </w:rPr>
        <w:t xml:space="preserve"> </w:t>
      </w:r>
      <w:r w:rsidRPr="009044C2">
        <w:rPr>
          <w:rFonts w:ascii="Times New Roman" w:eastAsia="Times New Roman" w:hAnsi="Times New Roman" w:cs="Times New Roman"/>
        </w:rPr>
        <w:t>a fibrotikus patogenezis megindítását, a monocytákból a profibrotikus mediátor release-t, és az</w:t>
      </w:r>
      <w:r w:rsidR="00246132">
        <w:rPr>
          <w:rFonts w:ascii="Times New Roman" w:eastAsia="Times New Roman" w:hAnsi="Times New Roman" w:cs="Times New Roman"/>
        </w:rPr>
        <w:t xml:space="preserve"> </w:t>
      </w:r>
      <w:r w:rsidRPr="009044C2">
        <w:rPr>
          <w:rFonts w:ascii="Times New Roman" w:eastAsia="Times New Roman" w:hAnsi="Times New Roman" w:cs="Times New Roman"/>
        </w:rPr>
        <w:t>alternatív makrofág-polarizációt. Kimutatták, hogy a nintedanib gátolja a szervek fibrózisához vezető</w:t>
      </w:r>
      <w:r w:rsidR="00246132">
        <w:rPr>
          <w:rFonts w:ascii="Times New Roman" w:eastAsia="Times New Roman" w:hAnsi="Times New Roman" w:cs="Times New Roman"/>
        </w:rPr>
        <w:t xml:space="preserve"> </w:t>
      </w:r>
      <w:r w:rsidRPr="009044C2">
        <w:rPr>
          <w:rFonts w:ascii="Times New Roman" w:eastAsia="Times New Roman" w:hAnsi="Times New Roman" w:cs="Times New Roman"/>
        </w:rPr>
        <w:t>alapvető folyamatokat, a fibroblastok proliferációját és migrációját, azok aktív myofibroblast</w:t>
      </w:r>
      <w:r w:rsidR="00246132">
        <w:rPr>
          <w:rFonts w:ascii="Times New Roman" w:eastAsia="Times New Roman" w:hAnsi="Times New Roman" w:cs="Times New Roman"/>
        </w:rPr>
        <w:t xml:space="preserve"> </w:t>
      </w:r>
      <w:r w:rsidRPr="009044C2">
        <w:rPr>
          <w:rFonts w:ascii="Times New Roman" w:eastAsia="Times New Roman" w:hAnsi="Times New Roman" w:cs="Times New Roman"/>
        </w:rPr>
        <w:t>fenotípussá történő átalakulását és az extracelluláris mátrix szekrécióját. Állatkísérletekben az IPF,</w:t>
      </w:r>
      <w:r w:rsidR="00246132">
        <w:rPr>
          <w:rFonts w:ascii="Times New Roman" w:eastAsia="Times New Roman" w:hAnsi="Times New Roman" w:cs="Times New Roman"/>
        </w:rPr>
        <w:t xml:space="preserve"> </w:t>
      </w:r>
      <w:r w:rsidRPr="009044C2">
        <w:rPr>
          <w:rFonts w:ascii="Times New Roman" w:eastAsia="Times New Roman" w:hAnsi="Times New Roman" w:cs="Times New Roman"/>
        </w:rPr>
        <w:t>SSc/SSc-ILD, a rheumatoid arthritishez társuló (RA) ILD és egyéb szervek fibrózisának modelljeiben</w:t>
      </w:r>
      <w:r w:rsidR="00246132">
        <w:rPr>
          <w:rFonts w:ascii="Times New Roman" w:eastAsia="Times New Roman" w:hAnsi="Times New Roman" w:cs="Times New Roman"/>
        </w:rPr>
        <w:t xml:space="preserve"> </w:t>
      </w:r>
      <w:r w:rsidRPr="009044C2">
        <w:rPr>
          <w:rFonts w:ascii="Times New Roman" w:eastAsia="Times New Roman" w:hAnsi="Times New Roman" w:cs="Times New Roman"/>
        </w:rPr>
        <w:t>a nintedanib bizonyítottan antiinflammatorikus és antifibrotikus hatású a tüdőben, a bőrben, a szívben,</w:t>
      </w:r>
      <w:r w:rsidR="00246132">
        <w:rPr>
          <w:rFonts w:ascii="Times New Roman" w:eastAsia="Times New Roman" w:hAnsi="Times New Roman" w:cs="Times New Roman"/>
        </w:rPr>
        <w:t xml:space="preserve"> </w:t>
      </w:r>
      <w:r w:rsidRPr="009044C2">
        <w:rPr>
          <w:rFonts w:ascii="Times New Roman" w:eastAsia="Times New Roman" w:hAnsi="Times New Roman" w:cs="Times New Roman"/>
        </w:rPr>
        <w:t>a vesében és a májban. A nintedanib vaszkuláris aktivitása is igazolt. Csökkentette a bőrben lévő</w:t>
      </w:r>
      <w:r w:rsidR="00246132">
        <w:rPr>
          <w:rFonts w:ascii="Times New Roman" w:eastAsia="Times New Roman" w:hAnsi="Times New Roman" w:cs="Times New Roman"/>
        </w:rPr>
        <w:t xml:space="preserve"> </w:t>
      </w:r>
      <w:r w:rsidRPr="009044C2">
        <w:rPr>
          <w:rFonts w:ascii="Times New Roman" w:eastAsia="Times New Roman" w:hAnsi="Times New Roman" w:cs="Times New Roman"/>
        </w:rPr>
        <w:t>mikrovaszkuláris endothelsejtek apoptózisát, és mérsékelte a pulmon</w:t>
      </w:r>
      <w:r w:rsidR="008E004B">
        <w:rPr>
          <w:rFonts w:ascii="Times New Roman" w:eastAsia="Times New Roman" w:hAnsi="Times New Roman" w:cs="Times New Roman"/>
        </w:rPr>
        <w:t>á</w:t>
      </w:r>
      <w:r w:rsidRPr="009044C2">
        <w:rPr>
          <w:rFonts w:ascii="Times New Roman" w:eastAsia="Times New Roman" w:hAnsi="Times New Roman" w:cs="Times New Roman"/>
        </w:rPr>
        <w:t>lis vaszkuláris átépülést azáltal,</w:t>
      </w:r>
      <w:r w:rsidR="00246132">
        <w:rPr>
          <w:rFonts w:ascii="Times New Roman" w:eastAsia="Times New Roman" w:hAnsi="Times New Roman" w:cs="Times New Roman"/>
        </w:rPr>
        <w:t xml:space="preserve"> </w:t>
      </w:r>
      <w:r w:rsidRPr="009044C2">
        <w:rPr>
          <w:rFonts w:ascii="Times New Roman" w:eastAsia="Times New Roman" w:hAnsi="Times New Roman" w:cs="Times New Roman"/>
        </w:rPr>
        <w:t>hogy csökkentette az érfal simaizomsejtjeinek proliferációját, a tüdőerek falának vastagságát és az</w:t>
      </w:r>
      <w:r w:rsidR="00246132">
        <w:rPr>
          <w:rFonts w:ascii="Times New Roman" w:eastAsia="Times New Roman" w:hAnsi="Times New Roman" w:cs="Times New Roman"/>
        </w:rPr>
        <w:t xml:space="preserve"> </w:t>
      </w:r>
      <w:r w:rsidRPr="009044C2">
        <w:rPr>
          <w:rFonts w:ascii="Times New Roman" w:eastAsia="Times New Roman" w:hAnsi="Times New Roman" w:cs="Times New Roman"/>
        </w:rPr>
        <w:t>elzáródott tüdőerek százalékos arányát.</w:t>
      </w:r>
    </w:p>
    <w:p w14:paraId="7F50F80B" w14:textId="77777777" w:rsidR="009044C2" w:rsidRDefault="009044C2" w:rsidP="009044C2">
      <w:pPr>
        <w:rPr>
          <w:rFonts w:ascii="Times New Roman" w:eastAsia="Times New Roman" w:hAnsi="Times New Roman" w:cs="Times New Roman"/>
        </w:rPr>
      </w:pPr>
    </w:p>
    <w:p w14:paraId="67CCC1FE" w14:textId="47E38ACF" w:rsidR="009044C2" w:rsidRPr="009044C2" w:rsidRDefault="009044C2" w:rsidP="009044C2">
      <w:pPr>
        <w:rPr>
          <w:rFonts w:ascii="Times New Roman" w:eastAsia="Times New Roman" w:hAnsi="Times New Roman" w:cs="Times New Roman"/>
          <w:u w:val="single"/>
        </w:rPr>
      </w:pPr>
      <w:r w:rsidRPr="009044C2">
        <w:rPr>
          <w:rFonts w:ascii="Times New Roman" w:eastAsia="Times New Roman" w:hAnsi="Times New Roman" w:cs="Times New Roman"/>
          <w:u w:val="single"/>
        </w:rPr>
        <w:t>Klinikai hatásosság és biztonságosság</w:t>
      </w:r>
    </w:p>
    <w:p w14:paraId="61A71CFE" w14:textId="77777777" w:rsidR="009044C2" w:rsidRDefault="009044C2" w:rsidP="009044C2">
      <w:pPr>
        <w:rPr>
          <w:rFonts w:ascii="Times New Roman" w:eastAsia="Times New Roman" w:hAnsi="Times New Roman" w:cs="Times New Roman"/>
        </w:rPr>
      </w:pPr>
    </w:p>
    <w:p w14:paraId="353B2875" w14:textId="6048BDD2" w:rsidR="009044C2" w:rsidRPr="009044C2" w:rsidRDefault="009044C2" w:rsidP="009044C2">
      <w:pPr>
        <w:rPr>
          <w:rFonts w:ascii="Times New Roman" w:eastAsia="Times New Roman" w:hAnsi="Times New Roman" w:cs="Times New Roman"/>
          <w:i/>
          <w:iCs/>
        </w:rPr>
      </w:pPr>
      <w:r w:rsidRPr="009044C2">
        <w:rPr>
          <w:rFonts w:ascii="Times New Roman" w:eastAsia="Times New Roman" w:hAnsi="Times New Roman" w:cs="Times New Roman"/>
          <w:i/>
          <w:iCs/>
        </w:rPr>
        <w:t>Idiopathiás pulmonalis fibrózis (IPF)</w:t>
      </w:r>
    </w:p>
    <w:p w14:paraId="1CB94C91" w14:textId="2F1FB554" w:rsidR="009044C2" w:rsidRDefault="009044C2" w:rsidP="009044C2">
      <w:pPr>
        <w:rPr>
          <w:rFonts w:ascii="Times New Roman" w:eastAsia="Times New Roman" w:hAnsi="Times New Roman" w:cs="Times New Roman"/>
        </w:rPr>
      </w:pPr>
      <w:r w:rsidRPr="009044C2">
        <w:rPr>
          <w:rFonts w:ascii="Times New Roman" w:eastAsia="Times New Roman" w:hAnsi="Times New Roman" w:cs="Times New Roman"/>
        </w:rPr>
        <w:t>A nintedanib klinikai hatásosságát IPF-ben szenvedő betegek bevonásával vizsgálták két, azonos</w:t>
      </w:r>
      <w:r w:rsidR="001007A2">
        <w:rPr>
          <w:rFonts w:ascii="Times New Roman" w:eastAsia="Times New Roman" w:hAnsi="Times New Roman" w:cs="Times New Roman"/>
        </w:rPr>
        <w:t xml:space="preserve"> </w:t>
      </w:r>
      <w:r w:rsidRPr="009044C2">
        <w:rPr>
          <w:rFonts w:ascii="Times New Roman" w:eastAsia="Times New Roman" w:hAnsi="Times New Roman" w:cs="Times New Roman"/>
        </w:rPr>
        <w:t>felépítésű, III. fázisú, randomizált, kettősvak, placebokontrollos vizsgálat (INPULSIS-1 [1199.32] és</w:t>
      </w:r>
      <w:r w:rsidR="001007A2">
        <w:rPr>
          <w:rFonts w:ascii="Times New Roman" w:eastAsia="Times New Roman" w:hAnsi="Times New Roman" w:cs="Times New Roman"/>
        </w:rPr>
        <w:t xml:space="preserve"> </w:t>
      </w:r>
      <w:r w:rsidRPr="009044C2">
        <w:rPr>
          <w:rFonts w:ascii="Times New Roman" w:eastAsia="Times New Roman" w:hAnsi="Times New Roman" w:cs="Times New Roman"/>
        </w:rPr>
        <w:t>INPULSIS-2 [1199.34]) keretében. Azokat a betegeket, akiknél a kiindulási erőltetett vitálkapacitás</w:t>
      </w:r>
      <w:r w:rsidR="001007A2">
        <w:rPr>
          <w:rFonts w:ascii="Times New Roman" w:eastAsia="Times New Roman" w:hAnsi="Times New Roman" w:cs="Times New Roman"/>
        </w:rPr>
        <w:t xml:space="preserve"> </w:t>
      </w:r>
      <w:r w:rsidRPr="009044C2">
        <w:rPr>
          <w:rFonts w:ascii="Times New Roman" w:eastAsia="Times New Roman" w:hAnsi="Times New Roman" w:cs="Times New Roman"/>
        </w:rPr>
        <w:t>(Forced Vital Capacity, FVC) értéke a várt érték 50%-a alatt volt, vagy a kiindulási szén-monoxid</w:t>
      </w:r>
      <w:r w:rsidR="001007A2">
        <w:rPr>
          <w:rFonts w:ascii="Times New Roman" w:eastAsia="Times New Roman" w:hAnsi="Times New Roman" w:cs="Times New Roman"/>
        </w:rPr>
        <w:t xml:space="preserve"> </w:t>
      </w:r>
      <w:r w:rsidRPr="009044C2">
        <w:rPr>
          <w:rFonts w:ascii="Times New Roman" w:eastAsia="Times New Roman" w:hAnsi="Times New Roman" w:cs="Times New Roman"/>
        </w:rPr>
        <w:t>diffúziós kapacitás (hemoglobinszintre korrigált DLCO) a várt érték 30%-a alatt volt, kizárták a</w:t>
      </w:r>
      <w:r w:rsidR="001007A2">
        <w:rPr>
          <w:rFonts w:ascii="Times New Roman" w:eastAsia="Times New Roman" w:hAnsi="Times New Roman" w:cs="Times New Roman"/>
        </w:rPr>
        <w:t xml:space="preserve"> </w:t>
      </w:r>
      <w:r w:rsidRPr="009044C2">
        <w:rPr>
          <w:rFonts w:ascii="Times New Roman" w:eastAsia="Times New Roman" w:hAnsi="Times New Roman" w:cs="Times New Roman"/>
        </w:rPr>
        <w:t>vizsgálatokból. A betegeket 3:2 arányban randomizálták a</w:t>
      </w:r>
      <w:r>
        <w:rPr>
          <w:rFonts w:ascii="Times New Roman" w:eastAsia="Times New Roman" w:hAnsi="Times New Roman" w:cs="Times New Roman"/>
        </w:rPr>
        <w:t xml:space="preserve"> nintedanib</w:t>
      </w:r>
      <w:r w:rsidRPr="009044C2">
        <w:rPr>
          <w:rFonts w:ascii="Times New Roman" w:eastAsia="Times New Roman" w:hAnsi="Times New Roman" w:cs="Times New Roman"/>
        </w:rPr>
        <w:t xml:space="preserve"> 150</w:t>
      </w:r>
      <w:r w:rsidR="00E8062E">
        <w:rPr>
          <w:rFonts w:ascii="Times New Roman" w:eastAsia="Times New Roman" w:hAnsi="Times New Roman" w:cs="Times New Roman"/>
        </w:rPr>
        <w:t> </w:t>
      </w:r>
      <w:r w:rsidRPr="009044C2">
        <w:rPr>
          <w:rFonts w:ascii="Times New Roman" w:eastAsia="Times New Roman" w:hAnsi="Times New Roman" w:cs="Times New Roman"/>
        </w:rPr>
        <w:t>mg vagy placebo napi kétszeri</w:t>
      </w:r>
      <w:r>
        <w:rPr>
          <w:rFonts w:ascii="Times New Roman" w:eastAsia="Times New Roman" w:hAnsi="Times New Roman" w:cs="Times New Roman"/>
        </w:rPr>
        <w:t xml:space="preserve"> </w:t>
      </w:r>
      <w:r w:rsidRPr="009044C2">
        <w:rPr>
          <w:rFonts w:ascii="Times New Roman" w:eastAsia="Times New Roman" w:hAnsi="Times New Roman" w:cs="Times New Roman"/>
        </w:rPr>
        <w:t>adagolásával, 52</w:t>
      </w:r>
      <w:r w:rsidR="002F39AE">
        <w:rPr>
          <w:rFonts w:ascii="Times New Roman" w:eastAsia="Times New Roman" w:hAnsi="Times New Roman" w:cs="Times New Roman"/>
        </w:rPr>
        <w:t> </w:t>
      </w:r>
      <w:r w:rsidRPr="009044C2">
        <w:rPr>
          <w:rFonts w:ascii="Times New Roman" w:eastAsia="Times New Roman" w:hAnsi="Times New Roman" w:cs="Times New Roman"/>
        </w:rPr>
        <w:t>héten át végzett kezelésre.</w:t>
      </w:r>
    </w:p>
    <w:p w14:paraId="00490D5E" w14:textId="77777777" w:rsidR="009044C2" w:rsidRPr="009044C2" w:rsidRDefault="009044C2" w:rsidP="009044C2">
      <w:pPr>
        <w:rPr>
          <w:rFonts w:ascii="Times New Roman" w:eastAsia="Times New Roman" w:hAnsi="Times New Roman" w:cs="Times New Roman"/>
        </w:rPr>
      </w:pPr>
    </w:p>
    <w:p w14:paraId="4F67CBBA" w14:textId="6E7C15B4" w:rsidR="009044C2" w:rsidRPr="009044C2" w:rsidRDefault="009044C2" w:rsidP="009044C2">
      <w:pPr>
        <w:rPr>
          <w:rFonts w:ascii="Times New Roman" w:eastAsia="Times New Roman" w:hAnsi="Times New Roman" w:cs="Times New Roman"/>
        </w:rPr>
      </w:pPr>
      <w:r w:rsidRPr="009044C2">
        <w:rPr>
          <w:rFonts w:ascii="Times New Roman" w:eastAsia="Times New Roman" w:hAnsi="Times New Roman" w:cs="Times New Roman"/>
        </w:rPr>
        <w:t>Az elsődleges végpont az erőltetett vitálkapacitás csökkenésének éves üteme volt. A fő másodlagos</w:t>
      </w:r>
      <w:r w:rsidR="001007A2">
        <w:rPr>
          <w:rFonts w:ascii="Times New Roman" w:eastAsia="Times New Roman" w:hAnsi="Times New Roman" w:cs="Times New Roman"/>
        </w:rPr>
        <w:t xml:space="preserve"> </w:t>
      </w:r>
      <w:r w:rsidRPr="009044C2">
        <w:rPr>
          <w:rFonts w:ascii="Times New Roman" w:eastAsia="Times New Roman" w:hAnsi="Times New Roman" w:cs="Times New Roman"/>
        </w:rPr>
        <w:t>végpontok a légzőszervi tüneteket felmérő kérdőív, a Saint George's Respiratory Questionnaire</w:t>
      </w:r>
      <w:r w:rsidR="001007A2">
        <w:rPr>
          <w:rFonts w:ascii="Times New Roman" w:eastAsia="Times New Roman" w:hAnsi="Times New Roman" w:cs="Times New Roman"/>
        </w:rPr>
        <w:t xml:space="preserve"> </w:t>
      </w:r>
      <w:r w:rsidRPr="009044C2">
        <w:rPr>
          <w:rFonts w:ascii="Times New Roman" w:eastAsia="Times New Roman" w:hAnsi="Times New Roman" w:cs="Times New Roman"/>
        </w:rPr>
        <w:t>(SGRQ) összpontszámában a kiindulási értékhez képest az 52.</w:t>
      </w:r>
      <w:r w:rsidR="00E201B4">
        <w:rPr>
          <w:rFonts w:ascii="Times New Roman" w:eastAsia="Times New Roman" w:hAnsi="Times New Roman" w:cs="Times New Roman"/>
        </w:rPr>
        <w:t> </w:t>
      </w:r>
      <w:r w:rsidRPr="009044C2">
        <w:rPr>
          <w:rFonts w:ascii="Times New Roman" w:eastAsia="Times New Roman" w:hAnsi="Times New Roman" w:cs="Times New Roman"/>
        </w:rPr>
        <w:t>hétre bekövetkező változás és az első</w:t>
      </w:r>
      <w:r w:rsidR="001007A2">
        <w:rPr>
          <w:rFonts w:ascii="Times New Roman" w:eastAsia="Times New Roman" w:hAnsi="Times New Roman" w:cs="Times New Roman"/>
        </w:rPr>
        <w:t xml:space="preserve"> </w:t>
      </w:r>
      <w:r w:rsidRPr="009044C2">
        <w:rPr>
          <w:rFonts w:ascii="Times New Roman" w:eastAsia="Times New Roman" w:hAnsi="Times New Roman" w:cs="Times New Roman"/>
        </w:rPr>
        <w:t>akut IPF exacerbációig eltelt idő volt.</w:t>
      </w:r>
    </w:p>
    <w:p w14:paraId="55B10875" w14:textId="77777777" w:rsidR="009044C2" w:rsidRDefault="009044C2" w:rsidP="009044C2">
      <w:pPr>
        <w:rPr>
          <w:rFonts w:ascii="Times New Roman" w:eastAsia="Times New Roman" w:hAnsi="Times New Roman" w:cs="Times New Roman"/>
        </w:rPr>
      </w:pPr>
    </w:p>
    <w:p w14:paraId="5BFF77E2" w14:textId="5A2B999D" w:rsidR="009044C2" w:rsidRPr="009044C2" w:rsidRDefault="009044C2" w:rsidP="009044C2">
      <w:pPr>
        <w:rPr>
          <w:rFonts w:ascii="Times New Roman" w:eastAsia="Times New Roman" w:hAnsi="Times New Roman" w:cs="Times New Roman"/>
          <w:u w:val="single"/>
        </w:rPr>
      </w:pPr>
      <w:r w:rsidRPr="009044C2">
        <w:rPr>
          <w:rFonts w:ascii="Times New Roman" w:eastAsia="Times New Roman" w:hAnsi="Times New Roman" w:cs="Times New Roman"/>
          <w:u w:val="single"/>
        </w:rPr>
        <w:t>Az FVC csökkenés éves üteme</w:t>
      </w:r>
    </w:p>
    <w:p w14:paraId="1A172198" w14:textId="23A25990" w:rsidR="009044C2" w:rsidRDefault="009044C2" w:rsidP="009044C2">
      <w:pPr>
        <w:rPr>
          <w:rFonts w:ascii="Times New Roman" w:eastAsia="Times New Roman" w:hAnsi="Times New Roman" w:cs="Times New Roman"/>
        </w:rPr>
      </w:pPr>
      <w:r w:rsidRPr="009044C2">
        <w:rPr>
          <w:rFonts w:ascii="Times New Roman" w:eastAsia="Times New Roman" w:hAnsi="Times New Roman" w:cs="Times New Roman"/>
        </w:rPr>
        <w:t>Az FVC csökkenésének éves üteme (ml-ben) szignifikánsan alacsonyabb volt a nintedanib-kezelésben</w:t>
      </w:r>
      <w:r w:rsidR="00E42090">
        <w:rPr>
          <w:rFonts w:ascii="Times New Roman" w:eastAsia="Times New Roman" w:hAnsi="Times New Roman" w:cs="Times New Roman"/>
        </w:rPr>
        <w:t xml:space="preserve"> </w:t>
      </w:r>
      <w:r w:rsidRPr="009044C2">
        <w:rPr>
          <w:rFonts w:ascii="Times New Roman" w:eastAsia="Times New Roman" w:hAnsi="Times New Roman" w:cs="Times New Roman"/>
        </w:rPr>
        <w:t>részesülő betegek esetében, mint a placebót kapó betegeknél. A kezelés hatása mindkét vizsgálatban</w:t>
      </w:r>
      <w:r w:rsidR="00E42090">
        <w:rPr>
          <w:rFonts w:ascii="Times New Roman" w:eastAsia="Times New Roman" w:hAnsi="Times New Roman" w:cs="Times New Roman"/>
        </w:rPr>
        <w:t xml:space="preserve"> </w:t>
      </w:r>
      <w:r w:rsidRPr="009044C2">
        <w:rPr>
          <w:rFonts w:ascii="Times New Roman" w:eastAsia="Times New Roman" w:hAnsi="Times New Roman" w:cs="Times New Roman"/>
        </w:rPr>
        <w:t>következetesen érvényesült. Az egyes vizsgálatokban kapott és az összesített vizsgálati eredményeket</w:t>
      </w:r>
      <w:r w:rsidR="00E42090">
        <w:rPr>
          <w:rFonts w:ascii="Times New Roman" w:eastAsia="Times New Roman" w:hAnsi="Times New Roman" w:cs="Times New Roman"/>
        </w:rPr>
        <w:t xml:space="preserve"> </w:t>
      </w:r>
      <w:r w:rsidRPr="009044C2">
        <w:rPr>
          <w:rFonts w:ascii="Times New Roman" w:eastAsia="Times New Roman" w:hAnsi="Times New Roman" w:cs="Times New Roman"/>
        </w:rPr>
        <w:t xml:space="preserve">illetően lásd a </w:t>
      </w:r>
      <w:r w:rsidR="00B07435">
        <w:rPr>
          <w:rFonts w:ascii="Times New Roman" w:eastAsia="Times New Roman" w:hAnsi="Times New Roman" w:cs="Times New Roman"/>
        </w:rPr>
        <w:t>4</w:t>
      </w:r>
      <w:r w:rsidRPr="009044C2">
        <w:rPr>
          <w:rFonts w:ascii="Times New Roman" w:eastAsia="Times New Roman" w:hAnsi="Times New Roman" w:cs="Times New Roman"/>
        </w:rPr>
        <w:t>.</w:t>
      </w:r>
      <w:r w:rsidR="00D1683C">
        <w:rPr>
          <w:rFonts w:ascii="Times New Roman" w:eastAsia="Times New Roman" w:hAnsi="Times New Roman" w:cs="Times New Roman"/>
        </w:rPr>
        <w:t> </w:t>
      </w:r>
      <w:r w:rsidRPr="009044C2">
        <w:rPr>
          <w:rFonts w:ascii="Times New Roman" w:eastAsia="Times New Roman" w:hAnsi="Times New Roman" w:cs="Times New Roman"/>
        </w:rPr>
        <w:t>táblázatot.</w:t>
      </w:r>
    </w:p>
    <w:p w14:paraId="1D2F79E7" w14:textId="77777777" w:rsidR="009044C2" w:rsidRDefault="009044C2" w:rsidP="009044C2">
      <w:pPr>
        <w:rPr>
          <w:rFonts w:ascii="Times New Roman" w:eastAsia="Times New Roman" w:hAnsi="Times New Roman" w:cs="Times New Roman"/>
        </w:rPr>
      </w:pPr>
    </w:p>
    <w:p w14:paraId="3F57BD94" w14:textId="2652A0E9" w:rsidR="009044C2" w:rsidRPr="009044C2" w:rsidRDefault="00B07435" w:rsidP="009044C2">
      <w:pPr>
        <w:rPr>
          <w:rFonts w:ascii="Times New Roman" w:eastAsia="Times New Roman" w:hAnsi="Times New Roman" w:cs="Times New Roman"/>
          <w:b/>
          <w:bCs/>
        </w:rPr>
      </w:pPr>
      <w:r>
        <w:rPr>
          <w:rFonts w:ascii="Times New Roman" w:eastAsia="Times New Roman" w:hAnsi="Times New Roman" w:cs="Times New Roman"/>
          <w:b/>
          <w:bCs/>
        </w:rPr>
        <w:t>4</w:t>
      </w:r>
      <w:r w:rsidR="009044C2" w:rsidRPr="009044C2">
        <w:rPr>
          <w:rFonts w:ascii="Times New Roman" w:eastAsia="Times New Roman" w:hAnsi="Times New Roman" w:cs="Times New Roman"/>
          <w:b/>
          <w:bCs/>
        </w:rPr>
        <w:t>. táblázat: Az FVC éves csökkenési üteme (ml) az INPULSIS-1 és INPULSIS</w:t>
      </w:r>
      <w:r w:rsidR="00D1683C">
        <w:rPr>
          <w:rFonts w:ascii="Times New Roman" w:eastAsia="Times New Roman" w:hAnsi="Times New Roman" w:cs="Times New Roman"/>
          <w:b/>
          <w:bCs/>
        </w:rPr>
        <w:t>-</w:t>
      </w:r>
      <w:r w:rsidR="009044C2" w:rsidRPr="009044C2">
        <w:rPr>
          <w:rFonts w:ascii="Times New Roman" w:eastAsia="Times New Roman" w:hAnsi="Times New Roman" w:cs="Times New Roman"/>
          <w:b/>
          <w:bCs/>
        </w:rPr>
        <w:t>2 vizsgálatokban, valamint a vizsgálatok összesített adatai - kezelt betegek</w:t>
      </w:r>
    </w:p>
    <w:tbl>
      <w:tblPr>
        <w:tblStyle w:val="Rcsostblzat"/>
        <w:tblW w:w="9064" w:type="dxa"/>
        <w:tblLayout w:type="fixed"/>
        <w:tblLook w:val="04A0" w:firstRow="1" w:lastRow="0" w:firstColumn="1" w:lastColumn="0" w:noHBand="0" w:noVBand="1"/>
      </w:tblPr>
      <w:tblGrid>
        <w:gridCol w:w="1837"/>
        <w:gridCol w:w="993"/>
        <w:gridCol w:w="1416"/>
        <w:gridCol w:w="994"/>
        <w:gridCol w:w="1416"/>
        <w:gridCol w:w="994"/>
        <w:gridCol w:w="1414"/>
      </w:tblGrid>
      <w:tr w:rsidR="009044C2" w:rsidRPr="009044C2" w14:paraId="4BEA9787" w14:textId="77777777" w:rsidTr="00E0772D">
        <w:tc>
          <w:tcPr>
            <w:tcW w:w="1837" w:type="dxa"/>
          </w:tcPr>
          <w:p w14:paraId="29919030" w14:textId="77777777" w:rsidR="009044C2" w:rsidRPr="009044C2" w:rsidRDefault="009044C2" w:rsidP="00E42090">
            <w:pPr>
              <w:jc w:val="center"/>
              <w:rPr>
                <w:rFonts w:ascii="Times New Roman" w:eastAsia="Times New Roman" w:hAnsi="Times New Roman" w:cs="Times New Roman"/>
              </w:rPr>
            </w:pPr>
          </w:p>
        </w:tc>
        <w:tc>
          <w:tcPr>
            <w:tcW w:w="2409" w:type="dxa"/>
            <w:gridSpan w:val="2"/>
            <w:vAlign w:val="center"/>
          </w:tcPr>
          <w:p w14:paraId="505541F3" w14:textId="77777777" w:rsidR="009044C2" w:rsidRPr="009044C2" w:rsidRDefault="009044C2" w:rsidP="00E42090">
            <w:pPr>
              <w:jc w:val="center"/>
              <w:rPr>
                <w:rFonts w:ascii="Times New Roman" w:eastAsia="Times New Roman" w:hAnsi="Times New Roman" w:cs="Times New Roman"/>
              </w:rPr>
            </w:pPr>
            <w:r w:rsidRPr="009044C2">
              <w:rPr>
                <w:rFonts w:ascii="Times New Roman" w:eastAsia="Times New Roman" w:hAnsi="Times New Roman" w:cs="Times New Roman"/>
              </w:rPr>
              <w:t>INPULSIS-1</w:t>
            </w:r>
          </w:p>
        </w:tc>
        <w:tc>
          <w:tcPr>
            <w:tcW w:w="2410" w:type="dxa"/>
            <w:gridSpan w:val="2"/>
            <w:vAlign w:val="center"/>
          </w:tcPr>
          <w:p w14:paraId="71CFF02D" w14:textId="77777777" w:rsidR="009044C2" w:rsidRPr="009044C2" w:rsidRDefault="009044C2" w:rsidP="00E42090">
            <w:pPr>
              <w:jc w:val="center"/>
              <w:rPr>
                <w:rFonts w:ascii="Times New Roman" w:eastAsia="Times New Roman" w:hAnsi="Times New Roman" w:cs="Times New Roman"/>
              </w:rPr>
            </w:pPr>
            <w:r w:rsidRPr="009044C2">
              <w:rPr>
                <w:rFonts w:ascii="Times New Roman" w:eastAsia="Times New Roman" w:hAnsi="Times New Roman" w:cs="Times New Roman"/>
              </w:rPr>
              <w:t>INPULSIS-2</w:t>
            </w:r>
          </w:p>
        </w:tc>
        <w:tc>
          <w:tcPr>
            <w:tcW w:w="2408" w:type="dxa"/>
            <w:gridSpan w:val="2"/>
            <w:vAlign w:val="center"/>
          </w:tcPr>
          <w:p w14:paraId="513DD393" w14:textId="4E98A0FE" w:rsidR="009044C2" w:rsidRPr="009044C2" w:rsidRDefault="009044C2" w:rsidP="00E42090">
            <w:pPr>
              <w:jc w:val="center"/>
              <w:rPr>
                <w:rFonts w:ascii="Times New Roman" w:eastAsia="Times New Roman" w:hAnsi="Times New Roman" w:cs="Times New Roman"/>
              </w:rPr>
            </w:pPr>
            <w:r w:rsidRPr="009044C2">
              <w:rPr>
                <w:rFonts w:ascii="Times New Roman" w:eastAsia="Times New Roman" w:hAnsi="Times New Roman" w:cs="Times New Roman"/>
              </w:rPr>
              <w:t xml:space="preserve">INPULSIS-1 </w:t>
            </w:r>
            <w:r>
              <w:rPr>
                <w:rFonts w:ascii="Times New Roman" w:eastAsia="Times New Roman" w:hAnsi="Times New Roman" w:cs="Times New Roman"/>
              </w:rPr>
              <w:t>és</w:t>
            </w:r>
            <w:r w:rsidRPr="009044C2">
              <w:rPr>
                <w:rFonts w:ascii="Times New Roman" w:eastAsia="Times New Roman" w:hAnsi="Times New Roman" w:cs="Times New Roman"/>
              </w:rPr>
              <w:t xml:space="preserve"> INPULSIS-2 </w:t>
            </w:r>
            <w:r>
              <w:rPr>
                <w:rFonts w:ascii="Times New Roman" w:eastAsia="Times New Roman" w:hAnsi="Times New Roman" w:cs="Times New Roman"/>
              </w:rPr>
              <w:t>összesített</w:t>
            </w:r>
          </w:p>
        </w:tc>
      </w:tr>
      <w:tr w:rsidR="009044C2" w:rsidRPr="009044C2" w14:paraId="4BF62874" w14:textId="77777777" w:rsidTr="00E0772D">
        <w:tc>
          <w:tcPr>
            <w:tcW w:w="1837" w:type="dxa"/>
          </w:tcPr>
          <w:p w14:paraId="01C3E9D1" w14:textId="77777777" w:rsidR="009044C2" w:rsidRPr="009044C2" w:rsidRDefault="009044C2" w:rsidP="009044C2">
            <w:pPr>
              <w:rPr>
                <w:rFonts w:ascii="Times New Roman" w:eastAsia="Times New Roman" w:hAnsi="Times New Roman" w:cs="Times New Roman"/>
              </w:rPr>
            </w:pPr>
          </w:p>
        </w:tc>
        <w:tc>
          <w:tcPr>
            <w:tcW w:w="993" w:type="dxa"/>
            <w:vAlign w:val="center"/>
          </w:tcPr>
          <w:p w14:paraId="53EDAD3F" w14:textId="77777777" w:rsidR="009044C2" w:rsidRPr="009044C2" w:rsidRDefault="009044C2" w:rsidP="009044C2">
            <w:pPr>
              <w:rPr>
                <w:rFonts w:ascii="Times New Roman" w:eastAsia="Times New Roman" w:hAnsi="Times New Roman" w:cs="Times New Roman"/>
              </w:rPr>
            </w:pPr>
            <w:r w:rsidRPr="009044C2">
              <w:rPr>
                <w:rFonts w:ascii="Times New Roman" w:eastAsia="Times New Roman" w:hAnsi="Times New Roman" w:cs="Times New Roman"/>
              </w:rPr>
              <w:t>Placebo</w:t>
            </w:r>
          </w:p>
        </w:tc>
        <w:tc>
          <w:tcPr>
            <w:tcW w:w="1416" w:type="dxa"/>
            <w:vAlign w:val="center"/>
          </w:tcPr>
          <w:p w14:paraId="601C3E2D" w14:textId="362D8F6E" w:rsidR="009044C2" w:rsidRPr="009044C2" w:rsidRDefault="00E018DF" w:rsidP="005E5DCC">
            <w:pPr>
              <w:rPr>
                <w:rFonts w:ascii="Times New Roman" w:eastAsia="Times New Roman" w:hAnsi="Times New Roman" w:cs="Times New Roman"/>
              </w:rPr>
            </w:pPr>
            <w:r>
              <w:rPr>
                <w:rFonts w:ascii="Times New Roman" w:eastAsia="Times New Roman" w:hAnsi="Times New Roman" w:cs="Times New Roman"/>
              </w:rPr>
              <w:t>n</w:t>
            </w:r>
            <w:r w:rsidR="009044C2" w:rsidRPr="009044C2">
              <w:rPr>
                <w:rFonts w:ascii="Times New Roman" w:eastAsia="Times New Roman" w:hAnsi="Times New Roman" w:cs="Times New Roman"/>
              </w:rPr>
              <w:t xml:space="preserve">intedanib 150 mg </w:t>
            </w:r>
            <w:r w:rsidR="009044C2">
              <w:rPr>
                <w:rFonts w:ascii="Times New Roman" w:eastAsia="Times New Roman" w:hAnsi="Times New Roman" w:cs="Times New Roman"/>
              </w:rPr>
              <w:t>n</w:t>
            </w:r>
            <w:r w:rsidR="009044C2" w:rsidRPr="009044C2">
              <w:rPr>
                <w:rFonts w:ascii="Times New Roman" w:eastAsia="Times New Roman" w:hAnsi="Times New Roman" w:cs="Times New Roman"/>
              </w:rPr>
              <w:t>aponta</w:t>
            </w:r>
            <w:r w:rsidR="005E5DCC">
              <w:rPr>
                <w:rFonts w:ascii="Times New Roman" w:eastAsia="Times New Roman" w:hAnsi="Times New Roman" w:cs="Times New Roman"/>
              </w:rPr>
              <w:t xml:space="preserve"> </w:t>
            </w:r>
            <w:r w:rsidR="009044C2" w:rsidRPr="009044C2">
              <w:rPr>
                <w:rFonts w:ascii="Times New Roman" w:eastAsia="Times New Roman" w:hAnsi="Times New Roman" w:cs="Times New Roman"/>
              </w:rPr>
              <w:t>kétszer</w:t>
            </w:r>
          </w:p>
        </w:tc>
        <w:tc>
          <w:tcPr>
            <w:tcW w:w="994" w:type="dxa"/>
            <w:vAlign w:val="center"/>
          </w:tcPr>
          <w:p w14:paraId="368A3198" w14:textId="77777777" w:rsidR="009044C2" w:rsidRPr="009044C2" w:rsidRDefault="009044C2" w:rsidP="009044C2">
            <w:pPr>
              <w:rPr>
                <w:rFonts w:ascii="Times New Roman" w:eastAsia="Times New Roman" w:hAnsi="Times New Roman" w:cs="Times New Roman"/>
              </w:rPr>
            </w:pPr>
            <w:r w:rsidRPr="009044C2">
              <w:rPr>
                <w:rFonts w:ascii="Times New Roman" w:eastAsia="Times New Roman" w:hAnsi="Times New Roman" w:cs="Times New Roman"/>
              </w:rPr>
              <w:t>Placebo</w:t>
            </w:r>
          </w:p>
        </w:tc>
        <w:tc>
          <w:tcPr>
            <w:tcW w:w="1416" w:type="dxa"/>
            <w:vAlign w:val="center"/>
          </w:tcPr>
          <w:p w14:paraId="6E9D679D" w14:textId="295459FB" w:rsidR="009044C2" w:rsidRPr="009044C2" w:rsidRDefault="00E018DF" w:rsidP="005E5DCC">
            <w:pPr>
              <w:rPr>
                <w:rFonts w:ascii="Times New Roman" w:eastAsia="Times New Roman" w:hAnsi="Times New Roman" w:cs="Times New Roman"/>
              </w:rPr>
            </w:pPr>
            <w:r>
              <w:rPr>
                <w:rFonts w:ascii="Times New Roman" w:eastAsia="Times New Roman" w:hAnsi="Times New Roman" w:cs="Times New Roman"/>
              </w:rPr>
              <w:t>n</w:t>
            </w:r>
            <w:r w:rsidR="009044C2" w:rsidRPr="009044C2">
              <w:rPr>
                <w:rFonts w:ascii="Times New Roman" w:eastAsia="Times New Roman" w:hAnsi="Times New Roman" w:cs="Times New Roman"/>
              </w:rPr>
              <w:t>intedanib 150 mg naponta</w:t>
            </w:r>
            <w:r w:rsidR="005E5DCC">
              <w:rPr>
                <w:rFonts w:ascii="Times New Roman" w:eastAsia="Times New Roman" w:hAnsi="Times New Roman" w:cs="Times New Roman"/>
              </w:rPr>
              <w:t xml:space="preserve"> </w:t>
            </w:r>
            <w:r w:rsidR="009044C2" w:rsidRPr="009044C2">
              <w:rPr>
                <w:rFonts w:ascii="Times New Roman" w:eastAsia="Times New Roman" w:hAnsi="Times New Roman" w:cs="Times New Roman"/>
              </w:rPr>
              <w:t xml:space="preserve">kétszer </w:t>
            </w:r>
          </w:p>
        </w:tc>
        <w:tc>
          <w:tcPr>
            <w:tcW w:w="994" w:type="dxa"/>
            <w:vAlign w:val="center"/>
          </w:tcPr>
          <w:p w14:paraId="279CD23F" w14:textId="77777777" w:rsidR="009044C2" w:rsidRPr="009044C2" w:rsidRDefault="009044C2" w:rsidP="009044C2">
            <w:pPr>
              <w:rPr>
                <w:rFonts w:ascii="Times New Roman" w:eastAsia="Times New Roman" w:hAnsi="Times New Roman" w:cs="Times New Roman"/>
              </w:rPr>
            </w:pPr>
            <w:r w:rsidRPr="009044C2">
              <w:rPr>
                <w:rFonts w:ascii="Times New Roman" w:eastAsia="Times New Roman" w:hAnsi="Times New Roman" w:cs="Times New Roman"/>
              </w:rPr>
              <w:t>Placebo</w:t>
            </w:r>
          </w:p>
        </w:tc>
        <w:tc>
          <w:tcPr>
            <w:tcW w:w="1414" w:type="dxa"/>
            <w:vAlign w:val="center"/>
          </w:tcPr>
          <w:p w14:paraId="463A770E" w14:textId="14A95128" w:rsidR="009044C2" w:rsidRPr="009044C2" w:rsidRDefault="00E018DF" w:rsidP="005E5DCC">
            <w:pPr>
              <w:rPr>
                <w:rFonts w:ascii="Times New Roman" w:eastAsia="Times New Roman" w:hAnsi="Times New Roman" w:cs="Times New Roman"/>
              </w:rPr>
            </w:pPr>
            <w:r>
              <w:rPr>
                <w:rFonts w:ascii="Times New Roman" w:eastAsia="Times New Roman" w:hAnsi="Times New Roman" w:cs="Times New Roman"/>
              </w:rPr>
              <w:t>n</w:t>
            </w:r>
            <w:r w:rsidR="009044C2" w:rsidRPr="009044C2">
              <w:rPr>
                <w:rFonts w:ascii="Times New Roman" w:eastAsia="Times New Roman" w:hAnsi="Times New Roman" w:cs="Times New Roman"/>
              </w:rPr>
              <w:t>intedanib 150 mg naponta</w:t>
            </w:r>
            <w:r w:rsidR="005E5DCC">
              <w:rPr>
                <w:rFonts w:ascii="Times New Roman" w:eastAsia="Times New Roman" w:hAnsi="Times New Roman" w:cs="Times New Roman"/>
              </w:rPr>
              <w:t xml:space="preserve"> </w:t>
            </w:r>
            <w:r w:rsidR="009044C2" w:rsidRPr="009044C2">
              <w:rPr>
                <w:rFonts w:ascii="Times New Roman" w:eastAsia="Times New Roman" w:hAnsi="Times New Roman" w:cs="Times New Roman"/>
              </w:rPr>
              <w:t xml:space="preserve">kétszer </w:t>
            </w:r>
          </w:p>
        </w:tc>
      </w:tr>
      <w:tr w:rsidR="009044C2" w:rsidRPr="009044C2" w14:paraId="2285173C" w14:textId="77777777" w:rsidTr="00E0772D">
        <w:tc>
          <w:tcPr>
            <w:tcW w:w="1837" w:type="dxa"/>
          </w:tcPr>
          <w:p w14:paraId="3D7AD836" w14:textId="5F77679B" w:rsidR="009044C2" w:rsidRPr="002E182A" w:rsidRDefault="009044C2" w:rsidP="005E5DCC">
            <w:pPr>
              <w:rPr>
                <w:rFonts w:ascii="Times New Roman" w:eastAsia="Times New Roman" w:hAnsi="Times New Roman" w:cs="Times New Roman"/>
                <w:lang w:val="de-DE"/>
              </w:rPr>
            </w:pPr>
            <w:r w:rsidRPr="002E182A">
              <w:rPr>
                <w:rFonts w:ascii="Times New Roman" w:eastAsia="Times New Roman" w:hAnsi="Times New Roman" w:cs="Times New Roman"/>
                <w:lang w:val="de-DE"/>
              </w:rPr>
              <w:t>Az elemzésbe</w:t>
            </w:r>
            <w:r w:rsidR="005E5DCC">
              <w:rPr>
                <w:rFonts w:ascii="Times New Roman" w:eastAsia="Times New Roman" w:hAnsi="Times New Roman" w:cs="Times New Roman"/>
                <w:lang w:val="de-DE"/>
              </w:rPr>
              <w:t xml:space="preserve"> </w:t>
            </w:r>
            <w:r w:rsidRPr="002E182A">
              <w:rPr>
                <w:rFonts w:ascii="Times New Roman" w:eastAsia="Times New Roman" w:hAnsi="Times New Roman" w:cs="Times New Roman"/>
                <w:lang w:val="de-DE"/>
              </w:rPr>
              <w:t>bevont betegek</w:t>
            </w:r>
            <w:r w:rsidR="005E5DCC">
              <w:rPr>
                <w:rFonts w:ascii="Times New Roman" w:eastAsia="Times New Roman" w:hAnsi="Times New Roman" w:cs="Times New Roman"/>
                <w:lang w:val="de-DE"/>
              </w:rPr>
              <w:t xml:space="preserve"> </w:t>
            </w:r>
            <w:r w:rsidRPr="002E182A">
              <w:rPr>
                <w:rFonts w:ascii="Times New Roman" w:eastAsia="Times New Roman" w:hAnsi="Times New Roman" w:cs="Times New Roman"/>
                <w:lang w:val="de-DE"/>
              </w:rPr>
              <w:t>száma</w:t>
            </w:r>
          </w:p>
        </w:tc>
        <w:tc>
          <w:tcPr>
            <w:tcW w:w="993" w:type="dxa"/>
            <w:vAlign w:val="center"/>
          </w:tcPr>
          <w:p w14:paraId="2CC562F0" w14:textId="77777777" w:rsidR="009044C2" w:rsidRPr="009044C2" w:rsidRDefault="009044C2" w:rsidP="00011DF0">
            <w:pPr>
              <w:jc w:val="center"/>
              <w:rPr>
                <w:rFonts w:ascii="Times New Roman" w:eastAsia="Times New Roman" w:hAnsi="Times New Roman" w:cs="Times New Roman"/>
              </w:rPr>
            </w:pPr>
            <w:r w:rsidRPr="009044C2">
              <w:rPr>
                <w:rFonts w:ascii="Times New Roman" w:eastAsia="Times New Roman" w:hAnsi="Times New Roman" w:cs="Times New Roman"/>
              </w:rPr>
              <w:t>204</w:t>
            </w:r>
          </w:p>
        </w:tc>
        <w:tc>
          <w:tcPr>
            <w:tcW w:w="1416" w:type="dxa"/>
            <w:vAlign w:val="center"/>
          </w:tcPr>
          <w:p w14:paraId="2B716A6E" w14:textId="77777777" w:rsidR="009044C2" w:rsidRPr="009044C2" w:rsidRDefault="009044C2" w:rsidP="00011DF0">
            <w:pPr>
              <w:jc w:val="center"/>
              <w:rPr>
                <w:rFonts w:ascii="Times New Roman" w:eastAsia="Times New Roman" w:hAnsi="Times New Roman" w:cs="Times New Roman"/>
              </w:rPr>
            </w:pPr>
            <w:r w:rsidRPr="009044C2">
              <w:rPr>
                <w:rFonts w:ascii="Times New Roman" w:eastAsia="Times New Roman" w:hAnsi="Times New Roman" w:cs="Times New Roman"/>
              </w:rPr>
              <w:t>309</w:t>
            </w:r>
          </w:p>
        </w:tc>
        <w:tc>
          <w:tcPr>
            <w:tcW w:w="994" w:type="dxa"/>
            <w:vAlign w:val="center"/>
          </w:tcPr>
          <w:p w14:paraId="390CBE40" w14:textId="77777777" w:rsidR="009044C2" w:rsidRPr="009044C2" w:rsidRDefault="009044C2" w:rsidP="00011DF0">
            <w:pPr>
              <w:jc w:val="center"/>
              <w:rPr>
                <w:rFonts w:ascii="Times New Roman" w:eastAsia="Times New Roman" w:hAnsi="Times New Roman" w:cs="Times New Roman"/>
              </w:rPr>
            </w:pPr>
            <w:r w:rsidRPr="009044C2">
              <w:rPr>
                <w:rFonts w:ascii="Times New Roman" w:eastAsia="Times New Roman" w:hAnsi="Times New Roman" w:cs="Times New Roman"/>
              </w:rPr>
              <w:t>219</w:t>
            </w:r>
          </w:p>
        </w:tc>
        <w:tc>
          <w:tcPr>
            <w:tcW w:w="1416" w:type="dxa"/>
            <w:vAlign w:val="center"/>
          </w:tcPr>
          <w:p w14:paraId="38EB713F" w14:textId="77777777" w:rsidR="009044C2" w:rsidRPr="009044C2" w:rsidRDefault="009044C2" w:rsidP="00011DF0">
            <w:pPr>
              <w:jc w:val="center"/>
              <w:rPr>
                <w:rFonts w:ascii="Times New Roman" w:eastAsia="Times New Roman" w:hAnsi="Times New Roman" w:cs="Times New Roman"/>
              </w:rPr>
            </w:pPr>
            <w:r w:rsidRPr="009044C2">
              <w:rPr>
                <w:rFonts w:ascii="Times New Roman" w:eastAsia="Times New Roman" w:hAnsi="Times New Roman" w:cs="Times New Roman"/>
              </w:rPr>
              <w:t>329</w:t>
            </w:r>
          </w:p>
        </w:tc>
        <w:tc>
          <w:tcPr>
            <w:tcW w:w="994" w:type="dxa"/>
            <w:vAlign w:val="center"/>
          </w:tcPr>
          <w:p w14:paraId="3B64491E" w14:textId="77777777" w:rsidR="009044C2" w:rsidRPr="009044C2" w:rsidRDefault="009044C2" w:rsidP="00011DF0">
            <w:pPr>
              <w:jc w:val="center"/>
              <w:rPr>
                <w:rFonts w:ascii="Times New Roman" w:eastAsia="Times New Roman" w:hAnsi="Times New Roman" w:cs="Times New Roman"/>
              </w:rPr>
            </w:pPr>
            <w:r w:rsidRPr="009044C2">
              <w:rPr>
                <w:rFonts w:ascii="Times New Roman" w:eastAsia="Times New Roman" w:hAnsi="Times New Roman" w:cs="Times New Roman"/>
              </w:rPr>
              <w:t>423</w:t>
            </w:r>
          </w:p>
        </w:tc>
        <w:tc>
          <w:tcPr>
            <w:tcW w:w="1414" w:type="dxa"/>
            <w:vAlign w:val="center"/>
          </w:tcPr>
          <w:p w14:paraId="1155C577" w14:textId="77777777" w:rsidR="009044C2" w:rsidRPr="009044C2" w:rsidRDefault="009044C2" w:rsidP="00011DF0">
            <w:pPr>
              <w:jc w:val="center"/>
              <w:rPr>
                <w:rFonts w:ascii="Times New Roman" w:eastAsia="Times New Roman" w:hAnsi="Times New Roman" w:cs="Times New Roman"/>
              </w:rPr>
            </w:pPr>
            <w:r w:rsidRPr="009044C2">
              <w:rPr>
                <w:rFonts w:ascii="Times New Roman" w:eastAsia="Times New Roman" w:hAnsi="Times New Roman" w:cs="Times New Roman"/>
              </w:rPr>
              <w:t>638</w:t>
            </w:r>
          </w:p>
        </w:tc>
      </w:tr>
      <w:tr w:rsidR="009044C2" w:rsidRPr="009044C2" w14:paraId="286407EE" w14:textId="77777777" w:rsidTr="00E0772D">
        <w:tc>
          <w:tcPr>
            <w:tcW w:w="1837" w:type="dxa"/>
          </w:tcPr>
          <w:p w14:paraId="66D92AB1" w14:textId="798A0B9E" w:rsidR="009044C2" w:rsidRPr="009044C2" w:rsidRDefault="000F4EA9" w:rsidP="005E5DCC">
            <w:pPr>
              <w:rPr>
                <w:rFonts w:ascii="Times New Roman" w:eastAsia="Times New Roman" w:hAnsi="Times New Roman" w:cs="Times New Roman"/>
              </w:rPr>
            </w:pPr>
            <w:r w:rsidRPr="000F4EA9">
              <w:rPr>
                <w:rFonts w:ascii="Times New Roman" w:eastAsia="Times New Roman" w:hAnsi="Times New Roman" w:cs="Times New Roman"/>
              </w:rPr>
              <w:lastRenderedPageBreak/>
              <w:t>Az 52 hét</w:t>
            </w:r>
            <w:r w:rsidR="005E5DCC">
              <w:rPr>
                <w:rFonts w:ascii="Times New Roman" w:eastAsia="Times New Roman" w:hAnsi="Times New Roman" w:cs="Times New Roman"/>
              </w:rPr>
              <w:t xml:space="preserve"> </w:t>
            </w:r>
            <w:r w:rsidRPr="000F4EA9">
              <w:rPr>
                <w:rFonts w:ascii="Times New Roman" w:eastAsia="Times New Roman" w:hAnsi="Times New Roman" w:cs="Times New Roman"/>
              </w:rPr>
              <w:t>során tapasztalt</w:t>
            </w:r>
            <w:r w:rsidR="005E5DCC">
              <w:rPr>
                <w:rFonts w:ascii="Times New Roman" w:eastAsia="Times New Roman" w:hAnsi="Times New Roman" w:cs="Times New Roman"/>
              </w:rPr>
              <w:t xml:space="preserve"> </w:t>
            </w:r>
            <w:r w:rsidRPr="000F4EA9">
              <w:rPr>
                <w:rFonts w:ascii="Times New Roman" w:eastAsia="Times New Roman" w:hAnsi="Times New Roman" w:cs="Times New Roman"/>
              </w:rPr>
              <w:t>csökkenés</w:t>
            </w:r>
            <w:r w:rsidR="005E5DCC">
              <w:rPr>
                <w:rFonts w:ascii="Times New Roman" w:eastAsia="Times New Roman" w:hAnsi="Times New Roman" w:cs="Times New Roman"/>
              </w:rPr>
              <w:t xml:space="preserve"> </w:t>
            </w:r>
            <w:r w:rsidRPr="000F4EA9">
              <w:rPr>
                <w:rFonts w:ascii="Times New Roman" w:eastAsia="Times New Roman" w:hAnsi="Times New Roman" w:cs="Times New Roman"/>
              </w:rPr>
              <w:t>aránya</w:t>
            </w:r>
            <w:r w:rsidRPr="000F4EA9">
              <w:rPr>
                <w:rFonts w:ascii="Times New Roman" w:eastAsia="Times New Roman" w:hAnsi="Times New Roman" w:cs="Times New Roman"/>
                <w:vertAlign w:val="superscript"/>
              </w:rPr>
              <w:t>1</w:t>
            </w:r>
            <w:r>
              <w:rPr>
                <w:rFonts w:ascii="Times New Roman" w:eastAsia="Times New Roman" w:hAnsi="Times New Roman" w:cs="Times New Roman"/>
              </w:rPr>
              <w:t xml:space="preserve"> </w:t>
            </w:r>
            <w:r w:rsidRPr="000F4EA9">
              <w:rPr>
                <w:rFonts w:ascii="Times New Roman" w:eastAsia="Times New Roman" w:hAnsi="Times New Roman" w:cs="Times New Roman"/>
              </w:rPr>
              <w:t>(SE)</w:t>
            </w:r>
          </w:p>
        </w:tc>
        <w:tc>
          <w:tcPr>
            <w:tcW w:w="993" w:type="dxa"/>
            <w:vAlign w:val="center"/>
          </w:tcPr>
          <w:p w14:paraId="3447B699" w14:textId="75C32065" w:rsidR="009044C2" w:rsidRPr="009044C2" w:rsidRDefault="009044C2" w:rsidP="00011DF0">
            <w:pPr>
              <w:jc w:val="center"/>
              <w:rPr>
                <w:rFonts w:ascii="Times New Roman" w:eastAsia="Times New Roman" w:hAnsi="Times New Roman" w:cs="Times New Roman"/>
              </w:rPr>
            </w:pPr>
            <w:r w:rsidRPr="009044C2">
              <w:rPr>
                <w:rFonts w:ascii="Times New Roman" w:eastAsia="Times New Roman" w:hAnsi="Times New Roman" w:cs="Times New Roman"/>
              </w:rPr>
              <w:t>-239</w:t>
            </w:r>
            <w:r w:rsidR="00D1683C">
              <w:rPr>
                <w:rFonts w:ascii="Times New Roman" w:eastAsia="Times New Roman" w:hAnsi="Times New Roman" w:cs="Times New Roman"/>
              </w:rPr>
              <w:t>,</w:t>
            </w:r>
            <w:r w:rsidRPr="009044C2">
              <w:rPr>
                <w:rFonts w:ascii="Times New Roman" w:eastAsia="Times New Roman" w:hAnsi="Times New Roman" w:cs="Times New Roman"/>
              </w:rPr>
              <w:t>9 (18</w:t>
            </w:r>
            <w:r w:rsidR="00D1683C">
              <w:rPr>
                <w:rFonts w:ascii="Times New Roman" w:eastAsia="Times New Roman" w:hAnsi="Times New Roman" w:cs="Times New Roman"/>
              </w:rPr>
              <w:t>,</w:t>
            </w:r>
            <w:r w:rsidRPr="009044C2">
              <w:rPr>
                <w:rFonts w:ascii="Times New Roman" w:eastAsia="Times New Roman" w:hAnsi="Times New Roman" w:cs="Times New Roman"/>
              </w:rPr>
              <w:t>71)</w:t>
            </w:r>
          </w:p>
        </w:tc>
        <w:tc>
          <w:tcPr>
            <w:tcW w:w="1416" w:type="dxa"/>
            <w:vAlign w:val="center"/>
          </w:tcPr>
          <w:p w14:paraId="3E34CD72" w14:textId="06D47688" w:rsidR="009044C2" w:rsidRPr="009044C2" w:rsidRDefault="009044C2" w:rsidP="00011DF0">
            <w:pPr>
              <w:jc w:val="center"/>
              <w:rPr>
                <w:rFonts w:ascii="Times New Roman" w:eastAsia="Times New Roman" w:hAnsi="Times New Roman" w:cs="Times New Roman"/>
              </w:rPr>
            </w:pPr>
            <w:r w:rsidRPr="009044C2">
              <w:rPr>
                <w:rFonts w:ascii="Times New Roman" w:eastAsia="Times New Roman" w:hAnsi="Times New Roman" w:cs="Times New Roman"/>
              </w:rPr>
              <w:t>-114</w:t>
            </w:r>
            <w:r w:rsidR="00D1683C">
              <w:rPr>
                <w:rFonts w:ascii="Times New Roman" w:eastAsia="Times New Roman" w:hAnsi="Times New Roman" w:cs="Times New Roman"/>
              </w:rPr>
              <w:t>,</w:t>
            </w:r>
            <w:r w:rsidRPr="009044C2">
              <w:rPr>
                <w:rFonts w:ascii="Times New Roman" w:eastAsia="Times New Roman" w:hAnsi="Times New Roman" w:cs="Times New Roman"/>
              </w:rPr>
              <w:t>7 (15</w:t>
            </w:r>
            <w:r w:rsidR="00D1683C">
              <w:rPr>
                <w:rFonts w:ascii="Times New Roman" w:eastAsia="Times New Roman" w:hAnsi="Times New Roman" w:cs="Times New Roman"/>
              </w:rPr>
              <w:t>,</w:t>
            </w:r>
            <w:r w:rsidRPr="009044C2">
              <w:rPr>
                <w:rFonts w:ascii="Times New Roman" w:eastAsia="Times New Roman" w:hAnsi="Times New Roman" w:cs="Times New Roman"/>
              </w:rPr>
              <w:t>33)</w:t>
            </w:r>
          </w:p>
        </w:tc>
        <w:tc>
          <w:tcPr>
            <w:tcW w:w="994" w:type="dxa"/>
            <w:vAlign w:val="center"/>
          </w:tcPr>
          <w:p w14:paraId="0ABA5B4B" w14:textId="1F844C03" w:rsidR="009044C2" w:rsidRPr="009044C2" w:rsidRDefault="009044C2" w:rsidP="00011DF0">
            <w:pPr>
              <w:jc w:val="center"/>
              <w:rPr>
                <w:rFonts w:ascii="Times New Roman" w:eastAsia="Times New Roman" w:hAnsi="Times New Roman" w:cs="Times New Roman"/>
              </w:rPr>
            </w:pPr>
            <w:r w:rsidRPr="009044C2">
              <w:rPr>
                <w:rFonts w:ascii="Times New Roman" w:eastAsia="Times New Roman" w:hAnsi="Times New Roman" w:cs="Times New Roman"/>
              </w:rPr>
              <w:t>-207</w:t>
            </w:r>
            <w:r w:rsidR="00D1683C">
              <w:rPr>
                <w:rFonts w:ascii="Times New Roman" w:eastAsia="Times New Roman" w:hAnsi="Times New Roman" w:cs="Times New Roman"/>
              </w:rPr>
              <w:t>,</w:t>
            </w:r>
            <w:r w:rsidRPr="009044C2">
              <w:rPr>
                <w:rFonts w:ascii="Times New Roman" w:eastAsia="Times New Roman" w:hAnsi="Times New Roman" w:cs="Times New Roman"/>
              </w:rPr>
              <w:t>3 (19</w:t>
            </w:r>
            <w:r w:rsidR="00D1683C">
              <w:rPr>
                <w:rFonts w:ascii="Times New Roman" w:eastAsia="Times New Roman" w:hAnsi="Times New Roman" w:cs="Times New Roman"/>
              </w:rPr>
              <w:t>,</w:t>
            </w:r>
            <w:r w:rsidRPr="009044C2">
              <w:rPr>
                <w:rFonts w:ascii="Times New Roman" w:eastAsia="Times New Roman" w:hAnsi="Times New Roman" w:cs="Times New Roman"/>
              </w:rPr>
              <w:t>31)</w:t>
            </w:r>
          </w:p>
        </w:tc>
        <w:tc>
          <w:tcPr>
            <w:tcW w:w="1416" w:type="dxa"/>
            <w:vAlign w:val="center"/>
          </w:tcPr>
          <w:p w14:paraId="2A4D0DA9" w14:textId="024F5D6E" w:rsidR="009044C2" w:rsidRPr="009044C2" w:rsidRDefault="009044C2" w:rsidP="00011DF0">
            <w:pPr>
              <w:jc w:val="center"/>
              <w:rPr>
                <w:rFonts w:ascii="Times New Roman" w:eastAsia="Times New Roman" w:hAnsi="Times New Roman" w:cs="Times New Roman"/>
              </w:rPr>
            </w:pPr>
            <w:r w:rsidRPr="009044C2">
              <w:rPr>
                <w:rFonts w:ascii="Times New Roman" w:eastAsia="Times New Roman" w:hAnsi="Times New Roman" w:cs="Times New Roman"/>
              </w:rPr>
              <w:t>-113</w:t>
            </w:r>
            <w:r w:rsidR="00D1683C">
              <w:rPr>
                <w:rFonts w:ascii="Times New Roman" w:eastAsia="Times New Roman" w:hAnsi="Times New Roman" w:cs="Times New Roman"/>
              </w:rPr>
              <w:t>,</w:t>
            </w:r>
            <w:r w:rsidRPr="009044C2">
              <w:rPr>
                <w:rFonts w:ascii="Times New Roman" w:eastAsia="Times New Roman" w:hAnsi="Times New Roman" w:cs="Times New Roman"/>
              </w:rPr>
              <w:t>6 (15</w:t>
            </w:r>
            <w:r w:rsidR="00D1683C">
              <w:rPr>
                <w:rFonts w:ascii="Times New Roman" w:eastAsia="Times New Roman" w:hAnsi="Times New Roman" w:cs="Times New Roman"/>
              </w:rPr>
              <w:t>,</w:t>
            </w:r>
            <w:r w:rsidRPr="009044C2">
              <w:rPr>
                <w:rFonts w:ascii="Times New Roman" w:eastAsia="Times New Roman" w:hAnsi="Times New Roman" w:cs="Times New Roman"/>
              </w:rPr>
              <w:t>73)</w:t>
            </w:r>
          </w:p>
        </w:tc>
        <w:tc>
          <w:tcPr>
            <w:tcW w:w="994" w:type="dxa"/>
            <w:vAlign w:val="center"/>
          </w:tcPr>
          <w:p w14:paraId="6911D5D2" w14:textId="123AEE6E" w:rsidR="009044C2" w:rsidRPr="009044C2" w:rsidRDefault="009044C2" w:rsidP="00011DF0">
            <w:pPr>
              <w:jc w:val="center"/>
              <w:rPr>
                <w:rFonts w:ascii="Times New Roman" w:eastAsia="Times New Roman" w:hAnsi="Times New Roman" w:cs="Times New Roman"/>
              </w:rPr>
            </w:pPr>
            <w:r w:rsidRPr="009044C2">
              <w:rPr>
                <w:rFonts w:ascii="Times New Roman" w:eastAsia="Times New Roman" w:hAnsi="Times New Roman" w:cs="Times New Roman"/>
              </w:rPr>
              <w:t>-223</w:t>
            </w:r>
            <w:r w:rsidR="00D1683C">
              <w:rPr>
                <w:rFonts w:ascii="Times New Roman" w:eastAsia="Times New Roman" w:hAnsi="Times New Roman" w:cs="Times New Roman"/>
              </w:rPr>
              <w:t>,</w:t>
            </w:r>
            <w:r w:rsidRPr="009044C2">
              <w:rPr>
                <w:rFonts w:ascii="Times New Roman" w:eastAsia="Times New Roman" w:hAnsi="Times New Roman" w:cs="Times New Roman"/>
              </w:rPr>
              <w:t>5 (13</w:t>
            </w:r>
            <w:r w:rsidR="00D1683C">
              <w:rPr>
                <w:rFonts w:ascii="Times New Roman" w:eastAsia="Times New Roman" w:hAnsi="Times New Roman" w:cs="Times New Roman"/>
              </w:rPr>
              <w:t>,</w:t>
            </w:r>
            <w:r w:rsidRPr="009044C2">
              <w:rPr>
                <w:rFonts w:ascii="Times New Roman" w:eastAsia="Times New Roman" w:hAnsi="Times New Roman" w:cs="Times New Roman"/>
              </w:rPr>
              <w:t>45)</w:t>
            </w:r>
          </w:p>
        </w:tc>
        <w:tc>
          <w:tcPr>
            <w:tcW w:w="1414" w:type="dxa"/>
            <w:vAlign w:val="center"/>
          </w:tcPr>
          <w:p w14:paraId="6C44D9CA" w14:textId="2D171216" w:rsidR="009044C2" w:rsidRPr="009044C2" w:rsidRDefault="009044C2" w:rsidP="00011DF0">
            <w:pPr>
              <w:jc w:val="center"/>
              <w:rPr>
                <w:rFonts w:ascii="Times New Roman" w:eastAsia="Times New Roman" w:hAnsi="Times New Roman" w:cs="Times New Roman"/>
              </w:rPr>
            </w:pPr>
            <w:r w:rsidRPr="009044C2">
              <w:rPr>
                <w:rFonts w:ascii="Times New Roman" w:eastAsia="Times New Roman" w:hAnsi="Times New Roman" w:cs="Times New Roman"/>
              </w:rPr>
              <w:t>-113</w:t>
            </w:r>
            <w:r w:rsidR="00D1683C">
              <w:rPr>
                <w:rFonts w:ascii="Times New Roman" w:eastAsia="Times New Roman" w:hAnsi="Times New Roman" w:cs="Times New Roman"/>
              </w:rPr>
              <w:t>,</w:t>
            </w:r>
            <w:r w:rsidRPr="009044C2">
              <w:rPr>
                <w:rFonts w:ascii="Times New Roman" w:eastAsia="Times New Roman" w:hAnsi="Times New Roman" w:cs="Times New Roman"/>
              </w:rPr>
              <w:t>6 (10</w:t>
            </w:r>
            <w:r w:rsidR="00D1683C">
              <w:rPr>
                <w:rFonts w:ascii="Times New Roman" w:eastAsia="Times New Roman" w:hAnsi="Times New Roman" w:cs="Times New Roman"/>
              </w:rPr>
              <w:t>,</w:t>
            </w:r>
            <w:r w:rsidRPr="009044C2">
              <w:rPr>
                <w:rFonts w:ascii="Times New Roman" w:eastAsia="Times New Roman" w:hAnsi="Times New Roman" w:cs="Times New Roman"/>
              </w:rPr>
              <w:t>98)</w:t>
            </w:r>
          </w:p>
        </w:tc>
      </w:tr>
      <w:tr w:rsidR="009044C2" w:rsidRPr="009044C2" w14:paraId="7580EB9C" w14:textId="77777777" w:rsidTr="00E0772D">
        <w:tc>
          <w:tcPr>
            <w:tcW w:w="9064" w:type="dxa"/>
            <w:gridSpan w:val="7"/>
          </w:tcPr>
          <w:p w14:paraId="2090FE85" w14:textId="24666C8D" w:rsidR="009044C2" w:rsidRPr="009044C2" w:rsidRDefault="000F4EA9" w:rsidP="009044C2">
            <w:pPr>
              <w:rPr>
                <w:rFonts w:ascii="Times New Roman" w:eastAsia="Times New Roman" w:hAnsi="Times New Roman" w:cs="Times New Roman"/>
              </w:rPr>
            </w:pPr>
            <w:r w:rsidRPr="000F4EA9">
              <w:rPr>
                <w:rFonts w:ascii="Times New Roman" w:eastAsia="Times New Roman" w:hAnsi="Times New Roman" w:cs="Times New Roman"/>
              </w:rPr>
              <w:t>Összehasonlítás placebóhoz képest</w:t>
            </w:r>
          </w:p>
        </w:tc>
      </w:tr>
      <w:tr w:rsidR="009044C2" w:rsidRPr="009044C2" w14:paraId="603F9DD7" w14:textId="77777777" w:rsidTr="00E0772D">
        <w:tc>
          <w:tcPr>
            <w:tcW w:w="1837" w:type="dxa"/>
          </w:tcPr>
          <w:p w14:paraId="6DDBC1D2" w14:textId="7C5AE3D2" w:rsidR="009044C2" w:rsidRPr="009044C2" w:rsidRDefault="000F4EA9" w:rsidP="009044C2">
            <w:pPr>
              <w:rPr>
                <w:rFonts w:ascii="Times New Roman" w:eastAsia="Times New Roman" w:hAnsi="Times New Roman" w:cs="Times New Roman"/>
              </w:rPr>
            </w:pPr>
            <w:r>
              <w:rPr>
                <w:rFonts w:ascii="Times New Roman" w:eastAsia="Times New Roman" w:hAnsi="Times New Roman" w:cs="Times New Roman"/>
              </w:rPr>
              <w:t>Eltérés</w:t>
            </w:r>
            <w:r w:rsidR="009044C2" w:rsidRPr="009044C2">
              <w:rPr>
                <w:rFonts w:ascii="Times New Roman" w:eastAsia="Times New Roman" w:hAnsi="Times New Roman" w:cs="Times New Roman"/>
                <w:vertAlign w:val="superscript"/>
              </w:rPr>
              <w:t>1</w:t>
            </w:r>
          </w:p>
        </w:tc>
        <w:tc>
          <w:tcPr>
            <w:tcW w:w="993" w:type="dxa"/>
            <w:vAlign w:val="center"/>
          </w:tcPr>
          <w:p w14:paraId="22A782C3" w14:textId="77777777" w:rsidR="009044C2" w:rsidRPr="009044C2" w:rsidRDefault="009044C2" w:rsidP="009044C2">
            <w:pPr>
              <w:rPr>
                <w:rFonts w:ascii="Times New Roman" w:eastAsia="Times New Roman" w:hAnsi="Times New Roman" w:cs="Times New Roman"/>
              </w:rPr>
            </w:pPr>
          </w:p>
        </w:tc>
        <w:tc>
          <w:tcPr>
            <w:tcW w:w="1416" w:type="dxa"/>
            <w:vAlign w:val="center"/>
          </w:tcPr>
          <w:p w14:paraId="0F5034DB" w14:textId="691D9FA5" w:rsidR="009044C2" w:rsidRPr="009044C2" w:rsidRDefault="009044C2" w:rsidP="00BB6F62">
            <w:pPr>
              <w:jc w:val="center"/>
              <w:rPr>
                <w:rFonts w:ascii="Times New Roman" w:eastAsia="Times New Roman" w:hAnsi="Times New Roman" w:cs="Times New Roman"/>
              </w:rPr>
            </w:pPr>
            <w:r w:rsidRPr="009044C2">
              <w:rPr>
                <w:rFonts w:ascii="Times New Roman" w:eastAsia="Times New Roman" w:hAnsi="Times New Roman" w:cs="Times New Roman"/>
              </w:rPr>
              <w:t>125</w:t>
            </w:r>
            <w:r w:rsidR="005B4677">
              <w:rPr>
                <w:rFonts w:ascii="Times New Roman" w:eastAsia="Times New Roman" w:hAnsi="Times New Roman" w:cs="Times New Roman"/>
              </w:rPr>
              <w:t>,</w:t>
            </w:r>
            <w:r w:rsidRPr="009044C2">
              <w:rPr>
                <w:rFonts w:ascii="Times New Roman" w:eastAsia="Times New Roman" w:hAnsi="Times New Roman" w:cs="Times New Roman"/>
              </w:rPr>
              <w:t>3</w:t>
            </w:r>
          </w:p>
        </w:tc>
        <w:tc>
          <w:tcPr>
            <w:tcW w:w="994" w:type="dxa"/>
            <w:vAlign w:val="center"/>
          </w:tcPr>
          <w:p w14:paraId="13086A03" w14:textId="77777777" w:rsidR="009044C2" w:rsidRPr="009044C2" w:rsidRDefault="009044C2" w:rsidP="00BB6F62">
            <w:pPr>
              <w:jc w:val="center"/>
              <w:rPr>
                <w:rFonts w:ascii="Times New Roman" w:eastAsia="Times New Roman" w:hAnsi="Times New Roman" w:cs="Times New Roman"/>
              </w:rPr>
            </w:pPr>
          </w:p>
        </w:tc>
        <w:tc>
          <w:tcPr>
            <w:tcW w:w="1416" w:type="dxa"/>
            <w:vAlign w:val="center"/>
          </w:tcPr>
          <w:p w14:paraId="44D7AE43" w14:textId="30826BFD" w:rsidR="009044C2" w:rsidRPr="009044C2" w:rsidRDefault="009044C2" w:rsidP="00BB6F62">
            <w:pPr>
              <w:jc w:val="center"/>
              <w:rPr>
                <w:rFonts w:ascii="Times New Roman" w:eastAsia="Times New Roman" w:hAnsi="Times New Roman" w:cs="Times New Roman"/>
              </w:rPr>
            </w:pPr>
            <w:r w:rsidRPr="009044C2">
              <w:rPr>
                <w:rFonts w:ascii="Times New Roman" w:eastAsia="Times New Roman" w:hAnsi="Times New Roman" w:cs="Times New Roman"/>
              </w:rPr>
              <w:t>93</w:t>
            </w:r>
            <w:r w:rsidR="005B4677">
              <w:rPr>
                <w:rFonts w:ascii="Times New Roman" w:eastAsia="Times New Roman" w:hAnsi="Times New Roman" w:cs="Times New Roman"/>
              </w:rPr>
              <w:t>,</w:t>
            </w:r>
            <w:r w:rsidRPr="009044C2">
              <w:rPr>
                <w:rFonts w:ascii="Times New Roman" w:eastAsia="Times New Roman" w:hAnsi="Times New Roman" w:cs="Times New Roman"/>
              </w:rPr>
              <w:t>7</w:t>
            </w:r>
          </w:p>
        </w:tc>
        <w:tc>
          <w:tcPr>
            <w:tcW w:w="994" w:type="dxa"/>
            <w:vAlign w:val="center"/>
          </w:tcPr>
          <w:p w14:paraId="21450A85" w14:textId="77777777" w:rsidR="009044C2" w:rsidRPr="009044C2" w:rsidRDefault="009044C2" w:rsidP="00BB6F62">
            <w:pPr>
              <w:jc w:val="center"/>
              <w:rPr>
                <w:rFonts w:ascii="Times New Roman" w:eastAsia="Times New Roman" w:hAnsi="Times New Roman" w:cs="Times New Roman"/>
              </w:rPr>
            </w:pPr>
          </w:p>
        </w:tc>
        <w:tc>
          <w:tcPr>
            <w:tcW w:w="1414" w:type="dxa"/>
            <w:vAlign w:val="center"/>
          </w:tcPr>
          <w:p w14:paraId="70B16369" w14:textId="167583BB" w:rsidR="009044C2" w:rsidRPr="009044C2" w:rsidRDefault="009044C2" w:rsidP="00BB6F62">
            <w:pPr>
              <w:jc w:val="center"/>
              <w:rPr>
                <w:rFonts w:ascii="Times New Roman" w:eastAsia="Times New Roman" w:hAnsi="Times New Roman" w:cs="Times New Roman"/>
              </w:rPr>
            </w:pPr>
            <w:r w:rsidRPr="009044C2">
              <w:rPr>
                <w:rFonts w:ascii="Times New Roman" w:eastAsia="Times New Roman" w:hAnsi="Times New Roman" w:cs="Times New Roman"/>
              </w:rPr>
              <w:t>109</w:t>
            </w:r>
            <w:r w:rsidR="005B4677">
              <w:rPr>
                <w:rFonts w:ascii="Times New Roman" w:eastAsia="Times New Roman" w:hAnsi="Times New Roman" w:cs="Times New Roman"/>
              </w:rPr>
              <w:t>,</w:t>
            </w:r>
            <w:r w:rsidRPr="009044C2">
              <w:rPr>
                <w:rFonts w:ascii="Times New Roman" w:eastAsia="Times New Roman" w:hAnsi="Times New Roman" w:cs="Times New Roman"/>
              </w:rPr>
              <w:t>9</w:t>
            </w:r>
          </w:p>
        </w:tc>
      </w:tr>
      <w:tr w:rsidR="009044C2" w:rsidRPr="009044C2" w14:paraId="06390780" w14:textId="77777777" w:rsidTr="00E0772D">
        <w:tc>
          <w:tcPr>
            <w:tcW w:w="1837" w:type="dxa"/>
          </w:tcPr>
          <w:p w14:paraId="03973420" w14:textId="06258A9E" w:rsidR="009044C2" w:rsidRPr="009044C2" w:rsidRDefault="009044C2" w:rsidP="009044C2">
            <w:pPr>
              <w:rPr>
                <w:rFonts w:ascii="Times New Roman" w:eastAsia="Times New Roman" w:hAnsi="Times New Roman" w:cs="Times New Roman"/>
              </w:rPr>
            </w:pPr>
            <w:r w:rsidRPr="009044C2">
              <w:rPr>
                <w:rFonts w:ascii="Times New Roman" w:eastAsia="Times New Roman" w:hAnsi="Times New Roman" w:cs="Times New Roman"/>
              </w:rPr>
              <w:t>95%</w:t>
            </w:r>
            <w:r w:rsidR="000F4EA9">
              <w:rPr>
                <w:rFonts w:ascii="Times New Roman" w:eastAsia="Times New Roman" w:hAnsi="Times New Roman" w:cs="Times New Roman"/>
              </w:rPr>
              <w:t>-os</w:t>
            </w:r>
            <w:r w:rsidRPr="009044C2">
              <w:rPr>
                <w:rFonts w:ascii="Times New Roman" w:eastAsia="Times New Roman" w:hAnsi="Times New Roman" w:cs="Times New Roman"/>
              </w:rPr>
              <w:t xml:space="preserve"> CI</w:t>
            </w:r>
          </w:p>
        </w:tc>
        <w:tc>
          <w:tcPr>
            <w:tcW w:w="993" w:type="dxa"/>
            <w:vAlign w:val="center"/>
          </w:tcPr>
          <w:p w14:paraId="5AB75C22" w14:textId="77777777" w:rsidR="009044C2" w:rsidRPr="009044C2" w:rsidRDefault="009044C2" w:rsidP="009044C2">
            <w:pPr>
              <w:rPr>
                <w:rFonts w:ascii="Times New Roman" w:eastAsia="Times New Roman" w:hAnsi="Times New Roman" w:cs="Times New Roman"/>
              </w:rPr>
            </w:pPr>
          </w:p>
        </w:tc>
        <w:tc>
          <w:tcPr>
            <w:tcW w:w="1416" w:type="dxa"/>
            <w:vAlign w:val="center"/>
          </w:tcPr>
          <w:p w14:paraId="47565A25" w14:textId="7C75B567" w:rsidR="009044C2" w:rsidRPr="009044C2" w:rsidRDefault="009044C2" w:rsidP="00BB6F62">
            <w:pPr>
              <w:jc w:val="center"/>
              <w:rPr>
                <w:rFonts w:ascii="Times New Roman" w:eastAsia="Times New Roman" w:hAnsi="Times New Roman" w:cs="Times New Roman"/>
              </w:rPr>
            </w:pPr>
            <w:r w:rsidRPr="009044C2">
              <w:rPr>
                <w:rFonts w:ascii="Times New Roman" w:eastAsia="Times New Roman" w:hAnsi="Times New Roman" w:cs="Times New Roman"/>
              </w:rPr>
              <w:t>(77</w:t>
            </w:r>
            <w:r w:rsidR="00E018DF">
              <w:rPr>
                <w:rFonts w:ascii="Times New Roman" w:eastAsia="Times New Roman" w:hAnsi="Times New Roman" w:cs="Times New Roman"/>
              </w:rPr>
              <w:t>,</w:t>
            </w:r>
            <w:r w:rsidRPr="009044C2">
              <w:rPr>
                <w:rFonts w:ascii="Times New Roman" w:eastAsia="Times New Roman" w:hAnsi="Times New Roman" w:cs="Times New Roman"/>
              </w:rPr>
              <w:t>7</w:t>
            </w:r>
            <w:r w:rsidR="00E018DF">
              <w:rPr>
                <w:rFonts w:ascii="Times New Roman" w:eastAsia="Times New Roman" w:hAnsi="Times New Roman" w:cs="Times New Roman"/>
              </w:rPr>
              <w:t>;</w:t>
            </w:r>
            <w:r w:rsidRPr="009044C2">
              <w:rPr>
                <w:rFonts w:ascii="Times New Roman" w:eastAsia="Times New Roman" w:hAnsi="Times New Roman" w:cs="Times New Roman"/>
              </w:rPr>
              <w:t xml:space="preserve"> 172</w:t>
            </w:r>
            <w:r w:rsidR="00E018DF">
              <w:rPr>
                <w:rFonts w:ascii="Times New Roman" w:eastAsia="Times New Roman" w:hAnsi="Times New Roman" w:cs="Times New Roman"/>
              </w:rPr>
              <w:t>,</w:t>
            </w:r>
            <w:r w:rsidRPr="009044C2">
              <w:rPr>
                <w:rFonts w:ascii="Times New Roman" w:eastAsia="Times New Roman" w:hAnsi="Times New Roman" w:cs="Times New Roman"/>
              </w:rPr>
              <w:t>8)</w:t>
            </w:r>
          </w:p>
        </w:tc>
        <w:tc>
          <w:tcPr>
            <w:tcW w:w="994" w:type="dxa"/>
            <w:vAlign w:val="center"/>
          </w:tcPr>
          <w:p w14:paraId="56CD1675" w14:textId="77777777" w:rsidR="009044C2" w:rsidRPr="009044C2" w:rsidRDefault="009044C2" w:rsidP="00BB6F62">
            <w:pPr>
              <w:jc w:val="center"/>
              <w:rPr>
                <w:rFonts w:ascii="Times New Roman" w:eastAsia="Times New Roman" w:hAnsi="Times New Roman" w:cs="Times New Roman"/>
              </w:rPr>
            </w:pPr>
          </w:p>
        </w:tc>
        <w:tc>
          <w:tcPr>
            <w:tcW w:w="1416" w:type="dxa"/>
            <w:vAlign w:val="center"/>
          </w:tcPr>
          <w:p w14:paraId="14E35841" w14:textId="73C00CEB" w:rsidR="009044C2" w:rsidRPr="009044C2" w:rsidRDefault="009044C2" w:rsidP="00BB6F62">
            <w:pPr>
              <w:jc w:val="center"/>
              <w:rPr>
                <w:rFonts w:ascii="Times New Roman" w:eastAsia="Times New Roman" w:hAnsi="Times New Roman" w:cs="Times New Roman"/>
              </w:rPr>
            </w:pPr>
            <w:r w:rsidRPr="009044C2">
              <w:rPr>
                <w:rFonts w:ascii="Times New Roman" w:eastAsia="Times New Roman" w:hAnsi="Times New Roman" w:cs="Times New Roman"/>
              </w:rPr>
              <w:t>(44</w:t>
            </w:r>
            <w:r w:rsidR="00E018DF">
              <w:rPr>
                <w:rFonts w:ascii="Times New Roman" w:eastAsia="Times New Roman" w:hAnsi="Times New Roman" w:cs="Times New Roman"/>
              </w:rPr>
              <w:t>,</w:t>
            </w:r>
            <w:r w:rsidRPr="009044C2">
              <w:rPr>
                <w:rFonts w:ascii="Times New Roman" w:eastAsia="Times New Roman" w:hAnsi="Times New Roman" w:cs="Times New Roman"/>
              </w:rPr>
              <w:t>8</w:t>
            </w:r>
            <w:r w:rsidR="00E018DF">
              <w:rPr>
                <w:rFonts w:ascii="Times New Roman" w:eastAsia="Times New Roman" w:hAnsi="Times New Roman" w:cs="Times New Roman"/>
              </w:rPr>
              <w:t>;</w:t>
            </w:r>
            <w:r w:rsidRPr="009044C2">
              <w:rPr>
                <w:rFonts w:ascii="Times New Roman" w:eastAsia="Times New Roman" w:hAnsi="Times New Roman" w:cs="Times New Roman"/>
              </w:rPr>
              <w:t xml:space="preserve"> 142</w:t>
            </w:r>
            <w:r w:rsidR="00E018DF">
              <w:rPr>
                <w:rFonts w:ascii="Times New Roman" w:eastAsia="Times New Roman" w:hAnsi="Times New Roman" w:cs="Times New Roman"/>
              </w:rPr>
              <w:t>,</w:t>
            </w:r>
            <w:r w:rsidRPr="009044C2">
              <w:rPr>
                <w:rFonts w:ascii="Times New Roman" w:eastAsia="Times New Roman" w:hAnsi="Times New Roman" w:cs="Times New Roman"/>
              </w:rPr>
              <w:t>7)</w:t>
            </w:r>
          </w:p>
        </w:tc>
        <w:tc>
          <w:tcPr>
            <w:tcW w:w="994" w:type="dxa"/>
            <w:vAlign w:val="center"/>
          </w:tcPr>
          <w:p w14:paraId="70BD6F9B" w14:textId="77777777" w:rsidR="009044C2" w:rsidRPr="009044C2" w:rsidRDefault="009044C2" w:rsidP="00BB6F62">
            <w:pPr>
              <w:jc w:val="center"/>
              <w:rPr>
                <w:rFonts w:ascii="Times New Roman" w:eastAsia="Times New Roman" w:hAnsi="Times New Roman" w:cs="Times New Roman"/>
              </w:rPr>
            </w:pPr>
          </w:p>
        </w:tc>
        <w:tc>
          <w:tcPr>
            <w:tcW w:w="1414" w:type="dxa"/>
            <w:vAlign w:val="center"/>
          </w:tcPr>
          <w:p w14:paraId="2E6F7DC7" w14:textId="559FD6D8" w:rsidR="009044C2" w:rsidRPr="009044C2" w:rsidRDefault="009044C2" w:rsidP="00BB6F62">
            <w:pPr>
              <w:jc w:val="center"/>
              <w:rPr>
                <w:rFonts w:ascii="Times New Roman" w:eastAsia="Times New Roman" w:hAnsi="Times New Roman" w:cs="Times New Roman"/>
              </w:rPr>
            </w:pPr>
            <w:r w:rsidRPr="009044C2">
              <w:rPr>
                <w:rFonts w:ascii="Times New Roman" w:eastAsia="Times New Roman" w:hAnsi="Times New Roman" w:cs="Times New Roman"/>
              </w:rPr>
              <w:t>(75</w:t>
            </w:r>
            <w:r w:rsidR="00E018DF">
              <w:rPr>
                <w:rFonts w:ascii="Times New Roman" w:eastAsia="Times New Roman" w:hAnsi="Times New Roman" w:cs="Times New Roman"/>
              </w:rPr>
              <w:t>,</w:t>
            </w:r>
            <w:r w:rsidRPr="009044C2">
              <w:rPr>
                <w:rFonts w:ascii="Times New Roman" w:eastAsia="Times New Roman" w:hAnsi="Times New Roman" w:cs="Times New Roman"/>
              </w:rPr>
              <w:t>9</w:t>
            </w:r>
            <w:r w:rsidR="00E018DF">
              <w:rPr>
                <w:rFonts w:ascii="Times New Roman" w:eastAsia="Times New Roman" w:hAnsi="Times New Roman" w:cs="Times New Roman"/>
              </w:rPr>
              <w:t>,</w:t>
            </w:r>
            <w:r w:rsidRPr="009044C2">
              <w:rPr>
                <w:rFonts w:ascii="Times New Roman" w:eastAsia="Times New Roman" w:hAnsi="Times New Roman" w:cs="Times New Roman"/>
              </w:rPr>
              <w:t xml:space="preserve"> 144</w:t>
            </w:r>
            <w:r w:rsidR="00E018DF">
              <w:rPr>
                <w:rFonts w:ascii="Times New Roman" w:eastAsia="Times New Roman" w:hAnsi="Times New Roman" w:cs="Times New Roman"/>
              </w:rPr>
              <w:t>,</w:t>
            </w:r>
            <w:r w:rsidRPr="009044C2">
              <w:rPr>
                <w:rFonts w:ascii="Times New Roman" w:eastAsia="Times New Roman" w:hAnsi="Times New Roman" w:cs="Times New Roman"/>
              </w:rPr>
              <w:t>0)</w:t>
            </w:r>
          </w:p>
        </w:tc>
      </w:tr>
      <w:tr w:rsidR="009044C2" w:rsidRPr="009044C2" w14:paraId="268C5F9B" w14:textId="77777777" w:rsidTr="00E0772D">
        <w:tc>
          <w:tcPr>
            <w:tcW w:w="1837" w:type="dxa"/>
          </w:tcPr>
          <w:p w14:paraId="54E1628F" w14:textId="2D491E37" w:rsidR="009044C2" w:rsidRPr="009044C2" w:rsidRDefault="009044C2" w:rsidP="009044C2">
            <w:pPr>
              <w:rPr>
                <w:rFonts w:ascii="Times New Roman" w:eastAsia="Times New Roman" w:hAnsi="Times New Roman" w:cs="Times New Roman"/>
              </w:rPr>
            </w:pPr>
            <w:r w:rsidRPr="009044C2">
              <w:rPr>
                <w:rFonts w:ascii="Times New Roman" w:eastAsia="Times New Roman" w:hAnsi="Times New Roman" w:cs="Times New Roman"/>
              </w:rPr>
              <w:t>p-</w:t>
            </w:r>
            <w:r w:rsidR="000F4EA9">
              <w:rPr>
                <w:rFonts w:ascii="Times New Roman" w:eastAsia="Times New Roman" w:hAnsi="Times New Roman" w:cs="Times New Roman"/>
              </w:rPr>
              <w:t>érték</w:t>
            </w:r>
          </w:p>
        </w:tc>
        <w:tc>
          <w:tcPr>
            <w:tcW w:w="993" w:type="dxa"/>
            <w:vAlign w:val="center"/>
          </w:tcPr>
          <w:p w14:paraId="658EF677" w14:textId="77777777" w:rsidR="009044C2" w:rsidRPr="009044C2" w:rsidRDefault="009044C2" w:rsidP="009044C2">
            <w:pPr>
              <w:rPr>
                <w:rFonts w:ascii="Times New Roman" w:eastAsia="Times New Roman" w:hAnsi="Times New Roman" w:cs="Times New Roman"/>
              </w:rPr>
            </w:pPr>
          </w:p>
        </w:tc>
        <w:tc>
          <w:tcPr>
            <w:tcW w:w="1416" w:type="dxa"/>
            <w:vAlign w:val="center"/>
          </w:tcPr>
          <w:p w14:paraId="3892305D" w14:textId="700207D7" w:rsidR="009044C2" w:rsidRPr="009044C2" w:rsidRDefault="009044C2" w:rsidP="00BB6F62">
            <w:pPr>
              <w:jc w:val="center"/>
              <w:rPr>
                <w:rFonts w:ascii="Times New Roman" w:eastAsia="Times New Roman" w:hAnsi="Times New Roman" w:cs="Times New Roman"/>
              </w:rPr>
            </w:pPr>
            <w:r w:rsidRPr="009044C2">
              <w:rPr>
                <w:rFonts w:ascii="Times New Roman" w:eastAsia="Times New Roman" w:hAnsi="Times New Roman" w:cs="Times New Roman"/>
              </w:rPr>
              <w:t>&lt;0</w:t>
            </w:r>
            <w:r w:rsidR="005B4677">
              <w:rPr>
                <w:rFonts w:ascii="Times New Roman" w:eastAsia="Times New Roman" w:hAnsi="Times New Roman" w:cs="Times New Roman"/>
              </w:rPr>
              <w:t>,</w:t>
            </w:r>
            <w:r w:rsidRPr="009044C2">
              <w:rPr>
                <w:rFonts w:ascii="Times New Roman" w:eastAsia="Times New Roman" w:hAnsi="Times New Roman" w:cs="Times New Roman"/>
              </w:rPr>
              <w:t>0001</w:t>
            </w:r>
          </w:p>
        </w:tc>
        <w:tc>
          <w:tcPr>
            <w:tcW w:w="994" w:type="dxa"/>
            <w:vAlign w:val="center"/>
          </w:tcPr>
          <w:p w14:paraId="5B56204C" w14:textId="77777777" w:rsidR="009044C2" w:rsidRPr="009044C2" w:rsidRDefault="009044C2" w:rsidP="00BB6F62">
            <w:pPr>
              <w:jc w:val="center"/>
              <w:rPr>
                <w:rFonts w:ascii="Times New Roman" w:eastAsia="Times New Roman" w:hAnsi="Times New Roman" w:cs="Times New Roman"/>
              </w:rPr>
            </w:pPr>
          </w:p>
        </w:tc>
        <w:tc>
          <w:tcPr>
            <w:tcW w:w="1416" w:type="dxa"/>
            <w:vAlign w:val="center"/>
          </w:tcPr>
          <w:p w14:paraId="1221EC83" w14:textId="18F3A81D" w:rsidR="009044C2" w:rsidRPr="009044C2" w:rsidRDefault="009044C2" w:rsidP="00BB6F62">
            <w:pPr>
              <w:jc w:val="center"/>
              <w:rPr>
                <w:rFonts w:ascii="Times New Roman" w:eastAsia="Times New Roman" w:hAnsi="Times New Roman" w:cs="Times New Roman"/>
              </w:rPr>
            </w:pPr>
            <w:r w:rsidRPr="009044C2">
              <w:rPr>
                <w:rFonts w:ascii="Times New Roman" w:eastAsia="Times New Roman" w:hAnsi="Times New Roman" w:cs="Times New Roman"/>
              </w:rPr>
              <w:t>0</w:t>
            </w:r>
            <w:r w:rsidR="005B4677">
              <w:rPr>
                <w:rFonts w:ascii="Times New Roman" w:eastAsia="Times New Roman" w:hAnsi="Times New Roman" w:cs="Times New Roman"/>
              </w:rPr>
              <w:t>,</w:t>
            </w:r>
            <w:r w:rsidRPr="009044C2">
              <w:rPr>
                <w:rFonts w:ascii="Times New Roman" w:eastAsia="Times New Roman" w:hAnsi="Times New Roman" w:cs="Times New Roman"/>
              </w:rPr>
              <w:t>0002</w:t>
            </w:r>
          </w:p>
        </w:tc>
        <w:tc>
          <w:tcPr>
            <w:tcW w:w="994" w:type="dxa"/>
            <w:vAlign w:val="center"/>
          </w:tcPr>
          <w:p w14:paraId="3A7B1C75" w14:textId="77777777" w:rsidR="009044C2" w:rsidRPr="009044C2" w:rsidRDefault="009044C2" w:rsidP="00BB6F62">
            <w:pPr>
              <w:jc w:val="center"/>
              <w:rPr>
                <w:rFonts w:ascii="Times New Roman" w:eastAsia="Times New Roman" w:hAnsi="Times New Roman" w:cs="Times New Roman"/>
              </w:rPr>
            </w:pPr>
          </w:p>
        </w:tc>
        <w:tc>
          <w:tcPr>
            <w:tcW w:w="1414" w:type="dxa"/>
            <w:vAlign w:val="center"/>
          </w:tcPr>
          <w:p w14:paraId="1FFF7731" w14:textId="56850E51" w:rsidR="009044C2" w:rsidRPr="009044C2" w:rsidRDefault="009044C2" w:rsidP="00BB6F62">
            <w:pPr>
              <w:jc w:val="center"/>
              <w:rPr>
                <w:rFonts w:ascii="Times New Roman" w:eastAsia="Times New Roman" w:hAnsi="Times New Roman" w:cs="Times New Roman"/>
              </w:rPr>
            </w:pPr>
            <w:r w:rsidRPr="009044C2">
              <w:rPr>
                <w:rFonts w:ascii="Times New Roman" w:eastAsia="Times New Roman" w:hAnsi="Times New Roman" w:cs="Times New Roman"/>
              </w:rPr>
              <w:t>&lt;0</w:t>
            </w:r>
            <w:r w:rsidR="005B4677">
              <w:rPr>
                <w:rFonts w:ascii="Times New Roman" w:eastAsia="Times New Roman" w:hAnsi="Times New Roman" w:cs="Times New Roman"/>
              </w:rPr>
              <w:t>,</w:t>
            </w:r>
            <w:r w:rsidRPr="009044C2">
              <w:rPr>
                <w:rFonts w:ascii="Times New Roman" w:eastAsia="Times New Roman" w:hAnsi="Times New Roman" w:cs="Times New Roman"/>
              </w:rPr>
              <w:t>0001</w:t>
            </w:r>
          </w:p>
        </w:tc>
      </w:tr>
    </w:tbl>
    <w:p w14:paraId="35A16A2F" w14:textId="77777777" w:rsidR="000F4EA9" w:rsidRPr="000F4EA9" w:rsidRDefault="000F4EA9" w:rsidP="000F4EA9">
      <w:pPr>
        <w:rPr>
          <w:rFonts w:ascii="Times New Roman" w:eastAsia="Times New Roman" w:hAnsi="Times New Roman" w:cs="Times New Roman"/>
          <w:sz w:val="18"/>
          <w:szCs w:val="18"/>
        </w:rPr>
      </w:pPr>
      <w:r w:rsidRPr="000F4EA9">
        <w:rPr>
          <w:rFonts w:ascii="Times New Roman" w:eastAsia="Times New Roman" w:hAnsi="Times New Roman" w:cs="Times New Roman"/>
          <w:sz w:val="18"/>
          <w:szCs w:val="18"/>
          <w:vertAlign w:val="superscript"/>
        </w:rPr>
        <w:t>1</w:t>
      </w:r>
      <w:r w:rsidRPr="000F4EA9">
        <w:rPr>
          <w:rFonts w:ascii="Times New Roman" w:eastAsia="Times New Roman" w:hAnsi="Times New Roman" w:cs="Times New Roman"/>
          <w:sz w:val="18"/>
          <w:szCs w:val="18"/>
        </w:rPr>
        <w:t xml:space="preserve"> Random koefficiens regressziós modell alapján meghatározva.</w:t>
      </w:r>
    </w:p>
    <w:p w14:paraId="6EA324D1" w14:textId="0C735A8E" w:rsidR="009044C2" w:rsidRDefault="000F4EA9" w:rsidP="000F4EA9">
      <w:pPr>
        <w:rPr>
          <w:rFonts w:ascii="Times New Roman" w:eastAsia="Times New Roman" w:hAnsi="Times New Roman" w:cs="Times New Roman"/>
        </w:rPr>
      </w:pPr>
      <w:r w:rsidRPr="000F4EA9">
        <w:rPr>
          <w:rFonts w:ascii="Times New Roman" w:eastAsia="Times New Roman" w:hAnsi="Times New Roman" w:cs="Times New Roman"/>
          <w:sz w:val="18"/>
          <w:szCs w:val="18"/>
        </w:rPr>
        <w:t>CI: konfidencia-intervallum</w:t>
      </w:r>
      <w:r w:rsidRPr="000F4EA9">
        <w:rPr>
          <w:rFonts w:ascii="Times New Roman" w:eastAsia="Times New Roman" w:hAnsi="Times New Roman" w:cs="Times New Roman"/>
        </w:rPr>
        <w:cr/>
      </w:r>
    </w:p>
    <w:p w14:paraId="7C425413" w14:textId="446D0A8A" w:rsidR="000F4EA9" w:rsidRPr="000F4EA9" w:rsidRDefault="000F4EA9" w:rsidP="000F4EA9">
      <w:pPr>
        <w:rPr>
          <w:rFonts w:ascii="Times New Roman" w:eastAsia="Times New Roman" w:hAnsi="Times New Roman" w:cs="Times New Roman"/>
        </w:rPr>
      </w:pPr>
      <w:r w:rsidRPr="000F4EA9">
        <w:rPr>
          <w:rFonts w:ascii="Times New Roman" w:eastAsia="Times New Roman" w:hAnsi="Times New Roman" w:cs="Times New Roman"/>
        </w:rPr>
        <w:t>Egy szenzitivitási elemzésben, melynek során az 52.</w:t>
      </w:r>
      <w:r w:rsidR="005E5DCC">
        <w:rPr>
          <w:rFonts w:ascii="Times New Roman" w:eastAsia="Times New Roman" w:hAnsi="Times New Roman" w:cs="Times New Roman"/>
        </w:rPr>
        <w:t> </w:t>
      </w:r>
      <w:r w:rsidRPr="000F4EA9">
        <w:rPr>
          <w:rFonts w:ascii="Times New Roman" w:eastAsia="Times New Roman" w:hAnsi="Times New Roman" w:cs="Times New Roman"/>
        </w:rPr>
        <w:t>héten hiányos adatokkal rendelkező betegeknél</w:t>
      </w:r>
      <w:r w:rsidR="00011DF0">
        <w:rPr>
          <w:rFonts w:ascii="Times New Roman" w:eastAsia="Times New Roman" w:hAnsi="Times New Roman" w:cs="Times New Roman"/>
        </w:rPr>
        <w:t xml:space="preserve"> </w:t>
      </w:r>
      <w:r w:rsidRPr="000F4EA9">
        <w:rPr>
          <w:rFonts w:ascii="Times New Roman" w:eastAsia="Times New Roman" w:hAnsi="Times New Roman" w:cs="Times New Roman"/>
        </w:rPr>
        <w:t>azt feltételezték, hogy az FVC utolsó mért adat utáni csökkenése az összes placebóval kezelt betegnél</w:t>
      </w:r>
      <w:r w:rsidR="00011DF0">
        <w:rPr>
          <w:rFonts w:ascii="Times New Roman" w:eastAsia="Times New Roman" w:hAnsi="Times New Roman" w:cs="Times New Roman"/>
        </w:rPr>
        <w:t xml:space="preserve"> </w:t>
      </w:r>
      <w:r w:rsidRPr="000F4EA9">
        <w:rPr>
          <w:rFonts w:ascii="Times New Roman" w:eastAsia="Times New Roman" w:hAnsi="Times New Roman" w:cs="Times New Roman"/>
        </w:rPr>
        <w:t>bekövetkező csökkenéssel azonos mértékű, a csökkenés éves ütemének nintedanib és placebo közti</w:t>
      </w:r>
      <w:r w:rsidR="00011DF0">
        <w:rPr>
          <w:rFonts w:ascii="Times New Roman" w:eastAsia="Times New Roman" w:hAnsi="Times New Roman" w:cs="Times New Roman"/>
        </w:rPr>
        <w:t xml:space="preserve"> </w:t>
      </w:r>
      <w:r w:rsidRPr="000F4EA9">
        <w:rPr>
          <w:rFonts w:ascii="Times New Roman" w:eastAsia="Times New Roman" w:hAnsi="Times New Roman" w:cs="Times New Roman"/>
        </w:rPr>
        <w:t>korrigált különbsége 113,9</w:t>
      </w:r>
      <w:r w:rsidR="005E5DCC">
        <w:rPr>
          <w:rFonts w:ascii="Times New Roman" w:eastAsia="Times New Roman" w:hAnsi="Times New Roman" w:cs="Times New Roman"/>
        </w:rPr>
        <w:t> </w:t>
      </w:r>
      <w:r w:rsidRPr="000F4EA9">
        <w:rPr>
          <w:rFonts w:ascii="Times New Roman" w:eastAsia="Times New Roman" w:hAnsi="Times New Roman" w:cs="Times New Roman"/>
        </w:rPr>
        <w:t>ml/év (95%-os CI: 69,2; 158,5) volt az INPULSIS-1 és 83,3 ml/év (95%-os</w:t>
      </w:r>
      <w:r w:rsidR="00011DF0">
        <w:rPr>
          <w:rFonts w:ascii="Times New Roman" w:eastAsia="Times New Roman" w:hAnsi="Times New Roman" w:cs="Times New Roman"/>
        </w:rPr>
        <w:t xml:space="preserve"> </w:t>
      </w:r>
      <w:r w:rsidRPr="000F4EA9">
        <w:rPr>
          <w:rFonts w:ascii="Times New Roman" w:eastAsia="Times New Roman" w:hAnsi="Times New Roman" w:cs="Times New Roman"/>
        </w:rPr>
        <w:t>CI: 37,6; 129,0) az INPULSIS-2 vizsgálatban.</w:t>
      </w:r>
    </w:p>
    <w:p w14:paraId="2E625ACA" w14:textId="77777777" w:rsidR="000F4EA9" w:rsidRDefault="000F4EA9" w:rsidP="000F4EA9">
      <w:pPr>
        <w:rPr>
          <w:rFonts w:ascii="Times New Roman" w:eastAsia="Times New Roman" w:hAnsi="Times New Roman" w:cs="Times New Roman"/>
        </w:rPr>
      </w:pPr>
    </w:p>
    <w:p w14:paraId="7A0E6680" w14:textId="263A2840" w:rsidR="000F4EA9" w:rsidRDefault="000F4EA9" w:rsidP="000F4EA9">
      <w:pPr>
        <w:rPr>
          <w:rFonts w:ascii="Times New Roman" w:eastAsia="Times New Roman" w:hAnsi="Times New Roman" w:cs="Times New Roman"/>
        </w:rPr>
      </w:pPr>
      <w:r w:rsidRPr="000F4EA9">
        <w:rPr>
          <w:rFonts w:ascii="Times New Roman" w:eastAsia="Times New Roman" w:hAnsi="Times New Roman" w:cs="Times New Roman"/>
        </w:rPr>
        <w:t>Lásd az 1.</w:t>
      </w:r>
      <w:r w:rsidR="005E5DCC">
        <w:rPr>
          <w:rFonts w:ascii="Times New Roman" w:eastAsia="Times New Roman" w:hAnsi="Times New Roman" w:cs="Times New Roman"/>
        </w:rPr>
        <w:t> </w:t>
      </w:r>
      <w:r w:rsidRPr="000F4EA9">
        <w:rPr>
          <w:rFonts w:ascii="Times New Roman" w:eastAsia="Times New Roman" w:hAnsi="Times New Roman" w:cs="Times New Roman"/>
        </w:rPr>
        <w:t>ábrát a kiindulási állapothoz képest tapasztalt változás alakulását illetően a két kezelési</w:t>
      </w:r>
      <w:r w:rsidR="00011DF0">
        <w:rPr>
          <w:rFonts w:ascii="Times New Roman" w:eastAsia="Times New Roman" w:hAnsi="Times New Roman" w:cs="Times New Roman"/>
        </w:rPr>
        <w:t xml:space="preserve"> </w:t>
      </w:r>
      <w:r w:rsidRPr="000F4EA9">
        <w:rPr>
          <w:rFonts w:ascii="Times New Roman" w:eastAsia="Times New Roman" w:hAnsi="Times New Roman" w:cs="Times New Roman"/>
        </w:rPr>
        <w:t>csoportban, az INPULSIS-1 és INPULSIS-2 vizsgálatok összesített elemzése alapján.</w:t>
      </w:r>
    </w:p>
    <w:p w14:paraId="0DADDFDB" w14:textId="77777777" w:rsidR="00F7185C" w:rsidRPr="000F4EA9" w:rsidRDefault="00F7185C" w:rsidP="000F4EA9">
      <w:pPr>
        <w:rPr>
          <w:rFonts w:ascii="Times New Roman" w:eastAsia="Times New Roman" w:hAnsi="Times New Roman" w:cs="Times New Roman"/>
        </w:rPr>
      </w:pPr>
    </w:p>
    <w:p w14:paraId="09ABDB6E" w14:textId="3E8511FA" w:rsidR="000F4EA9" w:rsidRDefault="000F4EA9" w:rsidP="000F4EA9">
      <w:pPr>
        <w:pStyle w:val="Szvegtrzs"/>
        <w:keepNext/>
        <w:widowControl/>
        <w:ind w:left="0"/>
        <w:rPr>
          <w:rFonts w:cs="Times New Roman"/>
          <w:b/>
          <w:bCs/>
          <w:spacing w:val="-1"/>
        </w:rPr>
      </w:pPr>
      <w:r w:rsidRPr="000F4EA9">
        <w:rPr>
          <w:rFonts w:cs="Times New Roman"/>
          <w:b/>
          <w:bCs/>
          <w:spacing w:val="-1"/>
        </w:rPr>
        <w:t>1. ábra: Az FVC-ben a kiindulási értékhez képest megfigyelt átlagos (standard hiba)</w:t>
      </w:r>
      <w:r w:rsidR="00011DF0">
        <w:rPr>
          <w:rFonts w:cs="Times New Roman"/>
          <w:b/>
          <w:bCs/>
          <w:spacing w:val="-1"/>
        </w:rPr>
        <w:t xml:space="preserve"> </w:t>
      </w:r>
      <w:r w:rsidRPr="000F4EA9">
        <w:rPr>
          <w:rFonts w:cs="Times New Roman"/>
          <w:b/>
          <w:bCs/>
          <w:spacing w:val="-1"/>
        </w:rPr>
        <w:t>változás (ml) az idő függvényében az INPULSIS-1 és INPULSIS-2 vizsgálatok</w:t>
      </w:r>
      <w:r w:rsidR="00011DF0">
        <w:rPr>
          <w:rFonts w:cs="Times New Roman"/>
          <w:b/>
          <w:bCs/>
          <w:spacing w:val="-1"/>
        </w:rPr>
        <w:t xml:space="preserve"> </w:t>
      </w:r>
      <w:r w:rsidRPr="000F4EA9">
        <w:rPr>
          <w:rFonts w:cs="Times New Roman"/>
          <w:b/>
          <w:bCs/>
          <w:spacing w:val="-1"/>
        </w:rPr>
        <w:t>összesített adatai alapján</w:t>
      </w:r>
    </w:p>
    <w:p w14:paraId="4D1F2257" w14:textId="77777777" w:rsidR="000F4EA9" w:rsidRDefault="000F4EA9" w:rsidP="000F4EA9">
      <w:pPr>
        <w:pStyle w:val="Szvegtrzs"/>
        <w:keepNext/>
        <w:widowControl/>
        <w:ind w:left="0"/>
        <w:rPr>
          <w:rFonts w:cs="Times New Roman"/>
          <w:b/>
          <w:bCs/>
          <w:spacing w:val="-1"/>
        </w:rPr>
      </w:pPr>
    </w:p>
    <w:p w14:paraId="364107DE" w14:textId="176DD1C5" w:rsidR="000F4EA9" w:rsidRDefault="000F4EA9" w:rsidP="000F4EA9">
      <w:pPr>
        <w:pStyle w:val="Szvegtrzs"/>
        <w:keepNext/>
        <w:widowControl/>
        <w:ind w:left="0"/>
        <w:rPr>
          <w:rFonts w:cs="Times New Roman"/>
          <w:b/>
          <w:bCs/>
          <w:spacing w:val="-1"/>
        </w:rPr>
      </w:pPr>
      <w:r w:rsidRPr="000F4EA9">
        <w:rPr>
          <w:noProof/>
        </w:rPr>
        <w:drawing>
          <wp:inline distT="0" distB="0" distL="0" distR="0" wp14:anchorId="6B153EEB" wp14:editId="12712547">
            <wp:extent cx="5760085" cy="3514725"/>
            <wp:effectExtent l="0" t="0" r="0" b="9525"/>
            <wp:docPr id="647790766" name="Kép 1" descr="A képen szöveg, sor, diagram, Párhuzamo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90766" name="Kép 1" descr="A képen szöveg, sor, diagram, Párhuzamos látható&#10;&#10;Automatikusan generált leírás"/>
                    <pic:cNvPicPr/>
                  </pic:nvPicPr>
                  <pic:blipFill>
                    <a:blip r:embed="rId8"/>
                    <a:stretch>
                      <a:fillRect/>
                    </a:stretch>
                  </pic:blipFill>
                  <pic:spPr>
                    <a:xfrm>
                      <a:off x="0" y="0"/>
                      <a:ext cx="5760085" cy="3514725"/>
                    </a:xfrm>
                    <a:prstGeom prst="rect">
                      <a:avLst/>
                    </a:prstGeom>
                  </pic:spPr>
                </pic:pic>
              </a:graphicData>
            </a:graphic>
          </wp:inline>
        </w:drawing>
      </w:r>
    </w:p>
    <w:p w14:paraId="10C0AA07" w14:textId="77777777" w:rsidR="00F73037" w:rsidRPr="00A5740F" w:rsidRDefault="00F73037" w:rsidP="00F73037">
      <w:pPr>
        <w:numPr>
          <w:ilvl w:val="12"/>
          <w:numId w:val="0"/>
        </w:numPr>
        <w:ind w:right="-2"/>
        <w:rPr>
          <w:rFonts w:ascii="Times New Roman" w:eastAsia="Times New Roman" w:hAnsi="Times New Roman" w:cs="Times New Roman"/>
          <w:spacing w:val="-1"/>
        </w:rPr>
      </w:pPr>
      <w:r w:rsidRPr="00A5740F">
        <w:rPr>
          <w:rFonts w:ascii="Times New Roman" w:eastAsia="Times New Roman" w:hAnsi="Times New Roman" w:cs="Times New Roman"/>
          <w:spacing w:val="-1"/>
        </w:rPr>
        <w:t>bid = naponta kétszer</w:t>
      </w:r>
    </w:p>
    <w:p w14:paraId="2523EDE4" w14:textId="77777777" w:rsidR="000F4EA9" w:rsidRDefault="000F4EA9" w:rsidP="00531EEC">
      <w:pPr>
        <w:pStyle w:val="Szvegtrzs"/>
        <w:widowControl/>
        <w:ind w:left="0"/>
        <w:rPr>
          <w:rFonts w:cs="Times New Roman"/>
          <w:b/>
          <w:bCs/>
          <w:spacing w:val="-1"/>
        </w:rPr>
      </w:pPr>
    </w:p>
    <w:p w14:paraId="5EFA7835" w14:textId="77777777" w:rsidR="000F4EA9" w:rsidRPr="000F4EA9" w:rsidRDefault="000F4EA9" w:rsidP="00531EEC">
      <w:pPr>
        <w:pStyle w:val="Szvegtrzs"/>
        <w:widowControl/>
        <w:ind w:left="0"/>
        <w:rPr>
          <w:rFonts w:cs="Times New Roman"/>
          <w:i/>
          <w:iCs/>
          <w:spacing w:val="-1"/>
          <w:u w:val="single"/>
        </w:rPr>
      </w:pPr>
      <w:r w:rsidRPr="000F4EA9">
        <w:rPr>
          <w:rFonts w:cs="Times New Roman"/>
          <w:i/>
          <w:iCs/>
          <w:spacing w:val="-1"/>
          <w:u w:val="single"/>
        </w:rPr>
        <w:t>FVC reszponder elemzés</w:t>
      </w:r>
    </w:p>
    <w:p w14:paraId="72BFB751" w14:textId="4AF3DBF1" w:rsidR="000F4EA9" w:rsidRPr="000F4EA9" w:rsidRDefault="000F4EA9" w:rsidP="00531EEC">
      <w:pPr>
        <w:pStyle w:val="Szvegtrzs"/>
        <w:widowControl/>
        <w:ind w:left="0"/>
        <w:rPr>
          <w:rFonts w:cs="Times New Roman"/>
          <w:spacing w:val="-1"/>
        </w:rPr>
      </w:pPr>
      <w:r w:rsidRPr="000F4EA9">
        <w:rPr>
          <w:rFonts w:cs="Times New Roman"/>
          <w:spacing w:val="-1"/>
        </w:rPr>
        <w:t xml:space="preserve">Az FVC alapján reszponder betegek </w:t>
      </w:r>
      <w:r w:rsidR="00F73037">
        <w:rPr>
          <w:rFonts w:cs="Times New Roman"/>
          <w:spacing w:val="-1"/>
        </w:rPr>
        <w:t>–</w:t>
      </w:r>
      <w:r w:rsidR="00F73037" w:rsidRPr="000F4EA9">
        <w:rPr>
          <w:rFonts w:cs="Times New Roman"/>
          <w:spacing w:val="-1"/>
        </w:rPr>
        <w:t xml:space="preserve"> </w:t>
      </w:r>
      <w:r w:rsidRPr="000F4EA9">
        <w:rPr>
          <w:rFonts w:cs="Times New Roman"/>
          <w:spacing w:val="-1"/>
        </w:rPr>
        <w:t>definíció szerint akiknél az FVC várt %-os értékében</w:t>
      </w:r>
      <w:r w:rsidR="00531EEC">
        <w:rPr>
          <w:rFonts w:cs="Times New Roman"/>
          <w:spacing w:val="-1"/>
        </w:rPr>
        <w:t xml:space="preserve"> </w:t>
      </w:r>
      <w:r w:rsidRPr="000F4EA9">
        <w:rPr>
          <w:rFonts w:cs="Times New Roman"/>
          <w:spacing w:val="-1"/>
        </w:rPr>
        <w:t>bekövetkező csökkenés nem nagyobb mint 5% (IPF-b</w:t>
      </w:r>
      <w:r w:rsidR="002F31D8">
        <w:rPr>
          <w:rFonts w:cs="Times New Roman"/>
          <w:spacing w:val="-1"/>
        </w:rPr>
        <w:t>e</w:t>
      </w:r>
      <w:r w:rsidRPr="000F4EA9">
        <w:rPr>
          <w:rFonts w:cs="Times New Roman"/>
          <w:spacing w:val="-1"/>
        </w:rPr>
        <w:t>n a mortalitás kockázatnövekedését jelző</w:t>
      </w:r>
      <w:r w:rsidR="00531EEC">
        <w:rPr>
          <w:rFonts w:cs="Times New Roman"/>
          <w:spacing w:val="-1"/>
        </w:rPr>
        <w:t xml:space="preserve"> </w:t>
      </w:r>
      <w:r w:rsidRPr="000F4EA9">
        <w:rPr>
          <w:rFonts w:cs="Times New Roman"/>
          <w:spacing w:val="-1"/>
        </w:rPr>
        <w:t xml:space="preserve">küszöbérték) </w:t>
      </w:r>
      <w:r w:rsidR="00F73037">
        <w:rPr>
          <w:rFonts w:cs="Times New Roman"/>
          <w:spacing w:val="-1"/>
        </w:rPr>
        <w:t>–</w:t>
      </w:r>
      <w:r w:rsidR="00F73037" w:rsidRPr="000F4EA9">
        <w:rPr>
          <w:rFonts w:cs="Times New Roman"/>
          <w:spacing w:val="-1"/>
        </w:rPr>
        <w:t xml:space="preserve"> </w:t>
      </w:r>
      <w:r w:rsidRPr="000F4EA9">
        <w:rPr>
          <w:rFonts w:cs="Times New Roman"/>
          <w:spacing w:val="-1"/>
        </w:rPr>
        <w:t>aránya mindkét INPULSIS-vizsgálatban szignifikánsan magasabb volt a</w:t>
      </w:r>
      <w:r w:rsidR="00531EEC">
        <w:rPr>
          <w:rFonts w:cs="Times New Roman"/>
          <w:spacing w:val="-1"/>
        </w:rPr>
        <w:t xml:space="preserve"> </w:t>
      </w:r>
      <w:r w:rsidRPr="000F4EA9">
        <w:rPr>
          <w:rFonts w:cs="Times New Roman"/>
          <w:spacing w:val="-1"/>
        </w:rPr>
        <w:t>nintedanib-csoportban, mint a placebocsoportban. Hasonló eredményeket figyeltek meg a konzervatív</w:t>
      </w:r>
      <w:r w:rsidR="00531EEC">
        <w:rPr>
          <w:rFonts w:cs="Times New Roman"/>
          <w:spacing w:val="-1"/>
        </w:rPr>
        <w:t xml:space="preserve"> </w:t>
      </w:r>
      <w:r w:rsidRPr="000F4EA9">
        <w:rPr>
          <w:rFonts w:cs="Times New Roman"/>
          <w:spacing w:val="-1"/>
        </w:rPr>
        <w:t>10%-os küszöbértéket alkalmazó elemzésekben. Az egyes vizsgálatok eredményeit és az összesített</w:t>
      </w:r>
      <w:r w:rsidR="00531EEC">
        <w:rPr>
          <w:rFonts w:cs="Times New Roman"/>
          <w:spacing w:val="-1"/>
        </w:rPr>
        <w:t xml:space="preserve"> </w:t>
      </w:r>
      <w:r w:rsidRPr="000F4EA9">
        <w:rPr>
          <w:rFonts w:cs="Times New Roman"/>
          <w:spacing w:val="-1"/>
        </w:rPr>
        <w:t xml:space="preserve">vizsgálati eredményeket illetően lásd a </w:t>
      </w:r>
      <w:r w:rsidR="001F1F7D">
        <w:rPr>
          <w:rFonts w:cs="Times New Roman"/>
          <w:spacing w:val="-1"/>
        </w:rPr>
        <w:t>5</w:t>
      </w:r>
      <w:r w:rsidRPr="000F4EA9">
        <w:rPr>
          <w:rFonts w:cs="Times New Roman"/>
          <w:spacing w:val="-1"/>
        </w:rPr>
        <w:t>.</w:t>
      </w:r>
      <w:r w:rsidR="004309AA">
        <w:rPr>
          <w:rFonts w:cs="Times New Roman"/>
          <w:spacing w:val="-1"/>
        </w:rPr>
        <w:t> </w:t>
      </w:r>
      <w:r w:rsidRPr="000F4EA9">
        <w:rPr>
          <w:rFonts w:cs="Times New Roman"/>
          <w:spacing w:val="-1"/>
        </w:rPr>
        <w:t>táblázatot.</w:t>
      </w:r>
    </w:p>
    <w:p w14:paraId="4A65D873" w14:textId="77777777" w:rsidR="000F4EA9" w:rsidRDefault="000F4EA9" w:rsidP="00531EEC">
      <w:pPr>
        <w:pStyle w:val="Szvegtrzs"/>
        <w:widowControl/>
        <w:ind w:left="0"/>
        <w:rPr>
          <w:rFonts w:cs="Times New Roman"/>
          <w:spacing w:val="-1"/>
          <w:u w:val="single" w:color="000000"/>
        </w:rPr>
      </w:pPr>
    </w:p>
    <w:p w14:paraId="2C1C98B1" w14:textId="08498977" w:rsidR="00F5603F" w:rsidRPr="000F4EA9" w:rsidRDefault="001F1F7D" w:rsidP="009106D9">
      <w:pPr>
        <w:rPr>
          <w:rFonts w:ascii="Times New Roman" w:eastAsia="Times New Roman" w:hAnsi="Times New Roman" w:cs="Times New Roman"/>
          <w:b/>
          <w:bCs/>
        </w:rPr>
      </w:pPr>
      <w:r>
        <w:rPr>
          <w:rFonts w:ascii="Times New Roman" w:eastAsia="Times New Roman" w:hAnsi="Times New Roman" w:cs="Times New Roman"/>
          <w:b/>
          <w:bCs/>
        </w:rPr>
        <w:t>5</w:t>
      </w:r>
      <w:r w:rsidR="000F4EA9" w:rsidRPr="000F4EA9">
        <w:rPr>
          <w:rFonts w:ascii="Times New Roman" w:eastAsia="Times New Roman" w:hAnsi="Times New Roman" w:cs="Times New Roman"/>
          <w:b/>
          <w:bCs/>
        </w:rPr>
        <w:t>. táblázat: Az FVC reszponderek aránya az 52. héten az INPULSIS-1 és INPULSIS</w:t>
      </w:r>
      <w:r w:rsidR="002F31D8">
        <w:rPr>
          <w:rFonts w:ascii="Times New Roman" w:eastAsia="Times New Roman" w:hAnsi="Times New Roman" w:cs="Times New Roman"/>
          <w:b/>
          <w:bCs/>
        </w:rPr>
        <w:t>-</w:t>
      </w:r>
      <w:r w:rsidR="000F4EA9" w:rsidRPr="000F4EA9">
        <w:rPr>
          <w:rFonts w:ascii="Times New Roman" w:eastAsia="Times New Roman" w:hAnsi="Times New Roman" w:cs="Times New Roman"/>
          <w:b/>
          <w:bCs/>
        </w:rPr>
        <w:t>2 vizsgálatokban, valamint a vizsgálatok összesített adatai - kezelt betegek</w:t>
      </w:r>
    </w:p>
    <w:tbl>
      <w:tblPr>
        <w:tblStyle w:val="Rcsostblzat"/>
        <w:tblW w:w="9064" w:type="dxa"/>
        <w:tblLayout w:type="fixed"/>
        <w:tblLook w:val="04A0" w:firstRow="1" w:lastRow="0" w:firstColumn="1" w:lastColumn="0" w:noHBand="0" w:noVBand="1"/>
      </w:tblPr>
      <w:tblGrid>
        <w:gridCol w:w="1837"/>
        <w:gridCol w:w="1135"/>
        <w:gridCol w:w="1274"/>
        <w:gridCol w:w="1136"/>
        <w:gridCol w:w="1274"/>
        <w:gridCol w:w="1136"/>
        <w:gridCol w:w="1272"/>
      </w:tblGrid>
      <w:tr w:rsidR="000F4EA9" w:rsidRPr="000F4EA9" w14:paraId="6EC74D99" w14:textId="77777777" w:rsidTr="00E0772D">
        <w:tc>
          <w:tcPr>
            <w:tcW w:w="1837" w:type="dxa"/>
          </w:tcPr>
          <w:p w14:paraId="6B4AD053" w14:textId="77777777" w:rsidR="000F4EA9" w:rsidRPr="000F4EA9" w:rsidRDefault="000F4EA9" w:rsidP="00531EEC">
            <w:pPr>
              <w:jc w:val="center"/>
              <w:rPr>
                <w:rFonts w:ascii="Times New Roman" w:eastAsia="Times New Roman" w:hAnsi="Times New Roman" w:cs="Times New Roman"/>
              </w:rPr>
            </w:pPr>
          </w:p>
        </w:tc>
        <w:tc>
          <w:tcPr>
            <w:tcW w:w="2409" w:type="dxa"/>
            <w:gridSpan w:val="2"/>
            <w:vAlign w:val="center"/>
          </w:tcPr>
          <w:p w14:paraId="3026FC16" w14:textId="77777777"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INPULSIS-1</w:t>
            </w:r>
          </w:p>
        </w:tc>
        <w:tc>
          <w:tcPr>
            <w:tcW w:w="2410" w:type="dxa"/>
            <w:gridSpan w:val="2"/>
            <w:vAlign w:val="center"/>
          </w:tcPr>
          <w:p w14:paraId="62A19C40" w14:textId="77777777"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INPULSIS-2</w:t>
            </w:r>
          </w:p>
        </w:tc>
        <w:tc>
          <w:tcPr>
            <w:tcW w:w="2408" w:type="dxa"/>
            <w:gridSpan w:val="2"/>
            <w:vAlign w:val="center"/>
          </w:tcPr>
          <w:p w14:paraId="6CF42F4B" w14:textId="2FD42DEE"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 xml:space="preserve">INPULSIS-1 </w:t>
            </w:r>
            <w:r>
              <w:rPr>
                <w:rFonts w:ascii="Times New Roman" w:eastAsia="Times New Roman" w:hAnsi="Times New Roman" w:cs="Times New Roman"/>
              </w:rPr>
              <w:t>és</w:t>
            </w:r>
            <w:r w:rsidRPr="000F4EA9">
              <w:rPr>
                <w:rFonts w:ascii="Times New Roman" w:eastAsia="Times New Roman" w:hAnsi="Times New Roman" w:cs="Times New Roman"/>
              </w:rPr>
              <w:t xml:space="preserve"> INPULSIS-2 </w:t>
            </w:r>
            <w:r>
              <w:rPr>
                <w:rFonts w:ascii="Times New Roman" w:eastAsia="Times New Roman" w:hAnsi="Times New Roman" w:cs="Times New Roman"/>
              </w:rPr>
              <w:t>összesített</w:t>
            </w:r>
          </w:p>
        </w:tc>
      </w:tr>
      <w:tr w:rsidR="000F4EA9" w:rsidRPr="000F4EA9" w14:paraId="1B00F87E" w14:textId="77777777" w:rsidTr="00E0772D">
        <w:tc>
          <w:tcPr>
            <w:tcW w:w="1837" w:type="dxa"/>
          </w:tcPr>
          <w:p w14:paraId="6EF8E270" w14:textId="77777777" w:rsidR="000F4EA9" w:rsidRPr="000F4EA9" w:rsidRDefault="000F4EA9" w:rsidP="000F4EA9">
            <w:pPr>
              <w:rPr>
                <w:rFonts w:ascii="Times New Roman" w:eastAsia="Times New Roman" w:hAnsi="Times New Roman" w:cs="Times New Roman"/>
              </w:rPr>
            </w:pPr>
          </w:p>
        </w:tc>
        <w:tc>
          <w:tcPr>
            <w:tcW w:w="1135" w:type="dxa"/>
            <w:vAlign w:val="center"/>
          </w:tcPr>
          <w:p w14:paraId="5D13C644" w14:textId="77777777" w:rsidR="000F4EA9" w:rsidRPr="000F4EA9" w:rsidRDefault="000F4EA9" w:rsidP="000F4EA9">
            <w:pPr>
              <w:rPr>
                <w:rFonts w:ascii="Times New Roman" w:eastAsia="Times New Roman" w:hAnsi="Times New Roman" w:cs="Times New Roman"/>
              </w:rPr>
            </w:pPr>
            <w:r w:rsidRPr="000F4EA9">
              <w:rPr>
                <w:rFonts w:ascii="Times New Roman" w:eastAsia="Times New Roman" w:hAnsi="Times New Roman" w:cs="Times New Roman"/>
              </w:rPr>
              <w:t>Placebo</w:t>
            </w:r>
          </w:p>
        </w:tc>
        <w:tc>
          <w:tcPr>
            <w:tcW w:w="1274" w:type="dxa"/>
            <w:vAlign w:val="center"/>
          </w:tcPr>
          <w:p w14:paraId="5AAA07FA" w14:textId="3715A9AD" w:rsidR="000F4EA9" w:rsidRPr="000F4EA9" w:rsidRDefault="00E018DF" w:rsidP="000F4EA9">
            <w:pPr>
              <w:rPr>
                <w:rFonts w:ascii="Times New Roman" w:eastAsia="Times New Roman" w:hAnsi="Times New Roman" w:cs="Times New Roman"/>
              </w:rPr>
            </w:pPr>
            <w:r>
              <w:rPr>
                <w:rFonts w:ascii="Times New Roman" w:eastAsia="Times New Roman" w:hAnsi="Times New Roman" w:cs="Times New Roman"/>
              </w:rPr>
              <w:t>n</w:t>
            </w:r>
            <w:r w:rsidR="000F4EA9" w:rsidRPr="000F4EA9">
              <w:rPr>
                <w:rFonts w:ascii="Times New Roman" w:eastAsia="Times New Roman" w:hAnsi="Times New Roman" w:cs="Times New Roman"/>
              </w:rPr>
              <w:t xml:space="preserve">intedanib 150 mg </w:t>
            </w:r>
            <w:r w:rsidR="000F4EA9">
              <w:rPr>
                <w:rFonts w:ascii="Times New Roman" w:eastAsia="Times New Roman" w:hAnsi="Times New Roman" w:cs="Times New Roman"/>
              </w:rPr>
              <w:t>napi kétszer</w:t>
            </w:r>
          </w:p>
        </w:tc>
        <w:tc>
          <w:tcPr>
            <w:tcW w:w="1136" w:type="dxa"/>
            <w:vAlign w:val="center"/>
          </w:tcPr>
          <w:p w14:paraId="4800E387" w14:textId="77777777" w:rsidR="000F4EA9" w:rsidRPr="000F4EA9" w:rsidRDefault="000F4EA9" w:rsidP="000F4EA9">
            <w:pPr>
              <w:rPr>
                <w:rFonts w:ascii="Times New Roman" w:eastAsia="Times New Roman" w:hAnsi="Times New Roman" w:cs="Times New Roman"/>
              </w:rPr>
            </w:pPr>
            <w:r w:rsidRPr="000F4EA9">
              <w:rPr>
                <w:rFonts w:ascii="Times New Roman" w:eastAsia="Times New Roman" w:hAnsi="Times New Roman" w:cs="Times New Roman"/>
              </w:rPr>
              <w:t>Placebo</w:t>
            </w:r>
          </w:p>
        </w:tc>
        <w:tc>
          <w:tcPr>
            <w:tcW w:w="1274" w:type="dxa"/>
            <w:vAlign w:val="center"/>
          </w:tcPr>
          <w:p w14:paraId="6525867C" w14:textId="551B2E02" w:rsidR="000F4EA9" w:rsidRPr="000F4EA9" w:rsidRDefault="00E018DF" w:rsidP="000F4EA9">
            <w:pPr>
              <w:rPr>
                <w:rFonts w:ascii="Times New Roman" w:eastAsia="Times New Roman" w:hAnsi="Times New Roman" w:cs="Times New Roman"/>
              </w:rPr>
            </w:pPr>
            <w:r>
              <w:rPr>
                <w:rFonts w:ascii="Times New Roman" w:eastAsia="Times New Roman" w:hAnsi="Times New Roman" w:cs="Times New Roman"/>
              </w:rPr>
              <w:t>n</w:t>
            </w:r>
            <w:r w:rsidR="000F4EA9" w:rsidRPr="000F4EA9">
              <w:rPr>
                <w:rFonts w:ascii="Times New Roman" w:eastAsia="Times New Roman" w:hAnsi="Times New Roman" w:cs="Times New Roman"/>
              </w:rPr>
              <w:t>intedanib 150 mg napi kétszer</w:t>
            </w:r>
          </w:p>
        </w:tc>
        <w:tc>
          <w:tcPr>
            <w:tcW w:w="1136" w:type="dxa"/>
            <w:vAlign w:val="center"/>
          </w:tcPr>
          <w:p w14:paraId="6BA53815" w14:textId="77777777" w:rsidR="000F4EA9" w:rsidRPr="000F4EA9" w:rsidRDefault="000F4EA9" w:rsidP="000F4EA9">
            <w:pPr>
              <w:rPr>
                <w:rFonts w:ascii="Times New Roman" w:eastAsia="Times New Roman" w:hAnsi="Times New Roman" w:cs="Times New Roman"/>
              </w:rPr>
            </w:pPr>
            <w:r w:rsidRPr="000F4EA9">
              <w:rPr>
                <w:rFonts w:ascii="Times New Roman" w:eastAsia="Times New Roman" w:hAnsi="Times New Roman" w:cs="Times New Roman"/>
              </w:rPr>
              <w:t>Placebo</w:t>
            </w:r>
          </w:p>
        </w:tc>
        <w:tc>
          <w:tcPr>
            <w:tcW w:w="1272" w:type="dxa"/>
            <w:vAlign w:val="center"/>
          </w:tcPr>
          <w:p w14:paraId="3C657331" w14:textId="0EC0EC9B" w:rsidR="000F4EA9" w:rsidRPr="000F4EA9" w:rsidRDefault="00E018DF" w:rsidP="000F4EA9">
            <w:pPr>
              <w:rPr>
                <w:rFonts w:ascii="Times New Roman" w:eastAsia="Times New Roman" w:hAnsi="Times New Roman" w:cs="Times New Roman"/>
              </w:rPr>
            </w:pPr>
            <w:r>
              <w:rPr>
                <w:rFonts w:ascii="Times New Roman" w:eastAsia="Times New Roman" w:hAnsi="Times New Roman" w:cs="Times New Roman"/>
              </w:rPr>
              <w:t>n</w:t>
            </w:r>
            <w:r w:rsidR="000F4EA9" w:rsidRPr="000F4EA9">
              <w:rPr>
                <w:rFonts w:ascii="Times New Roman" w:eastAsia="Times New Roman" w:hAnsi="Times New Roman" w:cs="Times New Roman"/>
              </w:rPr>
              <w:t>intedanib 150 mg napi kétszer</w:t>
            </w:r>
          </w:p>
        </w:tc>
      </w:tr>
      <w:tr w:rsidR="000F4EA9" w:rsidRPr="000F4EA9" w14:paraId="57BBB81E" w14:textId="77777777" w:rsidTr="00E0772D">
        <w:tc>
          <w:tcPr>
            <w:tcW w:w="1837" w:type="dxa"/>
          </w:tcPr>
          <w:p w14:paraId="0F49BD83" w14:textId="62244C52" w:rsidR="000F4EA9" w:rsidRPr="002E182A" w:rsidRDefault="000F4EA9" w:rsidP="004309AA">
            <w:pPr>
              <w:rPr>
                <w:rFonts w:ascii="Times New Roman" w:eastAsia="Times New Roman" w:hAnsi="Times New Roman" w:cs="Times New Roman"/>
                <w:lang w:val="de-DE"/>
              </w:rPr>
            </w:pPr>
            <w:r w:rsidRPr="002E182A">
              <w:rPr>
                <w:rFonts w:ascii="Times New Roman" w:eastAsia="Times New Roman" w:hAnsi="Times New Roman" w:cs="Times New Roman"/>
                <w:lang w:val="de-DE"/>
              </w:rPr>
              <w:t>Az elemzésbe</w:t>
            </w:r>
            <w:r w:rsidR="004309AA">
              <w:rPr>
                <w:rFonts w:ascii="Times New Roman" w:eastAsia="Times New Roman" w:hAnsi="Times New Roman" w:cs="Times New Roman"/>
                <w:lang w:val="de-DE"/>
              </w:rPr>
              <w:t xml:space="preserve"> </w:t>
            </w:r>
            <w:r w:rsidRPr="002E182A">
              <w:rPr>
                <w:rFonts w:ascii="Times New Roman" w:eastAsia="Times New Roman" w:hAnsi="Times New Roman" w:cs="Times New Roman"/>
                <w:lang w:val="de-DE"/>
              </w:rPr>
              <w:t>bevont betegek</w:t>
            </w:r>
            <w:r w:rsidR="004309AA">
              <w:rPr>
                <w:rFonts w:ascii="Times New Roman" w:eastAsia="Times New Roman" w:hAnsi="Times New Roman" w:cs="Times New Roman"/>
                <w:lang w:val="de-DE"/>
              </w:rPr>
              <w:t xml:space="preserve"> </w:t>
            </w:r>
            <w:r w:rsidRPr="002E182A">
              <w:rPr>
                <w:rFonts w:ascii="Times New Roman" w:eastAsia="Times New Roman" w:hAnsi="Times New Roman" w:cs="Times New Roman"/>
                <w:lang w:val="de-DE"/>
              </w:rPr>
              <w:t>száma</w:t>
            </w:r>
          </w:p>
        </w:tc>
        <w:tc>
          <w:tcPr>
            <w:tcW w:w="1135" w:type="dxa"/>
            <w:vAlign w:val="center"/>
          </w:tcPr>
          <w:p w14:paraId="1AF805DC" w14:textId="77777777"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204</w:t>
            </w:r>
          </w:p>
        </w:tc>
        <w:tc>
          <w:tcPr>
            <w:tcW w:w="1274" w:type="dxa"/>
            <w:vAlign w:val="center"/>
          </w:tcPr>
          <w:p w14:paraId="38059666" w14:textId="77777777"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309</w:t>
            </w:r>
          </w:p>
        </w:tc>
        <w:tc>
          <w:tcPr>
            <w:tcW w:w="1136" w:type="dxa"/>
            <w:vAlign w:val="center"/>
          </w:tcPr>
          <w:p w14:paraId="496799DA" w14:textId="77777777"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219</w:t>
            </w:r>
          </w:p>
        </w:tc>
        <w:tc>
          <w:tcPr>
            <w:tcW w:w="1274" w:type="dxa"/>
            <w:vAlign w:val="center"/>
          </w:tcPr>
          <w:p w14:paraId="26860F06" w14:textId="77777777"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329</w:t>
            </w:r>
          </w:p>
        </w:tc>
        <w:tc>
          <w:tcPr>
            <w:tcW w:w="1136" w:type="dxa"/>
            <w:vAlign w:val="center"/>
          </w:tcPr>
          <w:p w14:paraId="7FFB0FF3" w14:textId="77777777"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423</w:t>
            </w:r>
          </w:p>
        </w:tc>
        <w:tc>
          <w:tcPr>
            <w:tcW w:w="1272" w:type="dxa"/>
            <w:vAlign w:val="center"/>
          </w:tcPr>
          <w:p w14:paraId="5D9FD503" w14:textId="77777777"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638</w:t>
            </w:r>
          </w:p>
        </w:tc>
      </w:tr>
      <w:tr w:rsidR="000F4EA9" w:rsidRPr="000F4EA9" w14:paraId="479313DF" w14:textId="77777777" w:rsidTr="00E0772D">
        <w:tc>
          <w:tcPr>
            <w:tcW w:w="9064" w:type="dxa"/>
            <w:gridSpan w:val="7"/>
          </w:tcPr>
          <w:p w14:paraId="5793438B" w14:textId="5D01412F" w:rsidR="000F4EA9" w:rsidRPr="000F4EA9" w:rsidRDefault="000F4EA9" w:rsidP="000F4EA9">
            <w:pPr>
              <w:rPr>
                <w:rFonts w:ascii="Times New Roman" w:eastAsia="Times New Roman" w:hAnsi="Times New Roman" w:cs="Times New Roman"/>
                <w:b/>
                <w:bCs/>
              </w:rPr>
            </w:pPr>
            <w:r w:rsidRPr="000F4EA9">
              <w:rPr>
                <w:rFonts w:ascii="Times New Roman" w:eastAsia="Times New Roman" w:hAnsi="Times New Roman" w:cs="Times New Roman"/>
                <w:b/>
                <w:bCs/>
              </w:rPr>
              <w:t>5%</w:t>
            </w:r>
            <w:r>
              <w:rPr>
                <w:rFonts w:ascii="Times New Roman" w:eastAsia="Times New Roman" w:hAnsi="Times New Roman" w:cs="Times New Roman"/>
                <w:b/>
                <w:bCs/>
              </w:rPr>
              <w:t xml:space="preserve">-os </w:t>
            </w:r>
            <w:r w:rsidRPr="000F4EA9">
              <w:rPr>
                <w:rFonts w:ascii="Times New Roman" w:eastAsia="Times New Roman" w:hAnsi="Times New Roman" w:cs="Times New Roman"/>
                <w:b/>
                <w:bCs/>
              </w:rPr>
              <w:t>küszöbérték</w:t>
            </w:r>
          </w:p>
        </w:tc>
      </w:tr>
      <w:tr w:rsidR="000F4EA9" w:rsidRPr="000F4EA9" w14:paraId="01B41733" w14:textId="77777777" w:rsidTr="00E0772D">
        <w:tc>
          <w:tcPr>
            <w:tcW w:w="1837" w:type="dxa"/>
          </w:tcPr>
          <w:p w14:paraId="706E2CD2" w14:textId="15FB7F91" w:rsidR="000F4EA9" w:rsidRPr="002E182A" w:rsidRDefault="00413070" w:rsidP="00413070">
            <w:pPr>
              <w:rPr>
                <w:rFonts w:ascii="Times New Roman" w:eastAsia="Times New Roman" w:hAnsi="Times New Roman" w:cs="Times New Roman"/>
                <w:lang w:val="pl-PL"/>
              </w:rPr>
            </w:pPr>
            <w:r w:rsidRPr="002E182A">
              <w:rPr>
                <w:rFonts w:ascii="Times New Roman" w:eastAsia="Times New Roman" w:hAnsi="Times New Roman" w:cs="Times New Roman"/>
                <w:lang w:val="pl-PL"/>
              </w:rPr>
              <w:t>Az FVC-reszpon-derek</w:t>
            </w:r>
            <w:r w:rsidRPr="002E182A">
              <w:rPr>
                <w:rFonts w:ascii="Times New Roman" w:eastAsia="Times New Roman" w:hAnsi="Times New Roman" w:cs="Times New Roman"/>
                <w:vertAlign w:val="superscript"/>
                <w:lang w:val="pl-PL"/>
              </w:rPr>
              <w:t>1</w:t>
            </w:r>
            <w:r w:rsidRPr="002E182A">
              <w:rPr>
                <w:rFonts w:ascii="Times New Roman" w:eastAsia="Times New Roman" w:hAnsi="Times New Roman" w:cs="Times New Roman"/>
                <w:lang w:val="pl-PL"/>
              </w:rPr>
              <w:t xml:space="preserve"> száma (%)</w:t>
            </w:r>
          </w:p>
        </w:tc>
        <w:tc>
          <w:tcPr>
            <w:tcW w:w="1135" w:type="dxa"/>
            <w:vAlign w:val="center"/>
          </w:tcPr>
          <w:p w14:paraId="4DBA7A2F" w14:textId="2590DDD3"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78 (38</w:t>
            </w:r>
            <w:r w:rsidR="002F31D8">
              <w:rPr>
                <w:rFonts w:ascii="Times New Roman" w:eastAsia="Times New Roman" w:hAnsi="Times New Roman" w:cs="Times New Roman"/>
              </w:rPr>
              <w:t>,</w:t>
            </w:r>
            <w:r w:rsidRPr="000F4EA9">
              <w:rPr>
                <w:rFonts w:ascii="Times New Roman" w:eastAsia="Times New Roman" w:hAnsi="Times New Roman" w:cs="Times New Roman"/>
              </w:rPr>
              <w:t>2)</w:t>
            </w:r>
          </w:p>
        </w:tc>
        <w:tc>
          <w:tcPr>
            <w:tcW w:w="1274" w:type="dxa"/>
            <w:vAlign w:val="center"/>
          </w:tcPr>
          <w:p w14:paraId="05EE4DB2" w14:textId="419AC10B"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163 (52</w:t>
            </w:r>
            <w:r w:rsidR="002F31D8">
              <w:rPr>
                <w:rFonts w:ascii="Times New Roman" w:eastAsia="Times New Roman" w:hAnsi="Times New Roman" w:cs="Times New Roman"/>
              </w:rPr>
              <w:t>,</w:t>
            </w:r>
            <w:r w:rsidRPr="000F4EA9">
              <w:rPr>
                <w:rFonts w:ascii="Times New Roman" w:eastAsia="Times New Roman" w:hAnsi="Times New Roman" w:cs="Times New Roman"/>
              </w:rPr>
              <w:t>8)</w:t>
            </w:r>
          </w:p>
        </w:tc>
        <w:tc>
          <w:tcPr>
            <w:tcW w:w="1136" w:type="dxa"/>
            <w:vAlign w:val="center"/>
          </w:tcPr>
          <w:p w14:paraId="2227595E" w14:textId="68EC9138"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86 (39</w:t>
            </w:r>
            <w:r w:rsidR="002F31D8">
              <w:rPr>
                <w:rFonts w:ascii="Times New Roman" w:eastAsia="Times New Roman" w:hAnsi="Times New Roman" w:cs="Times New Roman"/>
              </w:rPr>
              <w:t>,</w:t>
            </w:r>
            <w:r w:rsidRPr="000F4EA9">
              <w:rPr>
                <w:rFonts w:ascii="Times New Roman" w:eastAsia="Times New Roman" w:hAnsi="Times New Roman" w:cs="Times New Roman"/>
              </w:rPr>
              <w:t>3)</w:t>
            </w:r>
          </w:p>
        </w:tc>
        <w:tc>
          <w:tcPr>
            <w:tcW w:w="1274" w:type="dxa"/>
            <w:vAlign w:val="center"/>
          </w:tcPr>
          <w:p w14:paraId="5A9C2B5C" w14:textId="568C0375"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175 (53</w:t>
            </w:r>
            <w:r w:rsidR="002F31D8">
              <w:rPr>
                <w:rFonts w:ascii="Times New Roman" w:eastAsia="Times New Roman" w:hAnsi="Times New Roman" w:cs="Times New Roman"/>
              </w:rPr>
              <w:t>,</w:t>
            </w:r>
            <w:r w:rsidRPr="000F4EA9">
              <w:rPr>
                <w:rFonts w:ascii="Times New Roman" w:eastAsia="Times New Roman" w:hAnsi="Times New Roman" w:cs="Times New Roman"/>
              </w:rPr>
              <w:t>2)</w:t>
            </w:r>
          </w:p>
        </w:tc>
        <w:tc>
          <w:tcPr>
            <w:tcW w:w="1136" w:type="dxa"/>
            <w:vAlign w:val="center"/>
          </w:tcPr>
          <w:p w14:paraId="34385BD0" w14:textId="546D91D8"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164 (38</w:t>
            </w:r>
            <w:r w:rsidR="002F31D8">
              <w:rPr>
                <w:rFonts w:ascii="Times New Roman" w:eastAsia="Times New Roman" w:hAnsi="Times New Roman" w:cs="Times New Roman"/>
              </w:rPr>
              <w:t>,</w:t>
            </w:r>
            <w:r w:rsidRPr="000F4EA9">
              <w:rPr>
                <w:rFonts w:ascii="Times New Roman" w:eastAsia="Times New Roman" w:hAnsi="Times New Roman" w:cs="Times New Roman"/>
              </w:rPr>
              <w:t>8)</w:t>
            </w:r>
          </w:p>
        </w:tc>
        <w:tc>
          <w:tcPr>
            <w:tcW w:w="1272" w:type="dxa"/>
            <w:vAlign w:val="center"/>
          </w:tcPr>
          <w:p w14:paraId="712709E9" w14:textId="0A80EC5B"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338 (53</w:t>
            </w:r>
            <w:r w:rsidR="002F31D8">
              <w:rPr>
                <w:rFonts w:ascii="Times New Roman" w:eastAsia="Times New Roman" w:hAnsi="Times New Roman" w:cs="Times New Roman"/>
              </w:rPr>
              <w:t>,</w:t>
            </w:r>
            <w:r w:rsidRPr="000F4EA9">
              <w:rPr>
                <w:rFonts w:ascii="Times New Roman" w:eastAsia="Times New Roman" w:hAnsi="Times New Roman" w:cs="Times New Roman"/>
              </w:rPr>
              <w:t>0)</w:t>
            </w:r>
          </w:p>
        </w:tc>
      </w:tr>
      <w:tr w:rsidR="000F4EA9" w:rsidRPr="000F4EA9" w14:paraId="6B0FFCF7" w14:textId="77777777" w:rsidTr="00E0772D">
        <w:tc>
          <w:tcPr>
            <w:tcW w:w="9064" w:type="dxa"/>
            <w:gridSpan w:val="7"/>
          </w:tcPr>
          <w:p w14:paraId="74EAB433" w14:textId="232CC492" w:rsidR="000F4EA9" w:rsidRPr="000F4EA9" w:rsidRDefault="00413070" w:rsidP="000F4EA9">
            <w:pPr>
              <w:rPr>
                <w:rFonts w:ascii="Times New Roman" w:eastAsia="Times New Roman" w:hAnsi="Times New Roman" w:cs="Times New Roman"/>
              </w:rPr>
            </w:pPr>
            <w:r w:rsidRPr="00413070">
              <w:rPr>
                <w:rFonts w:ascii="Times New Roman" w:eastAsia="Times New Roman" w:hAnsi="Times New Roman" w:cs="Times New Roman"/>
              </w:rPr>
              <w:t>Összehasonlítás placebóhoz képest</w:t>
            </w:r>
          </w:p>
        </w:tc>
      </w:tr>
      <w:tr w:rsidR="000F4EA9" w:rsidRPr="000F4EA9" w14:paraId="5178E83D" w14:textId="77777777" w:rsidTr="00E0772D">
        <w:tc>
          <w:tcPr>
            <w:tcW w:w="1837" w:type="dxa"/>
          </w:tcPr>
          <w:p w14:paraId="5F688AFC" w14:textId="2A42E6A4" w:rsidR="000F4EA9" w:rsidRPr="000F4EA9" w:rsidRDefault="00413070" w:rsidP="00413070">
            <w:pPr>
              <w:rPr>
                <w:rFonts w:ascii="Times New Roman" w:eastAsia="Times New Roman" w:hAnsi="Times New Roman" w:cs="Times New Roman"/>
              </w:rPr>
            </w:pPr>
            <w:r w:rsidRPr="00413070">
              <w:rPr>
                <w:rFonts w:ascii="Times New Roman" w:eastAsia="Times New Roman" w:hAnsi="Times New Roman" w:cs="Times New Roman"/>
              </w:rPr>
              <w:t>Esélyhányados</w:t>
            </w:r>
          </w:p>
        </w:tc>
        <w:tc>
          <w:tcPr>
            <w:tcW w:w="1135" w:type="dxa"/>
            <w:vAlign w:val="center"/>
          </w:tcPr>
          <w:p w14:paraId="48A8DE1B" w14:textId="77777777" w:rsidR="000F4EA9" w:rsidRPr="000F4EA9" w:rsidRDefault="000F4EA9" w:rsidP="000F4EA9">
            <w:pPr>
              <w:rPr>
                <w:rFonts w:ascii="Times New Roman" w:eastAsia="Times New Roman" w:hAnsi="Times New Roman" w:cs="Times New Roman"/>
              </w:rPr>
            </w:pPr>
          </w:p>
        </w:tc>
        <w:tc>
          <w:tcPr>
            <w:tcW w:w="1274" w:type="dxa"/>
            <w:vAlign w:val="center"/>
          </w:tcPr>
          <w:p w14:paraId="115D959E" w14:textId="0EF80D38"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1</w:t>
            </w:r>
            <w:r w:rsidR="009F44E3">
              <w:rPr>
                <w:rFonts w:ascii="Times New Roman" w:eastAsia="Times New Roman" w:hAnsi="Times New Roman" w:cs="Times New Roman"/>
              </w:rPr>
              <w:t>,</w:t>
            </w:r>
            <w:r w:rsidRPr="000F4EA9">
              <w:rPr>
                <w:rFonts w:ascii="Times New Roman" w:eastAsia="Times New Roman" w:hAnsi="Times New Roman" w:cs="Times New Roman"/>
              </w:rPr>
              <w:t>85</w:t>
            </w:r>
          </w:p>
        </w:tc>
        <w:tc>
          <w:tcPr>
            <w:tcW w:w="1136" w:type="dxa"/>
            <w:vAlign w:val="center"/>
          </w:tcPr>
          <w:p w14:paraId="4E417FC7" w14:textId="77777777" w:rsidR="000F4EA9" w:rsidRPr="000F4EA9" w:rsidRDefault="000F4EA9" w:rsidP="00531EEC">
            <w:pPr>
              <w:jc w:val="center"/>
              <w:rPr>
                <w:rFonts w:ascii="Times New Roman" w:eastAsia="Times New Roman" w:hAnsi="Times New Roman" w:cs="Times New Roman"/>
              </w:rPr>
            </w:pPr>
          </w:p>
        </w:tc>
        <w:tc>
          <w:tcPr>
            <w:tcW w:w="1274" w:type="dxa"/>
            <w:vAlign w:val="center"/>
          </w:tcPr>
          <w:p w14:paraId="41CFC3AB" w14:textId="5D1FCC9F"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1</w:t>
            </w:r>
            <w:r w:rsidR="009F44E3">
              <w:rPr>
                <w:rFonts w:ascii="Times New Roman" w:eastAsia="Times New Roman" w:hAnsi="Times New Roman" w:cs="Times New Roman"/>
              </w:rPr>
              <w:t>,</w:t>
            </w:r>
            <w:r w:rsidRPr="000F4EA9">
              <w:rPr>
                <w:rFonts w:ascii="Times New Roman" w:eastAsia="Times New Roman" w:hAnsi="Times New Roman" w:cs="Times New Roman"/>
              </w:rPr>
              <w:t>79</w:t>
            </w:r>
          </w:p>
        </w:tc>
        <w:tc>
          <w:tcPr>
            <w:tcW w:w="1136" w:type="dxa"/>
            <w:vAlign w:val="center"/>
          </w:tcPr>
          <w:p w14:paraId="5A9250CF" w14:textId="77777777" w:rsidR="000F4EA9" w:rsidRPr="000F4EA9" w:rsidRDefault="000F4EA9" w:rsidP="00531EEC">
            <w:pPr>
              <w:jc w:val="center"/>
              <w:rPr>
                <w:rFonts w:ascii="Times New Roman" w:eastAsia="Times New Roman" w:hAnsi="Times New Roman" w:cs="Times New Roman"/>
              </w:rPr>
            </w:pPr>
          </w:p>
        </w:tc>
        <w:tc>
          <w:tcPr>
            <w:tcW w:w="1272" w:type="dxa"/>
            <w:vAlign w:val="center"/>
          </w:tcPr>
          <w:p w14:paraId="3A32FF4C" w14:textId="27F9E134"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1</w:t>
            </w:r>
            <w:r w:rsidR="009F44E3">
              <w:rPr>
                <w:rFonts w:ascii="Times New Roman" w:eastAsia="Times New Roman" w:hAnsi="Times New Roman" w:cs="Times New Roman"/>
              </w:rPr>
              <w:t>,</w:t>
            </w:r>
            <w:r w:rsidRPr="000F4EA9">
              <w:rPr>
                <w:rFonts w:ascii="Times New Roman" w:eastAsia="Times New Roman" w:hAnsi="Times New Roman" w:cs="Times New Roman"/>
              </w:rPr>
              <w:t>84</w:t>
            </w:r>
          </w:p>
        </w:tc>
      </w:tr>
      <w:tr w:rsidR="000F4EA9" w:rsidRPr="000F4EA9" w14:paraId="03294FBA" w14:textId="77777777" w:rsidTr="00E0772D">
        <w:tc>
          <w:tcPr>
            <w:tcW w:w="1837" w:type="dxa"/>
          </w:tcPr>
          <w:p w14:paraId="26726000" w14:textId="6611B8B9" w:rsidR="000F4EA9" w:rsidRPr="000F4EA9" w:rsidRDefault="000F4EA9" w:rsidP="000F4EA9">
            <w:pPr>
              <w:rPr>
                <w:rFonts w:ascii="Times New Roman" w:eastAsia="Times New Roman" w:hAnsi="Times New Roman" w:cs="Times New Roman"/>
              </w:rPr>
            </w:pPr>
            <w:r w:rsidRPr="000F4EA9">
              <w:rPr>
                <w:rFonts w:ascii="Times New Roman" w:eastAsia="Times New Roman" w:hAnsi="Times New Roman" w:cs="Times New Roman"/>
              </w:rPr>
              <w:t>95%</w:t>
            </w:r>
            <w:r w:rsidR="00413070">
              <w:rPr>
                <w:rFonts w:ascii="Times New Roman" w:eastAsia="Times New Roman" w:hAnsi="Times New Roman" w:cs="Times New Roman"/>
              </w:rPr>
              <w:t>-os</w:t>
            </w:r>
            <w:r w:rsidRPr="000F4EA9">
              <w:rPr>
                <w:rFonts w:ascii="Times New Roman" w:eastAsia="Times New Roman" w:hAnsi="Times New Roman" w:cs="Times New Roman"/>
              </w:rPr>
              <w:t xml:space="preserve"> CI</w:t>
            </w:r>
          </w:p>
        </w:tc>
        <w:tc>
          <w:tcPr>
            <w:tcW w:w="1135" w:type="dxa"/>
            <w:vAlign w:val="center"/>
          </w:tcPr>
          <w:p w14:paraId="0CD9B2CD" w14:textId="77777777" w:rsidR="000F4EA9" w:rsidRPr="000F4EA9" w:rsidRDefault="000F4EA9" w:rsidP="000F4EA9">
            <w:pPr>
              <w:rPr>
                <w:rFonts w:ascii="Times New Roman" w:eastAsia="Times New Roman" w:hAnsi="Times New Roman" w:cs="Times New Roman"/>
              </w:rPr>
            </w:pPr>
          </w:p>
        </w:tc>
        <w:tc>
          <w:tcPr>
            <w:tcW w:w="1274" w:type="dxa"/>
            <w:vAlign w:val="center"/>
          </w:tcPr>
          <w:p w14:paraId="16AD0AF0" w14:textId="34632B7B"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(1</w:t>
            </w:r>
            <w:r w:rsidR="009F44E3">
              <w:rPr>
                <w:rFonts w:ascii="Times New Roman" w:eastAsia="Times New Roman" w:hAnsi="Times New Roman" w:cs="Times New Roman"/>
              </w:rPr>
              <w:t>,</w:t>
            </w:r>
            <w:r w:rsidRPr="000F4EA9">
              <w:rPr>
                <w:rFonts w:ascii="Times New Roman" w:eastAsia="Times New Roman" w:hAnsi="Times New Roman" w:cs="Times New Roman"/>
              </w:rPr>
              <w:t>28</w:t>
            </w:r>
            <w:r w:rsidR="009F44E3">
              <w:rPr>
                <w:rFonts w:ascii="Times New Roman" w:eastAsia="Times New Roman" w:hAnsi="Times New Roman" w:cs="Times New Roman"/>
              </w:rPr>
              <w:t>;</w:t>
            </w:r>
            <w:r w:rsidRPr="000F4EA9">
              <w:rPr>
                <w:rFonts w:ascii="Times New Roman" w:eastAsia="Times New Roman" w:hAnsi="Times New Roman" w:cs="Times New Roman"/>
              </w:rPr>
              <w:t xml:space="preserve"> 2</w:t>
            </w:r>
            <w:r w:rsidR="009F44E3">
              <w:rPr>
                <w:rFonts w:ascii="Times New Roman" w:eastAsia="Times New Roman" w:hAnsi="Times New Roman" w:cs="Times New Roman"/>
              </w:rPr>
              <w:t>,</w:t>
            </w:r>
            <w:r w:rsidRPr="000F4EA9">
              <w:rPr>
                <w:rFonts w:ascii="Times New Roman" w:eastAsia="Times New Roman" w:hAnsi="Times New Roman" w:cs="Times New Roman"/>
              </w:rPr>
              <w:t>66)</w:t>
            </w:r>
          </w:p>
        </w:tc>
        <w:tc>
          <w:tcPr>
            <w:tcW w:w="1136" w:type="dxa"/>
            <w:vAlign w:val="center"/>
          </w:tcPr>
          <w:p w14:paraId="07894FF7" w14:textId="77777777" w:rsidR="000F4EA9" w:rsidRPr="000F4EA9" w:rsidRDefault="000F4EA9" w:rsidP="00531EEC">
            <w:pPr>
              <w:jc w:val="center"/>
              <w:rPr>
                <w:rFonts w:ascii="Times New Roman" w:eastAsia="Times New Roman" w:hAnsi="Times New Roman" w:cs="Times New Roman"/>
              </w:rPr>
            </w:pPr>
          </w:p>
        </w:tc>
        <w:tc>
          <w:tcPr>
            <w:tcW w:w="1274" w:type="dxa"/>
            <w:vAlign w:val="center"/>
          </w:tcPr>
          <w:p w14:paraId="39CD61BD" w14:textId="6E8F48F0"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(1</w:t>
            </w:r>
            <w:r w:rsidR="009F44E3">
              <w:rPr>
                <w:rFonts w:ascii="Times New Roman" w:eastAsia="Times New Roman" w:hAnsi="Times New Roman" w:cs="Times New Roman"/>
              </w:rPr>
              <w:t>,</w:t>
            </w:r>
            <w:r w:rsidRPr="000F4EA9">
              <w:rPr>
                <w:rFonts w:ascii="Times New Roman" w:eastAsia="Times New Roman" w:hAnsi="Times New Roman" w:cs="Times New Roman"/>
              </w:rPr>
              <w:t>26</w:t>
            </w:r>
            <w:r w:rsidR="009F44E3">
              <w:rPr>
                <w:rFonts w:ascii="Times New Roman" w:eastAsia="Times New Roman" w:hAnsi="Times New Roman" w:cs="Times New Roman"/>
              </w:rPr>
              <w:t>;</w:t>
            </w:r>
            <w:r w:rsidRPr="000F4EA9">
              <w:rPr>
                <w:rFonts w:ascii="Times New Roman" w:eastAsia="Times New Roman" w:hAnsi="Times New Roman" w:cs="Times New Roman"/>
              </w:rPr>
              <w:t xml:space="preserve"> 2</w:t>
            </w:r>
            <w:r w:rsidR="009F44E3">
              <w:rPr>
                <w:rFonts w:ascii="Times New Roman" w:eastAsia="Times New Roman" w:hAnsi="Times New Roman" w:cs="Times New Roman"/>
              </w:rPr>
              <w:t>,</w:t>
            </w:r>
            <w:r w:rsidRPr="000F4EA9">
              <w:rPr>
                <w:rFonts w:ascii="Times New Roman" w:eastAsia="Times New Roman" w:hAnsi="Times New Roman" w:cs="Times New Roman"/>
              </w:rPr>
              <w:t>55)</w:t>
            </w:r>
          </w:p>
        </w:tc>
        <w:tc>
          <w:tcPr>
            <w:tcW w:w="1136" w:type="dxa"/>
            <w:vAlign w:val="center"/>
          </w:tcPr>
          <w:p w14:paraId="172B738B" w14:textId="77777777" w:rsidR="000F4EA9" w:rsidRPr="000F4EA9" w:rsidRDefault="000F4EA9" w:rsidP="00531EEC">
            <w:pPr>
              <w:jc w:val="center"/>
              <w:rPr>
                <w:rFonts w:ascii="Times New Roman" w:eastAsia="Times New Roman" w:hAnsi="Times New Roman" w:cs="Times New Roman"/>
              </w:rPr>
            </w:pPr>
          </w:p>
        </w:tc>
        <w:tc>
          <w:tcPr>
            <w:tcW w:w="1272" w:type="dxa"/>
            <w:vAlign w:val="center"/>
          </w:tcPr>
          <w:p w14:paraId="78FC53D7" w14:textId="495EAE7F"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(1</w:t>
            </w:r>
            <w:r w:rsidR="009F44E3">
              <w:rPr>
                <w:rFonts w:ascii="Times New Roman" w:eastAsia="Times New Roman" w:hAnsi="Times New Roman" w:cs="Times New Roman"/>
              </w:rPr>
              <w:t>,</w:t>
            </w:r>
            <w:r w:rsidRPr="000F4EA9">
              <w:rPr>
                <w:rFonts w:ascii="Times New Roman" w:eastAsia="Times New Roman" w:hAnsi="Times New Roman" w:cs="Times New Roman"/>
              </w:rPr>
              <w:t>43</w:t>
            </w:r>
            <w:r w:rsidR="009F44E3">
              <w:rPr>
                <w:rFonts w:ascii="Times New Roman" w:eastAsia="Times New Roman" w:hAnsi="Times New Roman" w:cs="Times New Roman"/>
              </w:rPr>
              <w:t>;</w:t>
            </w:r>
            <w:r w:rsidRPr="000F4EA9">
              <w:rPr>
                <w:rFonts w:ascii="Times New Roman" w:eastAsia="Times New Roman" w:hAnsi="Times New Roman" w:cs="Times New Roman"/>
              </w:rPr>
              <w:t xml:space="preserve"> 2</w:t>
            </w:r>
            <w:r w:rsidR="009F44E3">
              <w:rPr>
                <w:rFonts w:ascii="Times New Roman" w:eastAsia="Times New Roman" w:hAnsi="Times New Roman" w:cs="Times New Roman"/>
              </w:rPr>
              <w:t>,</w:t>
            </w:r>
            <w:r w:rsidRPr="000F4EA9">
              <w:rPr>
                <w:rFonts w:ascii="Times New Roman" w:eastAsia="Times New Roman" w:hAnsi="Times New Roman" w:cs="Times New Roman"/>
              </w:rPr>
              <w:t>36)</w:t>
            </w:r>
          </w:p>
        </w:tc>
      </w:tr>
      <w:tr w:rsidR="000F4EA9" w:rsidRPr="000F4EA9" w14:paraId="35B84403" w14:textId="77777777" w:rsidTr="00E0772D">
        <w:tc>
          <w:tcPr>
            <w:tcW w:w="1837" w:type="dxa"/>
          </w:tcPr>
          <w:p w14:paraId="62E44658" w14:textId="6E6D64BB" w:rsidR="000F4EA9" w:rsidRPr="000F4EA9" w:rsidRDefault="000F4EA9" w:rsidP="000F4EA9">
            <w:pPr>
              <w:rPr>
                <w:rFonts w:ascii="Times New Roman" w:eastAsia="Times New Roman" w:hAnsi="Times New Roman" w:cs="Times New Roman"/>
              </w:rPr>
            </w:pPr>
            <w:r w:rsidRPr="000F4EA9">
              <w:rPr>
                <w:rFonts w:ascii="Times New Roman" w:eastAsia="Times New Roman" w:hAnsi="Times New Roman" w:cs="Times New Roman"/>
              </w:rPr>
              <w:t>p-</w:t>
            </w:r>
            <w:r w:rsidR="00413070">
              <w:rPr>
                <w:rFonts w:ascii="Times New Roman" w:eastAsia="Times New Roman" w:hAnsi="Times New Roman" w:cs="Times New Roman"/>
              </w:rPr>
              <w:t>érték</w:t>
            </w:r>
            <w:r w:rsidRPr="000F4EA9">
              <w:rPr>
                <w:rFonts w:ascii="Times New Roman" w:eastAsia="Times New Roman" w:hAnsi="Times New Roman" w:cs="Times New Roman"/>
                <w:vertAlign w:val="superscript"/>
              </w:rPr>
              <w:t>2</w:t>
            </w:r>
          </w:p>
        </w:tc>
        <w:tc>
          <w:tcPr>
            <w:tcW w:w="1135" w:type="dxa"/>
            <w:vAlign w:val="center"/>
          </w:tcPr>
          <w:p w14:paraId="6A6B8B84" w14:textId="77777777" w:rsidR="000F4EA9" w:rsidRPr="000F4EA9" w:rsidRDefault="000F4EA9" w:rsidP="000F4EA9">
            <w:pPr>
              <w:rPr>
                <w:rFonts w:ascii="Times New Roman" w:eastAsia="Times New Roman" w:hAnsi="Times New Roman" w:cs="Times New Roman"/>
              </w:rPr>
            </w:pPr>
          </w:p>
        </w:tc>
        <w:tc>
          <w:tcPr>
            <w:tcW w:w="1274" w:type="dxa"/>
            <w:vAlign w:val="center"/>
          </w:tcPr>
          <w:p w14:paraId="3AD426DD" w14:textId="505917D3"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0</w:t>
            </w:r>
            <w:r w:rsidR="009F44E3">
              <w:rPr>
                <w:rFonts w:ascii="Times New Roman" w:eastAsia="Times New Roman" w:hAnsi="Times New Roman" w:cs="Times New Roman"/>
              </w:rPr>
              <w:t>,</w:t>
            </w:r>
            <w:r w:rsidRPr="000F4EA9">
              <w:rPr>
                <w:rFonts w:ascii="Times New Roman" w:eastAsia="Times New Roman" w:hAnsi="Times New Roman" w:cs="Times New Roman"/>
              </w:rPr>
              <w:t>0010</w:t>
            </w:r>
          </w:p>
        </w:tc>
        <w:tc>
          <w:tcPr>
            <w:tcW w:w="1136" w:type="dxa"/>
            <w:vAlign w:val="center"/>
          </w:tcPr>
          <w:p w14:paraId="77E3B2F0" w14:textId="77777777" w:rsidR="000F4EA9" w:rsidRPr="000F4EA9" w:rsidRDefault="000F4EA9" w:rsidP="00531EEC">
            <w:pPr>
              <w:jc w:val="center"/>
              <w:rPr>
                <w:rFonts w:ascii="Times New Roman" w:eastAsia="Times New Roman" w:hAnsi="Times New Roman" w:cs="Times New Roman"/>
              </w:rPr>
            </w:pPr>
          </w:p>
        </w:tc>
        <w:tc>
          <w:tcPr>
            <w:tcW w:w="1274" w:type="dxa"/>
            <w:vAlign w:val="center"/>
          </w:tcPr>
          <w:p w14:paraId="7554AC67" w14:textId="04F3E3C1"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0</w:t>
            </w:r>
            <w:r w:rsidR="009F44E3">
              <w:rPr>
                <w:rFonts w:ascii="Times New Roman" w:eastAsia="Times New Roman" w:hAnsi="Times New Roman" w:cs="Times New Roman"/>
              </w:rPr>
              <w:t>,</w:t>
            </w:r>
            <w:r w:rsidRPr="000F4EA9">
              <w:rPr>
                <w:rFonts w:ascii="Times New Roman" w:eastAsia="Times New Roman" w:hAnsi="Times New Roman" w:cs="Times New Roman"/>
              </w:rPr>
              <w:t>0011</w:t>
            </w:r>
          </w:p>
        </w:tc>
        <w:tc>
          <w:tcPr>
            <w:tcW w:w="1136" w:type="dxa"/>
            <w:vAlign w:val="center"/>
          </w:tcPr>
          <w:p w14:paraId="4C66D823" w14:textId="77777777" w:rsidR="000F4EA9" w:rsidRPr="000F4EA9" w:rsidRDefault="000F4EA9" w:rsidP="00531EEC">
            <w:pPr>
              <w:jc w:val="center"/>
              <w:rPr>
                <w:rFonts w:ascii="Times New Roman" w:eastAsia="Times New Roman" w:hAnsi="Times New Roman" w:cs="Times New Roman"/>
              </w:rPr>
            </w:pPr>
          </w:p>
        </w:tc>
        <w:tc>
          <w:tcPr>
            <w:tcW w:w="1272" w:type="dxa"/>
            <w:vAlign w:val="center"/>
          </w:tcPr>
          <w:p w14:paraId="207EA623" w14:textId="1B751E62"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&lt;0</w:t>
            </w:r>
            <w:r w:rsidR="009F44E3">
              <w:rPr>
                <w:rFonts w:ascii="Times New Roman" w:eastAsia="Times New Roman" w:hAnsi="Times New Roman" w:cs="Times New Roman"/>
              </w:rPr>
              <w:t>,</w:t>
            </w:r>
            <w:r w:rsidRPr="000F4EA9">
              <w:rPr>
                <w:rFonts w:ascii="Times New Roman" w:eastAsia="Times New Roman" w:hAnsi="Times New Roman" w:cs="Times New Roman"/>
              </w:rPr>
              <w:t>0001</w:t>
            </w:r>
          </w:p>
        </w:tc>
      </w:tr>
      <w:tr w:rsidR="000F4EA9" w:rsidRPr="000F4EA9" w14:paraId="5C7938C5" w14:textId="77777777" w:rsidTr="00E0772D">
        <w:tc>
          <w:tcPr>
            <w:tcW w:w="9064" w:type="dxa"/>
            <w:gridSpan w:val="7"/>
          </w:tcPr>
          <w:p w14:paraId="791602E0" w14:textId="4137BECD" w:rsidR="000F4EA9" w:rsidRPr="000F4EA9" w:rsidRDefault="000F4EA9" w:rsidP="000F4EA9">
            <w:pPr>
              <w:rPr>
                <w:rFonts w:ascii="Times New Roman" w:eastAsia="Times New Roman" w:hAnsi="Times New Roman" w:cs="Times New Roman"/>
              </w:rPr>
            </w:pPr>
            <w:r w:rsidRPr="000F4EA9">
              <w:rPr>
                <w:rFonts w:ascii="Times New Roman" w:eastAsia="Times New Roman" w:hAnsi="Times New Roman" w:cs="Times New Roman"/>
                <w:b/>
                <w:bCs/>
              </w:rPr>
              <w:t>10%</w:t>
            </w:r>
            <w:r>
              <w:rPr>
                <w:rFonts w:ascii="Times New Roman" w:eastAsia="Times New Roman" w:hAnsi="Times New Roman" w:cs="Times New Roman"/>
                <w:b/>
                <w:bCs/>
              </w:rPr>
              <w:t xml:space="preserve">-os </w:t>
            </w:r>
            <w:r w:rsidRPr="000F4EA9">
              <w:rPr>
                <w:rFonts w:ascii="Times New Roman" w:eastAsia="Times New Roman" w:hAnsi="Times New Roman" w:cs="Times New Roman"/>
                <w:b/>
                <w:bCs/>
              </w:rPr>
              <w:t>küszöbérték</w:t>
            </w:r>
          </w:p>
        </w:tc>
      </w:tr>
      <w:tr w:rsidR="000F4EA9" w:rsidRPr="000F4EA9" w14:paraId="3D76DD3F" w14:textId="77777777" w:rsidTr="00E0772D">
        <w:tc>
          <w:tcPr>
            <w:tcW w:w="1837" w:type="dxa"/>
          </w:tcPr>
          <w:p w14:paraId="3183BEE6" w14:textId="5E76A286" w:rsidR="000F4EA9" w:rsidRPr="002E182A" w:rsidRDefault="00413070" w:rsidP="00413070">
            <w:pPr>
              <w:rPr>
                <w:rFonts w:ascii="Times New Roman" w:eastAsia="Times New Roman" w:hAnsi="Times New Roman" w:cs="Times New Roman"/>
                <w:lang w:val="pl-PL"/>
              </w:rPr>
            </w:pPr>
            <w:r w:rsidRPr="002E182A">
              <w:rPr>
                <w:rFonts w:ascii="Times New Roman" w:eastAsia="Times New Roman" w:hAnsi="Times New Roman" w:cs="Times New Roman"/>
                <w:lang w:val="pl-PL"/>
              </w:rPr>
              <w:t>Az FVC-reszpon-derek</w:t>
            </w:r>
            <w:r w:rsidRPr="002E182A">
              <w:rPr>
                <w:rFonts w:ascii="Times New Roman" w:eastAsia="Times New Roman" w:hAnsi="Times New Roman" w:cs="Times New Roman"/>
                <w:vertAlign w:val="superscript"/>
                <w:lang w:val="pl-PL"/>
              </w:rPr>
              <w:t>1</w:t>
            </w:r>
            <w:r w:rsidRPr="002E182A">
              <w:rPr>
                <w:rFonts w:ascii="Times New Roman" w:eastAsia="Times New Roman" w:hAnsi="Times New Roman" w:cs="Times New Roman"/>
                <w:lang w:val="pl-PL"/>
              </w:rPr>
              <w:t xml:space="preserve"> száma (%)</w:t>
            </w:r>
          </w:p>
        </w:tc>
        <w:tc>
          <w:tcPr>
            <w:tcW w:w="1135" w:type="dxa"/>
            <w:vAlign w:val="center"/>
          </w:tcPr>
          <w:p w14:paraId="263F5586" w14:textId="771B6313"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116 (56</w:t>
            </w:r>
            <w:r w:rsidR="009F44E3">
              <w:rPr>
                <w:rFonts w:ascii="Times New Roman" w:eastAsia="Times New Roman" w:hAnsi="Times New Roman" w:cs="Times New Roman"/>
              </w:rPr>
              <w:t>,</w:t>
            </w:r>
            <w:r w:rsidRPr="000F4EA9">
              <w:rPr>
                <w:rFonts w:ascii="Times New Roman" w:eastAsia="Times New Roman" w:hAnsi="Times New Roman" w:cs="Times New Roman"/>
              </w:rPr>
              <w:t>9)</w:t>
            </w:r>
          </w:p>
        </w:tc>
        <w:tc>
          <w:tcPr>
            <w:tcW w:w="1274" w:type="dxa"/>
            <w:vAlign w:val="center"/>
          </w:tcPr>
          <w:p w14:paraId="66C0B298" w14:textId="70B4C90F"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218 (70</w:t>
            </w:r>
            <w:r w:rsidR="009F44E3">
              <w:rPr>
                <w:rFonts w:ascii="Times New Roman" w:eastAsia="Times New Roman" w:hAnsi="Times New Roman" w:cs="Times New Roman"/>
              </w:rPr>
              <w:t>,</w:t>
            </w:r>
            <w:r w:rsidRPr="000F4EA9">
              <w:rPr>
                <w:rFonts w:ascii="Times New Roman" w:eastAsia="Times New Roman" w:hAnsi="Times New Roman" w:cs="Times New Roman"/>
              </w:rPr>
              <w:t>6)</w:t>
            </w:r>
          </w:p>
        </w:tc>
        <w:tc>
          <w:tcPr>
            <w:tcW w:w="1136" w:type="dxa"/>
            <w:vAlign w:val="center"/>
          </w:tcPr>
          <w:p w14:paraId="099064E9" w14:textId="629239B6"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140 (63</w:t>
            </w:r>
            <w:r w:rsidR="009F44E3">
              <w:rPr>
                <w:rFonts w:ascii="Times New Roman" w:eastAsia="Times New Roman" w:hAnsi="Times New Roman" w:cs="Times New Roman"/>
              </w:rPr>
              <w:t>,</w:t>
            </w:r>
            <w:r w:rsidRPr="000F4EA9">
              <w:rPr>
                <w:rFonts w:ascii="Times New Roman" w:eastAsia="Times New Roman" w:hAnsi="Times New Roman" w:cs="Times New Roman"/>
              </w:rPr>
              <w:t>9)</w:t>
            </w:r>
          </w:p>
        </w:tc>
        <w:tc>
          <w:tcPr>
            <w:tcW w:w="1274" w:type="dxa"/>
            <w:vAlign w:val="center"/>
          </w:tcPr>
          <w:p w14:paraId="037C0382" w14:textId="1EBCDF4C"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229 (69</w:t>
            </w:r>
            <w:r w:rsidR="009F44E3">
              <w:rPr>
                <w:rFonts w:ascii="Times New Roman" w:eastAsia="Times New Roman" w:hAnsi="Times New Roman" w:cs="Times New Roman"/>
              </w:rPr>
              <w:t>,</w:t>
            </w:r>
            <w:r w:rsidRPr="000F4EA9">
              <w:rPr>
                <w:rFonts w:ascii="Times New Roman" w:eastAsia="Times New Roman" w:hAnsi="Times New Roman" w:cs="Times New Roman"/>
              </w:rPr>
              <w:t>6)</w:t>
            </w:r>
          </w:p>
        </w:tc>
        <w:tc>
          <w:tcPr>
            <w:tcW w:w="1136" w:type="dxa"/>
            <w:vAlign w:val="center"/>
          </w:tcPr>
          <w:p w14:paraId="479F42EE" w14:textId="4ECF3AD4"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256 (60</w:t>
            </w:r>
            <w:r w:rsidR="009F44E3">
              <w:rPr>
                <w:rFonts w:ascii="Times New Roman" w:eastAsia="Times New Roman" w:hAnsi="Times New Roman" w:cs="Times New Roman"/>
              </w:rPr>
              <w:t>,</w:t>
            </w:r>
            <w:r w:rsidRPr="000F4EA9">
              <w:rPr>
                <w:rFonts w:ascii="Times New Roman" w:eastAsia="Times New Roman" w:hAnsi="Times New Roman" w:cs="Times New Roman"/>
              </w:rPr>
              <w:t>5)</w:t>
            </w:r>
          </w:p>
        </w:tc>
        <w:tc>
          <w:tcPr>
            <w:tcW w:w="1272" w:type="dxa"/>
            <w:vAlign w:val="center"/>
          </w:tcPr>
          <w:p w14:paraId="43D780D9" w14:textId="7F10B725"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447 (70</w:t>
            </w:r>
            <w:r w:rsidR="009F44E3">
              <w:rPr>
                <w:rFonts w:ascii="Times New Roman" w:eastAsia="Times New Roman" w:hAnsi="Times New Roman" w:cs="Times New Roman"/>
              </w:rPr>
              <w:t>,</w:t>
            </w:r>
            <w:r w:rsidRPr="000F4EA9">
              <w:rPr>
                <w:rFonts w:ascii="Times New Roman" w:eastAsia="Times New Roman" w:hAnsi="Times New Roman" w:cs="Times New Roman"/>
              </w:rPr>
              <w:t>1)</w:t>
            </w:r>
          </w:p>
        </w:tc>
      </w:tr>
      <w:tr w:rsidR="000F4EA9" w:rsidRPr="000F4EA9" w14:paraId="29A88200" w14:textId="77777777" w:rsidTr="00E0772D">
        <w:tc>
          <w:tcPr>
            <w:tcW w:w="9064" w:type="dxa"/>
            <w:gridSpan w:val="7"/>
          </w:tcPr>
          <w:p w14:paraId="1412A09E" w14:textId="5C6E85C1" w:rsidR="000F4EA9" w:rsidRPr="000F4EA9" w:rsidRDefault="00413070" w:rsidP="000F4EA9">
            <w:pPr>
              <w:rPr>
                <w:rFonts w:ascii="Times New Roman" w:eastAsia="Times New Roman" w:hAnsi="Times New Roman" w:cs="Times New Roman"/>
              </w:rPr>
            </w:pPr>
            <w:r w:rsidRPr="00413070">
              <w:rPr>
                <w:rFonts w:ascii="Times New Roman" w:eastAsia="Times New Roman" w:hAnsi="Times New Roman" w:cs="Times New Roman"/>
              </w:rPr>
              <w:t>Összehasonlítás placebóhoz képest</w:t>
            </w:r>
          </w:p>
        </w:tc>
      </w:tr>
      <w:tr w:rsidR="000F4EA9" w:rsidRPr="000F4EA9" w14:paraId="2FB31FA3" w14:textId="77777777" w:rsidTr="00E0772D">
        <w:tc>
          <w:tcPr>
            <w:tcW w:w="1837" w:type="dxa"/>
          </w:tcPr>
          <w:p w14:paraId="4090011B" w14:textId="37D1CF74" w:rsidR="000F4EA9" w:rsidRPr="000F4EA9" w:rsidRDefault="00413070" w:rsidP="000F4EA9">
            <w:pPr>
              <w:rPr>
                <w:rFonts w:ascii="Times New Roman" w:eastAsia="Times New Roman" w:hAnsi="Times New Roman" w:cs="Times New Roman"/>
              </w:rPr>
            </w:pPr>
            <w:r w:rsidRPr="00413070">
              <w:rPr>
                <w:rFonts w:ascii="Times New Roman" w:eastAsia="Times New Roman" w:hAnsi="Times New Roman" w:cs="Times New Roman"/>
              </w:rPr>
              <w:t>Esélyhányados</w:t>
            </w:r>
          </w:p>
        </w:tc>
        <w:tc>
          <w:tcPr>
            <w:tcW w:w="1135" w:type="dxa"/>
            <w:vAlign w:val="center"/>
          </w:tcPr>
          <w:p w14:paraId="6F87511B" w14:textId="77777777" w:rsidR="000F4EA9" w:rsidRPr="000F4EA9" w:rsidRDefault="000F4EA9" w:rsidP="000F4EA9">
            <w:pPr>
              <w:rPr>
                <w:rFonts w:ascii="Times New Roman" w:eastAsia="Times New Roman" w:hAnsi="Times New Roman" w:cs="Times New Roman"/>
              </w:rPr>
            </w:pPr>
          </w:p>
        </w:tc>
        <w:tc>
          <w:tcPr>
            <w:tcW w:w="1274" w:type="dxa"/>
            <w:vAlign w:val="center"/>
          </w:tcPr>
          <w:p w14:paraId="353F7305" w14:textId="3F4F085E"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1</w:t>
            </w:r>
            <w:r w:rsidR="009F44E3">
              <w:rPr>
                <w:rFonts w:ascii="Times New Roman" w:eastAsia="Times New Roman" w:hAnsi="Times New Roman" w:cs="Times New Roman"/>
              </w:rPr>
              <w:t>,</w:t>
            </w:r>
            <w:r w:rsidRPr="000F4EA9">
              <w:rPr>
                <w:rFonts w:ascii="Times New Roman" w:eastAsia="Times New Roman" w:hAnsi="Times New Roman" w:cs="Times New Roman"/>
              </w:rPr>
              <w:t>91</w:t>
            </w:r>
          </w:p>
        </w:tc>
        <w:tc>
          <w:tcPr>
            <w:tcW w:w="1136" w:type="dxa"/>
            <w:vAlign w:val="center"/>
          </w:tcPr>
          <w:p w14:paraId="5E2C442E" w14:textId="77777777" w:rsidR="000F4EA9" w:rsidRPr="000F4EA9" w:rsidRDefault="000F4EA9" w:rsidP="00531EEC">
            <w:pPr>
              <w:jc w:val="center"/>
              <w:rPr>
                <w:rFonts w:ascii="Times New Roman" w:eastAsia="Times New Roman" w:hAnsi="Times New Roman" w:cs="Times New Roman"/>
              </w:rPr>
            </w:pPr>
          </w:p>
        </w:tc>
        <w:tc>
          <w:tcPr>
            <w:tcW w:w="1274" w:type="dxa"/>
            <w:vAlign w:val="center"/>
          </w:tcPr>
          <w:p w14:paraId="63408FD8" w14:textId="5600D6CA"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1</w:t>
            </w:r>
            <w:r w:rsidR="009F44E3">
              <w:rPr>
                <w:rFonts w:ascii="Times New Roman" w:eastAsia="Times New Roman" w:hAnsi="Times New Roman" w:cs="Times New Roman"/>
              </w:rPr>
              <w:t>,</w:t>
            </w:r>
            <w:r w:rsidRPr="000F4EA9">
              <w:rPr>
                <w:rFonts w:ascii="Times New Roman" w:eastAsia="Times New Roman" w:hAnsi="Times New Roman" w:cs="Times New Roman"/>
              </w:rPr>
              <w:t>29</w:t>
            </w:r>
          </w:p>
        </w:tc>
        <w:tc>
          <w:tcPr>
            <w:tcW w:w="1136" w:type="dxa"/>
            <w:vAlign w:val="center"/>
          </w:tcPr>
          <w:p w14:paraId="3EDB4A54" w14:textId="77777777" w:rsidR="000F4EA9" w:rsidRPr="000F4EA9" w:rsidRDefault="000F4EA9" w:rsidP="00531EEC">
            <w:pPr>
              <w:jc w:val="center"/>
              <w:rPr>
                <w:rFonts w:ascii="Times New Roman" w:eastAsia="Times New Roman" w:hAnsi="Times New Roman" w:cs="Times New Roman"/>
              </w:rPr>
            </w:pPr>
          </w:p>
        </w:tc>
        <w:tc>
          <w:tcPr>
            <w:tcW w:w="1272" w:type="dxa"/>
            <w:vAlign w:val="center"/>
          </w:tcPr>
          <w:p w14:paraId="7DBF51D4" w14:textId="793CD8A6" w:rsidR="000F4EA9" w:rsidRPr="000F4EA9" w:rsidRDefault="000F4EA9" w:rsidP="00531EEC">
            <w:pPr>
              <w:jc w:val="center"/>
              <w:rPr>
                <w:rFonts w:ascii="Times New Roman" w:eastAsia="Times New Roman" w:hAnsi="Times New Roman" w:cs="Times New Roman"/>
              </w:rPr>
            </w:pPr>
            <w:r w:rsidRPr="000F4EA9">
              <w:rPr>
                <w:rFonts w:ascii="Times New Roman" w:eastAsia="Times New Roman" w:hAnsi="Times New Roman" w:cs="Times New Roman"/>
              </w:rPr>
              <w:t>1</w:t>
            </w:r>
            <w:r w:rsidR="009F44E3">
              <w:rPr>
                <w:rFonts w:ascii="Times New Roman" w:eastAsia="Times New Roman" w:hAnsi="Times New Roman" w:cs="Times New Roman"/>
              </w:rPr>
              <w:t>,</w:t>
            </w:r>
            <w:r w:rsidRPr="000F4EA9">
              <w:rPr>
                <w:rFonts w:ascii="Times New Roman" w:eastAsia="Times New Roman" w:hAnsi="Times New Roman" w:cs="Times New Roman"/>
              </w:rPr>
              <w:t>58</w:t>
            </w:r>
          </w:p>
        </w:tc>
      </w:tr>
      <w:tr w:rsidR="000F4EA9" w:rsidRPr="000F4EA9" w14:paraId="0EA5A8B5" w14:textId="77777777" w:rsidTr="00E0772D">
        <w:tc>
          <w:tcPr>
            <w:tcW w:w="1837" w:type="dxa"/>
          </w:tcPr>
          <w:p w14:paraId="05D1802B" w14:textId="6CFDA42B" w:rsidR="000F4EA9" w:rsidRPr="000F4EA9" w:rsidRDefault="000F4EA9" w:rsidP="000F4EA9">
            <w:pPr>
              <w:rPr>
                <w:rFonts w:ascii="Times New Roman" w:eastAsia="Times New Roman" w:hAnsi="Times New Roman" w:cs="Times New Roman"/>
              </w:rPr>
            </w:pPr>
            <w:r w:rsidRPr="000F4EA9">
              <w:rPr>
                <w:rFonts w:ascii="Times New Roman" w:eastAsia="Times New Roman" w:hAnsi="Times New Roman" w:cs="Times New Roman"/>
              </w:rPr>
              <w:t>95%</w:t>
            </w:r>
            <w:r w:rsidR="00413070">
              <w:rPr>
                <w:rFonts w:ascii="Times New Roman" w:eastAsia="Times New Roman" w:hAnsi="Times New Roman" w:cs="Times New Roman"/>
              </w:rPr>
              <w:t>-os</w:t>
            </w:r>
            <w:r w:rsidRPr="000F4EA9">
              <w:rPr>
                <w:rFonts w:ascii="Times New Roman" w:eastAsia="Times New Roman" w:hAnsi="Times New Roman" w:cs="Times New Roman"/>
              </w:rPr>
              <w:t xml:space="preserve"> CI</w:t>
            </w:r>
          </w:p>
        </w:tc>
        <w:tc>
          <w:tcPr>
            <w:tcW w:w="1135" w:type="dxa"/>
            <w:vAlign w:val="center"/>
          </w:tcPr>
          <w:p w14:paraId="512E9DD4" w14:textId="77777777" w:rsidR="000F4EA9" w:rsidRPr="000F4EA9" w:rsidRDefault="000F4EA9" w:rsidP="000F4EA9">
            <w:pPr>
              <w:rPr>
                <w:rFonts w:ascii="Times New Roman" w:eastAsia="Times New Roman" w:hAnsi="Times New Roman" w:cs="Times New Roman"/>
              </w:rPr>
            </w:pPr>
          </w:p>
        </w:tc>
        <w:tc>
          <w:tcPr>
            <w:tcW w:w="1274" w:type="dxa"/>
            <w:vAlign w:val="center"/>
          </w:tcPr>
          <w:p w14:paraId="0469AE4D" w14:textId="7A00D936" w:rsidR="000F4EA9" w:rsidRPr="000F4EA9" w:rsidRDefault="000F4EA9" w:rsidP="002C0E74">
            <w:pPr>
              <w:jc w:val="center"/>
              <w:rPr>
                <w:rFonts w:ascii="Times New Roman" w:eastAsia="Times New Roman" w:hAnsi="Times New Roman" w:cs="Times New Roman"/>
              </w:rPr>
            </w:pPr>
            <w:r w:rsidRPr="000F4EA9">
              <w:rPr>
                <w:rFonts w:ascii="Times New Roman" w:eastAsia="Times New Roman" w:hAnsi="Times New Roman" w:cs="Times New Roman"/>
              </w:rPr>
              <w:t>(1</w:t>
            </w:r>
            <w:r w:rsidR="009F44E3">
              <w:rPr>
                <w:rFonts w:ascii="Times New Roman" w:eastAsia="Times New Roman" w:hAnsi="Times New Roman" w:cs="Times New Roman"/>
              </w:rPr>
              <w:t>,</w:t>
            </w:r>
            <w:r w:rsidRPr="000F4EA9">
              <w:rPr>
                <w:rFonts w:ascii="Times New Roman" w:eastAsia="Times New Roman" w:hAnsi="Times New Roman" w:cs="Times New Roman"/>
              </w:rPr>
              <w:t>32</w:t>
            </w:r>
            <w:r w:rsidR="009F44E3">
              <w:rPr>
                <w:rFonts w:ascii="Times New Roman" w:eastAsia="Times New Roman" w:hAnsi="Times New Roman" w:cs="Times New Roman"/>
              </w:rPr>
              <w:t>;</w:t>
            </w:r>
            <w:r w:rsidRPr="000F4EA9">
              <w:rPr>
                <w:rFonts w:ascii="Times New Roman" w:eastAsia="Times New Roman" w:hAnsi="Times New Roman" w:cs="Times New Roman"/>
              </w:rPr>
              <w:t xml:space="preserve"> 2</w:t>
            </w:r>
            <w:r w:rsidR="009F44E3">
              <w:rPr>
                <w:rFonts w:ascii="Times New Roman" w:eastAsia="Times New Roman" w:hAnsi="Times New Roman" w:cs="Times New Roman"/>
              </w:rPr>
              <w:t>,</w:t>
            </w:r>
            <w:r w:rsidRPr="000F4EA9">
              <w:rPr>
                <w:rFonts w:ascii="Times New Roman" w:eastAsia="Times New Roman" w:hAnsi="Times New Roman" w:cs="Times New Roman"/>
              </w:rPr>
              <w:t>79)</w:t>
            </w:r>
          </w:p>
        </w:tc>
        <w:tc>
          <w:tcPr>
            <w:tcW w:w="1136" w:type="dxa"/>
            <w:vAlign w:val="center"/>
          </w:tcPr>
          <w:p w14:paraId="6550831B" w14:textId="77777777" w:rsidR="000F4EA9" w:rsidRPr="000F4EA9" w:rsidRDefault="000F4EA9" w:rsidP="002C0E74">
            <w:pPr>
              <w:jc w:val="center"/>
              <w:rPr>
                <w:rFonts w:ascii="Times New Roman" w:eastAsia="Times New Roman" w:hAnsi="Times New Roman" w:cs="Times New Roman"/>
              </w:rPr>
            </w:pPr>
          </w:p>
        </w:tc>
        <w:tc>
          <w:tcPr>
            <w:tcW w:w="1274" w:type="dxa"/>
            <w:vAlign w:val="center"/>
          </w:tcPr>
          <w:p w14:paraId="5CC2996B" w14:textId="03D1E0A2" w:rsidR="000F4EA9" w:rsidRPr="000F4EA9" w:rsidRDefault="000F4EA9" w:rsidP="002C0E74">
            <w:pPr>
              <w:jc w:val="center"/>
              <w:rPr>
                <w:rFonts w:ascii="Times New Roman" w:eastAsia="Times New Roman" w:hAnsi="Times New Roman" w:cs="Times New Roman"/>
              </w:rPr>
            </w:pPr>
            <w:r w:rsidRPr="000F4EA9">
              <w:rPr>
                <w:rFonts w:ascii="Times New Roman" w:eastAsia="Times New Roman" w:hAnsi="Times New Roman" w:cs="Times New Roman"/>
              </w:rPr>
              <w:t>(0</w:t>
            </w:r>
            <w:r w:rsidR="009F44E3">
              <w:rPr>
                <w:rFonts w:ascii="Times New Roman" w:eastAsia="Times New Roman" w:hAnsi="Times New Roman" w:cs="Times New Roman"/>
              </w:rPr>
              <w:t>,</w:t>
            </w:r>
            <w:r w:rsidRPr="000F4EA9">
              <w:rPr>
                <w:rFonts w:ascii="Times New Roman" w:eastAsia="Times New Roman" w:hAnsi="Times New Roman" w:cs="Times New Roman"/>
              </w:rPr>
              <w:t>89</w:t>
            </w:r>
            <w:r w:rsidR="009F44E3">
              <w:rPr>
                <w:rFonts w:ascii="Times New Roman" w:eastAsia="Times New Roman" w:hAnsi="Times New Roman" w:cs="Times New Roman"/>
              </w:rPr>
              <w:t>;</w:t>
            </w:r>
            <w:r w:rsidRPr="000F4EA9">
              <w:rPr>
                <w:rFonts w:ascii="Times New Roman" w:eastAsia="Times New Roman" w:hAnsi="Times New Roman" w:cs="Times New Roman"/>
              </w:rPr>
              <w:t xml:space="preserve"> 1</w:t>
            </w:r>
            <w:r w:rsidR="009F44E3">
              <w:rPr>
                <w:rFonts w:ascii="Times New Roman" w:eastAsia="Times New Roman" w:hAnsi="Times New Roman" w:cs="Times New Roman"/>
              </w:rPr>
              <w:t>,</w:t>
            </w:r>
            <w:r w:rsidRPr="000F4EA9">
              <w:rPr>
                <w:rFonts w:ascii="Times New Roman" w:eastAsia="Times New Roman" w:hAnsi="Times New Roman" w:cs="Times New Roman"/>
              </w:rPr>
              <w:t>86)</w:t>
            </w:r>
          </w:p>
        </w:tc>
        <w:tc>
          <w:tcPr>
            <w:tcW w:w="1136" w:type="dxa"/>
            <w:vAlign w:val="center"/>
          </w:tcPr>
          <w:p w14:paraId="30848C51" w14:textId="77777777" w:rsidR="000F4EA9" w:rsidRPr="000F4EA9" w:rsidRDefault="000F4EA9" w:rsidP="002C0E74">
            <w:pPr>
              <w:jc w:val="center"/>
              <w:rPr>
                <w:rFonts w:ascii="Times New Roman" w:eastAsia="Times New Roman" w:hAnsi="Times New Roman" w:cs="Times New Roman"/>
              </w:rPr>
            </w:pPr>
          </w:p>
        </w:tc>
        <w:tc>
          <w:tcPr>
            <w:tcW w:w="1272" w:type="dxa"/>
            <w:vAlign w:val="center"/>
          </w:tcPr>
          <w:p w14:paraId="6807CF39" w14:textId="67B3FCCC" w:rsidR="000F4EA9" w:rsidRPr="000F4EA9" w:rsidRDefault="000F4EA9" w:rsidP="002C0E74">
            <w:pPr>
              <w:jc w:val="center"/>
              <w:rPr>
                <w:rFonts w:ascii="Times New Roman" w:eastAsia="Times New Roman" w:hAnsi="Times New Roman" w:cs="Times New Roman"/>
              </w:rPr>
            </w:pPr>
            <w:r w:rsidRPr="000F4EA9">
              <w:rPr>
                <w:rFonts w:ascii="Times New Roman" w:eastAsia="Times New Roman" w:hAnsi="Times New Roman" w:cs="Times New Roman"/>
              </w:rPr>
              <w:t>(1</w:t>
            </w:r>
            <w:r w:rsidR="009F44E3">
              <w:rPr>
                <w:rFonts w:ascii="Times New Roman" w:eastAsia="Times New Roman" w:hAnsi="Times New Roman" w:cs="Times New Roman"/>
              </w:rPr>
              <w:t>,</w:t>
            </w:r>
            <w:r w:rsidRPr="000F4EA9">
              <w:rPr>
                <w:rFonts w:ascii="Times New Roman" w:eastAsia="Times New Roman" w:hAnsi="Times New Roman" w:cs="Times New Roman"/>
              </w:rPr>
              <w:t>21</w:t>
            </w:r>
            <w:r w:rsidR="009F44E3">
              <w:rPr>
                <w:rFonts w:ascii="Times New Roman" w:eastAsia="Times New Roman" w:hAnsi="Times New Roman" w:cs="Times New Roman"/>
              </w:rPr>
              <w:t>;</w:t>
            </w:r>
            <w:r w:rsidRPr="000F4EA9">
              <w:rPr>
                <w:rFonts w:ascii="Times New Roman" w:eastAsia="Times New Roman" w:hAnsi="Times New Roman" w:cs="Times New Roman"/>
              </w:rPr>
              <w:t xml:space="preserve"> 2</w:t>
            </w:r>
            <w:r w:rsidR="009F44E3">
              <w:rPr>
                <w:rFonts w:ascii="Times New Roman" w:eastAsia="Times New Roman" w:hAnsi="Times New Roman" w:cs="Times New Roman"/>
              </w:rPr>
              <w:t>,</w:t>
            </w:r>
            <w:r w:rsidRPr="000F4EA9">
              <w:rPr>
                <w:rFonts w:ascii="Times New Roman" w:eastAsia="Times New Roman" w:hAnsi="Times New Roman" w:cs="Times New Roman"/>
              </w:rPr>
              <w:t>05)</w:t>
            </w:r>
          </w:p>
        </w:tc>
      </w:tr>
      <w:tr w:rsidR="000F4EA9" w:rsidRPr="000F4EA9" w14:paraId="39192D11" w14:textId="77777777" w:rsidTr="00E0772D">
        <w:tc>
          <w:tcPr>
            <w:tcW w:w="1837" w:type="dxa"/>
          </w:tcPr>
          <w:p w14:paraId="0445E9EB" w14:textId="606460D1" w:rsidR="000F4EA9" w:rsidRPr="000F4EA9" w:rsidRDefault="000F4EA9" w:rsidP="000F4EA9">
            <w:pPr>
              <w:rPr>
                <w:rFonts w:ascii="Times New Roman" w:eastAsia="Times New Roman" w:hAnsi="Times New Roman" w:cs="Times New Roman"/>
              </w:rPr>
            </w:pPr>
            <w:r w:rsidRPr="000F4EA9">
              <w:rPr>
                <w:rFonts w:ascii="Times New Roman" w:eastAsia="Times New Roman" w:hAnsi="Times New Roman" w:cs="Times New Roman"/>
              </w:rPr>
              <w:t>p-</w:t>
            </w:r>
            <w:r w:rsidR="00413070">
              <w:rPr>
                <w:rFonts w:ascii="Times New Roman" w:eastAsia="Times New Roman" w:hAnsi="Times New Roman" w:cs="Times New Roman"/>
              </w:rPr>
              <w:t>érték</w:t>
            </w:r>
            <w:r w:rsidRPr="000F4EA9">
              <w:rPr>
                <w:rFonts w:ascii="Times New Roman" w:eastAsia="Times New Roman" w:hAnsi="Times New Roman" w:cs="Times New Roman"/>
                <w:vertAlign w:val="superscript"/>
              </w:rPr>
              <w:t>2</w:t>
            </w:r>
          </w:p>
        </w:tc>
        <w:tc>
          <w:tcPr>
            <w:tcW w:w="1135" w:type="dxa"/>
            <w:vAlign w:val="center"/>
          </w:tcPr>
          <w:p w14:paraId="092B9EC3" w14:textId="77777777" w:rsidR="000F4EA9" w:rsidRPr="000F4EA9" w:rsidRDefault="000F4EA9" w:rsidP="000F4EA9">
            <w:pPr>
              <w:rPr>
                <w:rFonts w:ascii="Times New Roman" w:eastAsia="Times New Roman" w:hAnsi="Times New Roman" w:cs="Times New Roman"/>
              </w:rPr>
            </w:pPr>
          </w:p>
        </w:tc>
        <w:tc>
          <w:tcPr>
            <w:tcW w:w="1274" w:type="dxa"/>
            <w:vAlign w:val="center"/>
          </w:tcPr>
          <w:p w14:paraId="69764FC4" w14:textId="7EF6158B" w:rsidR="000F4EA9" w:rsidRPr="000F4EA9" w:rsidRDefault="000F4EA9" w:rsidP="002C0E74">
            <w:pPr>
              <w:jc w:val="center"/>
              <w:rPr>
                <w:rFonts w:ascii="Times New Roman" w:eastAsia="Times New Roman" w:hAnsi="Times New Roman" w:cs="Times New Roman"/>
              </w:rPr>
            </w:pPr>
            <w:r w:rsidRPr="000F4EA9">
              <w:rPr>
                <w:rFonts w:ascii="Times New Roman" w:eastAsia="Times New Roman" w:hAnsi="Times New Roman" w:cs="Times New Roman"/>
              </w:rPr>
              <w:t>0</w:t>
            </w:r>
            <w:r w:rsidR="009F44E3">
              <w:rPr>
                <w:rFonts w:ascii="Times New Roman" w:eastAsia="Times New Roman" w:hAnsi="Times New Roman" w:cs="Times New Roman"/>
              </w:rPr>
              <w:t>,</w:t>
            </w:r>
            <w:r w:rsidRPr="000F4EA9">
              <w:rPr>
                <w:rFonts w:ascii="Times New Roman" w:eastAsia="Times New Roman" w:hAnsi="Times New Roman" w:cs="Times New Roman"/>
              </w:rPr>
              <w:t>0007</w:t>
            </w:r>
          </w:p>
        </w:tc>
        <w:tc>
          <w:tcPr>
            <w:tcW w:w="1136" w:type="dxa"/>
            <w:vAlign w:val="center"/>
          </w:tcPr>
          <w:p w14:paraId="7ADF037E" w14:textId="77777777" w:rsidR="000F4EA9" w:rsidRPr="000F4EA9" w:rsidRDefault="000F4EA9" w:rsidP="002C0E74">
            <w:pPr>
              <w:jc w:val="center"/>
              <w:rPr>
                <w:rFonts w:ascii="Times New Roman" w:eastAsia="Times New Roman" w:hAnsi="Times New Roman" w:cs="Times New Roman"/>
              </w:rPr>
            </w:pPr>
          </w:p>
        </w:tc>
        <w:tc>
          <w:tcPr>
            <w:tcW w:w="1274" w:type="dxa"/>
            <w:vAlign w:val="center"/>
          </w:tcPr>
          <w:p w14:paraId="5895EB30" w14:textId="41A563DE" w:rsidR="000F4EA9" w:rsidRPr="000F4EA9" w:rsidRDefault="000F4EA9" w:rsidP="002C0E74">
            <w:pPr>
              <w:jc w:val="center"/>
              <w:rPr>
                <w:rFonts w:ascii="Times New Roman" w:eastAsia="Times New Roman" w:hAnsi="Times New Roman" w:cs="Times New Roman"/>
              </w:rPr>
            </w:pPr>
            <w:r w:rsidRPr="000F4EA9">
              <w:rPr>
                <w:rFonts w:ascii="Times New Roman" w:eastAsia="Times New Roman" w:hAnsi="Times New Roman" w:cs="Times New Roman"/>
              </w:rPr>
              <w:t>0</w:t>
            </w:r>
            <w:r w:rsidR="009F44E3">
              <w:rPr>
                <w:rFonts w:ascii="Times New Roman" w:eastAsia="Times New Roman" w:hAnsi="Times New Roman" w:cs="Times New Roman"/>
              </w:rPr>
              <w:t>,</w:t>
            </w:r>
            <w:r w:rsidRPr="000F4EA9">
              <w:rPr>
                <w:rFonts w:ascii="Times New Roman" w:eastAsia="Times New Roman" w:hAnsi="Times New Roman" w:cs="Times New Roman"/>
              </w:rPr>
              <w:t>1833</w:t>
            </w:r>
          </w:p>
        </w:tc>
        <w:tc>
          <w:tcPr>
            <w:tcW w:w="1136" w:type="dxa"/>
            <w:vAlign w:val="center"/>
          </w:tcPr>
          <w:p w14:paraId="0A6C785E" w14:textId="77777777" w:rsidR="000F4EA9" w:rsidRPr="000F4EA9" w:rsidRDefault="000F4EA9" w:rsidP="002C0E74">
            <w:pPr>
              <w:jc w:val="center"/>
              <w:rPr>
                <w:rFonts w:ascii="Times New Roman" w:eastAsia="Times New Roman" w:hAnsi="Times New Roman" w:cs="Times New Roman"/>
              </w:rPr>
            </w:pPr>
          </w:p>
        </w:tc>
        <w:tc>
          <w:tcPr>
            <w:tcW w:w="1272" w:type="dxa"/>
            <w:vAlign w:val="center"/>
          </w:tcPr>
          <w:p w14:paraId="7E525F26" w14:textId="00F5048F" w:rsidR="000F4EA9" w:rsidRPr="000F4EA9" w:rsidRDefault="000F4EA9" w:rsidP="002C0E74">
            <w:pPr>
              <w:jc w:val="center"/>
              <w:rPr>
                <w:rFonts w:ascii="Times New Roman" w:eastAsia="Times New Roman" w:hAnsi="Times New Roman" w:cs="Times New Roman"/>
              </w:rPr>
            </w:pPr>
            <w:r w:rsidRPr="000F4EA9">
              <w:rPr>
                <w:rFonts w:ascii="Times New Roman" w:eastAsia="Times New Roman" w:hAnsi="Times New Roman" w:cs="Times New Roman"/>
              </w:rPr>
              <w:t>0</w:t>
            </w:r>
            <w:r w:rsidR="009F44E3">
              <w:rPr>
                <w:rFonts w:ascii="Times New Roman" w:eastAsia="Times New Roman" w:hAnsi="Times New Roman" w:cs="Times New Roman"/>
              </w:rPr>
              <w:t>,</w:t>
            </w:r>
            <w:r w:rsidRPr="000F4EA9">
              <w:rPr>
                <w:rFonts w:ascii="Times New Roman" w:eastAsia="Times New Roman" w:hAnsi="Times New Roman" w:cs="Times New Roman"/>
              </w:rPr>
              <w:t>0007</w:t>
            </w:r>
          </w:p>
        </w:tc>
      </w:tr>
    </w:tbl>
    <w:p w14:paraId="17B2E7C1" w14:textId="336AA3E4" w:rsidR="00413070" w:rsidRPr="00413070" w:rsidRDefault="00413070" w:rsidP="00413070">
      <w:pPr>
        <w:rPr>
          <w:rFonts w:ascii="Times New Roman" w:eastAsia="Times New Roman" w:hAnsi="Times New Roman" w:cs="Times New Roman"/>
          <w:sz w:val="18"/>
          <w:szCs w:val="18"/>
        </w:rPr>
      </w:pPr>
      <w:r w:rsidRPr="00413070">
        <w:rPr>
          <w:rFonts w:ascii="Times New Roman" w:eastAsia="Times New Roman" w:hAnsi="Times New Roman" w:cs="Times New Roman"/>
          <w:sz w:val="18"/>
          <w:szCs w:val="18"/>
          <w:vertAlign w:val="superscript"/>
        </w:rPr>
        <w:t>1</w:t>
      </w:r>
      <w:r w:rsidRPr="00413070">
        <w:rPr>
          <w:rFonts w:ascii="Times New Roman" w:eastAsia="Times New Roman" w:hAnsi="Times New Roman" w:cs="Times New Roman"/>
          <w:sz w:val="18"/>
          <w:szCs w:val="18"/>
        </w:rPr>
        <w:t xml:space="preserve"> Reszponderek azok a betegek, akiknél az FVC %-os értékében bekövetkező abszolút csökkenés nem nagyobb mint 5% vagy nem nagyobb mint 10%, a küszöbértéktől függően, és az FVC értékelését az 52. héten elvégezve.</w:t>
      </w:r>
    </w:p>
    <w:p w14:paraId="5C583C5D" w14:textId="4571A184" w:rsidR="00F5603F" w:rsidRPr="00413070" w:rsidRDefault="00413070" w:rsidP="00413070">
      <w:pPr>
        <w:rPr>
          <w:rFonts w:ascii="Times New Roman" w:eastAsia="Times New Roman" w:hAnsi="Times New Roman" w:cs="Times New Roman"/>
          <w:sz w:val="18"/>
          <w:szCs w:val="18"/>
        </w:rPr>
      </w:pPr>
      <w:r w:rsidRPr="00413070">
        <w:rPr>
          <w:rFonts w:ascii="Times New Roman" w:eastAsia="Times New Roman" w:hAnsi="Times New Roman" w:cs="Times New Roman"/>
          <w:sz w:val="18"/>
          <w:szCs w:val="18"/>
          <w:vertAlign w:val="superscript"/>
        </w:rPr>
        <w:t>2</w:t>
      </w:r>
      <w:r w:rsidRPr="00413070">
        <w:rPr>
          <w:rFonts w:ascii="Times New Roman" w:eastAsia="Times New Roman" w:hAnsi="Times New Roman" w:cs="Times New Roman"/>
          <w:sz w:val="18"/>
          <w:szCs w:val="18"/>
        </w:rPr>
        <w:t xml:space="preserve"> Logisztikus regresszió alapján.</w:t>
      </w:r>
    </w:p>
    <w:p w14:paraId="0F1F13D9" w14:textId="77777777" w:rsidR="000F4EA9" w:rsidRDefault="000F4EA9" w:rsidP="009106D9">
      <w:pPr>
        <w:rPr>
          <w:rFonts w:ascii="Times New Roman" w:eastAsia="Times New Roman" w:hAnsi="Times New Roman" w:cs="Times New Roman"/>
        </w:rPr>
      </w:pPr>
    </w:p>
    <w:p w14:paraId="1A846684" w14:textId="691FD9C3" w:rsidR="00413070" w:rsidRPr="00413070" w:rsidRDefault="00413070" w:rsidP="00413070">
      <w:pPr>
        <w:rPr>
          <w:rFonts w:ascii="Times New Roman" w:eastAsia="Times New Roman" w:hAnsi="Times New Roman" w:cs="Times New Roman"/>
          <w:i/>
          <w:iCs/>
          <w:u w:val="single"/>
        </w:rPr>
      </w:pPr>
      <w:r w:rsidRPr="00413070">
        <w:rPr>
          <w:rFonts w:ascii="Times New Roman" w:eastAsia="Times New Roman" w:hAnsi="Times New Roman" w:cs="Times New Roman"/>
          <w:i/>
          <w:iCs/>
          <w:u w:val="single"/>
        </w:rPr>
        <w:t>A progresszióig eltelt idő (≥ 10%-os abszolút csökkenés az FVC várt érték %-ában kifejezve vagy</w:t>
      </w:r>
      <w:r w:rsidR="002C0E74">
        <w:rPr>
          <w:rFonts w:ascii="Times New Roman" w:eastAsia="Times New Roman" w:hAnsi="Times New Roman" w:cs="Times New Roman"/>
          <w:i/>
          <w:iCs/>
          <w:u w:val="single"/>
        </w:rPr>
        <w:t xml:space="preserve"> </w:t>
      </w:r>
      <w:r w:rsidRPr="00413070">
        <w:rPr>
          <w:rFonts w:ascii="Times New Roman" w:eastAsia="Times New Roman" w:hAnsi="Times New Roman" w:cs="Times New Roman"/>
          <w:i/>
          <w:iCs/>
          <w:u w:val="single"/>
        </w:rPr>
        <w:t>elhalálozás)</w:t>
      </w:r>
    </w:p>
    <w:p w14:paraId="2F5F7E92" w14:textId="54B404BF" w:rsidR="000F4EA9" w:rsidRPr="00DB56C7" w:rsidRDefault="00413070" w:rsidP="00413070">
      <w:pPr>
        <w:rPr>
          <w:rFonts w:ascii="Times New Roman" w:eastAsia="Times New Roman" w:hAnsi="Times New Roman" w:cs="Times New Roman"/>
        </w:rPr>
      </w:pPr>
      <w:r w:rsidRPr="00413070">
        <w:rPr>
          <w:rFonts w:ascii="Times New Roman" w:eastAsia="Times New Roman" w:hAnsi="Times New Roman" w:cs="Times New Roman"/>
        </w:rPr>
        <w:t>A progresszió kockázata mindkét INPULSIS-vizsgálatban statisztikailag szignifikánsan alacsonyabb</w:t>
      </w:r>
      <w:r w:rsidR="00DB56C7">
        <w:rPr>
          <w:rFonts w:ascii="Times New Roman" w:eastAsia="Times New Roman" w:hAnsi="Times New Roman" w:cs="Times New Roman"/>
        </w:rPr>
        <w:t xml:space="preserve"> </w:t>
      </w:r>
      <w:r w:rsidRPr="00413070">
        <w:rPr>
          <w:rFonts w:ascii="Times New Roman" w:eastAsia="Times New Roman" w:hAnsi="Times New Roman" w:cs="Times New Roman"/>
        </w:rPr>
        <w:t>volt a nintedanibbal kezelt betegeknél, mint a placebóval kezelteknél. Az összesített elemzésben a</w:t>
      </w:r>
      <w:r w:rsidR="00DB56C7">
        <w:rPr>
          <w:rFonts w:ascii="Times New Roman" w:eastAsia="Times New Roman" w:hAnsi="Times New Roman" w:cs="Times New Roman"/>
        </w:rPr>
        <w:t xml:space="preserve"> </w:t>
      </w:r>
      <w:r w:rsidRPr="00413070">
        <w:rPr>
          <w:rFonts w:ascii="Times New Roman" w:eastAsia="Times New Roman" w:hAnsi="Times New Roman" w:cs="Times New Roman"/>
        </w:rPr>
        <w:t>relatív hazárd (HR) 0,60 volt, ami placebóhoz képest a progresszió kockázatának 40%-os csökkenését</w:t>
      </w:r>
      <w:r w:rsidR="00DB56C7">
        <w:rPr>
          <w:rFonts w:ascii="Times New Roman" w:eastAsia="Times New Roman" w:hAnsi="Times New Roman" w:cs="Times New Roman"/>
        </w:rPr>
        <w:t xml:space="preserve"> </w:t>
      </w:r>
      <w:r w:rsidRPr="00DB56C7">
        <w:rPr>
          <w:rFonts w:ascii="Times New Roman" w:eastAsia="Times New Roman" w:hAnsi="Times New Roman" w:cs="Times New Roman"/>
        </w:rPr>
        <w:t>jelzi a nintendanibbal kezelt betegeknél.</w:t>
      </w:r>
    </w:p>
    <w:p w14:paraId="4EB09437" w14:textId="77777777" w:rsidR="000F4EA9" w:rsidRPr="00DB56C7" w:rsidRDefault="000F4EA9" w:rsidP="009106D9">
      <w:pPr>
        <w:rPr>
          <w:rFonts w:ascii="Times New Roman" w:eastAsia="Times New Roman" w:hAnsi="Times New Roman" w:cs="Times New Roman"/>
        </w:rPr>
      </w:pPr>
    </w:p>
    <w:p w14:paraId="77B3F6F5" w14:textId="082B56B4" w:rsidR="00413070" w:rsidRPr="0072440F" w:rsidRDefault="0046475B" w:rsidP="00413070">
      <w:pPr>
        <w:rPr>
          <w:rFonts w:ascii="Times New Roman" w:eastAsia="Times New Roman" w:hAnsi="Times New Roman" w:cs="Times New Roman"/>
          <w:b/>
          <w:bCs/>
        </w:rPr>
      </w:pPr>
      <w:r>
        <w:rPr>
          <w:rFonts w:ascii="Times New Roman" w:eastAsia="Times New Roman" w:hAnsi="Times New Roman" w:cs="Times New Roman"/>
          <w:b/>
          <w:bCs/>
        </w:rPr>
        <w:t>6</w:t>
      </w:r>
      <w:r w:rsidR="00413070" w:rsidRPr="0072440F">
        <w:rPr>
          <w:rFonts w:ascii="Times New Roman" w:eastAsia="Times New Roman" w:hAnsi="Times New Roman" w:cs="Times New Roman"/>
          <w:b/>
          <w:bCs/>
        </w:rPr>
        <w:t>. táblázat: Az 52 hét során a várt FEV százalékos értékében bekövetkező, legalább 10%-os</w:t>
      </w:r>
      <w:r w:rsidR="0072440F" w:rsidRPr="0072440F">
        <w:rPr>
          <w:rFonts w:ascii="Times New Roman" w:eastAsia="Times New Roman" w:hAnsi="Times New Roman" w:cs="Times New Roman"/>
          <w:b/>
          <w:bCs/>
        </w:rPr>
        <w:t xml:space="preserve"> </w:t>
      </w:r>
      <w:r w:rsidR="00413070" w:rsidRPr="0072440F">
        <w:rPr>
          <w:rFonts w:ascii="Times New Roman" w:eastAsia="Times New Roman" w:hAnsi="Times New Roman" w:cs="Times New Roman"/>
          <w:b/>
          <w:bCs/>
        </w:rPr>
        <w:t xml:space="preserve">abszolút csökkenést elérő vagy elhalálozó betegek gyakorisága, valamint az INPULSIS-1 és INPULSIS-2 vizsgálatban a progresszióig eltelt idő elemzése, </w:t>
      </w:r>
      <w:r w:rsidR="00580B0B" w:rsidRPr="00580B0B">
        <w:rPr>
          <w:rFonts w:ascii="Times New Roman" w:eastAsia="Times New Roman" w:hAnsi="Times New Roman" w:cs="Times New Roman"/>
          <w:b/>
          <w:bCs/>
        </w:rPr>
        <w:t>ill</w:t>
      </w:r>
      <w:r w:rsidR="008E5CD4">
        <w:rPr>
          <w:rFonts w:ascii="Times New Roman" w:eastAsia="Times New Roman" w:hAnsi="Times New Roman" w:cs="Times New Roman"/>
          <w:b/>
          <w:bCs/>
        </w:rPr>
        <w:t>.</w:t>
      </w:r>
      <w:r w:rsidR="00413070" w:rsidRPr="0072440F">
        <w:rPr>
          <w:rFonts w:ascii="Times New Roman" w:eastAsia="Times New Roman" w:hAnsi="Times New Roman" w:cs="Times New Roman"/>
          <w:b/>
          <w:bCs/>
        </w:rPr>
        <w:t xml:space="preserve"> a vizsgálatok összesített adatai - kezelt betegek</w:t>
      </w:r>
    </w:p>
    <w:tbl>
      <w:tblPr>
        <w:tblStyle w:val="Rcsostblzat"/>
        <w:tblW w:w="9064" w:type="dxa"/>
        <w:tblLayout w:type="fixed"/>
        <w:tblLook w:val="04A0" w:firstRow="1" w:lastRow="0" w:firstColumn="1" w:lastColumn="0" w:noHBand="0" w:noVBand="1"/>
      </w:tblPr>
      <w:tblGrid>
        <w:gridCol w:w="1837"/>
        <w:gridCol w:w="1135"/>
        <w:gridCol w:w="1274"/>
        <w:gridCol w:w="1136"/>
        <w:gridCol w:w="1274"/>
        <w:gridCol w:w="994"/>
        <w:gridCol w:w="1414"/>
      </w:tblGrid>
      <w:tr w:rsidR="00413070" w:rsidRPr="00413070" w14:paraId="56487003" w14:textId="77777777" w:rsidTr="00E0772D">
        <w:tc>
          <w:tcPr>
            <w:tcW w:w="1837" w:type="dxa"/>
          </w:tcPr>
          <w:p w14:paraId="458C7450" w14:textId="77777777" w:rsidR="00413070" w:rsidRPr="0072440F" w:rsidRDefault="00413070" w:rsidP="0072440F">
            <w:pPr>
              <w:jc w:val="center"/>
              <w:rPr>
                <w:rFonts w:ascii="Times New Roman" w:eastAsia="Times New Roman" w:hAnsi="Times New Roman" w:cs="Times New Roman"/>
              </w:rPr>
            </w:pPr>
          </w:p>
        </w:tc>
        <w:tc>
          <w:tcPr>
            <w:tcW w:w="2409" w:type="dxa"/>
            <w:gridSpan w:val="2"/>
            <w:vAlign w:val="center"/>
          </w:tcPr>
          <w:p w14:paraId="3856EB51" w14:textId="77777777"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INPULSIS-1</w:t>
            </w:r>
          </w:p>
        </w:tc>
        <w:tc>
          <w:tcPr>
            <w:tcW w:w="2410" w:type="dxa"/>
            <w:gridSpan w:val="2"/>
            <w:vAlign w:val="center"/>
          </w:tcPr>
          <w:p w14:paraId="798E5C7D" w14:textId="77777777"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INPULSIS-2</w:t>
            </w:r>
          </w:p>
        </w:tc>
        <w:tc>
          <w:tcPr>
            <w:tcW w:w="2408" w:type="dxa"/>
            <w:gridSpan w:val="2"/>
            <w:vAlign w:val="center"/>
          </w:tcPr>
          <w:p w14:paraId="657F0DFC" w14:textId="51E9CF91"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 xml:space="preserve">INPULSIS-1 </w:t>
            </w:r>
            <w:r w:rsidR="00E018DF">
              <w:rPr>
                <w:rFonts w:ascii="Times New Roman" w:eastAsia="Times New Roman" w:hAnsi="Times New Roman" w:cs="Times New Roman"/>
              </w:rPr>
              <w:t>és</w:t>
            </w:r>
            <w:r w:rsidRPr="00413070">
              <w:rPr>
                <w:rFonts w:ascii="Times New Roman" w:eastAsia="Times New Roman" w:hAnsi="Times New Roman" w:cs="Times New Roman"/>
              </w:rPr>
              <w:t xml:space="preserve"> INPULSIS-2 </w:t>
            </w:r>
            <w:r w:rsidR="00E018DF">
              <w:rPr>
                <w:rFonts w:ascii="Times New Roman" w:eastAsia="Times New Roman" w:hAnsi="Times New Roman" w:cs="Times New Roman"/>
              </w:rPr>
              <w:t>összesí</w:t>
            </w:r>
            <w:r w:rsidR="00BE517F">
              <w:rPr>
                <w:rFonts w:ascii="Times New Roman" w:eastAsia="Times New Roman" w:hAnsi="Times New Roman" w:cs="Times New Roman"/>
              </w:rPr>
              <w:t>tett</w:t>
            </w:r>
          </w:p>
        </w:tc>
      </w:tr>
      <w:tr w:rsidR="00413070" w:rsidRPr="00413070" w14:paraId="4BF57F6A" w14:textId="77777777" w:rsidTr="00413070">
        <w:tc>
          <w:tcPr>
            <w:tcW w:w="1837" w:type="dxa"/>
          </w:tcPr>
          <w:p w14:paraId="33FDF969" w14:textId="77777777" w:rsidR="00413070" w:rsidRPr="00413070" w:rsidRDefault="00413070" w:rsidP="00413070">
            <w:pPr>
              <w:rPr>
                <w:rFonts w:ascii="Times New Roman" w:eastAsia="Times New Roman" w:hAnsi="Times New Roman" w:cs="Times New Roman"/>
              </w:rPr>
            </w:pPr>
          </w:p>
        </w:tc>
        <w:tc>
          <w:tcPr>
            <w:tcW w:w="1135" w:type="dxa"/>
            <w:vAlign w:val="center"/>
          </w:tcPr>
          <w:p w14:paraId="3155EE36" w14:textId="77777777" w:rsidR="00413070" w:rsidRPr="00413070" w:rsidRDefault="00413070" w:rsidP="00413070">
            <w:pPr>
              <w:rPr>
                <w:rFonts w:ascii="Times New Roman" w:eastAsia="Times New Roman" w:hAnsi="Times New Roman" w:cs="Times New Roman"/>
              </w:rPr>
            </w:pPr>
            <w:r w:rsidRPr="00413070">
              <w:rPr>
                <w:rFonts w:ascii="Times New Roman" w:eastAsia="Times New Roman" w:hAnsi="Times New Roman" w:cs="Times New Roman"/>
              </w:rPr>
              <w:t>Placebo</w:t>
            </w:r>
          </w:p>
        </w:tc>
        <w:tc>
          <w:tcPr>
            <w:tcW w:w="1274" w:type="dxa"/>
            <w:vAlign w:val="center"/>
          </w:tcPr>
          <w:p w14:paraId="48A068E1" w14:textId="11CCDE4C" w:rsidR="00413070" w:rsidRPr="00413070" w:rsidRDefault="00E018DF" w:rsidP="00413070">
            <w:pPr>
              <w:rPr>
                <w:rFonts w:ascii="Times New Roman" w:eastAsia="Times New Roman" w:hAnsi="Times New Roman" w:cs="Times New Roman"/>
              </w:rPr>
            </w:pPr>
            <w:r>
              <w:rPr>
                <w:rFonts w:ascii="Times New Roman" w:eastAsia="Times New Roman" w:hAnsi="Times New Roman" w:cs="Times New Roman"/>
              </w:rPr>
              <w:t>n</w:t>
            </w:r>
            <w:r w:rsidR="00413070" w:rsidRPr="00413070">
              <w:rPr>
                <w:rFonts w:ascii="Times New Roman" w:eastAsia="Times New Roman" w:hAnsi="Times New Roman" w:cs="Times New Roman"/>
              </w:rPr>
              <w:t xml:space="preserve">intedanib 150 mg </w:t>
            </w:r>
            <w:r w:rsidR="00413070">
              <w:rPr>
                <w:rFonts w:ascii="Times New Roman" w:eastAsia="Times New Roman" w:hAnsi="Times New Roman" w:cs="Times New Roman"/>
              </w:rPr>
              <w:t>napi kétszer</w:t>
            </w:r>
          </w:p>
        </w:tc>
        <w:tc>
          <w:tcPr>
            <w:tcW w:w="1136" w:type="dxa"/>
            <w:vAlign w:val="center"/>
          </w:tcPr>
          <w:p w14:paraId="4CE462B8" w14:textId="77777777" w:rsidR="00413070" w:rsidRPr="00413070" w:rsidRDefault="00413070" w:rsidP="00413070">
            <w:pPr>
              <w:rPr>
                <w:rFonts w:ascii="Times New Roman" w:eastAsia="Times New Roman" w:hAnsi="Times New Roman" w:cs="Times New Roman"/>
              </w:rPr>
            </w:pPr>
            <w:r w:rsidRPr="00413070">
              <w:rPr>
                <w:rFonts w:ascii="Times New Roman" w:eastAsia="Times New Roman" w:hAnsi="Times New Roman" w:cs="Times New Roman"/>
              </w:rPr>
              <w:t>Placebo</w:t>
            </w:r>
          </w:p>
        </w:tc>
        <w:tc>
          <w:tcPr>
            <w:tcW w:w="1274" w:type="dxa"/>
            <w:vAlign w:val="center"/>
          </w:tcPr>
          <w:p w14:paraId="70AC04A8" w14:textId="7B78BD4E" w:rsidR="00413070" w:rsidRPr="00413070" w:rsidRDefault="00E018DF" w:rsidP="00413070">
            <w:pPr>
              <w:rPr>
                <w:rFonts w:ascii="Times New Roman" w:eastAsia="Times New Roman" w:hAnsi="Times New Roman" w:cs="Times New Roman"/>
              </w:rPr>
            </w:pPr>
            <w:r>
              <w:rPr>
                <w:rFonts w:ascii="Times New Roman" w:eastAsia="Times New Roman" w:hAnsi="Times New Roman" w:cs="Times New Roman"/>
              </w:rPr>
              <w:t>n</w:t>
            </w:r>
            <w:r w:rsidR="00413070" w:rsidRPr="00413070">
              <w:rPr>
                <w:rFonts w:ascii="Times New Roman" w:eastAsia="Times New Roman" w:hAnsi="Times New Roman" w:cs="Times New Roman"/>
              </w:rPr>
              <w:t>intedanib 150 mg napi kétszer</w:t>
            </w:r>
          </w:p>
        </w:tc>
        <w:tc>
          <w:tcPr>
            <w:tcW w:w="994" w:type="dxa"/>
            <w:vAlign w:val="center"/>
          </w:tcPr>
          <w:p w14:paraId="123B9CBE" w14:textId="77777777" w:rsidR="00413070" w:rsidRPr="00413070" w:rsidRDefault="00413070" w:rsidP="00413070">
            <w:pPr>
              <w:rPr>
                <w:rFonts w:ascii="Times New Roman" w:eastAsia="Times New Roman" w:hAnsi="Times New Roman" w:cs="Times New Roman"/>
              </w:rPr>
            </w:pPr>
            <w:r w:rsidRPr="00413070">
              <w:rPr>
                <w:rFonts w:ascii="Times New Roman" w:eastAsia="Times New Roman" w:hAnsi="Times New Roman" w:cs="Times New Roman"/>
              </w:rPr>
              <w:t>Placebo</w:t>
            </w:r>
          </w:p>
        </w:tc>
        <w:tc>
          <w:tcPr>
            <w:tcW w:w="1414" w:type="dxa"/>
            <w:vAlign w:val="center"/>
          </w:tcPr>
          <w:p w14:paraId="634E5161" w14:textId="62036646" w:rsidR="00413070" w:rsidRDefault="00E018DF" w:rsidP="00413070">
            <w:pPr>
              <w:rPr>
                <w:rFonts w:ascii="Times New Roman" w:eastAsia="Times New Roman" w:hAnsi="Times New Roman" w:cs="Times New Roman"/>
              </w:rPr>
            </w:pPr>
            <w:r>
              <w:rPr>
                <w:rFonts w:ascii="Times New Roman" w:eastAsia="Times New Roman" w:hAnsi="Times New Roman" w:cs="Times New Roman"/>
              </w:rPr>
              <w:t>n</w:t>
            </w:r>
            <w:r w:rsidR="00413070" w:rsidRPr="00413070">
              <w:rPr>
                <w:rFonts w:ascii="Times New Roman" w:eastAsia="Times New Roman" w:hAnsi="Times New Roman" w:cs="Times New Roman"/>
              </w:rPr>
              <w:t xml:space="preserve">intedanib 150 mg </w:t>
            </w:r>
          </w:p>
          <w:p w14:paraId="13F8D44E" w14:textId="0AD9DF0B" w:rsidR="00413070" w:rsidRPr="00413070" w:rsidRDefault="00413070" w:rsidP="00413070">
            <w:pPr>
              <w:rPr>
                <w:rFonts w:ascii="Times New Roman" w:eastAsia="Times New Roman" w:hAnsi="Times New Roman" w:cs="Times New Roman"/>
              </w:rPr>
            </w:pPr>
            <w:r w:rsidRPr="00413070">
              <w:rPr>
                <w:rFonts w:ascii="Times New Roman" w:eastAsia="Times New Roman" w:hAnsi="Times New Roman" w:cs="Times New Roman"/>
              </w:rPr>
              <w:t>napi</w:t>
            </w:r>
            <w:r>
              <w:rPr>
                <w:rFonts w:ascii="Times New Roman" w:eastAsia="Times New Roman" w:hAnsi="Times New Roman" w:cs="Times New Roman"/>
              </w:rPr>
              <w:t xml:space="preserve"> </w:t>
            </w:r>
            <w:r w:rsidRPr="00413070">
              <w:rPr>
                <w:rFonts w:ascii="Times New Roman" w:eastAsia="Times New Roman" w:hAnsi="Times New Roman" w:cs="Times New Roman"/>
              </w:rPr>
              <w:t>kétszer</w:t>
            </w:r>
          </w:p>
        </w:tc>
      </w:tr>
      <w:tr w:rsidR="00413070" w:rsidRPr="00413070" w14:paraId="0497508F" w14:textId="77777777" w:rsidTr="00413070">
        <w:tc>
          <w:tcPr>
            <w:tcW w:w="1837" w:type="dxa"/>
          </w:tcPr>
          <w:p w14:paraId="2425DF80" w14:textId="37777EE5" w:rsidR="00413070" w:rsidRPr="00413070" w:rsidRDefault="00413070" w:rsidP="004309AA">
            <w:pPr>
              <w:rPr>
                <w:rFonts w:ascii="Times New Roman" w:eastAsia="Times New Roman" w:hAnsi="Times New Roman" w:cs="Times New Roman"/>
              </w:rPr>
            </w:pPr>
            <w:r w:rsidRPr="00413070">
              <w:rPr>
                <w:rFonts w:ascii="Times New Roman" w:eastAsia="Times New Roman" w:hAnsi="Times New Roman" w:cs="Times New Roman"/>
              </w:rPr>
              <w:t>Veszélyeztetett</w:t>
            </w:r>
            <w:r w:rsidR="004309AA">
              <w:rPr>
                <w:rFonts w:ascii="Times New Roman" w:eastAsia="Times New Roman" w:hAnsi="Times New Roman" w:cs="Times New Roman"/>
              </w:rPr>
              <w:t xml:space="preserve"> </w:t>
            </w:r>
            <w:r w:rsidRPr="00413070">
              <w:rPr>
                <w:rFonts w:ascii="Times New Roman" w:eastAsia="Times New Roman" w:hAnsi="Times New Roman" w:cs="Times New Roman"/>
              </w:rPr>
              <w:t>betegek száma</w:t>
            </w:r>
          </w:p>
        </w:tc>
        <w:tc>
          <w:tcPr>
            <w:tcW w:w="1135" w:type="dxa"/>
            <w:vAlign w:val="center"/>
          </w:tcPr>
          <w:p w14:paraId="5BFBEABE" w14:textId="77777777"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204</w:t>
            </w:r>
          </w:p>
        </w:tc>
        <w:tc>
          <w:tcPr>
            <w:tcW w:w="1274" w:type="dxa"/>
            <w:vAlign w:val="center"/>
          </w:tcPr>
          <w:p w14:paraId="6A697288" w14:textId="77777777"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309</w:t>
            </w:r>
          </w:p>
        </w:tc>
        <w:tc>
          <w:tcPr>
            <w:tcW w:w="1136" w:type="dxa"/>
            <w:vAlign w:val="center"/>
          </w:tcPr>
          <w:p w14:paraId="6A5BC0BE" w14:textId="77777777"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219</w:t>
            </w:r>
          </w:p>
        </w:tc>
        <w:tc>
          <w:tcPr>
            <w:tcW w:w="1274" w:type="dxa"/>
            <w:vAlign w:val="center"/>
          </w:tcPr>
          <w:p w14:paraId="5CFE2418" w14:textId="77777777"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329</w:t>
            </w:r>
          </w:p>
        </w:tc>
        <w:tc>
          <w:tcPr>
            <w:tcW w:w="994" w:type="dxa"/>
            <w:vAlign w:val="center"/>
          </w:tcPr>
          <w:p w14:paraId="1CBB9C37" w14:textId="77777777"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423</w:t>
            </w:r>
          </w:p>
        </w:tc>
        <w:tc>
          <w:tcPr>
            <w:tcW w:w="1414" w:type="dxa"/>
            <w:vAlign w:val="center"/>
          </w:tcPr>
          <w:p w14:paraId="6464A83E" w14:textId="77777777"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638</w:t>
            </w:r>
          </w:p>
        </w:tc>
      </w:tr>
      <w:tr w:rsidR="00413070" w:rsidRPr="00413070" w14:paraId="0526B345" w14:textId="77777777" w:rsidTr="00413070">
        <w:tc>
          <w:tcPr>
            <w:tcW w:w="1837" w:type="dxa"/>
          </w:tcPr>
          <w:p w14:paraId="3BFA1EFE" w14:textId="4E72435E" w:rsidR="00413070" w:rsidRPr="00413070" w:rsidRDefault="00413070" w:rsidP="004309AA">
            <w:pPr>
              <w:rPr>
                <w:rFonts w:ascii="Times New Roman" w:eastAsia="Times New Roman" w:hAnsi="Times New Roman" w:cs="Times New Roman"/>
              </w:rPr>
            </w:pPr>
            <w:r w:rsidRPr="00413070">
              <w:rPr>
                <w:rFonts w:ascii="Times New Roman" w:eastAsia="Times New Roman" w:hAnsi="Times New Roman" w:cs="Times New Roman"/>
              </w:rPr>
              <w:t>Nemkívánatos</w:t>
            </w:r>
            <w:r w:rsidR="004309AA">
              <w:rPr>
                <w:rFonts w:ascii="Times New Roman" w:eastAsia="Times New Roman" w:hAnsi="Times New Roman" w:cs="Times New Roman"/>
              </w:rPr>
              <w:t xml:space="preserve"> </w:t>
            </w:r>
            <w:r w:rsidRPr="00413070">
              <w:rPr>
                <w:rFonts w:ascii="Times New Roman" w:eastAsia="Times New Roman" w:hAnsi="Times New Roman" w:cs="Times New Roman"/>
              </w:rPr>
              <w:t>eseményt</w:t>
            </w:r>
            <w:r>
              <w:rPr>
                <w:rFonts w:ascii="Times New Roman" w:eastAsia="Times New Roman" w:hAnsi="Times New Roman" w:cs="Times New Roman"/>
              </w:rPr>
              <w:t xml:space="preserve"> </w:t>
            </w:r>
            <w:r w:rsidRPr="00413070">
              <w:rPr>
                <w:rFonts w:ascii="Times New Roman" w:eastAsia="Times New Roman" w:hAnsi="Times New Roman" w:cs="Times New Roman"/>
              </w:rPr>
              <w:t>tapasz</w:t>
            </w:r>
            <w:r>
              <w:rPr>
                <w:rFonts w:ascii="Times New Roman" w:eastAsia="Times New Roman" w:hAnsi="Times New Roman" w:cs="Times New Roman"/>
              </w:rPr>
              <w:t>-</w:t>
            </w:r>
            <w:r w:rsidRPr="00413070">
              <w:rPr>
                <w:rFonts w:ascii="Times New Roman" w:eastAsia="Times New Roman" w:hAnsi="Times New Roman" w:cs="Times New Roman"/>
              </w:rPr>
              <w:t>taló betegek,</w:t>
            </w:r>
            <w:r w:rsidR="004309AA">
              <w:rPr>
                <w:rFonts w:ascii="Times New Roman" w:eastAsia="Times New Roman" w:hAnsi="Times New Roman" w:cs="Times New Roman"/>
              </w:rPr>
              <w:t xml:space="preserve"> </w:t>
            </w:r>
            <w:r w:rsidRPr="00413070">
              <w:rPr>
                <w:rFonts w:ascii="Times New Roman" w:eastAsia="Times New Roman" w:hAnsi="Times New Roman" w:cs="Times New Roman"/>
              </w:rPr>
              <w:t>N</w:t>
            </w:r>
            <w:r w:rsidR="006C14B7">
              <w:rPr>
                <w:rFonts w:ascii="Times New Roman" w:eastAsia="Times New Roman" w:hAnsi="Times New Roman" w:cs="Times New Roman"/>
              </w:rPr>
              <w:t> </w:t>
            </w:r>
            <w:r w:rsidRPr="00413070">
              <w:rPr>
                <w:rFonts w:ascii="Times New Roman" w:eastAsia="Times New Roman" w:hAnsi="Times New Roman" w:cs="Times New Roman"/>
              </w:rPr>
              <w:t>(%)</w:t>
            </w:r>
          </w:p>
        </w:tc>
        <w:tc>
          <w:tcPr>
            <w:tcW w:w="1135" w:type="dxa"/>
            <w:vAlign w:val="center"/>
          </w:tcPr>
          <w:p w14:paraId="0583D416" w14:textId="108F571A"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83 (40</w:t>
            </w:r>
            <w:r w:rsidR="00E018DF">
              <w:rPr>
                <w:rFonts w:ascii="Times New Roman" w:eastAsia="Times New Roman" w:hAnsi="Times New Roman" w:cs="Times New Roman"/>
              </w:rPr>
              <w:t>,</w:t>
            </w:r>
            <w:r w:rsidRPr="00413070">
              <w:rPr>
                <w:rFonts w:ascii="Times New Roman" w:eastAsia="Times New Roman" w:hAnsi="Times New Roman" w:cs="Times New Roman"/>
              </w:rPr>
              <w:t>7)</w:t>
            </w:r>
          </w:p>
        </w:tc>
        <w:tc>
          <w:tcPr>
            <w:tcW w:w="1274" w:type="dxa"/>
            <w:vAlign w:val="center"/>
          </w:tcPr>
          <w:p w14:paraId="2D6C135B" w14:textId="660D2DC6"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75 (24</w:t>
            </w:r>
            <w:r w:rsidR="00E018DF">
              <w:rPr>
                <w:rFonts w:ascii="Times New Roman" w:eastAsia="Times New Roman" w:hAnsi="Times New Roman" w:cs="Times New Roman"/>
              </w:rPr>
              <w:t>,</w:t>
            </w:r>
            <w:r w:rsidRPr="00413070">
              <w:rPr>
                <w:rFonts w:ascii="Times New Roman" w:eastAsia="Times New Roman" w:hAnsi="Times New Roman" w:cs="Times New Roman"/>
              </w:rPr>
              <w:t>3)</w:t>
            </w:r>
          </w:p>
        </w:tc>
        <w:tc>
          <w:tcPr>
            <w:tcW w:w="1136" w:type="dxa"/>
            <w:vAlign w:val="center"/>
          </w:tcPr>
          <w:p w14:paraId="262F48DA" w14:textId="22A20103"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92 (42</w:t>
            </w:r>
            <w:r w:rsidR="00E018DF">
              <w:rPr>
                <w:rFonts w:ascii="Times New Roman" w:eastAsia="Times New Roman" w:hAnsi="Times New Roman" w:cs="Times New Roman"/>
              </w:rPr>
              <w:t>,</w:t>
            </w:r>
            <w:r w:rsidRPr="00413070">
              <w:rPr>
                <w:rFonts w:ascii="Times New Roman" w:eastAsia="Times New Roman" w:hAnsi="Times New Roman" w:cs="Times New Roman"/>
              </w:rPr>
              <w:t>0)</w:t>
            </w:r>
          </w:p>
        </w:tc>
        <w:tc>
          <w:tcPr>
            <w:tcW w:w="1274" w:type="dxa"/>
            <w:vAlign w:val="center"/>
          </w:tcPr>
          <w:p w14:paraId="7F0A8EE9" w14:textId="3C0DA223"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98 (29</w:t>
            </w:r>
            <w:r w:rsidR="00E018DF">
              <w:rPr>
                <w:rFonts w:ascii="Times New Roman" w:eastAsia="Times New Roman" w:hAnsi="Times New Roman" w:cs="Times New Roman"/>
              </w:rPr>
              <w:t>,</w:t>
            </w:r>
            <w:r w:rsidRPr="00413070">
              <w:rPr>
                <w:rFonts w:ascii="Times New Roman" w:eastAsia="Times New Roman" w:hAnsi="Times New Roman" w:cs="Times New Roman"/>
              </w:rPr>
              <w:t>8)</w:t>
            </w:r>
          </w:p>
        </w:tc>
        <w:tc>
          <w:tcPr>
            <w:tcW w:w="994" w:type="dxa"/>
            <w:vAlign w:val="center"/>
          </w:tcPr>
          <w:p w14:paraId="531977EE" w14:textId="7211EE94"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175 (41</w:t>
            </w:r>
            <w:r w:rsidR="00E018DF">
              <w:rPr>
                <w:rFonts w:ascii="Times New Roman" w:eastAsia="Times New Roman" w:hAnsi="Times New Roman" w:cs="Times New Roman"/>
              </w:rPr>
              <w:t>,</w:t>
            </w:r>
            <w:r w:rsidRPr="00413070">
              <w:rPr>
                <w:rFonts w:ascii="Times New Roman" w:eastAsia="Times New Roman" w:hAnsi="Times New Roman" w:cs="Times New Roman"/>
              </w:rPr>
              <w:t>4)</w:t>
            </w:r>
          </w:p>
        </w:tc>
        <w:tc>
          <w:tcPr>
            <w:tcW w:w="1414" w:type="dxa"/>
            <w:vAlign w:val="center"/>
          </w:tcPr>
          <w:p w14:paraId="131AC5E6" w14:textId="34FAAA1D"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173 (27</w:t>
            </w:r>
            <w:r w:rsidR="00E018DF">
              <w:rPr>
                <w:rFonts w:ascii="Times New Roman" w:eastAsia="Times New Roman" w:hAnsi="Times New Roman" w:cs="Times New Roman"/>
              </w:rPr>
              <w:t>,</w:t>
            </w:r>
            <w:r w:rsidRPr="00413070">
              <w:rPr>
                <w:rFonts w:ascii="Times New Roman" w:eastAsia="Times New Roman" w:hAnsi="Times New Roman" w:cs="Times New Roman"/>
              </w:rPr>
              <w:t>1)</w:t>
            </w:r>
          </w:p>
        </w:tc>
      </w:tr>
      <w:tr w:rsidR="00413070" w:rsidRPr="00413070" w14:paraId="05D9B1F4" w14:textId="77777777" w:rsidTr="00E0772D">
        <w:tc>
          <w:tcPr>
            <w:tcW w:w="9064" w:type="dxa"/>
            <w:gridSpan w:val="7"/>
          </w:tcPr>
          <w:p w14:paraId="38B7FFB6" w14:textId="0757E965" w:rsidR="00413070" w:rsidRPr="00413070" w:rsidRDefault="00413070" w:rsidP="00413070">
            <w:pPr>
              <w:rPr>
                <w:rFonts w:ascii="Times New Roman" w:eastAsia="Times New Roman" w:hAnsi="Times New Roman" w:cs="Times New Roman"/>
              </w:rPr>
            </w:pPr>
            <w:r w:rsidRPr="00413070">
              <w:rPr>
                <w:rFonts w:ascii="Times New Roman" w:eastAsia="Times New Roman" w:hAnsi="Times New Roman" w:cs="Times New Roman"/>
              </w:rPr>
              <w:t>Összehasonlítás placebóhoz képest</w:t>
            </w:r>
            <w:r w:rsidRPr="00413070">
              <w:rPr>
                <w:rFonts w:ascii="Times New Roman" w:eastAsia="Times New Roman" w:hAnsi="Times New Roman" w:cs="Times New Roman"/>
                <w:vertAlign w:val="superscript"/>
              </w:rPr>
              <w:t>1</w:t>
            </w:r>
          </w:p>
        </w:tc>
      </w:tr>
      <w:tr w:rsidR="00413070" w:rsidRPr="00413070" w14:paraId="1E90BE4B" w14:textId="77777777" w:rsidTr="00413070">
        <w:tc>
          <w:tcPr>
            <w:tcW w:w="1837" w:type="dxa"/>
          </w:tcPr>
          <w:p w14:paraId="0B8C8009" w14:textId="4906C19A" w:rsidR="00413070" w:rsidRPr="00413070" w:rsidRDefault="00413070" w:rsidP="00413070">
            <w:pPr>
              <w:rPr>
                <w:rFonts w:ascii="Times New Roman" w:eastAsia="Times New Roman" w:hAnsi="Times New Roman" w:cs="Times New Roman"/>
              </w:rPr>
            </w:pPr>
            <w:r w:rsidRPr="00413070">
              <w:rPr>
                <w:rFonts w:ascii="Times New Roman" w:eastAsia="Times New Roman" w:hAnsi="Times New Roman" w:cs="Times New Roman"/>
              </w:rPr>
              <w:t>p-</w:t>
            </w:r>
            <w:r>
              <w:rPr>
                <w:rFonts w:ascii="Times New Roman" w:eastAsia="Times New Roman" w:hAnsi="Times New Roman" w:cs="Times New Roman"/>
              </w:rPr>
              <w:t>érték</w:t>
            </w:r>
            <w:r w:rsidRPr="00413070">
              <w:rPr>
                <w:rFonts w:ascii="Times New Roman" w:eastAsia="Times New Roman" w:hAnsi="Times New Roman" w:cs="Times New Roman"/>
                <w:vertAlign w:val="superscript"/>
              </w:rPr>
              <w:t>2</w:t>
            </w:r>
          </w:p>
        </w:tc>
        <w:tc>
          <w:tcPr>
            <w:tcW w:w="1135" w:type="dxa"/>
            <w:vAlign w:val="center"/>
          </w:tcPr>
          <w:p w14:paraId="28189B0F" w14:textId="77777777" w:rsidR="00413070" w:rsidRPr="00413070" w:rsidRDefault="00413070" w:rsidP="00413070">
            <w:pPr>
              <w:rPr>
                <w:rFonts w:ascii="Times New Roman" w:eastAsia="Times New Roman" w:hAnsi="Times New Roman" w:cs="Times New Roman"/>
              </w:rPr>
            </w:pPr>
          </w:p>
        </w:tc>
        <w:tc>
          <w:tcPr>
            <w:tcW w:w="1274" w:type="dxa"/>
            <w:vAlign w:val="center"/>
          </w:tcPr>
          <w:p w14:paraId="5301545B" w14:textId="0F5CE83D"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0</w:t>
            </w:r>
            <w:r w:rsidR="00E018DF">
              <w:rPr>
                <w:rFonts w:ascii="Times New Roman" w:eastAsia="Times New Roman" w:hAnsi="Times New Roman" w:cs="Times New Roman"/>
              </w:rPr>
              <w:t>,</w:t>
            </w:r>
            <w:r w:rsidRPr="00413070">
              <w:rPr>
                <w:rFonts w:ascii="Times New Roman" w:eastAsia="Times New Roman" w:hAnsi="Times New Roman" w:cs="Times New Roman"/>
              </w:rPr>
              <w:t>0001</w:t>
            </w:r>
          </w:p>
        </w:tc>
        <w:tc>
          <w:tcPr>
            <w:tcW w:w="1136" w:type="dxa"/>
            <w:vAlign w:val="center"/>
          </w:tcPr>
          <w:p w14:paraId="750E12F4" w14:textId="77777777" w:rsidR="00413070" w:rsidRPr="00413070" w:rsidRDefault="00413070" w:rsidP="0072440F">
            <w:pPr>
              <w:jc w:val="center"/>
              <w:rPr>
                <w:rFonts w:ascii="Times New Roman" w:eastAsia="Times New Roman" w:hAnsi="Times New Roman" w:cs="Times New Roman"/>
              </w:rPr>
            </w:pPr>
          </w:p>
        </w:tc>
        <w:tc>
          <w:tcPr>
            <w:tcW w:w="1274" w:type="dxa"/>
            <w:vAlign w:val="center"/>
          </w:tcPr>
          <w:p w14:paraId="37FA0A0F" w14:textId="7A462D7F"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0</w:t>
            </w:r>
            <w:r w:rsidR="00E018DF">
              <w:rPr>
                <w:rFonts w:ascii="Times New Roman" w:eastAsia="Times New Roman" w:hAnsi="Times New Roman" w:cs="Times New Roman"/>
              </w:rPr>
              <w:t>,</w:t>
            </w:r>
            <w:r w:rsidRPr="00413070">
              <w:rPr>
                <w:rFonts w:ascii="Times New Roman" w:eastAsia="Times New Roman" w:hAnsi="Times New Roman" w:cs="Times New Roman"/>
              </w:rPr>
              <w:t>0054</w:t>
            </w:r>
          </w:p>
        </w:tc>
        <w:tc>
          <w:tcPr>
            <w:tcW w:w="994" w:type="dxa"/>
            <w:vAlign w:val="center"/>
          </w:tcPr>
          <w:p w14:paraId="0E60BF30" w14:textId="77777777" w:rsidR="00413070" w:rsidRPr="00413070" w:rsidRDefault="00413070" w:rsidP="0072440F">
            <w:pPr>
              <w:jc w:val="center"/>
              <w:rPr>
                <w:rFonts w:ascii="Times New Roman" w:eastAsia="Times New Roman" w:hAnsi="Times New Roman" w:cs="Times New Roman"/>
              </w:rPr>
            </w:pPr>
          </w:p>
        </w:tc>
        <w:tc>
          <w:tcPr>
            <w:tcW w:w="1414" w:type="dxa"/>
            <w:vAlign w:val="center"/>
          </w:tcPr>
          <w:p w14:paraId="309350D5" w14:textId="714C49F5"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&lt;0</w:t>
            </w:r>
            <w:r w:rsidR="00E018DF">
              <w:rPr>
                <w:rFonts w:ascii="Times New Roman" w:eastAsia="Times New Roman" w:hAnsi="Times New Roman" w:cs="Times New Roman"/>
              </w:rPr>
              <w:t>,</w:t>
            </w:r>
            <w:r w:rsidRPr="00413070">
              <w:rPr>
                <w:rFonts w:ascii="Times New Roman" w:eastAsia="Times New Roman" w:hAnsi="Times New Roman" w:cs="Times New Roman"/>
              </w:rPr>
              <w:t>0001</w:t>
            </w:r>
          </w:p>
        </w:tc>
      </w:tr>
      <w:tr w:rsidR="00413070" w:rsidRPr="00413070" w14:paraId="7AD121AB" w14:textId="77777777" w:rsidTr="00413070">
        <w:tc>
          <w:tcPr>
            <w:tcW w:w="1837" w:type="dxa"/>
          </w:tcPr>
          <w:p w14:paraId="31E0FE97" w14:textId="43CEADB0" w:rsidR="00413070" w:rsidRPr="00413070" w:rsidRDefault="00413070" w:rsidP="00413070">
            <w:pPr>
              <w:rPr>
                <w:rFonts w:ascii="Times New Roman" w:eastAsia="Times New Roman" w:hAnsi="Times New Roman" w:cs="Times New Roman"/>
              </w:rPr>
            </w:pPr>
            <w:r>
              <w:rPr>
                <w:rFonts w:ascii="Times New Roman" w:eastAsia="Times New Roman" w:hAnsi="Times New Roman" w:cs="Times New Roman"/>
              </w:rPr>
              <w:t>Relatív h</w:t>
            </w:r>
            <w:r w:rsidRPr="00413070">
              <w:rPr>
                <w:rFonts w:ascii="Times New Roman" w:eastAsia="Times New Roman" w:hAnsi="Times New Roman" w:cs="Times New Roman"/>
              </w:rPr>
              <w:t>az</w:t>
            </w:r>
            <w:r>
              <w:rPr>
                <w:rFonts w:ascii="Times New Roman" w:eastAsia="Times New Roman" w:hAnsi="Times New Roman" w:cs="Times New Roman"/>
              </w:rPr>
              <w:t>á</w:t>
            </w:r>
            <w:r w:rsidRPr="00413070">
              <w:rPr>
                <w:rFonts w:ascii="Times New Roman" w:eastAsia="Times New Roman" w:hAnsi="Times New Roman" w:cs="Times New Roman"/>
              </w:rPr>
              <w:t>rd</w:t>
            </w:r>
            <w:r w:rsidRPr="00413070">
              <w:rPr>
                <w:rFonts w:ascii="Times New Roman" w:eastAsia="Times New Roman" w:hAnsi="Times New Roman" w:cs="Times New Roman"/>
                <w:vertAlign w:val="superscript"/>
              </w:rPr>
              <w:t>3</w:t>
            </w:r>
          </w:p>
        </w:tc>
        <w:tc>
          <w:tcPr>
            <w:tcW w:w="1135" w:type="dxa"/>
            <w:vAlign w:val="center"/>
          </w:tcPr>
          <w:p w14:paraId="1F93BB4D" w14:textId="77777777" w:rsidR="00413070" w:rsidRPr="00413070" w:rsidRDefault="00413070" w:rsidP="00413070">
            <w:pPr>
              <w:rPr>
                <w:rFonts w:ascii="Times New Roman" w:eastAsia="Times New Roman" w:hAnsi="Times New Roman" w:cs="Times New Roman"/>
              </w:rPr>
            </w:pPr>
          </w:p>
        </w:tc>
        <w:tc>
          <w:tcPr>
            <w:tcW w:w="1274" w:type="dxa"/>
            <w:vAlign w:val="center"/>
          </w:tcPr>
          <w:p w14:paraId="018547A7" w14:textId="16BE40B4"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0</w:t>
            </w:r>
            <w:r w:rsidR="00E018DF">
              <w:rPr>
                <w:rFonts w:ascii="Times New Roman" w:eastAsia="Times New Roman" w:hAnsi="Times New Roman" w:cs="Times New Roman"/>
              </w:rPr>
              <w:t>,</w:t>
            </w:r>
            <w:r w:rsidRPr="00413070">
              <w:rPr>
                <w:rFonts w:ascii="Times New Roman" w:eastAsia="Times New Roman" w:hAnsi="Times New Roman" w:cs="Times New Roman"/>
              </w:rPr>
              <w:t>53</w:t>
            </w:r>
          </w:p>
        </w:tc>
        <w:tc>
          <w:tcPr>
            <w:tcW w:w="1136" w:type="dxa"/>
            <w:vAlign w:val="center"/>
          </w:tcPr>
          <w:p w14:paraId="711A7A80" w14:textId="77777777" w:rsidR="00413070" w:rsidRPr="00413070" w:rsidRDefault="00413070" w:rsidP="0072440F">
            <w:pPr>
              <w:jc w:val="center"/>
              <w:rPr>
                <w:rFonts w:ascii="Times New Roman" w:eastAsia="Times New Roman" w:hAnsi="Times New Roman" w:cs="Times New Roman"/>
              </w:rPr>
            </w:pPr>
          </w:p>
        </w:tc>
        <w:tc>
          <w:tcPr>
            <w:tcW w:w="1274" w:type="dxa"/>
            <w:vAlign w:val="center"/>
          </w:tcPr>
          <w:p w14:paraId="1FDA807B" w14:textId="1BC5073E"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0</w:t>
            </w:r>
            <w:r w:rsidR="00E018DF">
              <w:rPr>
                <w:rFonts w:ascii="Times New Roman" w:eastAsia="Times New Roman" w:hAnsi="Times New Roman" w:cs="Times New Roman"/>
              </w:rPr>
              <w:t>,</w:t>
            </w:r>
            <w:r w:rsidRPr="00413070">
              <w:rPr>
                <w:rFonts w:ascii="Times New Roman" w:eastAsia="Times New Roman" w:hAnsi="Times New Roman" w:cs="Times New Roman"/>
              </w:rPr>
              <w:t>67</w:t>
            </w:r>
          </w:p>
        </w:tc>
        <w:tc>
          <w:tcPr>
            <w:tcW w:w="994" w:type="dxa"/>
            <w:vAlign w:val="center"/>
          </w:tcPr>
          <w:p w14:paraId="1C7FB6FE" w14:textId="77777777" w:rsidR="00413070" w:rsidRPr="00413070" w:rsidRDefault="00413070" w:rsidP="0072440F">
            <w:pPr>
              <w:jc w:val="center"/>
              <w:rPr>
                <w:rFonts w:ascii="Times New Roman" w:eastAsia="Times New Roman" w:hAnsi="Times New Roman" w:cs="Times New Roman"/>
              </w:rPr>
            </w:pPr>
          </w:p>
        </w:tc>
        <w:tc>
          <w:tcPr>
            <w:tcW w:w="1414" w:type="dxa"/>
            <w:vAlign w:val="center"/>
          </w:tcPr>
          <w:p w14:paraId="6A9BEC9D" w14:textId="70B3A4CC"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0</w:t>
            </w:r>
            <w:r w:rsidR="00E018DF">
              <w:rPr>
                <w:rFonts w:ascii="Times New Roman" w:eastAsia="Times New Roman" w:hAnsi="Times New Roman" w:cs="Times New Roman"/>
              </w:rPr>
              <w:t>,</w:t>
            </w:r>
            <w:r w:rsidRPr="00413070">
              <w:rPr>
                <w:rFonts w:ascii="Times New Roman" w:eastAsia="Times New Roman" w:hAnsi="Times New Roman" w:cs="Times New Roman"/>
              </w:rPr>
              <w:t>60</w:t>
            </w:r>
          </w:p>
        </w:tc>
      </w:tr>
      <w:tr w:rsidR="00413070" w:rsidRPr="00413070" w14:paraId="532DE0AB" w14:textId="77777777" w:rsidTr="00413070">
        <w:tc>
          <w:tcPr>
            <w:tcW w:w="1837" w:type="dxa"/>
          </w:tcPr>
          <w:p w14:paraId="440586C5" w14:textId="5FAA7944" w:rsidR="00413070" w:rsidRPr="00413070" w:rsidRDefault="00413070" w:rsidP="00413070">
            <w:pPr>
              <w:rPr>
                <w:rFonts w:ascii="Times New Roman" w:eastAsia="Times New Roman" w:hAnsi="Times New Roman" w:cs="Times New Roman"/>
              </w:rPr>
            </w:pPr>
            <w:r w:rsidRPr="00413070">
              <w:rPr>
                <w:rFonts w:ascii="Times New Roman" w:eastAsia="Times New Roman" w:hAnsi="Times New Roman" w:cs="Times New Roman"/>
              </w:rPr>
              <w:t>95%</w:t>
            </w:r>
            <w:r>
              <w:rPr>
                <w:rFonts w:ascii="Times New Roman" w:eastAsia="Times New Roman" w:hAnsi="Times New Roman" w:cs="Times New Roman"/>
              </w:rPr>
              <w:t>-os</w:t>
            </w:r>
            <w:r w:rsidRPr="00413070">
              <w:rPr>
                <w:rFonts w:ascii="Times New Roman" w:eastAsia="Times New Roman" w:hAnsi="Times New Roman" w:cs="Times New Roman"/>
              </w:rPr>
              <w:t xml:space="preserve"> CI</w:t>
            </w:r>
          </w:p>
        </w:tc>
        <w:tc>
          <w:tcPr>
            <w:tcW w:w="1135" w:type="dxa"/>
            <w:vAlign w:val="center"/>
          </w:tcPr>
          <w:p w14:paraId="231011E7" w14:textId="77777777" w:rsidR="00413070" w:rsidRPr="00413070" w:rsidRDefault="00413070" w:rsidP="00413070">
            <w:pPr>
              <w:rPr>
                <w:rFonts w:ascii="Times New Roman" w:eastAsia="Times New Roman" w:hAnsi="Times New Roman" w:cs="Times New Roman"/>
              </w:rPr>
            </w:pPr>
          </w:p>
        </w:tc>
        <w:tc>
          <w:tcPr>
            <w:tcW w:w="1274" w:type="dxa"/>
            <w:vAlign w:val="center"/>
          </w:tcPr>
          <w:p w14:paraId="3A8B98B2" w14:textId="7F5203B2"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(0</w:t>
            </w:r>
            <w:r w:rsidR="00E018DF">
              <w:rPr>
                <w:rFonts w:ascii="Times New Roman" w:eastAsia="Times New Roman" w:hAnsi="Times New Roman" w:cs="Times New Roman"/>
              </w:rPr>
              <w:t>,</w:t>
            </w:r>
            <w:r w:rsidRPr="00413070">
              <w:rPr>
                <w:rFonts w:ascii="Times New Roman" w:eastAsia="Times New Roman" w:hAnsi="Times New Roman" w:cs="Times New Roman"/>
              </w:rPr>
              <w:t>39</w:t>
            </w:r>
            <w:r w:rsidR="00E018DF">
              <w:rPr>
                <w:rFonts w:ascii="Times New Roman" w:eastAsia="Times New Roman" w:hAnsi="Times New Roman" w:cs="Times New Roman"/>
              </w:rPr>
              <w:t>;</w:t>
            </w:r>
            <w:r w:rsidRPr="00413070">
              <w:rPr>
                <w:rFonts w:ascii="Times New Roman" w:eastAsia="Times New Roman" w:hAnsi="Times New Roman" w:cs="Times New Roman"/>
              </w:rPr>
              <w:t xml:space="preserve"> 0</w:t>
            </w:r>
            <w:r w:rsidR="00E018DF">
              <w:rPr>
                <w:rFonts w:ascii="Times New Roman" w:eastAsia="Times New Roman" w:hAnsi="Times New Roman" w:cs="Times New Roman"/>
              </w:rPr>
              <w:t>,</w:t>
            </w:r>
            <w:r w:rsidRPr="00413070">
              <w:rPr>
                <w:rFonts w:ascii="Times New Roman" w:eastAsia="Times New Roman" w:hAnsi="Times New Roman" w:cs="Times New Roman"/>
              </w:rPr>
              <w:t>72)</w:t>
            </w:r>
          </w:p>
        </w:tc>
        <w:tc>
          <w:tcPr>
            <w:tcW w:w="1136" w:type="dxa"/>
            <w:vAlign w:val="center"/>
          </w:tcPr>
          <w:p w14:paraId="186DACF9" w14:textId="77777777" w:rsidR="00413070" w:rsidRPr="00413070" w:rsidRDefault="00413070" w:rsidP="0072440F">
            <w:pPr>
              <w:jc w:val="center"/>
              <w:rPr>
                <w:rFonts w:ascii="Times New Roman" w:eastAsia="Times New Roman" w:hAnsi="Times New Roman" w:cs="Times New Roman"/>
              </w:rPr>
            </w:pPr>
          </w:p>
        </w:tc>
        <w:tc>
          <w:tcPr>
            <w:tcW w:w="1274" w:type="dxa"/>
            <w:vAlign w:val="center"/>
          </w:tcPr>
          <w:p w14:paraId="42918ACC" w14:textId="19AD1093"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(0</w:t>
            </w:r>
            <w:r w:rsidR="00E018DF">
              <w:rPr>
                <w:rFonts w:ascii="Times New Roman" w:eastAsia="Times New Roman" w:hAnsi="Times New Roman" w:cs="Times New Roman"/>
              </w:rPr>
              <w:t>,</w:t>
            </w:r>
            <w:r w:rsidRPr="00413070">
              <w:rPr>
                <w:rFonts w:ascii="Times New Roman" w:eastAsia="Times New Roman" w:hAnsi="Times New Roman" w:cs="Times New Roman"/>
              </w:rPr>
              <w:t>51</w:t>
            </w:r>
            <w:r w:rsidR="00E018DF">
              <w:rPr>
                <w:rFonts w:ascii="Times New Roman" w:eastAsia="Times New Roman" w:hAnsi="Times New Roman" w:cs="Times New Roman"/>
              </w:rPr>
              <w:t>;</w:t>
            </w:r>
            <w:r w:rsidRPr="00413070">
              <w:rPr>
                <w:rFonts w:ascii="Times New Roman" w:eastAsia="Times New Roman" w:hAnsi="Times New Roman" w:cs="Times New Roman"/>
              </w:rPr>
              <w:t xml:space="preserve"> 0.89)</w:t>
            </w:r>
          </w:p>
        </w:tc>
        <w:tc>
          <w:tcPr>
            <w:tcW w:w="994" w:type="dxa"/>
            <w:vAlign w:val="center"/>
          </w:tcPr>
          <w:p w14:paraId="648692BE" w14:textId="77777777" w:rsidR="00413070" w:rsidRPr="00413070" w:rsidRDefault="00413070" w:rsidP="0072440F">
            <w:pPr>
              <w:jc w:val="center"/>
              <w:rPr>
                <w:rFonts w:ascii="Times New Roman" w:eastAsia="Times New Roman" w:hAnsi="Times New Roman" w:cs="Times New Roman"/>
              </w:rPr>
            </w:pPr>
          </w:p>
        </w:tc>
        <w:tc>
          <w:tcPr>
            <w:tcW w:w="1414" w:type="dxa"/>
            <w:vAlign w:val="center"/>
          </w:tcPr>
          <w:p w14:paraId="19B86CAD" w14:textId="388E04C7" w:rsidR="00413070" w:rsidRPr="00413070" w:rsidRDefault="00413070" w:rsidP="0072440F">
            <w:pPr>
              <w:jc w:val="center"/>
              <w:rPr>
                <w:rFonts w:ascii="Times New Roman" w:eastAsia="Times New Roman" w:hAnsi="Times New Roman" w:cs="Times New Roman"/>
              </w:rPr>
            </w:pPr>
            <w:r w:rsidRPr="00413070">
              <w:rPr>
                <w:rFonts w:ascii="Times New Roman" w:eastAsia="Times New Roman" w:hAnsi="Times New Roman" w:cs="Times New Roman"/>
              </w:rPr>
              <w:t>(0</w:t>
            </w:r>
            <w:r w:rsidR="00E018DF">
              <w:rPr>
                <w:rFonts w:ascii="Times New Roman" w:eastAsia="Times New Roman" w:hAnsi="Times New Roman" w:cs="Times New Roman"/>
              </w:rPr>
              <w:t>,</w:t>
            </w:r>
            <w:r w:rsidRPr="00413070">
              <w:rPr>
                <w:rFonts w:ascii="Times New Roman" w:eastAsia="Times New Roman" w:hAnsi="Times New Roman" w:cs="Times New Roman"/>
              </w:rPr>
              <w:t>49</w:t>
            </w:r>
            <w:r w:rsidR="00E018DF">
              <w:rPr>
                <w:rFonts w:ascii="Times New Roman" w:eastAsia="Times New Roman" w:hAnsi="Times New Roman" w:cs="Times New Roman"/>
              </w:rPr>
              <w:t>;</w:t>
            </w:r>
            <w:r w:rsidRPr="00413070">
              <w:rPr>
                <w:rFonts w:ascii="Times New Roman" w:eastAsia="Times New Roman" w:hAnsi="Times New Roman" w:cs="Times New Roman"/>
              </w:rPr>
              <w:t xml:space="preserve"> 0</w:t>
            </w:r>
            <w:r w:rsidR="00E018DF">
              <w:rPr>
                <w:rFonts w:ascii="Times New Roman" w:eastAsia="Times New Roman" w:hAnsi="Times New Roman" w:cs="Times New Roman"/>
              </w:rPr>
              <w:t>,</w:t>
            </w:r>
            <w:r w:rsidRPr="00413070">
              <w:rPr>
                <w:rFonts w:ascii="Times New Roman" w:eastAsia="Times New Roman" w:hAnsi="Times New Roman" w:cs="Times New Roman"/>
              </w:rPr>
              <w:t>74)</w:t>
            </w:r>
          </w:p>
        </w:tc>
      </w:tr>
    </w:tbl>
    <w:p w14:paraId="0187D822" w14:textId="77777777" w:rsidR="00413070" w:rsidRPr="00413070" w:rsidRDefault="00413070" w:rsidP="00413070">
      <w:pPr>
        <w:rPr>
          <w:rFonts w:ascii="Times New Roman" w:eastAsia="Times New Roman" w:hAnsi="Times New Roman" w:cs="Times New Roman"/>
          <w:sz w:val="18"/>
          <w:szCs w:val="18"/>
        </w:rPr>
      </w:pPr>
      <w:r w:rsidRPr="00413070">
        <w:rPr>
          <w:rFonts w:ascii="Times New Roman" w:eastAsia="Times New Roman" w:hAnsi="Times New Roman" w:cs="Times New Roman"/>
          <w:sz w:val="18"/>
          <w:szCs w:val="18"/>
          <w:vertAlign w:val="superscript"/>
        </w:rPr>
        <w:t>1</w:t>
      </w:r>
      <w:r w:rsidRPr="00413070">
        <w:rPr>
          <w:rFonts w:ascii="Times New Roman" w:eastAsia="Times New Roman" w:hAnsi="Times New Roman" w:cs="Times New Roman"/>
          <w:sz w:val="18"/>
          <w:szCs w:val="18"/>
        </w:rPr>
        <w:t xml:space="preserve"> 372 napig (52 hét + 7 nap ráhagyás) gyűjtött adatokon alapul.</w:t>
      </w:r>
    </w:p>
    <w:p w14:paraId="537B4B3F" w14:textId="77777777" w:rsidR="00413070" w:rsidRPr="00413070" w:rsidRDefault="00413070" w:rsidP="00413070">
      <w:pPr>
        <w:rPr>
          <w:rFonts w:ascii="Times New Roman" w:eastAsia="Times New Roman" w:hAnsi="Times New Roman" w:cs="Times New Roman"/>
          <w:sz w:val="18"/>
          <w:szCs w:val="18"/>
        </w:rPr>
      </w:pPr>
      <w:r w:rsidRPr="00413070">
        <w:rPr>
          <w:rFonts w:ascii="Times New Roman" w:eastAsia="Times New Roman" w:hAnsi="Times New Roman" w:cs="Times New Roman"/>
          <w:sz w:val="18"/>
          <w:szCs w:val="18"/>
          <w:vertAlign w:val="superscript"/>
        </w:rPr>
        <w:t>2</w:t>
      </w:r>
      <w:r w:rsidRPr="00413070">
        <w:rPr>
          <w:rFonts w:ascii="Times New Roman" w:eastAsia="Times New Roman" w:hAnsi="Times New Roman" w:cs="Times New Roman"/>
          <w:sz w:val="18"/>
          <w:szCs w:val="18"/>
        </w:rPr>
        <w:t xml:space="preserve"> Lograng-próbán alapul.</w:t>
      </w:r>
    </w:p>
    <w:p w14:paraId="3F2D101A" w14:textId="3C0280E3" w:rsidR="00413070" w:rsidRPr="00413070" w:rsidRDefault="00413070" w:rsidP="00413070">
      <w:pPr>
        <w:rPr>
          <w:rFonts w:ascii="Times New Roman" w:eastAsia="Times New Roman" w:hAnsi="Times New Roman" w:cs="Times New Roman"/>
          <w:sz w:val="18"/>
          <w:szCs w:val="18"/>
        </w:rPr>
      </w:pPr>
      <w:r w:rsidRPr="00413070">
        <w:rPr>
          <w:rFonts w:ascii="Times New Roman" w:eastAsia="Times New Roman" w:hAnsi="Times New Roman" w:cs="Times New Roman"/>
          <w:sz w:val="18"/>
          <w:szCs w:val="18"/>
          <w:vertAlign w:val="superscript"/>
        </w:rPr>
        <w:t>3</w:t>
      </w:r>
      <w:r w:rsidRPr="00413070">
        <w:rPr>
          <w:rFonts w:ascii="Times New Roman" w:eastAsia="Times New Roman" w:hAnsi="Times New Roman" w:cs="Times New Roman"/>
          <w:sz w:val="18"/>
          <w:szCs w:val="18"/>
        </w:rPr>
        <w:t xml:space="preserve"> Cox-féle regressziós modellen alapul.</w:t>
      </w:r>
      <w:r w:rsidRPr="00413070">
        <w:rPr>
          <w:rFonts w:ascii="Times New Roman" w:eastAsia="Times New Roman" w:hAnsi="Times New Roman" w:cs="Times New Roman"/>
          <w:sz w:val="18"/>
          <w:szCs w:val="18"/>
        </w:rPr>
        <w:cr/>
      </w:r>
    </w:p>
    <w:p w14:paraId="537D3024" w14:textId="77777777" w:rsidR="00413070" w:rsidRPr="00413070" w:rsidRDefault="00413070" w:rsidP="00413070">
      <w:pPr>
        <w:rPr>
          <w:rFonts w:ascii="Times New Roman" w:eastAsia="Times New Roman" w:hAnsi="Times New Roman" w:cs="Times New Roman"/>
          <w:u w:val="single"/>
        </w:rPr>
      </w:pPr>
      <w:r w:rsidRPr="00413070">
        <w:rPr>
          <w:rFonts w:ascii="Times New Roman" w:eastAsia="Times New Roman" w:hAnsi="Times New Roman" w:cs="Times New Roman"/>
          <w:u w:val="single"/>
        </w:rPr>
        <w:t>Az SGRQ összpontszámban a kiindulási értékhez képest az 52. hétre bekövetkezett változás</w:t>
      </w:r>
    </w:p>
    <w:p w14:paraId="7BB56FC1" w14:textId="151EBD42" w:rsidR="00413070" w:rsidRPr="00413070" w:rsidRDefault="00413070" w:rsidP="00413070">
      <w:pPr>
        <w:rPr>
          <w:rFonts w:ascii="Times New Roman" w:eastAsia="Times New Roman" w:hAnsi="Times New Roman" w:cs="Times New Roman"/>
        </w:rPr>
      </w:pPr>
      <w:r w:rsidRPr="00413070">
        <w:rPr>
          <w:rFonts w:ascii="Times New Roman" w:eastAsia="Times New Roman" w:hAnsi="Times New Roman" w:cs="Times New Roman"/>
        </w:rPr>
        <w:lastRenderedPageBreak/>
        <w:t>Az INPULSIS-vizsgálatok összesített elemzésében a kiindulási SGRQ pontszáma 39,51 volt a</w:t>
      </w:r>
      <w:r w:rsidR="003C5395">
        <w:rPr>
          <w:rFonts w:ascii="Times New Roman" w:eastAsia="Times New Roman" w:hAnsi="Times New Roman" w:cs="Times New Roman"/>
        </w:rPr>
        <w:t xml:space="preserve"> </w:t>
      </w:r>
      <w:r w:rsidRPr="00413070">
        <w:rPr>
          <w:rFonts w:ascii="Times New Roman" w:eastAsia="Times New Roman" w:hAnsi="Times New Roman" w:cs="Times New Roman"/>
        </w:rPr>
        <w:t>nintedanib-csoportban, és 39,58 volt a placebocsoportban. Az SGRQ összpontszámában a kiindulási</w:t>
      </w:r>
      <w:r w:rsidR="003C5395">
        <w:rPr>
          <w:rFonts w:ascii="Times New Roman" w:eastAsia="Times New Roman" w:hAnsi="Times New Roman" w:cs="Times New Roman"/>
        </w:rPr>
        <w:t xml:space="preserve"> </w:t>
      </w:r>
      <w:r w:rsidRPr="00413070">
        <w:rPr>
          <w:rFonts w:ascii="Times New Roman" w:eastAsia="Times New Roman" w:hAnsi="Times New Roman" w:cs="Times New Roman"/>
        </w:rPr>
        <w:t>értékhez képest az 52. hétre bekövetkezett becsült átlagos változás kisebb mértékű volt a</w:t>
      </w:r>
      <w:r w:rsidR="003C5395">
        <w:rPr>
          <w:rFonts w:ascii="Times New Roman" w:eastAsia="Times New Roman" w:hAnsi="Times New Roman" w:cs="Times New Roman"/>
        </w:rPr>
        <w:t xml:space="preserve"> </w:t>
      </w:r>
      <w:r w:rsidRPr="00413070">
        <w:rPr>
          <w:rFonts w:ascii="Times New Roman" w:eastAsia="Times New Roman" w:hAnsi="Times New Roman" w:cs="Times New Roman"/>
        </w:rPr>
        <w:t>nintedanib-csoportban (3,53), mint a placebocsoportban (4,96), a két kezelési csoport közötti</w:t>
      </w:r>
      <w:r w:rsidR="003C5395">
        <w:rPr>
          <w:rFonts w:ascii="Times New Roman" w:eastAsia="Times New Roman" w:hAnsi="Times New Roman" w:cs="Times New Roman"/>
        </w:rPr>
        <w:t xml:space="preserve"> </w:t>
      </w:r>
      <w:r w:rsidRPr="00413070">
        <w:rPr>
          <w:rFonts w:ascii="Times New Roman" w:eastAsia="Times New Roman" w:hAnsi="Times New Roman" w:cs="Times New Roman"/>
        </w:rPr>
        <w:t>különbség -1,43 volt (95%-os CI: -3,09; 0,23; p = 0,0923). A nintedanib egészséggel összefüggő</w:t>
      </w:r>
      <w:r w:rsidR="003C5395">
        <w:rPr>
          <w:rFonts w:ascii="Times New Roman" w:eastAsia="Times New Roman" w:hAnsi="Times New Roman" w:cs="Times New Roman"/>
        </w:rPr>
        <w:t xml:space="preserve"> </w:t>
      </w:r>
      <w:r w:rsidRPr="00413070">
        <w:rPr>
          <w:rFonts w:ascii="Times New Roman" w:eastAsia="Times New Roman" w:hAnsi="Times New Roman" w:cs="Times New Roman"/>
        </w:rPr>
        <w:t>életminőségre gyakorolt hatása az SGRQ összpontszám alapján mérve összességében csekély, és a</w:t>
      </w:r>
      <w:r w:rsidR="003C5395">
        <w:rPr>
          <w:rFonts w:ascii="Times New Roman" w:eastAsia="Times New Roman" w:hAnsi="Times New Roman" w:cs="Times New Roman"/>
        </w:rPr>
        <w:t xml:space="preserve"> </w:t>
      </w:r>
      <w:r w:rsidRPr="00413070">
        <w:rPr>
          <w:rFonts w:ascii="Times New Roman" w:eastAsia="Times New Roman" w:hAnsi="Times New Roman" w:cs="Times New Roman"/>
        </w:rPr>
        <w:t>placebóhoz képest kisebb mértékű rosszabbodást jelez.</w:t>
      </w:r>
    </w:p>
    <w:p w14:paraId="70ED9CBF" w14:textId="77777777" w:rsidR="00413070" w:rsidRDefault="00413070" w:rsidP="00413070">
      <w:pPr>
        <w:rPr>
          <w:rFonts w:ascii="Times New Roman" w:eastAsia="Times New Roman" w:hAnsi="Times New Roman" w:cs="Times New Roman"/>
        </w:rPr>
      </w:pPr>
    </w:p>
    <w:p w14:paraId="7A8D2D1B" w14:textId="50589233" w:rsidR="00413070" w:rsidRPr="00413070" w:rsidRDefault="00413070" w:rsidP="00413070">
      <w:pPr>
        <w:rPr>
          <w:rFonts w:ascii="Times New Roman" w:eastAsia="Times New Roman" w:hAnsi="Times New Roman" w:cs="Times New Roman"/>
          <w:i/>
          <w:iCs/>
          <w:u w:val="single"/>
        </w:rPr>
      </w:pPr>
      <w:r w:rsidRPr="00413070">
        <w:rPr>
          <w:rFonts w:ascii="Times New Roman" w:eastAsia="Times New Roman" w:hAnsi="Times New Roman" w:cs="Times New Roman"/>
          <w:i/>
          <w:iCs/>
          <w:u w:val="single"/>
        </w:rPr>
        <w:t>Az első akut IPF exacerbációig eltelt idő</w:t>
      </w:r>
    </w:p>
    <w:p w14:paraId="3DAFBE8F" w14:textId="01A9DAE9" w:rsidR="00413070" w:rsidRDefault="00413070" w:rsidP="00413070">
      <w:pPr>
        <w:rPr>
          <w:rFonts w:ascii="Times New Roman" w:eastAsia="Times New Roman" w:hAnsi="Times New Roman" w:cs="Times New Roman"/>
        </w:rPr>
      </w:pPr>
      <w:r w:rsidRPr="00413070">
        <w:rPr>
          <w:rFonts w:ascii="Times New Roman" w:eastAsia="Times New Roman" w:hAnsi="Times New Roman" w:cs="Times New Roman"/>
        </w:rPr>
        <w:t>Az INPULSIS vizsgálatok összesített elemzésében az első akut exacerbáció számszerűen alacsonyabb</w:t>
      </w:r>
      <w:r w:rsidR="003C5395">
        <w:rPr>
          <w:rFonts w:ascii="Times New Roman" w:eastAsia="Times New Roman" w:hAnsi="Times New Roman" w:cs="Times New Roman"/>
        </w:rPr>
        <w:t xml:space="preserve"> </w:t>
      </w:r>
      <w:r w:rsidRPr="00413070">
        <w:rPr>
          <w:rFonts w:ascii="Times New Roman" w:eastAsia="Times New Roman" w:hAnsi="Times New Roman" w:cs="Times New Roman"/>
        </w:rPr>
        <w:t>kockázatát figyelték meg a nintedanibbal kezelt betegeknél, mint a placebót kapó betegeknél. Az</w:t>
      </w:r>
      <w:r w:rsidR="003C5395">
        <w:rPr>
          <w:rFonts w:ascii="Times New Roman" w:eastAsia="Times New Roman" w:hAnsi="Times New Roman" w:cs="Times New Roman"/>
        </w:rPr>
        <w:t xml:space="preserve"> </w:t>
      </w:r>
      <w:r w:rsidRPr="00413070">
        <w:rPr>
          <w:rFonts w:ascii="Times New Roman" w:eastAsia="Times New Roman" w:hAnsi="Times New Roman" w:cs="Times New Roman"/>
        </w:rPr>
        <w:t xml:space="preserve">egyes vizsgálatok eredményeit és az összesített vizsgálati eredményeket illetően lásd a </w:t>
      </w:r>
      <w:r w:rsidR="00423001">
        <w:rPr>
          <w:rFonts w:ascii="Times New Roman" w:eastAsia="Times New Roman" w:hAnsi="Times New Roman" w:cs="Times New Roman"/>
        </w:rPr>
        <w:t>7</w:t>
      </w:r>
      <w:r w:rsidRPr="00413070">
        <w:rPr>
          <w:rFonts w:ascii="Times New Roman" w:eastAsia="Times New Roman" w:hAnsi="Times New Roman" w:cs="Times New Roman"/>
        </w:rPr>
        <w:t>.</w:t>
      </w:r>
      <w:r w:rsidR="006C14B7">
        <w:rPr>
          <w:rFonts w:ascii="Times New Roman" w:eastAsia="Times New Roman" w:hAnsi="Times New Roman" w:cs="Times New Roman"/>
        </w:rPr>
        <w:t> </w:t>
      </w:r>
      <w:r w:rsidRPr="00413070">
        <w:rPr>
          <w:rFonts w:ascii="Times New Roman" w:eastAsia="Times New Roman" w:hAnsi="Times New Roman" w:cs="Times New Roman"/>
        </w:rPr>
        <w:t>táblázatot.</w:t>
      </w:r>
    </w:p>
    <w:p w14:paraId="1F9260E4" w14:textId="77777777" w:rsidR="00413070" w:rsidRDefault="00413070" w:rsidP="009106D9">
      <w:pPr>
        <w:rPr>
          <w:rFonts w:ascii="Times New Roman" w:eastAsia="Times New Roman" w:hAnsi="Times New Roman" w:cs="Times New Roman"/>
        </w:rPr>
      </w:pPr>
    </w:p>
    <w:p w14:paraId="3FF87427" w14:textId="6C3FD3DD" w:rsidR="00413070" w:rsidRPr="00413070" w:rsidRDefault="00423001" w:rsidP="00A5740F">
      <w:pPr>
        <w:keepNext/>
        <w:widowControl/>
        <w:rPr>
          <w:rFonts w:ascii="Times New Roman" w:eastAsia="Times New Roman" w:hAnsi="Times New Roman" w:cs="Times New Roman"/>
          <w:b/>
          <w:bCs/>
        </w:rPr>
      </w:pPr>
      <w:r>
        <w:rPr>
          <w:rFonts w:ascii="Times New Roman" w:eastAsia="Times New Roman" w:hAnsi="Times New Roman" w:cs="Times New Roman"/>
          <w:b/>
          <w:bCs/>
        </w:rPr>
        <w:t>7</w:t>
      </w:r>
      <w:r w:rsidR="00413070" w:rsidRPr="00413070">
        <w:rPr>
          <w:rFonts w:ascii="Times New Roman" w:eastAsia="Times New Roman" w:hAnsi="Times New Roman" w:cs="Times New Roman"/>
          <w:b/>
          <w:bCs/>
        </w:rPr>
        <w:t>. táblázat: Az 52 hét során akut IPF exacerbációt mutató betegek előfordulási gyakorisága</w:t>
      </w:r>
    </w:p>
    <w:p w14:paraId="602B3702" w14:textId="2D627E96" w:rsidR="00413070" w:rsidRPr="00413070" w:rsidRDefault="00413070" w:rsidP="00A5740F">
      <w:pPr>
        <w:keepNext/>
        <w:widowControl/>
        <w:rPr>
          <w:rFonts w:ascii="Times New Roman" w:eastAsia="Times New Roman" w:hAnsi="Times New Roman" w:cs="Times New Roman"/>
          <w:b/>
          <w:bCs/>
        </w:rPr>
      </w:pPr>
      <w:r w:rsidRPr="00413070">
        <w:rPr>
          <w:rFonts w:ascii="Times New Roman" w:eastAsia="Times New Roman" w:hAnsi="Times New Roman" w:cs="Times New Roman"/>
          <w:b/>
          <w:bCs/>
        </w:rPr>
        <w:t>és az első exacerbációig eltelt idő elemzése a vizsgáló által az INPULSIS-1 és</w:t>
      </w:r>
      <w:r>
        <w:rPr>
          <w:rFonts w:ascii="Times New Roman" w:eastAsia="Times New Roman" w:hAnsi="Times New Roman" w:cs="Times New Roman"/>
          <w:b/>
          <w:bCs/>
        </w:rPr>
        <w:t xml:space="preserve"> </w:t>
      </w:r>
      <w:r w:rsidRPr="00413070">
        <w:rPr>
          <w:rFonts w:ascii="Times New Roman" w:eastAsia="Times New Roman" w:hAnsi="Times New Roman" w:cs="Times New Roman"/>
          <w:b/>
          <w:bCs/>
        </w:rPr>
        <w:t xml:space="preserve">INPULSIS-2 vizsgálatban jelentett események, </w:t>
      </w:r>
      <w:r w:rsidR="00580B0B" w:rsidRPr="00580B0B">
        <w:rPr>
          <w:rFonts w:ascii="Times New Roman" w:eastAsia="Times New Roman" w:hAnsi="Times New Roman" w:cs="Times New Roman"/>
          <w:b/>
          <w:bCs/>
        </w:rPr>
        <w:t>ill.</w:t>
      </w:r>
      <w:r w:rsidRPr="00413070">
        <w:rPr>
          <w:rFonts w:ascii="Times New Roman" w:eastAsia="Times New Roman" w:hAnsi="Times New Roman" w:cs="Times New Roman"/>
          <w:b/>
          <w:bCs/>
        </w:rPr>
        <w:t xml:space="preserve"> a vizsgálatok összesített</w:t>
      </w:r>
      <w:r>
        <w:rPr>
          <w:rFonts w:ascii="Times New Roman" w:eastAsia="Times New Roman" w:hAnsi="Times New Roman" w:cs="Times New Roman"/>
          <w:b/>
          <w:bCs/>
        </w:rPr>
        <w:t xml:space="preserve"> </w:t>
      </w:r>
      <w:r w:rsidRPr="00413070">
        <w:rPr>
          <w:rFonts w:ascii="Times New Roman" w:eastAsia="Times New Roman" w:hAnsi="Times New Roman" w:cs="Times New Roman"/>
          <w:b/>
          <w:bCs/>
        </w:rPr>
        <w:t>adatai alapján - kezelt betegek</w:t>
      </w:r>
    </w:p>
    <w:tbl>
      <w:tblPr>
        <w:tblStyle w:val="Rcsostblzat"/>
        <w:tblW w:w="9064" w:type="dxa"/>
        <w:tblLayout w:type="fixed"/>
        <w:tblLook w:val="04A0" w:firstRow="1" w:lastRow="0" w:firstColumn="1" w:lastColumn="0" w:noHBand="0" w:noVBand="1"/>
      </w:tblPr>
      <w:tblGrid>
        <w:gridCol w:w="1837"/>
        <w:gridCol w:w="1135"/>
        <w:gridCol w:w="1274"/>
        <w:gridCol w:w="1136"/>
        <w:gridCol w:w="1274"/>
        <w:gridCol w:w="1136"/>
        <w:gridCol w:w="1272"/>
      </w:tblGrid>
      <w:tr w:rsidR="00413070" w:rsidRPr="00413070" w14:paraId="17266DAB" w14:textId="77777777" w:rsidTr="00E0772D">
        <w:tc>
          <w:tcPr>
            <w:tcW w:w="1837" w:type="dxa"/>
          </w:tcPr>
          <w:p w14:paraId="0841587E" w14:textId="77777777" w:rsidR="00413070" w:rsidRPr="00413070" w:rsidRDefault="00413070" w:rsidP="00A5740F">
            <w:pPr>
              <w:keepNext/>
              <w:widowControl/>
              <w:jc w:val="center"/>
              <w:rPr>
                <w:rFonts w:ascii="Times New Roman" w:eastAsia="Times New Roman" w:hAnsi="Times New Roman" w:cs="Times New Roman"/>
              </w:rPr>
            </w:pPr>
          </w:p>
        </w:tc>
        <w:tc>
          <w:tcPr>
            <w:tcW w:w="2409" w:type="dxa"/>
            <w:gridSpan w:val="2"/>
            <w:vAlign w:val="center"/>
          </w:tcPr>
          <w:p w14:paraId="4DEC9318" w14:textId="77777777" w:rsidR="00413070" w:rsidRPr="00413070" w:rsidRDefault="00413070" w:rsidP="00A5740F">
            <w:pPr>
              <w:keepNext/>
              <w:widowControl/>
              <w:jc w:val="center"/>
              <w:rPr>
                <w:rFonts w:ascii="Times New Roman" w:eastAsia="Times New Roman" w:hAnsi="Times New Roman" w:cs="Times New Roman"/>
              </w:rPr>
            </w:pPr>
            <w:r w:rsidRPr="00413070">
              <w:rPr>
                <w:rFonts w:ascii="Times New Roman" w:eastAsia="Times New Roman" w:hAnsi="Times New Roman" w:cs="Times New Roman"/>
              </w:rPr>
              <w:t>INPULSIS-1</w:t>
            </w:r>
          </w:p>
        </w:tc>
        <w:tc>
          <w:tcPr>
            <w:tcW w:w="2410" w:type="dxa"/>
            <w:gridSpan w:val="2"/>
            <w:vAlign w:val="center"/>
          </w:tcPr>
          <w:p w14:paraId="07D3D7D7" w14:textId="77777777" w:rsidR="00413070" w:rsidRPr="00413070" w:rsidRDefault="00413070" w:rsidP="00A5740F">
            <w:pPr>
              <w:keepNext/>
              <w:widowControl/>
              <w:jc w:val="center"/>
              <w:rPr>
                <w:rFonts w:ascii="Times New Roman" w:eastAsia="Times New Roman" w:hAnsi="Times New Roman" w:cs="Times New Roman"/>
              </w:rPr>
            </w:pPr>
            <w:r w:rsidRPr="00413070">
              <w:rPr>
                <w:rFonts w:ascii="Times New Roman" w:eastAsia="Times New Roman" w:hAnsi="Times New Roman" w:cs="Times New Roman"/>
              </w:rPr>
              <w:t>INPULSIS-2</w:t>
            </w:r>
          </w:p>
        </w:tc>
        <w:tc>
          <w:tcPr>
            <w:tcW w:w="2408" w:type="dxa"/>
            <w:gridSpan w:val="2"/>
            <w:vAlign w:val="center"/>
          </w:tcPr>
          <w:p w14:paraId="650BF798" w14:textId="097EA1D3" w:rsidR="00413070" w:rsidRPr="00413070" w:rsidRDefault="00413070" w:rsidP="00A5740F">
            <w:pPr>
              <w:keepNext/>
              <w:widowControl/>
              <w:jc w:val="center"/>
              <w:rPr>
                <w:rFonts w:ascii="Times New Roman" w:eastAsia="Times New Roman" w:hAnsi="Times New Roman" w:cs="Times New Roman"/>
              </w:rPr>
            </w:pPr>
            <w:r w:rsidRPr="00413070">
              <w:rPr>
                <w:rFonts w:ascii="Times New Roman" w:eastAsia="Times New Roman" w:hAnsi="Times New Roman" w:cs="Times New Roman"/>
              </w:rPr>
              <w:t xml:space="preserve">INPULSIS-1 </w:t>
            </w:r>
            <w:r>
              <w:rPr>
                <w:rFonts w:ascii="Times New Roman" w:eastAsia="Times New Roman" w:hAnsi="Times New Roman" w:cs="Times New Roman"/>
              </w:rPr>
              <w:t>és</w:t>
            </w:r>
            <w:r w:rsidRPr="00413070">
              <w:rPr>
                <w:rFonts w:ascii="Times New Roman" w:eastAsia="Times New Roman" w:hAnsi="Times New Roman" w:cs="Times New Roman"/>
              </w:rPr>
              <w:t xml:space="preserve"> INPULSIS-2 </w:t>
            </w:r>
            <w:r>
              <w:rPr>
                <w:rFonts w:ascii="Times New Roman" w:eastAsia="Times New Roman" w:hAnsi="Times New Roman" w:cs="Times New Roman"/>
              </w:rPr>
              <w:t>összesít</w:t>
            </w:r>
            <w:r w:rsidR="00BE517F">
              <w:rPr>
                <w:rFonts w:ascii="Times New Roman" w:eastAsia="Times New Roman" w:hAnsi="Times New Roman" w:cs="Times New Roman"/>
              </w:rPr>
              <w:t>ett</w:t>
            </w:r>
          </w:p>
        </w:tc>
      </w:tr>
      <w:tr w:rsidR="00413070" w:rsidRPr="00413070" w14:paraId="789BAE3C" w14:textId="77777777" w:rsidTr="00E0772D">
        <w:tc>
          <w:tcPr>
            <w:tcW w:w="1837" w:type="dxa"/>
          </w:tcPr>
          <w:p w14:paraId="3849FEBB" w14:textId="77777777" w:rsidR="00413070" w:rsidRPr="00413070" w:rsidRDefault="00413070" w:rsidP="00A5740F">
            <w:pPr>
              <w:keepNext/>
              <w:widowControl/>
              <w:rPr>
                <w:rFonts w:ascii="Times New Roman" w:eastAsia="Times New Roman" w:hAnsi="Times New Roman" w:cs="Times New Roman"/>
              </w:rPr>
            </w:pPr>
          </w:p>
        </w:tc>
        <w:tc>
          <w:tcPr>
            <w:tcW w:w="1135" w:type="dxa"/>
            <w:vAlign w:val="center"/>
          </w:tcPr>
          <w:p w14:paraId="09BE1BF6" w14:textId="77777777" w:rsidR="00413070" w:rsidRPr="00413070" w:rsidRDefault="00413070" w:rsidP="00A5740F">
            <w:pPr>
              <w:keepNext/>
              <w:widowControl/>
              <w:rPr>
                <w:rFonts w:ascii="Times New Roman" w:eastAsia="Times New Roman" w:hAnsi="Times New Roman" w:cs="Times New Roman"/>
              </w:rPr>
            </w:pPr>
            <w:r w:rsidRPr="00413070">
              <w:rPr>
                <w:rFonts w:ascii="Times New Roman" w:eastAsia="Times New Roman" w:hAnsi="Times New Roman" w:cs="Times New Roman"/>
              </w:rPr>
              <w:t>Placebo</w:t>
            </w:r>
          </w:p>
        </w:tc>
        <w:tc>
          <w:tcPr>
            <w:tcW w:w="1274" w:type="dxa"/>
            <w:vAlign w:val="center"/>
          </w:tcPr>
          <w:p w14:paraId="5D435F8B" w14:textId="51150479" w:rsidR="00413070" w:rsidRPr="00413070" w:rsidRDefault="00413070" w:rsidP="00A5740F">
            <w:pPr>
              <w:keepNext/>
              <w:widowControl/>
              <w:rPr>
                <w:rFonts w:ascii="Times New Roman" w:eastAsia="Times New Roman" w:hAnsi="Times New Roman" w:cs="Times New Roman"/>
              </w:rPr>
            </w:pPr>
            <w:r w:rsidRPr="00413070">
              <w:rPr>
                <w:rFonts w:ascii="Times New Roman" w:eastAsia="Times New Roman" w:hAnsi="Times New Roman" w:cs="Times New Roman"/>
              </w:rPr>
              <w:t xml:space="preserve">Nintedanib 150 mg </w:t>
            </w:r>
            <w:r w:rsidR="00B74070">
              <w:rPr>
                <w:rFonts w:ascii="Times New Roman" w:eastAsia="Times New Roman" w:hAnsi="Times New Roman" w:cs="Times New Roman"/>
              </w:rPr>
              <w:t>napi kétszer</w:t>
            </w:r>
          </w:p>
        </w:tc>
        <w:tc>
          <w:tcPr>
            <w:tcW w:w="1136" w:type="dxa"/>
            <w:vAlign w:val="center"/>
          </w:tcPr>
          <w:p w14:paraId="7CB533A8" w14:textId="77777777" w:rsidR="00413070" w:rsidRPr="00413070" w:rsidRDefault="00413070" w:rsidP="00A5740F">
            <w:pPr>
              <w:keepNext/>
              <w:widowControl/>
              <w:rPr>
                <w:rFonts w:ascii="Times New Roman" w:eastAsia="Times New Roman" w:hAnsi="Times New Roman" w:cs="Times New Roman"/>
              </w:rPr>
            </w:pPr>
            <w:r w:rsidRPr="00413070">
              <w:rPr>
                <w:rFonts w:ascii="Times New Roman" w:eastAsia="Times New Roman" w:hAnsi="Times New Roman" w:cs="Times New Roman"/>
              </w:rPr>
              <w:t>Placebo</w:t>
            </w:r>
          </w:p>
        </w:tc>
        <w:tc>
          <w:tcPr>
            <w:tcW w:w="1274" w:type="dxa"/>
            <w:vAlign w:val="center"/>
          </w:tcPr>
          <w:p w14:paraId="4E8B9DE8" w14:textId="27E66A4F" w:rsidR="00413070" w:rsidRPr="00413070" w:rsidRDefault="00413070" w:rsidP="00A5740F">
            <w:pPr>
              <w:keepNext/>
              <w:widowControl/>
              <w:rPr>
                <w:rFonts w:ascii="Times New Roman" w:eastAsia="Times New Roman" w:hAnsi="Times New Roman" w:cs="Times New Roman"/>
              </w:rPr>
            </w:pPr>
            <w:r w:rsidRPr="00413070">
              <w:rPr>
                <w:rFonts w:ascii="Times New Roman" w:eastAsia="Times New Roman" w:hAnsi="Times New Roman" w:cs="Times New Roman"/>
              </w:rPr>
              <w:t xml:space="preserve">Nintedanib 150 mg </w:t>
            </w:r>
            <w:r w:rsidR="00B74070" w:rsidRPr="00B74070">
              <w:rPr>
                <w:rFonts w:ascii="Times New Roman" w:eastAsia="Times New Roman" w:hAnsi="Times New Roman" w:cs="Times New Roman"/>
              </w:rPr>
              <w:t>napi kétszer</w:t>
            </w:r>
          </w:p>
        </w:tc>
        <w:tc>
          <w:tcPr>
            <w:tcW w:w="1136" w:type="dxa"/>
            <w:vAlign w:val="center"/>
          </w:tcPr>
          <w:p w14:paraId="5D359A15" w14:textId="77777777" w:rsidR="00413070" w:rsidRPr="00413070" w:rsidRDefault="00413070" w:rsidP="00A5740F">
            <w:pPr>
              <w:keepNext/>
              <w:widowControl/>
              <w:rPr>
                <w:rFonts w:ascii="Times New Roman" w:eastAsia="Times New Roman" w:hAnsi="Times New Roman" w:cs="Times New Roman"/>
              </w:rPr>
            </w:pPr>
            <w:r w:rsidRPr="00413070">
              <w:rPr>
                <w:rFonts w:ascii="Times New Roman" w:eastAsia="Times New Roman" w:hAnsi="Times New Roman" w:cs="Times New Roman"/>
              </w:rPr>
              <w:t>Placebo</w:t>
            </w:r>
          </w:p>
        </w:tc>
        <w:tc>
          <w:tcPr>
            <w:tcW w:w="1272" w:type="dxa"/>
            <w:vAlign w:val="center"/>
          </w:tcPr>
          <w:p w14:paraId="6C64F86F" w14:textId="4729A1CE" w:rsidR="00413070" w:rsidRPr="00413070" w:rsidRDefault="00413070" w:rsidP="00A5740F">
            <w:pPr>
              <w:keepNext/>
              <w:widowControl/>
              <w:rPr>
                <w:rFonts w:ascii="Times New Roman" w:eastAsia="Times New Roman" w:hAnsi="Times New Roman" w:cs="Times New Roman"/>
              </w:rPr>
            </w:pPr>
            <w:r w:rsidRPr="00413070">
              <w:rPr>
                <w:rFonts w:ascii="Times New Roman" w:eastAsia="Times New Roman" w:hAnsi="Times New Roman" w:cs="Times New Roman"/>
              </w:rPr>
              <w:t xml:space="preserve">Nintedanib 150 mg </w:t>
            </w:r>
            <w:r w:rsidR="00B74070" w:rsidRPr="00B74070">
              <w:rPr>
                <w:rFonts w:ascii="Times New Roman" w:eastAsia="Times New Roman" w:hAnsi="Times New Roman" w:cs="Times New Roman"/>
              </w:rPr>
              <w:t>napi kétszer</w:t>
            </w:r>
          </w:p>
        </w:tc>
      </w:tr>
      <w:tr w:rsidR="00413070" w:rsidRPr="00413070" w14:paraId="09ED31B7" w14:textId="77777777" w:rsidTr="00E0772D">
        <w:tc>
          <w:tcPr>
            <w:tcW w:w="1837" w:type="dxa"/>
          </w:tcPr>
          <w:p w14:paraId="07783401" w14:textId="5A12C5B0" w:rsidR="00413070" w:rsidRPr="00413070" w:rsidRDefault="00B74070" w:rsidP="00A5740F">
            <w:pPr>
              <w:keepNext/>
              <w:widowControl/>
              <w:rPr>
                <w:rFonts w:ascii="Times New Roman" w:eastAsia="Times New Roman" w:hAnsi="Times New Roman" w:cs="Times New Roman"/>
              </w:rPr>
            </w:pPr>
            <w:r w:rsidRPr="00B74070">
              <w:rPr>
                <w:rFonts w:ascii="Times New Roman" w:eastAsia="Times New Roman" w:hAnsi="Times New Roman" w:cs="Times New Roman"/>
              </w:rPr>
              <w:t>Veszélyeztetett</w:t>
            </w:r>
            <w:r w:rsidR="006C14B7">
              <w:rPr>
                <w:rFonts w:ascii="Times New Roman" w:eastAsia="Times New Roman" w:hAnsi="Times New Roman" w:cs="Times New Roman"/>
              </w:rPr>
              <w:t xml:space="preserve"> </w:t>
            </w:r>
            <w:r w:rsidRPr="00B74070">
              <w:rPr>
                <w:rFonts w:ascii="Times New Roman" w:eastAsia="Times New Roman" w:hAnsi="Times New Roman" w:cs="Times New Roman"/>
              </w:rPr>
              <w:t>betegek száma</w:t>
            </w:r>
          </w:p>
        </w:tc>
        <w:tc>
          <w:tcPr>
            <w:tcW w:w="1135" w:type="dxa"/>
            <w:vAlign w:val="center"/>
          </w:tcPr>
          <w:p w14:paraId="296FB5C0" w14:textId="77777777" w:rsidR="00413070" w:rsidRPr="00413070" w:rsidRDefault="00413070" w:rsidP="00A5740F">
            <w:pPr>
              <w:keepNext/>
              <w:widowControl/>
              <w:jc w:val="center"/>
              <w:rPr>
                <w:rFonts w:ascii="Times New Roman" w:eastAsia="Times New Roman" w:hAnsi="Times New Roman" w:cs="Times New Roman"/>
              </w:rPr>
            </w:pPr>
            <w:r w:rsidRPr="00413070">
              <w:rPr>
                <w:rFonts w:ascii="Times New Roman" w:eastAsia="Times New Roman" w:hAnsi="Times New Roman" w:cs="Times New Roman"/>
              </w:rPr>
              <w:t>204</w:t>
            </w:r>
          </w:p>
        </w:tc>
        <w:tc>
          <w:tcPr>
            <w:tcW w:w="1274" w:type="dxa"/>
            <w:vAlign w:val="center"/>
          </w:tcPr>
          <w:p w14:paraId="3D9C40BF" w14:textId="77777777" w:rsidR="00413070" w:rsidRPr="00413070" w:rsidRDefault="00413070" w:rsidP="00A5740F">
            <w:pPr>
              <w:keepNext/>
              <w:widowControl/>
              <w:jc w:val="center"/>
              <w:rPr>
                <w:rFonts w:ascii="Times New Roman" w:eastAsia="Times New Roman" w:hAnsi="Times New Roman" w:cs="Times New Roman"/>
              </w:rPr>
            </w:pPr>
            <w:r w:rsidRPr="00413070">
              <w:rPr>
                <w:rFonts w:ascii="Times New Roman" w:eastAsia="Times New Roman" w:hAnsi="Times New Roman" w:cs="Times New Roman"/>
              </w:rPr>
              <w:t>309</w:t>
            </w:r>
          </w:p>
        </w:tc>
        <w:tc>
          <w:tcPr>
            <w:tcW w:w="1136" w:type="dxa"/>
            <w:vAlign w:val="center"/>
          </w:tcPr>
          <w:p w14:paraId="2E6CA97E" w14:textId="77777777" w:rsidR="00413070" w:rsidRPr="00413070" w:rsidRDefault="00413070" w:rsidP="00A5740F">
            <w:pPr>
              <w:keepNext/>
              <w:widowControl/>
              <w:jc w:val="center"/>
              <w:rPr>
                <w:rFonts w:ascii="Times New Roman" w:eastAsia="Times New Roman" w:hAnsi="Times New Roman" w:cs="Times New Roman"/>
              </w:rPr>
            </w:pPr>
            <w:r w:rsidRPr="00413070">
              <w:rPr>
                <w:rFonts w:ascii="Times New Roman" w:eastAsia="Times New Roman" w:hAnsi="Times New Roman" w:cs="Times New Roman"/>
              </w:rPr>
              <w:t>219</w:t>
            </w:r>
          </w:p>
        </w:tc>
        <w:tc>
          <w:tcPr>
            <w:tcW w:w="1274" w:type="dxa"/>
            <w:vAlign w:val="center"/>
          </w:tcPr>
          <w:p w14:paraId="19AF12E7" w14:textId="77777777" w:rsidR="00413070" w:rsidRPr="00413070" w:rsidRDefault="00413070" w:rsidP="00A5740F">
            <w:pPr>
              <w:keepNext/>
              <w:widowControl/>
              <w:jc w:val="center"/>
              <w:rPr>
                <w:rFonts w:ascii="Times New Roman" w:eastAsia="Times New Roman" w:hAnsi="Times New Roman" w:cs="Times New Roman"/>
              </w:rPr>
            </w:pPr>
            <w:r w:rsidRPr="00413070">
              <w:rPr>
                <w:rFonts w:ascii="Times New Roman" w:eastAsia="Times New Roman" w:hAnsi="Times New Roman" w:cs="Times New Roman"/>
              </w:rPr>
              <w:t>329</w:t>
            </w:r>
          </w:p>
        </w:tc>
        <w:tc>
          <w:tcPr>
            <w:tcW w:w="1136" w:type="dxa"/>
            <w:vAlign w:val="center"/>
          </w:tcPr>
          <w:p w14:paraId="6C74F05F" w14:textId="77777777" w:rsidR="00413070" w:rsidRPr="00413070" w:rsidRDefault="00413070" w:rsidP="00A5740F">
            <w:pPr>
              <w:keepNext/>
              <w:widowControl/>
              <w:jc w:val="center"/>
              <w:rPr>
                <w:rFonts w:ascii="Times New Roman" w:eastAsia="Times New Roman" w:hAnsi="Times New Roman" w:cs="Times New Roman"/>
              </w:rPr>
            </w:pPr>
            <w:r w:rsidRPr="00413070">
              <w:rPr>
                <w:rFonts w:ascii="Times New Roman" w:eastAsia="Times New Roman" w:hAnsi="Times New Roman" w:cs="Times New Roman"/>
              </w:rPr>
              <w:t>423</w:t>
            </w:r>
          </w:p>
        </w:tc>
        <w:tc>
          <w:tcPr>
            <w:tcW w:w="1272" w:type="dxa"/>
            <w:vAlign w:val="center"/>
          </w:tcPr>
          <w:p w14:paraId="5D365F27" w14:textId="77777777" w:rsidR="00413070" w:rsidRPr="00413070" w:rsidRDefault="00413070" w:rsidP="00A5740F">
            <w:pPr>
              <w:keepNext/>
              <w:widowControl/>
              <w:jc w:val="center"/>
              <w:rPr>
                <w:rFonts w:ascii="Times New Roman" w:eastAsia="Times New Roman" w:hAnsi="Times New Roman" w:cs="Times New Roman"/>
              </w:rPr>
            </w:pPr>
            <w:r w:rsidRPr="00413070">
              <w:rPr>
                <w:rFonts w:ascii="Times New Roman" w:eastAsia="Times New Roman" w:hAnsi="Times New Roman" w:cs="Times New Roman"/>
              </w:rPr>
              <w:t>638</w:t>
            </w:r>
          </w:p>
        </w:tc>
      </w:tr>
      <w:tr w:rsidR="00413070" w:rsidRPr="00413070" w14:paraId="15138E7D" w14:textId="77777777" w:rsidTr="00E0772D">
        <w:tc>
          <w:tcPr>
            <w:tcW w:w="1837" w:type="dxa"/>
          </w:tcPr>
          <w:p w14:paraId="6B98E516" w14:textId="6F0095B2" w:rsidR="00413070" w:rsidRPr="00413070" w:rsidRDefault="00B74070" w:rsidP="006C14B7">
            <w:pPr>
              <w:rPr>
                <w:rFonts w:ascii="Times New Roman" w:eastAsia="Times New Roman" w:hAnsi="Times New Roman" w:cs="Times New Roman"/>
              </w:rPr>
            </w:pPr>
            <w:r w:rsidRPr="00B74070">
              <w:rPr>
                <w:rFonts w:ascii="Times New Roman" w:eastAsia="Times New Roman" w:hAnsi="Times New Roman" w:cs="Times New Roman"/>
              </w:rPr>
              <w:t>Nemkívánatos</w:t>
            </w:r>
            <w:r w:rsidR="006C14B7">
              <w:rPr>
                <w:rFonts w:ascii="Times New Roman" w:eastAsia="Times New Roman" w:hAnsi="Times New Roman" w:cs="Times New Roman"/>
              </w:rPr>
              <w:t xml:space="preserve"> </w:t>
            </w:r>
            <w:r w:rsidRPr="00B74070">
              <w:rPr>
                <w:rFonts w:ascii="Times New Roman" w:eastAsia="Times New Roman" w:hAnsi="Times New Roman" w:cs="Times New Roman"/>
              </w:rPr>
              <w:t>eseményt tapasz</w:t>
            </w:r>
            <w:r>
              <w:rPr>
                <w:rFonts w:ascii="Times New Roman" w:eastAsia="Times New Roman" w:hAnsi="Times New Roman" w:cs="Times New Roman"/>
              </w:rPr>
              <w:t xml:space="preserve">- </w:t>
            </w:r>
            <w:r w:rsidRPr="00B74070">
              <w:rPr>
                <w:rFonts w:ascii="Times New Roman" w:eastAsia="Times New Roman" w:hAnsi="Times New Roman" w:cs="Times New Roman"/>
              </w:rPr>
              <w:t>taló</w:t>
            </w:r>
            <w:r>
              <w:rPr>
                <w:rFonts w:ascii="Times New Roman" w:eastAsia="Times New Roman" w:hAnsi="Times New Roman" w:cs="Times New Roman"/>
              </w:rPr>
              <w:t xml:space="preserve"> </w:t>
            </w:r>
            <w:r w:rsidRPr="00B74070">
              <w:rPr>
                <w:rFonts w:ascii="Times New Roman" w:eastAsia="Times New Roman" w:hAnsi="Times New Roman" w:cs="Times New Roman"/>
              </w:rPr>
              <w:t>betegek, N</w:t>
            </w:r>
            <w:r w:rsidR="006C14B7">
              <w:rPr>
                <w:rFonts w:ascii="Times New Roman" w:eastAsia="Times New Roman" w:hAnsi="Times New Roman" w:cs="Times New Roman"/>
              </w:rPr>
              <w:t> </w:t>
            </w:r>
            <w:r w:rsidRPr="00B74070">
              <w:rPr>
                <w:rFonts w:ascii="Times New Roman" w:eastAsia="Times New Roman" w:hAnsi="Times New Roman" w:cs="Times New Roman"/>
              </w:rPr>
              <w:t>(%)</w:t>
            </w:r>
          </w:p>
        </w:tc>
        <w:tc>
          <w:tcPr>
            <w:tcW w:w="1135" w:type="dxa"/>
            <w:vAlign w:val="center"/>
          </w:tcPr>
          <w:p w14:paraId="63997241" w14:textId="047BAF26" w:rsidR="00413070" w:rsidRPr="00413070" w:rsidRDefault="00413070" w:rsidP="003C5395">
            <w:pPr>
              <w:jc w:val="center"/>
              <w:rPr>
                <w:rFonts w:ascii="Times New Roman" w:eastAsia="Times New Roman" w:hAnsi="Times New Roman" w:cs="Times New Roman"/>
              </w:rPr>
            </w:pPr>
            <w:r w:rsidRPr="00413070">
              <w:rPr>
                <w:rFonts w:ascii="Times New Roman" w:eastAsia="Times New Roman" w:hAnsi="Times New Roman" w:cs="Times New Roman"/>
              </w:rPr>
              <w:t>11 (5</w:t>
            </w:r>
            <w:r w:rsidR="00BE517F">
              <w:rPr>
                <w:rFonts w:ascii="Times New Roman" w:eastAsia="Times New Roman" w:hAnsi="Times New Roman" w:cs="Times New Roman"/>
              </w:rPr>
              <w:t>,</w:t>
            </w:r>
            <w:r w:rsidRPr="00413070">
              <w:rPr>
                <w:rFonts w:ascii="Times New Roman" w:eastAsia="Times New Roman" w:hAnsi="Times New Roman" w:cs="Times New Roman"/>
              </w:rPr>
              <w:t>4)</w:t>
            </w:r>
          </w:p>
        </w:tc>
        <w:tc>
          <w:tcPr>
            <w:tcW w:w="1274" w:type="dxa"/>
            <w:vAlign w:val="center"/>
          </w:tcPr>
          <w:p w14:paraId="10C10BCC" w14:textId="17FB046C" w:rsidR="00413070" w:rsidRPr="00413070" w:rsidRDefault="00413070" w:rsidP="003C5395">
            <w:pPr>
              <w:jc w:val="center"/>
              <w:rPr>
                <w:rFonts w:ascii="Times New Roman" w:eastAsia="Times New Roman" w:hAnsi="Times New Roman" w:cs="Times New Roman"/>
              </w:rPr>
            </w:pPr>
            <w:r w:rsidRPr="00413070">
              <w:rPr>
                <w:rFonts w:ascii="Times New Roman" w:eastAsia="Times New Roman" w:hAnsi="Times New Roman" w:cs="Times New Roman"/>
              </w:rPr>
              <w:t>19 (6</w:t>
            </w:r>
            <w:r w:rsidR="00BE517F">
              <w:rPr>
                <w:rFonts w:ascii="Times New Roman" w:eastAsia="Times New Roman" w:hAnsi="Times New Roman" w:cs="Times New Roman"/>
              </w:rPr>
              <w:t>,</w:t>
            </w:r>
            <w:r w:rsidRPr="00413070">
              <w:rPr>
                <w:rFonts w:ascii="Times New Roman" w:eastAsia="Times New Roman" w:hAnsi="Times New Roman" w:cs="Times New Roman"/>
              </w:rPr>
              <w:t>1)</w:t>
            </w:r>
          </w:p>
        </w:tc>
        <w:tc>
          <w:tcPr>
            <w:tcW w:w="1136" w:type="dxa"/>
            <w:vAlign w:val="center"/>
          </w:tcPr>
          <w:p w14:paraId="58EE3EF7" w14:textId="13E55EE1" w:rsidR="00413070" w:rsidRPr="00413070" w:rsidRDefault="00413070" w:rsidP="003C5395">
            <w:pPr>
              <w:jc w:val="center"/>
              <w:rPr>
                <w:rFonts w:ascii="Times New Roman" w:eastAsia="Times New Roman" w:hAnsi="Times New Roman" w:cs="Times New Roman"/>
              </w:rPr>
            </w:pPr>
            <w:r w:rsidRPr="00413070">
              <w:rPr>
                <w:rFonts w:ascii="Times New Roman" w:eastAsia="Times New Roman" w:hAnsi="Times New Roman" w:cs="Times New Roman"/>
              </w:rPr>
              <w:t>21 (9</w:t>
            </w:r>
            <w:r w:rsidR="00BE517F">
              <w:rPr>
                <w:rFonts w:ascii="Times New Roman" w:eastAsia="Times New Roman" w:hAnsi="Times New Roman" w:cs="Times New Roman"/>
              </w:rPr>
              <w:t>,</w:t>
            </w:r>
            <w:r w:rsidRPr="00413070">
              <w:rPr>
                <w:rFonts w:ascii="Times New Roman" w:eastAsia="Times New Roman" w:hAnsi="Times New Roman" w:cs="Times New Roman"/>
              </w:rPr>
              <w:t>6)</w:t>
            </w:r>
          </w:p>
        </w:tc>
        <w:tc>
          <w:tcPr>
            <w:tcW w:w="1274" w:type="dxa"/>
            <w:vAlign w:val="center"/>
          </w:tcPr>
          <w:p w14:paraId="46F269DD" w14:textId="6175A7B1" w:rsidR="00413070" w:rsidRPr="00413070" w:rsidRDefault="00413070" w:rsidP="003C5395">
            <w:pPr>
              <w:jc w:val="center"/>
              <w:rPr>
                <w:rFonts w:ascii="Times New Roman" w:eastAsia="Times New Roman" w:hAnsi="Times New Roman" w:cs="Times New Roman"/>
              </w:rPr>
            </w:pPr>
            <w:r w:rsidRPr="00413070">
              <w:rPr>
                <w:rFonts w:ascii="Times New Roman" w:eastAsia="Times New Roman" w:hAnsi="Times New Roman" w:cs="Times New Roman"/>
              </w:rPr>
              <w:t>12 (3</w:t>
            </w:r>
            <w:r w:rsidR="00BE517F">
              <w:rPr>
                <w:rFonts w:ascii="Times New Roman" w:eastAsia="Times New Roman" w:hAnsi="Times New Roman" w:cs="Times New Roman"/>
              </w:rPr>
              <w:t>,</w:t>
            </w:r>
            <w:r w:rsidRPr="00413070">
              <w:rPr>
                <w:rFonts w:ascii="Times New Roman" w:eastAsia="Times New Roman" w:hAnsi="Times New Roman" w:cs="Times New Roman"/>
              </w:rPr>
              <w:t>6)</w:t>
            </w:r>
          </w:p>
        </w:tc>
        <w:tc>
          <w:tcPr>
            <w:tcW w:w="1136" w:type="dxa"/>
            <w:vAlign w:val="center"/>
          </w:tcPr>
          <w:p w14:paraId="5CD41ED9" w14:textId="79AF15DA" w:rsidR="00413070" w:rsidRPr="00413070" w:rsidRDefault="00413070" w:rsidP="003C5395">
            <w:pPr>
              <w:jc w:val="center"/>
              <w:rPr>
                <w:rFonts w:ascii="Times New Roman" w:eastAsia="Times New Roman" w:hAnsi="Times New Roman" w:cs="Times New Roman"/>
              </w:rPr>
            </w:pPr>
            <w:r w:rsidRPr="00413070">
              <w:rPr>
                <w:rFonts w:ascii="Times New Roman" w:eastAsia="Times New Roman" w:hAnsi="Times New Roman" w:cs="Times New Roman"/>
              </w:rPr>
              <w:t>32 (7</w:t>
            </w:r>
            <w:r w:rsidR="00BE517F">
              <w:rPr>
                <w:rFonts w:ascii="Times New Roman" w:eastAsia="Times New Roman" w:hAnsi="Times New Roman" w:cs="Times New Roman"/>
              </w:rPr>
              <w:t>,</w:t>
            </w:r>
            <w:r w:rsidRPr="00413070">
              <w:rPr>
                <w:rFonts w:ascii="Times New Roman" w:eastAsia="Times New Roman" w:hAnsi="Times New Roman" w:cs="Times New Roman"/>
              </w:rPr>
              <w:t>6)</w:t>
            </w:r>
          </w:p>
        </w:tc>
        <w:tc>
          <w:tcPr>
            <w:tcW w:w="1272" w:type="dxa"/>
            <w:vAlign w:val="center"/>
          </w:tcPr>
          <w:p w14:paraId="50B04352" w14:textId="4CE64342" w:rsidR="00413070" w:rsidRPr="00413070" w:rsidRDefault="00413070" w:rsidP="003C5395">
            <w:pPr>
              <w:jc w:val="center"/>
              <w:rPr>
                <w:rFonts w:ascii="Times New Roman" w:eastAsia="Times New Roman" w:hAnsi="Times New Roman" w:cs="Times New Roman"/>
              </w:rPr>
            </w:pPr>
            <w:r w:rsidRPr="00413070">
              <w:rPr>
                <w:rFonts w:ascii="Times New Roman" w:eastAsia="Times New Roman" w:hAnsi="Times New Roman" w:cs="Times New Roman"/>
              </w:rPr>
              <w:t>31 (4</w:t>
            </w:r>
            <w:r w:rsidR="00BE517F">
              <w:rPr>
                <w:rFonts w:ascii="Times New Roman" w:eastAsia="Times New Roman" w:hAnsi="Times New Roman" w:cs="Times New Roman"/>
              </w:rPr>
              <w:t>,</w:t>
            </w:r>
            <w:r w:rsidRPr="00413070">
              <w:rPr>
                <w:rFonts w:ascii="Times New Roman" w:eastAsia="Times New Roman" w:hAnsi="Times New Roman" w:cs="Times New Roman"/>
              </w:rPr>
              <w:t>9)</w:t>
            </w:r>
          </w:p>
        </w:tc>
      </w:tr>
      <w:tr w:rsidR="00413070" w:rsidRPr="00413070" w14:paraId="0DAB4F50" w14:textId="77777777" w:rsidTr="00E0772D">
        <w:tc>
          <w:tcPr>
            <w:tcW w:w="9064" w:type="dxa"/>
            <w:gridSpan w:val="7"/>
          </w:tcPr>
          <w:p w14:paraId="2A4E01E4" w14:textId="705B531F" w:rsidR="00413070" w:rsidRPr="00413070" w:rsidRDefault="00B74070" w:rsidP="00413070">
            <w:pPr>
              <w:rPr>
                <w:rFonts w:ascii="Times New Roman" w:eastAsia="Times New Roman" w:hAnsi="Times New Roman" w:cs="Times New Roman"/>
              </w:rPr>
            </w:pPr>
            <w:r w:rsidRPr="00B74070">
              <w:rPr>
                <w:rFonts w:ascii="Times New Roman" w:eastAsia="Times New Roman" w:hAnsi="Times New Roman" w:cs="Times New Roman"/>
              </w:rPr>
              <w:t>Összehasonlítás placebóhoz képest</w:t>
            </w:r>
            <w:r w:rsidRPr="00B74070">
              <w:rPr>
                <w:rFonts w:ascii="Times New Roman" w:eastAsia="Times New Roman" w:hAnsi="Times New Roman" w:cs="Times New Roman"/>
                <w:vertAlign w:val="superscript"/>
              </w:rPr>
              <w:t>1</w:t>
            </w:r>
          </w:p>
        </w:tc>
      </w:tr>
      <w:tr w:rsidR="00413070" w:rsidRPr="00413070" w14:paraId="1E66138D" w14:textId="77777777" w:rsidTr="00E0772D">
        <w:tc>
          <w:tcPr>
            <w:tcW w:w="1837" w:type="dxa"/>
          </w:tcPr>
          <w:p w14:paraId="000E6E7B" w14:textId="032685F7" w:rsidR="00413070" w:rsidRPr="00413070" w:rsidRDefault="00413070" w:rsidP="00413070">
            <w:pPr>
              <w:rPr>
                <w:rFonts w:ascii="Times New Roman" w:eastAsia="Times New Roman" w:hAnsi="Times New Roman" w:cs="Times New Roman"/>
              </w:rPr>
            </w:pPr>
            <w:r w:rsidRPr="00413070">
              <w:rPr>
                <w:rFonts w:ascii="Times New Roman" w:eastAsia="Times New Roman" w:hAnsi="Times New Roman" w:cs="Times New Roman"/>
              </w:rPr>
              <w:t>p-</w:t>
            </w:r>
            <w:r w:rsidR="00B74070">
              <w:rPr>
                <w:rFonts w:ascii="Times New Roman" w:eastAsia="Times New Roman" w:hAnsi="Times New Roman" w:cs="Times New Roman"/>
              </w:rPr>
              <w:t>érték</w:t>
            </w:r>
            <w:r w:rsidRPr="00413070">
              <w:rPr>
                <w:rFonts w:ascii="Times New Roman" w:eastAsia="Times New Roman" w:hAnsi="Times New Roman" w:cs="Times New Roman"/>
                <w:vertAlign w:val="superscript"/>
              </w:rPr>
              <w:t>2</w:t>
            </w:r>
          </w:p>
        </w:tc>
        <w:tc>
          <w:tcPr>
            <w:tcW w:w="1135" w:type="dxa"/>
            <w:vAlign w:val="center"/>
          </w:tcPr>
          <w:p w14:paraId="44B123EC" w14:textId="77777777" w:rsidR="00413070" w:rsidRPr="00413070" w:rsidRDefault="00413070" w:rsidP="00413070">
            <w:pPr>
              <w:rPr>
                <w:rFonts w:ascii="Times New Roman" w:eastAsia="Times New Roman" w:hAnsi="Times New Roman" w:cs="Times New Roman"/>
              </w:rPr>
            </w:pPr>
          </w:p>
        </w:tc>
        <w:tc>
          <w:tcPr>
            <w:tcW w:w="1274" w:type="dxa"/>
            <w:vAlign w:val="center"/>
          </w:tcPr>
          <w:p w14:paraId="5ABBFA43" w14:textId="38AF0694" w:rsidR="00413070" w:rsidRPr="00413070" w:rsidRDefault="00413070" w:rsidP="003C5395">
            <w:pPr>
              <w:jc w:val="center"/>
              <w:rPr>
                <w:rFonts w:ascii="Times New Roman" w:eastAsia="Times New Roman" w:hAnsi="Times New Roman" w:cs="Times New Roman"/>
              </w:rPr>
            </w:pPr>
            <w:r w:rsidRPr="00413070">
              <w:rPr>
                <w:rFonts w:ascii="Times New Roman" w:eastAsia="Times New Roman" w:hAnsi="Times New Roman" w:cs="Times New Roman"/>
              </w:rPr>
              <w:t>0</w:t>
            </w:r>
            <w:r w:rsidR="00BE517F">
              <w:rPr>
                <w:rFonts w:ascii="Times New Roman" w:eastAsia="Times New Roman" w:hAnsi="Times New Roman" w:cs="Times New Roman"/>
              </w:rPr>
              <w:t>,</w:t>
            </w:r>
            <w:r w:rsidRPr="00413070">
              <w:rPr>
                <w:rFonts w:ascii="Times New Roman" w:eastAsia="Times New Roman" w:hAnsi="Times New Roman" w:cs="Times New Roman"/>
              </w:rPr>
              <w:t>6728</w:t>
            </w:r>
          </w:p>
        </w:tc>
        <w:tc>
          <w:tcPr>
            <w:tcW w:w="1136" w:type="dxa"/>
            <w:vAlign w:val="center"/>
          </w:tcPr>
          <w:p w14:paraId="787CC888" w14:textId="77777777" w:rsidR="00413070" w:rsidRPr="00413070" w:rsidRDefault="00413070" w:rsidP="003C5395">
            <w:pPr>
              <w:jc w:val="center"/>
              <w:rPr>
                <w:rFonts w:ascii="Times New Roman" w:eastAsia="Times New Roman" w:hAnsi="Times New Roman" w:cs="Times New Roman"/>
              </w:rPr>
            </w:pPr>
          </w:p>
        </w:tc>
        <w:tc>
          <w:tcPr>
            <w:tcW w:w="1274" w:type="dxa"/>
            <w:vAlign w:val="center"/>
          </w:tcPr>
          <w:p w14:paraId="662614B2" w14:textId="2D9C402C" w:rsidR="00413070" w:rsidRPr="00413070" w:rsidRDefault="00413070" w:rsidP="003C5395">
            <w:pPr>
              <w:jc w:val="center"/>
              <w:rPr>
                <w:rFonts w:ascii="Times New Roman" w:eastAsia="Times New Roman" w:hAnsi="Times New Roman" w:cs="Times New Roman"/>
              </w:rPr>
            </w:pPr>
            <w:r w:rsidRPr="00413070">
              <w:rPr>
                <w:rFonts w:ascii="Times New Roman" w:eastAsia="Times New Roman" w:hAnsi="Times New Roman" w:cs="Times New Roman"/>
              </w:rPr>
              <w:t>0</w:t>
            </w:r>
            <w:r w:rsidR="00BE517F">
              <w:rPr>
                <w:rFonts w:ascii="Times New Roman" w:eastAsia="Times New Roman" w:hAnsi="Times New Roman" w:cs="Times New Roman"/>
              </w:rPr>
              <w:t>,</w:t>
            </w:r>
            <w:r w:rsidRPr="00413070">
              <w:rPr>
                <w:rFonts w:ascii="Times New Roman" w:eastAsia="Times New Roman" w:hAnsi="Times New Roman" w:cs="Times New Roman"/>
              </w:rPr>
              <w:t>0050</w:t>
            </w:r>
          </w:p>
        </w:tc>
        <w:tc>
          <w:tcPr>
            <w:tcW w:w="1136" w:type="dxa"/>
            <w:vAlign w:val="center"/>
          </w:tcPr>
          <w:p w14:paraId="5DF4E447" w14:textId="77777777" w:rsidR="00413070" w:rsidRPr="00413070" w:rsidRDefault="00413070" w:rsidP="003C5395">
            <w:pPr>
              <w:jc w:val="center"/>
              <w:rPr>
                <w:rFonts w:ascii="Times New Roman" w:eastAsia="Times New Roman" w:hAnsi="Times New Roman" w:cs="Times New Roman"/>
              </w:rPr>
            </w:pPr>
          </w:p>
        </w:tc>
        <w:tc>
          <w:tcPr>
            <w:tcW w:w="1272" w:type="dxa"/>
            <w:vAlign w:val="center"/>
          </w:tcPr>
          <w:p w14:paraId="16E65C0D" w14:textId="5E569ABE" w:rsidR="00413070" w:rsidRPr="00413070" w:rsidRDefault="00413070" w:rsidP="003C5395">
            <w:pPr>
              <w:jc w:val="center"/>
              <w:rPr>
                <w:rFonts w:ascii="Times New Roman" w:eastAsia="Times New Roman" w:hAnsi="Times New Roman" w:cs="Times New Roman"/>
              </w:rPr>
            </w:pPr>
            <w:r w:rsidRPr="00413070">
              <w:rPr>
                <w:rFonts w:ascii="Times New Roman" w:eastAsia="Times New Roman" w:hAnsi="Times New Roman" w:cs="Times New Roman"/>
              </w:rPr>
              <w:t>0</w:t>
            </w:r>
            <w:r w:rsidR="00BE517F">
              <w:rPr>
                <w:rFonts w:ascii="Times New Roman" w:eastAsia="Times New Roman" w:hAnsi="Times New Roman" w:cs="Times New Roman"/>
              </w:rPr>
              <w:t>,</w:t>
            </w:r>
            <w:r w:rsidRPr="00413070">
              <w:rPr>
                <w:rFonts w:ascii="Times New Roman" w:eastAsia="Times New Roman" w:hAnsi="Times New Roman" w:cs="Times New Roman"/>
              </w:rPr>
              <w:t>0823</w:t>
            </w:r>
          </w:p>
        </w:tc>
      </w:tr>
      <w:tr w:rsidR="00413070" w:rsidRPr="00413070" w14:paraId="62DA66DC" w14:textId="77777777" w:rsidTr="00E0772D">
        <w:tc>
          <w:tcPr>
            <w:tcW w:w="1837" w:type="dxa"/>
          </w:tcPr>
          <w:p w14:paraId="4D08BDDF" w14:textId="071B8085" w:rsidR="00413070" w:rsidRPr="00413070" w:rsidRDefault="00B74070" w:rsidP="00413070">
            <w:pPr>
              <w:rPr>
                <w:rFonts w:ascii="Times New Roman" w:eastAsia="Times New Roman" w:hAnsi="Times New Roman" w:cs="Times New Roman"/>
              </w:rPr>
            </w:pPr>
            <w:r>
              <w:rPr>
                <w:rFonts w:ascii="Times New Roman" w:eastAsia="Times New Roman" w:hAnsi="Times New Roman" w:cs="Times New Roman"/>
              </w:rPr>
              <w:t xml:space="preserve">Relatív </w:t>
            </w:r>
            <w:r w:rsidR="00413070" w:rsidRPr="00413070">
              <w:rPr>
                <w:rFonts w:ascii="Times New Roman" w:eastAsia="Times New Roman" w:hAnsi="Times New Roman" w:cs="Times New Roman"/>
              </w:rPr>
              <w:t>azar</w:t>
            </w:r>
            <w:r>
              <w:rPr>
                <w:rFonts w:ascii="Times New Roman" w:eastAsia="Times New Roman" w:hAnsi="Times New Roman" w:cs="Times New Roman"/>
              </w:rPr>
              <w:t>á</w:t>
            </w:r>
            <w:r w:rsidR="00413070" w:rsidRPr="00413070">
              <w:rPr>
                <w:rFonts w:ascii="Times New Roman" w:eastAsia="Times New Roman" w:hAnsi="Times New Roman" w:cs="Times New Roman"/>
              </w:rPr>
              <w:t>d</w:t>
            </w:r>
            <w:r w:rsidR="00413070" w:rsidRPr="00413070">
              <w:rPr>
                <w:rFonts w:ascii="Times New Roman" w:eastAsia="Times New Roman" w:hAnsi="Times New Roman" w:cs="Times New Roman"/>
                <w:vertAlign w:val="superscript"/>
              </w:rPr>
              <w:t>3</w:t>
            </w:r>
          </w:p>
        </w:tc>
        <w:tc>
          <w:tcPr>
            <w:tcW w:w="1135" w:type="dxa"/>
            <w:vAlign w:val="center"/>
          </w:tcPr>
          <w:p w14:paraId="6368EFF2" w14:textId="77777777" w:rsidR="00413070" w:rsidRPr="00413070" w:rsidRDefault="00413070" w:rsidP="00413070">
            <w:pPr>
              <w:rPr>
                <w:rFonts w:ascii="Times New Roman" w:eastAsia="Times New Roman" w:hAnsi="Times New Roman" w:cs="Times New Roman"/>
              </w:rPr>
            </w:pPr>
          </w:p>
        </w:tc>
        <w:tc>
          <w:tcPr>
            <w:tcW w:w="1274" w:type="dxa"/>
            <w:vAlign w:val="center"/>
          </w:tcPr>
          <w:p w14:paraId="4BCA123F" w14:textId="3B7B6528" w:rsidR="00413070" w:rsidRPr="00413070" w:rsidRDefault="00413070" w:rsidP="003C5395">
            <w:pPr>
              <w:jc w:val="center"/>
              <w:rPr>
                <w:rFonts w:ascii="Times New Roman" w:eastAsia="Times New Roman" w:hAnsi="Times New Roman" w:cs="Times New Roman"/>
              </w:rPr>
            </w:pPr>
            <w:r w:rsidRPr="00413070">
              <w:rPr>
                <w:rFonts w:ascii="Times New Roman" w:eastAsia="Times New Roman" w:hAnsi="Times New Roman" w:cs="Times New Roman"/>
              </w:rPr>
              <w:t>1</w:t>
            </w:r>
            <w:r w:rsidR="00BE517F">
              <w:rPr>
                <w:rFonts w:ascii="Times New Roman" w:eastAsia="Times New Roman" w:hAnsi="Times New Roman" w:cs="Times New Roman"/>
              </w:rPr>
              <w:t>,</w:t>
            </w:r>
            <w:r w:rsidRPr="00413070">
              <w:rPr>
                <w:rFonts w:ascii="Times New Roman" w:eastAsia="Times New Roman" w:hAnsi="Times New Roman" w:cs="Times New Roman"/>
              </w:rPr>
              <w:t>15</w:t>
            </w:r>
          </w:p>
        </w:tc>
        <w:tc>
          <w:tcPr>
            <w:tcW w:w="1136" w:type="dxa"/>
            <w:vAlign w:val="center"/>
          </w:tcPr>
          <w:p w14:paraId="222AD3FB" w14:textId="77777777" w:rsidR="00413070" w:rsidRPr="00413070" w:rsidRDefault="00413070" w:rsidP="003C5395">
            <w:pPr>
              <w:jc w:val="center"/>
              <w:rPr>
                <w:rFonts w:ascii="Times New Roman" w:eastAsia="Times New Roman" w:hAnsi="Times New Roman" w:cs="Times New Roman"/>
              </w:rPr>
            </w:pPr>
          </w:p>
        </w:tc>
        <w:tc>
          <w:tcPr>
            <w:tcW w:w="1274" w:type="dxa"/>
            <w:vAlign w:val="center"/>
          </w:tcPr>
          <w:p w14:paraId="6012F689" w14:textId="07E48C39" w:rsidR="00413070" w:rsidRPr="00413070" w:rsidRDefault="00413070" w:rsidP="003C5395">
            <w:pPr>
              <w:jc w:val="center"/>
              <w:rPr>
                <w:rFonts w:ascii="Times New Roman" w:eastAsia="Times New Roman" w:hAnsi="Times New Roman" w:cs="Times New Roman"/>
              </w:rPr>
            </w:pPr>
            <w:r w:rsidRPr="00413070">
              <w:rPr>
                <w:rFonts w:ascii="Times New Roman" w:eastAsia="Times New Roman" w:hAnsi="Times New Roman" w:cs="Times New Roman"/>
              </w:rPr>
              <w:t>0</w:t>
            </w:r>
            <w:r w:rsidR="00BE517F">
              <w:rPr>
                <w:rFonts w:ascii="Times New Roman" w:eastAsia="Times New Roman" w:hAnsi="Times New Roman" w:cs="Times New Roman"/>
              </w:rPr>
              <w:t>,</w:t>
            </w:r>
            <w:r w:rsidRPr="00413070">
              <w:rPr>
                <w:rFonts w:ascii="Times New Roman" w:eastAsia="Times New Roman" w:hAnsi="Times New Roman" w:cs="Times New Roman"/>
              </w:rPr>
              <w:t>38</w:t>
            </w:r>
          </w:p>
        </w:tc>
        <w:tc>
          <w:tcPr>
            <w:tcW w:w="1136" w:type="dxa"/>
            <w:vAlign w:val="center"/>
          </w:tcPr>
          <w:p w14:paraId="5288C201" w14:textId="77777777" w:rsidR="00413070" w:rsidRPr="00413070" w:rsidRDefault="00413070" w:rsidP="003C5395">
            <w:pPr>
              <w:jc w:val="center"/>
              <w:rPr>
                <w:rFonts w:ascii="Times New Roman" w:eastAsia="Times New Roman" w:hAnsi="Times New Roman" w:cs="Times New Roman"/>
              </w:rPr>
            </w:pPr>
          </w:p>
        </w:tc>
        <w:tc>
          <w:tcPr>
            <w:tcW w:w="1272" w:type="dxa"/>
            <w:vAlign w:val="center"/>
          </w:tcPr>
          <w:p w14:paraId="63879134" w14:textId="65E40E44" w:rsidR="00413070" w:rsidRPr="00413070" w:rsidRDefault="00413070" w:rsidP="003C5395">
            <w:pPr>
              <w:jc w:val="center"/>
              <w:rPr>
                <w:rFonts w:ascii="Times New Roman" w:eastAsia="Times New Roman" w:hAnsi="Times New Roman" w:cs="Times New Roman"/>
              </w:rPr>
            </w:pPr>
            <w:r w:rsidRPr="00413070">
              <w:rPr>
                <w:rFonts w:ascii="Times New Roman" w:eastAsia="Times New Roman" w:hAnsi="Times New Roman" w:cs="Times New Roman"/>
              </w:rPr>
              <w:t>0</w:t>
            </w:r>
            <w:r w:rsidR="00BE517F">
              <w:rPr>
                <w:rFonts w:ascii="Times New Roman" w:eastAsia="Times New Roman" w:hAnsi="Times New Roman" w:cs="Times New Roman"/>
              </w:rPr>
              <w:t>,</w:t>
            </w:r>
            <w:r w:rsidRPr="00413070">
              <w:rPr>
                <w:rFonts w:ascii="Times New Roman" w:eastAsia="Times New Roman" w:hAnsi="Times New Roman" w:cs="Times New Roman"/>
              </w:rPr>
              <w:t>64</w:t>
            </w:r>
          </w:p>
        </w:tc>
      </w:tr>
      <w:tr w:rsidR="00413070" w:rsidRPr="00413070" w14:paraId="7C0C58EC" w14:textId="77777777" w:rsidTr="00E0772D">
        <w:tc>
          <w:tcPr>
            <w:tcW w:w="1837" w:type="dxa"/>
          </w:tcPr>
          <w:p w14:paraId="6FA8E022" w14:textId="01112AF7" w:rsidR="00413070" w:rsidRPr="00413070" w:rsidRDefault="00413070" w:rsidP="00413070">
            <w:pPr>
              <w:rPr>
                <w:rFonts w:ascii="Times New Roman" w:eastAsia="Times New Roman" w:hAnsi="Times New Roman" w:cs="Times New Roman"/>
              </w:rPr>
            </w:pPr>
            <w:r w:rsidRPr="00413070">
              <w:rPr>
                <w:rFonts w:ascii="Times New Roman" w:eastAsia="Times New Roman" w:hAnsi="Times New Roman" w:cs="Times New Roman"/>
              </w:rPr>
              <w:t>95%</w:t>
            </w:r>
            <w:r w:rsidR="00B74070">
              <w:rPr>
                <w:rFonts w:ascii="Times New Roman" w:eastAsia="Times New Roman" w:hAnsi="Times New Roman" w:cs="Times New Roman"/>
              </w:rPr>
              <w:t>-os</w:t>
            </w:r>
            <w:r w:rsidRPr="00413070">
              <w:rPr>
                <w:rFonts w:ascii="Times New Roman" w:eastAsia="Times New Roman" w:hAnsi="Times New Roman" w:cs="Times New Roman"/>
              </w:rPr>
              <w:t xml:space="preserve"> CI</w:t>
            </w:r>
          </w:p>
        </w:tc>
        <w:tc>
          <w:tcPr>
            <w:tcW w:w="1135" w:type="dxa"/>
            <w:vAlign w:val="center"/>
          </w:tcPr>
          <w:p w14:paraId="3CAB6CDE" w14:textId="77777777" w:rsidR="00413070" w:rsidRPr="00413070" w:rsidRDefault="00413070" w:rsidP="00413070">
            <w:pPr>
              <w:rPr>
                <w:rFonts w:ascii="Times New Roman" w:eastAsia="Times New Roman" w:hAnsi="Times New Roman" w:cs="Times New Roman"/>
              </w:rPr>
            </w:pPr>
          </w:p>
        </w:tc>
        <w:tc>
          <w:tcPr>
            <w:tcW w:w="1274" w:type="dxa"/>
            <w:vAlign w:val="center"/>
          </w:tcPr>
          <w:p w14:paraId="177C4583" w14:textId="446DA66E" w:rsidR="00413070" w:rsidRPr="00413070" w:rsidRDefault="00413070" w:rsidP="003C5395">
            <w:pPr>
              <w:jc w:val="center"/>
              <w:rPr>
                <w:rFonts w:ascii="Times New Roman" w:eastAsia="Times New Roman" w:hAnsi="Times New Roman" w:cs="Times New Roman"/>
              </w:rPr>
            </w:pPr>
            <w:r w:rsidRPr="00413070">
              <w:rPr>
                <w:rFonts w:ascii="Times New Roman" w:eastAsia="Times New Roman" w:hAnsi="Times New Roman" w:cs="Times New Roman"/>
              </w:rPr>
              <w:t>(0</w:t>
            </w:r>
            <w:r w:rsidR="00BE517F">
              <w:rPr>
                <w:rFonts w:ascii="Times New Roman" w:eastAsia="Times New Roman" w:hAnsi="Times New Roman" w:cs="Times New Roman"/>
              </w:rPr>
              <w:t>,</w:t>
            </w:r>
            <w:r w:rsidRPr="00413070">
              <w:rPr>
                <w:rFonts w:ascii="Times New Roman" w:eastAsia="Times New Roman" w:hAnsi="Times New Roman" w:cs="Times New Roman"/>
              </w:rPr>
              <w:t>54</w:t>
            </w:r>
            <w:r w:rsidR="00BE517F">
              <w:rPr>
                <w:rFonts w:ascii="Times New Roman" w:eastAsia="Times New Roman" w:hAnsi="Times New Roman" w:cs="Times New Roman"/>
              </w:rPr>
              <w:t>,</w:t>
            </w:r>
            <w:r w:rsidRPr="00413070">
              <w:rPr>
                <w:rFonts w:ascii="Times New Roman" w:eastAsia="Times New Roman" w:hAnsi="Times New Roman" w:cs="Times New Roman"/>
              </w:rPr>
              <w:t xml:space="preserve"> 2</w:t>
            </w:r>
            <w:r w:rsidR="00BE517F">
              <w:rPr>
                <w:rFonts w:ascii="Times New Roman" w:eastAsia="Times New Roman" w:hAnsi="Times New Roman" w:cs="Times New Roman"/>
              </w:rPr>
              <w:t>,</w:t>
            </w:r>
            <w:r w:rsidRPr="00413070">
              <w:rPr>
                <w:rFonts w:ascii="Times New Roman" w:eastAsia="Times New Roman" w:hAnsi="Times New Roman" w:cs="Times New Roman"/>
              </w:rPr>
              <w:t>42)</w:t>
            </w:r>
          </w:p>
        </w:tc>
        <w:tc>
          <w:tcPr>
            <w:tcW w:w="1136" w:type="dxa"/>
            <w:vAlign w:val="center"/>
          </w:tcPr>
          <w:p w14:paraId="1583634C" w14:textId="77777777" w:rsidR="00413070" w:rsidRPr="00413070" w:rsidRDefault="00413070" w:rsidP="003C5395">
            <w:pPr>
              <w:jc w:val="center"/>
              <w:rPr>
                <w:rFonts w:ascii="Times New Roman" w:eastAsia="Times New Roman" w:hAnsi="Times New Roman" w:cs="Times New Roman"/>
              </w:rPr>
            </w:pPr>
          </w:p>
        </w:tc>
        <w:tc>
          <w:tcPr>
            <w:tcW w:w="1274" w:type="dxa"/>
            <w:vAlign w:val="center"/>
          </w:tcPr>
          <w:p w14:paraId="6C8510A1" w14:textId="17800EAF" w:rsidR="00413070" w:rsidRPr="00413070" w:rsidRDefault="00413070" w:rsidP="003C5395">
            <w:pPr>
              <w:jc w:val="center"/>
              <w:rPr>
                <w:rFonts w:ascii="Times New Roman" w:eastAsia="Times New Roman" w:hAnsi="Times New Roman" w:cs="Times New Roman"/>
              </w:rPr>
            </w:pPr>
            <w:r w:rsidRPr="00413070">
              <w:rPr>
                <w:rFonts w:ascii="Times New Roman" w:eastAsia="Times New Roman" w:hAnsi="Times New Roman" w:cs="Times New Roman"/>
              </w:rPr>
              <w:t>(0</w:t>
            </w:r>
            <w:r w:rsidR="00BE517F">
              <w:rPr>
                <w:rFonts w:ascii="Times New Roman" w:eastAsia="Times New Roman" w:hAnsi="Times New Roman" w:cs="Times New Roman"/>
              </w:rPr>
              <w:t>,</w:t>
            </w:r>
            <w:r w:rsidRPr="00413070">
              <w:rPr>
                <w:rFonts w:ascii="Times New Roman" w:eastAsia="Times New Roman" w:hAnsi="Times New Roman" w:cs="Times New Roman"/>
              </w:rPr>
              <w:t>19</w:t>
            </w:r>
            <w:r w:rsidR="00BE517F">
              <w:rPr>
                <w:rFonts w:ascii="Times New Roman" w:eastAsia="Times New Roman" w:hAnsi="Times New Roman" w:cs="Times New Roman"/>
              </w:rPr>
              <w:t>;</w:t>
            </w:r>
            <w:r w:rsidRPr="00413070">
              <w:rPr>
                <w:rFonts w:ascii="Times New Roman" w:eastAsia="Times New Roman" w:hAnsi="Times New Roman" w:cs="Times New Roman"/>
              </w:rPr>
              <w:t xml:space="preserve"> 0</w:t>
            </w:r>
            <w:r w:rsidR="00BE517F">
              <w:rPr>
                <w:rFonts w:ascii="Times New Roman" w:eastAsia="Times New Roman" w:hAnsi="Times New Roman" w:cs="Times New Roman"/>
              </w:rPr>
              <w:t>,</w:t>
            </w:r>
            <w:r w:rsidRPr="00413070">
              <w:rPr>
                <w:rFonts w:ascii="Times New Roman" w:eastAsia="Times New Roman" w:hAnsi="Times New Roman" w:cs="Times New Roman"/>
              </w:rPr>
              <w:t>77)</w:t>
            </w:r>
          </w:p>
        </w:tc>
        <w:tc>
          <w:tcPr>
            <w:tcW w:w="1136" w:type="dxa"/>
            <w:vAlign w:val="center"/>
          </w:tcPr>
          <w:p w14:paraId="47DBEF44" w14:textId="77777777" w:rsidR="00413070" w:rsidRPr="00413070" w:rsidRDefault="00413070" w:rsidP="003C5395">
            <w:pPr>
              <w:jc w:val="center"/>
              <w:rPr>
                <w:rFonts w:ascii="Times New Roman" w:eastAsia="Times New Roman" w:hAnsi="Times New Roman" w:cs="Times New Roman"/>
              </w:rPr>
            </w:pPr>
          </w:p>
        </w:tc>
        <w:tc>
          <w:tcPr>
            <w:tcW w:w="1272" w:type="dxa"/>
            <w:vAlign w:val="center"/>
          </w:tcPr>
          <w:p w14:paraId="5B76EA6E" w14:textId="48F58658" w:rsidR="00413070" w:rsidRPr="00413070" w:rsidRDefault="00413070" w:rsidP="003C5395">
            <w:pPr>
              <w:jc w:val="center"/>
              <w:rPr>
                <w:rFonts w:ascii="Times New Roman" w:eastAsia="Times New Roman" w:hAnsi="Times New Roman" w:cs="Times New Roman"/>
              </w:rPr>
            </w:pPr>
            <w:r w:rsidRPr="00413070">
              <w:rPr>
                <w:rFonts w:ascii="Times New Roman" w:eastAsia="Times New Roman" w:hAnsi="Times New Roman" w:cs="Times New Roman"/>
              </w:rPr>
              <w:t>(0</w:t>
            </w:r>
            <w:r w:rsidR="00BE517F">
              <w:rPr>
                <w:rFonts w:ascii="Times New Roman" w:eastAsia="Times New Roman" w:hAnsi="Times New Roman" w:cs="Times New Roman"/>
              </w:rPr>
              <w:t>,</w:t>
            </w:r>
            <w:r w:rsidRPr="00413070">
              <w:rPr>
                <w:rFonts w:ascii="Times New Roman" w:eastAsia="Times New Roman" w:hAnsi="Times New Roman" w:cs="Times New Roman"/>
              </w:rPr>
              <w:t>39</w:t>
            </w:r>
            <w:r w:rsidR="00BE517F">
              <w:rPr>
                <w:rFonts w:ascii="Times New Roman" w:eastAsia="Times New Roman" w:hAnsi="Times New Roman" w:cs="Times New Roman"/>
              </w:rPr>
              <w:t>;</w:t>
            </w:r>
            <w:r w:rsidRPr="00413070">
              <w:rPr>
                <w:rFonts w:ascii="Times New Roman" w:eastAsia="Times New Roman" w:hAnsi="Times New Roman" w:cs="Times New Roman"/>
              </w:rPr>
              <w:t xml:space="preserve"> 1</w:t>
            </w:r>
            <w:r w:rsidR="00BE517F">
              <w:rPr>
                <w:rFonts w:ascii="Times New Roman" w:eastAsia="Times New Roman" w:hAnsi="Times New Roman" w:cs="Times New Roman"/>
              </w:rPr>
              <w:t>,</w:t>
            </w:r>
            <w:r w:rsidRPr="00413070">
              <w:rPr>
                <w:rFonts w:ascii="Times New Roman" w:eastAsia="Times New Roman" w:hAnsi="Times New Roman" w:cs="Times New Roman"/>
              </w:rPr>
              <w:t>05)</w:t>
            </w:r>
          </w:p>
        </w:tc>
      </w:tr>
    </w:tbl>
    <w:p w14:paraId="59D05FF2" w14:textId="77777777" w:rsidR="00B74070" w:rsidRPr="00B74070" w:rsidRDefault="00B74070" w:rsidP="00B74070">
      <w:pPr>
        <w:rPr>
          <w:rFonts w:ascii="Times New Roman" w:eastAsia="Times New Roman" w:hAnsi="Times New Roman" w:cs="Times New Roman"/>
          <w:sz w:val="18"/>
          <w:szCs w:val="18"/>
        </w:rPr>
      </w:pPr>
      <w:r w:rsidRPr="00B74070">
        <w:rPr>
          <w:rFonts w:ascii="Times New Roman" w:eastAsia="Times New Roman" w:hAnsi="Times New Roman" w:cs="Times New Roman"/>
          <w:sz w:val="18"/>
          <w:szCs w:val="18"/>
          <w:vertAlign w:val="superscript"/>
        </w:rPr>
        <w:t>1</w:t>
      </w:r>
      <w:r w:rsidRPr="00B74070">
        <w:rPr>
          <w:rFonts w:ascii="Times New Roman" w:eastAsia="Times New Roman" w:hAnsi="Times New Roman" w:cs="Times New Roman"/>
          <w:sz w:val="18"/>
          <w:szCs w:val="18"/>
        </w:rPr>
        <w:t xml:space="preserve"> 372 napig (52 hét + 7 nap ráhagyás) gyűjtött adatokon alapul.</w:t>
      </w:r>
    </w:p>
    <w:p w14:paraId="29FDA507" w14:textId="77777777" w:rsidR="00B74070" w:rsidRPr="00B74070" w:rsidRDefault="00B74070" w:rsidP="00B74070">
      <w:pPr>
        <w:rPr>
          <w:rFonts w:ascii="Times New Roman" w:eastAsia="Times New Roman" w:hAnsi="Times New Roman" w:cs="Times New Roman"/>
          <w:sz w:val="18"/>
          <w:szCs w:val="18"/>
        </w:rPr>
      </w:pPr>
      <w:r w:rsidRPr="00B74070">
        <w:rPr>
          <w:rFonts w:ascii="Times New Roman" w:eastAsia="Times New Roman" w:hAnsi="Times New Roman" w:cs="Times New Roman"/>
          <w:sz w:val="18"/>
          <w:szCs w:val="18"/>
          <w:vertAlign w:val="superscript"/>
        </w:rPr>
        <w:t>2</w:t>
      </w:r>
      <w:r w:rsidRPr="00B74070">
        <w:rPr>
          <w:rFonts w:ascii="Times New Roman" w:eastAsia="Times New Roman" w:hAnsi="Times New Roman" w:cs="Times New Roman"/>
          <w:sz w:val="18"/>
          <w:szCs w:val="18"/>
        </w:rPr>
        <w:t xml:space="preserve"> Lograng-próbán alapul.</w:t>
      </w:r>
    </w:p>
    <w:p w14:paraId="2E26C44A" w14:textId="02B0B66B" w:rsidR="00413070" w:rsidRPr="00B74070" w:rsidRDefault="00B74070" w:rsidP="00B74070">
      <w:pPr>
        <w:rPr>
          <w:rFonts w:ascii="Times New Roman" w:eastAsia="Times New Roman" w:hAnsi="Times New Roman" w:cs="Times New Roman"/>
          <w:sz w:val="18"/>
          <w:szCs w:val="18"/>
        </w:rPr>
      </w:pPr>
      <w:r w:rsidRPr="00B74070">
        <w:rPr>
          <w:rFonts w:ascii="Times New Roman" w:eastAsia="Times New Roman" w:hAnsi="Times New Roman" w:cs="Times New Roman"/>
          <w:sz w:val="18"/>
          <w:szCs w:val="18"/>
          <w:vertAlign w:val="superscript"/>
        </w:rPr>
        <w:t>3</w:t>
      </w:r>
      <w:r w:rsidRPr="00B74070">
        <w:rPr>
          <w:rFonts w:ascii="Times New Roman" w:eastAsia="Times New Roman" w:hAnsi="Times New Roman" w:cs="Times New Roman"/>
          <w:sz w:val="18"/>
          <w:szCs w:val="18"/>
        </w:rPr>
        <w:t xml:space="preserve"> Cox-féle regressziós modellen alapul.</w:t>
      </w:r>
    </w:p>
    <w:p w14:paraId="1396AD4F" w14:textId="77777777" w:rsidR="00413070" w:rsidRDefault="00413070" w:rsidP="009106D9">
      <w:pPr>
        <w:rPr>
          <w:rFonts w:ascii="Times New Roman" w:eastAsia="Times New Roman" w:hAnsi="Times New Roman" w:cs="Times New Roman"/>
        </w:rPr>
      </w:pPr>
    </w:p>
    <w:p w14:paraId="5B7779BB" w14:textId="0E2FB6FD" w:rsidR="00B74070" w:rsidRPr="00B74070" w:rsidRDefault="00B74070" w:rsidP="00B74070">
      <w:pPr>
        <w:rPr>
          <w:rFonts w:ascii="Times New Roman" w:eastAsia="Times New Roman" w:hAnsi="Times New Roman" w:cs="Times New Roman"/>
        </w:rPr>
      </w:pPr>
      <w:r w:rsidRPr="00B74070">
        <w:rPr>
          <w:rFonts w:ascii="Times New Roman" w:eastAsia="Times New Roman" w:hAnsi="Times New Roman" w:cs="Times New Roman"/>
        </w:rPr>
        <w:t>Egy előre meghatározott szenzitivitási elemzésben az 52</w:t>
      </w:r>
      <w:r w:rsidR="006C14B7">
        <w:rPr>
          <w:rFonts w:ascii="Times New Roman" w:eastAsia="Times New Roman" w:hAnsi="Times New Roman" w:cs="Times New Roman"/>
        </w:rPr>
        <w:t> </w:t>
      </w:r>
      <w:r w:rsidRPr="00B74070">
        <w:rPr>
          <w:rFonts w:ascii="Times New Roman" w:eastAsia="Times New Roman" w:hAnsi="Times New Roman" w:cs="Times New Roman"/>
        </w:rPr>
        <w:t>héten belül legalább 1 pozitívan elbírált</w:t>
      </w:r>
      <w:r w:rsidR="003C5395">
        <w:rPr>
          <w:rFonts w:ascii="Times New Roman" w:eastAsia="Times New Roman" w:hAnsi="Times New Roman" w:cs="Times New Roman"/>
        </w:rPr>
        <w:t xml:space="preserve"> </w:t>
      </w:r>
      <w:r w:rsidRPr="00B74070">
        <w:rPr>
          <w:rFonts w:ascii="Times New Roman" w:eastAsia="Times New Roman" w:hAnsi="Times New Roman" w:cs="Times New Roman"/>
        </w:rPr>
        <w:t>exacerbációval rendelkező betegek előfordulási gyakorisága alacsonyabb volt a nintedanib-csoportban</w:t>
      </w:r>
      <w:r w:rsidR="003C5395">
        <w:rPr>
          <w:rFonts w:ascii="Times New Roman" w:eastAsia="Times New Roman" w:hAnsi="Times New Roman" w:cs="Times New Roman"/>
        </w:rPr>
        <w:t xml:space="preserve"> </w:t>
      </w:r>
      <w:r w:rsidRPr="00B74070">
        <w:rPr>
          <w:rFonts w:ascii="Times New Roman" w:eastAsia="Times New Roman" w:hAnsi="Times New Roman" w:cs="Times New Roman"/>
        </w:rPr>
        <w:t>(a betegek 1,9%-a), mint a placebocsoportban (a betegek 5,7%-a). A pozitívan elbírált exacerbáció</w:t>
      </w:r>
      <w:r w:rsidR="003C5395">
        <w:rPr>
          <w:rFonts w:ascii="Times New Roman" w:eastAsia="Times New Roman" w:hAnsi="Times New Roman" w:cs="Times New Roman"/>
        </w:rPr>
        <w:t xml:space="preserve"> </w:t>
      </w:r>
      <w:r w:rsidRPr="00B74070">
        <w:rPr>
          <w:rFonts w:ascii="Times New Roman" w:eastAsia="Times New Roman" w:hAnsi="Times New Roman" w:cs="Times New Roman"/>
        </w:rPr>
        <w:t>típusú eseményekig eltelt idő elemzése az összesített adatok alapján 0,32-os relatív hazárdot (hazard</w:t>
      </w:r>
      <w:r w:rsidR="003C5395">
        <w:rPr>
          <w:rFonts w:ascii="Times New Roman" w:eastAsia="Times New Roman" w:hAnsi="Times New Roman" w:cs="Times New Roman"/>
        </w:rPr>
        <w:t xml:space="preserve"> </w:t>
      </w:r>
      <w:r w:rsidRPr="00B74070">
        <w:rPr>
          <w:rFonts w:ascii="Times New Roman" w:eastAsia="Times New Roman" w:hAnsi="Times New Roman" w:cs="Times New Roman"/>
        </w:rPr>
        <w:t>ratio, HR) eredményezett (95%-os CI: 0,16; 0,65; p = 0,0010).</w:t>
      </w:r>
    </w:p>
    <w:p w14:paraId="71197FD4" w14:textId="77777777" w:rsidR="00B74070" w:rsidRDefault="00B74070" w:rsidP="00B74070">
      <w:pPr>
        <w:rPr>
          <w:rFonts w:ascii="Times New Roman" w:eastAsia="Times New Roman" w:hAnsi="Times New Roman" w:cs="Times New Roman"/>
        </w:rPr>
      </w:pPr>
    </w:p>
    <w:p w14:paraId="1185DF31" w14:textId="45E80520" w:rsidR="00B74070" w:rsidRPr="00B74070" w:rsidRDefault="00B74070" w:rsidP="00B74070">
      <w:pPr>
        <w:rPr>
          <w:rFonts w:ascii="Times New Roman" w:eastAsia="Times New Roman" w:hAnsi="Times New Roman" w:cs="Times New Roman"/>
          <w:i/>
          <w:iCs/>
          <w:u w:val="single"/>
        </w:rPr>
      </w:pPr>
      <w:r w:rsidRPr="00B74070">
        <w:rPr>
          <w:rFonts w:ascii="Times New Roman" w:eastAsia="Times New Roman" w:hAnsi="Times New Roman" w:cs="Times New Roman"/>
          <w:i/>
          <w:iCs/>
          <w:u w:val="single"/>
        </w:rPr>
        <w:t>Túlélési elemzés</w:t>
      </w:r>
    </w:p>
    <w:p w14:paraId="4CAE026B" w14:textId="578BB34B" w:rsidR="00413070" w:rsidRDefault="00B74070" w:rsidP="00B74070">
      <w:pPr>
        <w:rPr>
          <w:rFonts w:ascii="Times New Roman" w:eastAsia="Times New Roman" w:hAnsi="Times New Roman" w:cs="Times New Roman"/>
        </w:rPr>
      </w:pPr>
      <w:r w:rsidRPr="00B74070">
        <w:rPr>
          <w:rFonts w:ascii="Times New Roman" w:eastAsia="Times New Roman" w:hAnsi="Times New Roman" w:cs="Times New Roman"/>
        </w:rPr>
        <w:t>Az INPULSIS-vizsgálatok túlélési adatainak előre meghatározott összesített elemzésében az 52</w:t>
      </w:r>
      <w:r w:rsidR="006C14B7">
        <w:rPr>
          <w:rFonts w:ascii="Times New Roman" w:eastAsia="Times New Roman" w:hAnsi="Times New Roman" w:cs="Times New Roman"/>
        </w:rPr>
        <w:t> </w:t>
      </w:r>
      <w:r w:rsidRPr="00B74070">
        <w:rPr>
          <w:rFonts w:ascii="Times New Roman" w:eastAsia="Times New Roman" w:hAnsi="Times New Roman" w:cs="Times New Roman"/>
        </w:rPr>
        <w:t>hét</w:t>
      </w:r>
      <w:r w:rsidR="003C5395">
        <w:rPr>
          <w:rFonts w:ascii="Times New Roman" w:eastAsia="Times New Roman" w:hAnsi="Times New Roman" w:cs="Times New Roman"/>
        </w:rPr>
        <w:t xml:space="preserve"> </w:t>
      </w:r>
      <w:r w:rsidRPr="00B74070">
        <w:rPr>
          <w:rFonts w:ascii="Times New Roman" w:eastAsia="Times New Roman" w:hAnsi="Times New Roman" w:cs="Times New Roman"/>
        </w:rPr>
        <w:t>alatti összmortalitás alacsonyabb volt a nintedanib-csoportban (5,5%), mint a placebocsoportban</w:t>
      </w:r>
      <w:r w:rsidR="003C5395">
        <w:rPr>
          <w:rFonts w:ascii="Times New Roman" w:eastAsia="Times New Roman" w:hAnsi="Times New Roman" w:cs="Times New Roman"/>
        </w:rPr>
        <w:t xml:space="preserve"> </w:t>
      </w:r>
      <w:r w:rsidRPr="00B74070">
        <w:rPr>
          <w:rFonts w:ascii="Times New Roman" w:eastAsia="Times New Roman" w:hAnsi="Times New Roman" w:cs="Times New Roman"/>
        </w:rPr>
        <w:t>(7,8%). A halálozásig eltelt idő elemzése 0,70-os HR-t eredményezett (95%-os CI: 0,43; 1,12;</w:t>
      </w:r>
      <w:r w:rsidR="003C5395">
        <w:rPr>
          <w:rFonts w:ascii="Times New Roman" w:eastAsia="Times New Roman" w:hAnsi="Times New Roman" w:cs="Times New Roman"/>
        </w:rPr>
        <w:t xml:space="preserve"> </w:t>
      </w:r>
      <w:r w:rsidRPr="00B74070">
        <w:rPr>
          <w:rFonts w:ascii="Times New Roman" w:eastAsia="Times New Roman" w:hAnsi="Times New Roman" w:cs="Times New Roman"/>
        </w:rPr>
        <w:t>p = 0,1399). Az összes túlélési végpont (</w:t>
      </w:r>
      <w:r w:rsidR="00942BAD" w:rsidRPr="00682363">
        <w:rPr>
          <w:rFonts w:cs="Times New Roman"/>
        </w:rPr>
        <w:t>p</w:t>
      </w:r>
      <w:r w:rsidR="00942BAD">
        <w:rPr>
          <w:rFonts w:cs="Times New Roman"/>
        </w:rPr>
        <w:t>l.</w:t>
      </w:r>
      <w:r w:rsidRPr="00B74070">
        <w:rPr>
          <w:rFonts w:ascii="Times New Roman" w:eastAsia="Times New Roman" w:hAnsi="Times New Roman" w:cs="Times New Roman"/>
        </w:rPr>
        <w:t xml:space="preserve"> a kezelés alatti mortalitás és a légzőszervi okból</w:t>
      </w:r>
      <w:r w:rsidR="008D346B">
        <w:rPr>
          <w:rFonts w:ascii="Times New Roman" w:eastAsia="Times New Roman" w:hAnsi="Times New Roman" w:cs="Times New Roman"/>
        </w:rPr>
        <w:t xml:space="preserve"> </w:t>
      </w:r>
      <w:r w:rsidRPr="00B74070">
        <w:rPr>
          <w:rFonts w:ascii="Times New Roman" w:eastAsia="Times New Roman" w:hAnsi="Times New Roman" w:cs="Times New Roman"/>
        </w:rPr>
        <w:t>bekövetkező mortalitás) eredménye következetes számszerű különbséget mutatott a nintedanib javára.</w:t>
      </w:r>
    </w:p>
    <w:p w14:paraId="116A5B1E" w14:textId="77777777" w:rsidR="00B74070" w:rsidRDefault="00B74070" w:rsidP="009106D9">
      <w:pPr>
        <w:rPr>
          <w:rFonts w:ascii="Times New Roman" w:eastAsia="Times New Roman" w:hAnsi="Times New Roman" w:cs="Times New Roman"/>
        </w:rPr>
      </w:pPr>
    </w:p>
    <w:p w14:paraId="156846B0" w14:textId="67AFC077" w:rsidR="00B74070" w:rsidRPr="00B7400F" w:rsidRDefault="00423001" w:rsidP="00B7400F">
      <w:pPr>
        <w:rPr>
          <w:rFonts w:ascii="Times New Roman" w:eastAsia="Times New Roman" w:hAnsi="Times New Roman" w:cs="Times New Roman"/>
          <w:b/>
          <w:bCs/>
        </w:rPr>
      </w:pPr>
      <w:r>
        <w:rPr>
          <w:rFonts w:ascii="Times New Roman" w:eastAsia="Times New Roman" w:hAnsi="Times New Roman" w:cs="Times New Roman"/>
          <w:b/>
          <w:bCs/>
        </w:rPr>
        <w:t>8</w:t>
      </w:r>
      <w:r w:rsidR="00B7400F" w:rsidRPr="00B7400F">
        <w:rPr>
          <w:rFonts w:ascii="Times New Roman" w:eastAsia="Times New Roman" w:hAnsi="Times New Roman" w:cs="Times New Roman"/>
          <w:b/>
          <w:bCs/>
        </w:rPr>
        <w:t>. táblázat: Az 52 hét alatti összhalálozás az INPULSIS-1 és INPULSIS-2 vizsgálatokban,</w:t>
      </w:r>
      <w:r w:rsidR="008D346B">
        <w:rPr>
          <w:rFonts w:ascii="Times New Roman" w:eastAsia="Times New Roman" w:hAnsi="Times New Roman" w:cs="Times New Roman"/>
          <w:b/>
          <w:bCs/>
        </w:rPr>
        <w:t xml:space="preserve"> </w:t>
      </w:r>
      <w:r w:rsidR="00B7400F" w:rsidRPr="00B7400F">
        <w:rPr>
          <w:rFonts w:ascii="Times New Roman" w:eastAsia="Times New Roman" w:hAnsi="Times New Roman" w:cs="Times New Roman"/>
          <w:b/>
          <w:bCs/>
        </w:rPr>
        <w:t>valamint a vizsgálatok összesített adatai - kezelt betegek</w:t>
      </w:r>
    </w:p>
    <w:tbl>
      <w:tblPr>
        <w:tblStyle w:val="Rcsostblzat"/>
        <w:tblW w:w="9064" w:type="dxa"/>
        <w:tblLayout w:type="fixed"/>
        <w:tblLook w:val="04A0" w:firstRow="1" w:lastRow="0" w:firstColumn="1" w:lastColumn="0" w:noHBand="0" w:noVBand="1"/>
      </w:tblPr>
      <w:tblGrid>
        <w:gridCol w:w="1980"/>
        <w:gridCol w:w="992"/>
        <w:gridCol w:w="1274"/>
        <w:gridCol w:w="1136"/>
        <w:gridCol w:w="1274"/>
        <w:gridCol w:w="994"/>
        <w:gridCol w:w="1414"/>
      </w:tblGrid>
      <w:tr w:rsidR="00B7400F" w:rsidRPr="00B7400F" w14:paraId="20146770" w14:textId="77777777" w:rsidTr="00B7400F">
        <w:tc>
          <w:tcPr>
            <w:tcW w:w="1980" w:type="dxa"/>
          </w:tcPr>
          <w:p w14:paraId="05678273" w14:textId="77777777" w:rsidR="00B7400F" w:rsidRPr="00B7400F" w:rsidRDefault="00B7400F" w:rsidP="008D346B">
            <w:pPr>
              <w:jc w:val="center"/>
              <w:rPr>
                <w:rFonts w:ascii="Times New Roman" w:eastAsia="Times New Roman" w:hAnsi="Times New Roman" w:cs="Times New Roman"/>
              </w:rPr>
            </w:pPr>
          </w:p>
        </w:tc>
        <w:tc>
          <w:tcPr>
            <w:tcW w:w="2266" w:type="dxa"/>
            <w:gridSpan w:val="2"/>
            <w:vAlign w:val="center"/>
          </w:tcPr>
          <w:p w14:paraId="6F0419AA" w14:textId="77777777"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INPULSIS-1</w:t>
            </w:r>
          </w:p>
        </w:tc>
        <w:tc>
          <w:tcPr>
            <w:tcW w:w="2410" w:type="dxa"/>
            <w:gridSpan w:val="2"/>
            <w:vAlign w:val="center"/>
          </w:tcPr>
          <w:p w14:paraId="0B598F30" w14:textId="77777777"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INPULSIS-2</w:t>
            </w:r>
          </w:p>
        </w:tc>
        <w:tc>
          <w:tcPr>
            <w:tcW w:w="2408" w:type="dxa"/>
            <w:gridSpan w:val="2"/>
            <w:vAlign w:val="center"/>
          </w:tcPr>
          <w:p w14:paraId="05D6E4CE" w14:textId="2F4A2611"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 xml:space="preserve">INPULSIS-1 </w:t>
            </w:r>
            <w:r>
              <w:rPr>
                <w:rFonts w:ascii="Times New Roman" w:eastAsia="Times New Roman" w:hAnsi="Times New Roman" w:cs="Times New Roman"/>
              </w:rPr>
              <w:t>és</w:t>
            </w:r>
            <w:r w:rsidRPr="00B7400F">
              <w:rPr>
                <w:rFonts w:ascii="Times New Roman" w:eastAsia="Times New Roman" w:hAnsi="Times New Roman" w:cs="Times New Roman"/>
              </w:rPr>
              <w:t xml:space="preserve"> INPULSIS-2 </w:t>
            </w:r>
            <w:r>
              <w:rPr>
                <w:rFonts w:ascii="Times New Roman" w:eastAsia="Times New Roman" w:hAnsi="Times New Roman" w:cs="Times New Roman"/>
              </w:rPr>
              <w:t>összesített</w:t>
            </w:r>
          </w:p>
        </w:tc>
      </w:tr>
      <w:tr w:rsidR="00B7400F" w:rsidRPr="00B7400F" w14:paraId="0714EB14" w14:textId="77777777" w:rsidTr="00B7400F">
        <w:tc>
          <w:tcPr>
            <w:tcW w:w="1980" w:type="dxa"/>
          </w:tcPr>
          <w:p w14:paraId="49D0FACB" w14:textId="77777777" w:rsidR="00B7400F" w:rsidRPr="00B7400F" w:rsidRDefault="00B7400F" w:rsidP="00B7400F">
            <w:pPr>
              <w:rPr>
                <w:rFonts w:ascii="Times New Roman" w:eastAsia="Times New Roman" w:hAnsi="Times New Roman" w:cs="Times New Roman"/>
              </w:rPr>
            </w:pPr>
          </w:p>
        </w:tc>
        <w:tc>
          <w:tcPr>
            <w:tcW w:w="992" w:type="dxa"/>
            <w:vAlign w:val="center"/>
          </w:tcPr>
          <w:p w14:paraId="7132260B" w14:textId="77777777" w:rsidR="00B7400F" w:rsidRPr="00B7400F"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Placebo</w:t>
            </w:r>
          </w:p>
        </w:tc>
        <w:tc>
          <w:tcPr>
            <w:tcW w:w="1274" w:type="dxa"/>
            <w:vAlign w:val="center"/>
          </w:tcPr>
          <w:p w14:paraId="2BEA6E35" w14:textId="2D36FAE1" w:rsidR="00B7400F" w:rsidRPr="00B7400F"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 xml:space="preserve">Nintedanib 150 mg </w:t>
            </w:r>
            <w:r>
              <w:rPr>
                <w:rFonts w:ascii="Times New Roman" w:eastAsia="Times New Roman" w:hAnsi="Times New Roman" w:cs="Times New Roman"/>
              </w:rPr>
              <w:t>napi kétszer</w:t>
            </w:r>
          </w:p>
        </w:tc>
        <w:tc>
          <w:tcPr>
            <w:tcW w:w="1136" w:type="dxa"/>
            <w:vAlign w:val="center"/>
          </w:tcPr>
          <w:p w14:paraId="5B92A49E" w14:textId="77777777" w:rsidR="00B7400F" w:rsidRPr="00B7400F"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Placebo</w:t>
            </w:r>
          </w:p>
        </w:tc>
        <w:tc>
          <w:tcPr>
            <w:tcW w:w="1274" w:type="dxa"/>
            <w:vAlign w:val="center"/>
          </w:tcPr>
          <w:p w14:paraId="23C23889" w14:textId="54849DB3" w:rsidR="00B7400F" w:rsidRPr="00B7400F"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Nintedanib 150 mg napi kétszer</w:t>
            </w:r>
          </w:p>
        </w:tc>
        <w:tc>
          <w:tcPr>
            <w:tcW w:w="994" w:type="dxa"/>
            <w:vAlign w:val="center"/>
          </w:tcPr>
          <w:p w14:paraId="6CFFB243" w14:textId="77777777" w:rsidR="00B7400F" w:rsidRPr="00B7400F"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Placebo</w:t>
            </w:r>
          </w:p>
        </w:tc>
        <w:tc>
          <w:tcPr>
            <w:tcW w:w="1414" w:type="dxa"/>
            <w:vAlign w:val="center"/>
          </w:tcPr>
          <w:p w14:paraId="2E36F65C" w14:textId="77777777" w:rsidR="00B7400F" w:rsidRDefault="00B7400F" w:rsidP="00B7400F">
            <w:r w:rsidRPr="00B7400F">
              <w:rPr>
                <w:rFonts w:ascii="Times New Roman" w:eastAsia="Times New Roman" w:hAnsi="Times New Roman" w:cs="Times New Roman"/>
              </w:rPr>
              <w:t>Nintedanib 150 mg</w:t>
            </w:r>
            <w:r>
              <w:t xml:space="preserve"> </w:t>
            </w:r>
          </w:p>
          <w:p w14:paraId="2866B405" w14:textId="72CFEFFF" w:rsidR="00B7400F" w:rsidRPr="00B7400F"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napi</w:t>
            </w:r>
            <w:r>
              <w:rPr>
                <w:rFonts w:ascii="Times New Roman" w:eastAsia="Times New Roman" w:hAnsi="Times New Roman" w:cs="Times New Roman"/>
              </w:rPr>
              <w:t xml:space="preserve"> </w:t>
            </w:r>
            <w:r w:rsidRPr="00B7400F">
              <w:rPr>
                <w:rFonts w:ascii="Times New Roman" w:eastAsia="Times New Roman" w:hAnsi="Times New Roman" w:cs="Times New Roman"/>
              </w:rPr>
              <w:t xml:space="preserve">kétszer </w:t>
            </w:r>
          </w:p>
        </w:tc>
      </w:tr>
      <w:tr w:rsidR="00B7400F" w:rsidRPr="00B7400F" w14:paraId="05AD6D39" w14:textId="77777777" w:rsidTr="00B7400F">
        <w:tc>
          <w:tcPr>
            <w:tcW w:w="1980" w:type="dxa"/>
          </w:tcPr>
          <w:p w14:paraId="488B07C7" w14:textId="1848A722" w:rsidR="00B7400F" w:rsidRPr="00B7400F"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Kockázatnak kitett</w:t>
            </w:r>
            <w:r>
              <w:rPr>
                <w:rFonts w:ascii="Times New Roman" w:eastAsia="Times New Roman" w:hAnsi="Times New Roman" w:cs="Times New Roman"/>
              </w:rPr>
              <w:t xml:space="preserve"> </w:t>
            </w:r>
            <w:r w:rsidRPr="00B7400F">
              <w:rPr>
                <w:rFonts w:ascii="Times New Roman" w:eastAsia="Times New Roman" w:hAnsi="Times New Roman" w:cs="Times New Roman"/>
              </w:rPr>
              <w:lastRenderedPageBreak/>
              <w:t>betegek száma</w:t>
            </w:r>
          </w:p>
        </w:tc>
        <w:tc>
          <w:tcPr>
            <w:tcW w:w="992" w:type="dxa"/>
            <w:vAlign w:val="center"/>
          </w:tcPr>
          <w:p w14:paraId="18B628E6" w14:textId="77777777"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lastRenderedPageBreak/>
              <w:t>204</w:t>
            </w:r>
          </w:p>
        </w:tc>
        <w:tc>
          <w:tcPr>
            <w:tcW w:w="1274" w:type="dxa"/>
            <w:vAlign w:val="center"/>
          </w:tcPr>
          <w:p w14:paraId="1F4BBD99" w14:textId="77777777"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309</w:t>
            </w:r>
          </w:p>
        </w:tc>
        <w:tc>
          <w:tcPr>
            <w:tcW w:w="1136" w:type="dxa"/>
            <w:vAlign w:val="center"/>
          </w:tcPr>
          <w:p w14:paraId="37B55958" w14:textId="77777777"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219</w:t>
            </w:r>
          </w:p>
        </w:tc>
        <w:tc>
          <w:tcPr>
            <w:tcW w:w="1274" w:type="dxa"/>
            <w:vAlign w:val="center"/>
          </w:tcPr>
          <w:p w14:paraId="433158BD" w14:textId="77777777"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329</w:t>
            </w:r>
          </w:p>
        </w:tc>
        <w:tc>
          <w:tcPr>
            <w:tcW w:w="994" w:type="dxa"/>
            <w:vAlign w:val="center"/>
          </w:tcPr>
          <w:p w14:paraId="57262758" w14:textId="77777777"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423</w:t>
            </w:r>
          </w:p>
        </w:tc>
        <w:tc>
          <w:tcPr>
            <w:tcW w:w="1414" w:type="dxa"/>
            <w:vAlign w:val="center"/>
          </w:tcPr>
          <w:p w14:paraId="6DC04F41" w14:textId="77777777"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638</w:t>
            </w:r>
          </w:p>
        </w:tc>
      </w:tr>
      <w:tr w:rsidR="00B7400F" w:rsidRPr="00B7400F" w14:paraId="1F3D7E04" w14:textId="77777777" w:rsidTr="00B7400F">
        <w:tc>
          <w:tcPr>
            <w:tcW w:w="1980" w:type="dxa"/>
          </w:tcPr>
          <w:p w14:paraId="6943D9E1" w14:textId="256A249B" w:rsidR="00B7400F" w:rsidRPr="00B7400F" w:rsidRDefault="00B7400F" w:rsidP="006C14B7">
            <w:pPr>
              <w:rPr>
                <w:rFonts w:ascii="Times New Roman" w:eastAsia="Times New Roman" w:hAnsi="Times New Roman" w:cs="Times New Roman"/>
              </w:rPr>
            </w:pPr>
            <w:r w:rsidRPr="00B7400F">
              <w:rPr>
                <w:rFonts w:ascii="Times New Roman" w:eastAsia="Times New Roman" w:hAnsi="Times New Roman" w:cs="Times New Roman"/>
              </w:rPr>
              <w:t>Nemkívánatos</w:t>
            </w:r>
            <w:r w:rsidR="006C14B7">
              <w:rPr>
                <w:rFonts w:ascii="Times New Roman" w:eastAsia="Times New Roman" w:hAnsi="Times New Roman" w:cs="Times New Roman"/>
              </w:rPr>
              <w:t xml:space="preserve"> </w:t>
            </w:r>
            <w:r w:rsidRPr="00B7400F">
              <w:rPr>
                <w:rFonts w:ascii="Times New Roman" w:eastAsia="Times New Roman" w:hAnsi="Times New Roman" w:cs="Times New Roman"/>
              </w:rPr>
              <w:t>eseményt</w:t>
            </w:r>
            <w:r>
              <w:rPr>
                <w:rFonts w:ascii="Times New Roman" w:eastAsia="Times New Roman" w:hAnsi="Times New Roman" w:cs="Times New Roman"/>
              </w:rPr>
              <w:t xml:space="preserve"> </w:t>
            </w:r>
            <w:r w:rsidRPr="00B7400F">
              <w:rPr>
                <w:rFonts w:ascii="Times New Roman" w:eastAsia="Times New Roman" w:hAnsi="Times New Roman" w:cs="Times New Roman"/>
              </w:rPr>
              <w:t>tapasz</w:t>
            </w:r>
            <w:r>
              <w:rPr>
                <w:rFonts w:ascii="Times New Roman" w:eastAsia="Times New Roman" w:hAnsi="Times New Roman" w:cs="Times New Roman"/>
              </w:rPr>
              <w:t xml:space="preserve">- </w:t>
            </w:r>
            <w:r w:rsidRPr="00B7400F">
              <w:rPr>
                <w:rFonts w:ascii="Times New Roman" w:eastAsia="Times New Roman" w:hAnsi="Times New Roman" w:cs="Times New Roman"/>
              </w:rPr>
              <w:t>taló</w:t>
            </w:r>
            <w:r>
              <w:rPr>
                <w:rFonts w:ascii="Times New Roman" w:eastAsia="Times New Roman" w:hAnsi="Times New Roman" w:cs="Times New Roman"/>
              </w:rPr>
              <w:t xml:space="preserve"> </w:t>
            </w:r>
            <w:r w:rsidRPr="00B7400F">
              <w:rPr>
                <w:rFonts w:ascii="Times New Roman" w:eastAsia="Times New Roman" w:hAnsi="Times New Roman" w:cs="Times New Roman"/>
              </w:rPr>
              <w:t>betegek, N (%)</w:t>
            </w:r>
          </w:p>
        </w:tc>
        <w:tc>
          <w:tcPr>
            <w:tcW w:w="992" w:type="dxa"/>
            <w:vAlign w:val="center"/>
          </w:tcPr>
          <w:p w14:paraId="6B0A7317" w14:textId="740B1869"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13 (6</w:t>
            </w:r>
            <w:r w:rsidR="000816AE">
              <w:rPr>
                <w:rFonts w:ascii="Times New Roman" w:eastAsia="Times New Roman" w:hAnsi="Times New Roman" w:cs="Times New Roman"/>
              </w:rPr>
              <w:t>,</w:t>
            </w:r>
            <w:r w:rsidRPr="00B7400F">
              <w:rPr>
                <w:rFonts w:ascii="Times New Roman" w:eastAsia="Times New Roman" w:hAnsi="Times New Roman" w:cs="Times New Roman"/>
              </w:rPr>
              <w:t>4)</w:t>
            </w:r>
          </w:p>
        </w:tc>
        <w:tc>
          <w:tcPr>
            <w:tcW w:w="1274" w:type="dxa"/>
            <w:vAlign w:val="center"/>
          </w:tcPr>
          <w:p w14:paraId="0AEE17D8" w14:textId="68B466A2"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13 (4</w:t>
            </w:r>
            <w:r w:rsidR="000816AE">
              <w:rPr>
                <w:rFonts w:ascii="Times New Roman" w:eastAsia="Times New Roman" w:hAnsi="Times New Roman" w:cs="Times New Roman"/>
              </w:rPr>
              <w:t>,</w:t>
            </w:r>
            <w:r w:rsidRPr="00B7400F">
              <w:rPr>
                <w:rFonts w:ascii="Times New Roman" w:eastAsia="Times New Roman" w:hAnsi="Times New Roman" w:cs="Times New Roman"/>
              </w:rPr>
              <w:t>2)</w:t>
            </w:r>
          </w:p>
        </w:tc>
        <w:tc>
          <w:tcPr>
            <w:tcW w:w="1136" w:type="dxa"/>
            <w:vAlign w:val="center"/>
          </w:tcPr>
          <w:p w14:paraId="6B156EE4" w14:textId="6BD243AB"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20 (9</w:t>
            </w:r>
            <w:r w:rsidR="000816AE">
              <w:rPr>
                <w:rFonts w:ascii="Times New Roman" w:eastAsia="Times New Roman" w:hAnsi="Times New Roman" w:cs="Times New Roman"/>
              </w:rPr>
              <w:t>,</w:t>
            </w:r>
            <w:r w:rsidRPr="00B7400F">
              <w:rPr>
                <w:rFonts w:ascii="Times New Roman" w:eastAsia="Times New Roman" w:hAnsi="Times New Roman" w:cs="Times New Roman"/>
              </w:rPr>
              <w:t>1)</w:t>
            </w:r>
          </w:p>
        </w:tc>
        <w:tc>
          <w:tcPr>
            <w:tcW w:w="1274" w:type="dxa"/>
            <w:vAlign w:val="center"/>
          </w:tcPr>
          <w:p w14:paraId="304C0E3A" w14:textId="7C7AE9C2"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22 (6</w:t>
            </w:r>
            <w:r w:rsidR="000816AE">
              <w:rPr>
                <w:rFonts w:ascii="Times New Roman" w:eastAsia="Times New Roman" w:hAnsi="Times New Roman" w:cs="Times New Roman"/>
              </w:rPr>
              <w:t>,</w:t>
            </w:r>
            <w:r w:rsidRPr="00B7400F">
              <w:rPr>
                <w:rFonts w:ascii="Times New Roman" w:eastAsia="Times New Roman" w:hAnsi="Times New Roman" w:cs="Times New Roman"/>
              </w:rPr>
              <w:t>7)</w:t>
            </w:r>
          </w:p>
        </w:tc>
        <w:tc>
          <w:tcPr>
            <w:tcW w:w="994" w:type="dxa"/>
            <w:vAlign w:val="center"/>
          </w:tcPr>
          <w:p w14:paraId="70CA8209" w14:textId="1266B463"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33 (7</w:t>
            </w:r>
            <w:r w:rsidR="000816AE">
              <w:rPr>
                <w:rFonts w:ascii="Times New Roman" w:eastAsia="Times New Roman" w:hAnsi="Times New Roman" w:cs="Times New Roman"/>
              </w:rPr>
              <w:t>,</w:t>
            </w:r>
            <w:r w:rsidRPr="00B7400F">
              <w:rPr>
                <w:rFonts w:ascii="Times New Roman" w:eastAsia="Times New Roman" w:hAnsi="Times New Roman" w:cs="Times New Roman"/>
              </w:rPr>
              <w:t>8)</w:t>
            </w:r>
          </w:p>
        </w:tc>
        <w:tc>
          <w:tcPr>
            <w:tcW w:w="1414" w:type="dxa"/>
            <w:vAlign w:val="center"/>
          </w:tcPr>
          <w:p w14:paraId="23EB919A" w14:textId="0922E5A7"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35 (5</w:t>
            </w:r>
            <w:r w:rsidR="000816AE">
              <w:rPr>
                <w:rFonts w:ascii="Times New Roman" w:eastAsia="Times New Roman" w:hAnsi="Times New Roman" w:cs="Times New Roman"/>
              </w:rPr>
              <w:t>,</w:t>
            </w:r>
            <w:r w:rsidRPr="00B7400F">
              <w:rPr>
                <w:rFonts w:ascii="Times New Roman" w:eastAsia="Times New Roman" w:hAnsi="Times New Roman" w:cs="Times New Roman"/>
              </w:rPr>
              <w:t>5)</w:t>
            </w:r>
          </w:p>
        </w:tc>
      </w:tr>
      <w:tr w:rsidR="00B7400F" w:rsidRPr="00B7400F" w14:paraId="57D1A3AD" w14:textId="77777777" w:rsidTr="00E0772D">
        <w:tc>
          <w:tcPr>
            <w:tcW w:w="9064" w:type="dxa"/>
            <w:gridSpan w:val="7"/>
          </w:tcPr>
          <w:p w14:paraId="1518145B" w14:textId="2815D82A" w:rsidR="00B7400F" w:rsidRPr="00B7400F"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Összehasonlítás placebóhoz képest</w:t>
            </w:r>
            <w:r w:rsidRPr="00B7400F">
              <w:rPr>
                <w:rFonts w:ascii="Times New Roman" w:eastAsia="Times New Roman" w:hAnsi="Times New Roman" w:cs="Times New Roman"/>
                <w:vertAlign w:val="superscript"/>
              </w:rPr>
              <w:t>1</w:t>
            </w:r>
          </w:p>
        </w:tc>
      </w:tr>
      <w:tr w:rsidR="00B7400F" w:rsidRPr="00B7400F" w14:paraId="70270FEB" w14:textId="77777777" w:rsidTr="00B7400F">
        <w:tc>
          <w:tcPr>
            <w:tcW w:w="1980" w:type="dxa"/>
          </w:tcPr>
          <w:p w14:paraId="2080FBAA" w14:textId="3DBCF4E7" w:rsidR="00B7400F" w:rsidRPr="00B7400F"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p-</w:t>
            </w:r>
            <w:r>
              <w:rPr>
                <w:rFonts w:ascii="Times New Roman" w:eastAsia="Times New Roman" w:hAnsi="Times New Roman" w:cs="Times New Roman"/>
              </w:rPr>
              <w:t>érték</w:t>
            </w:r>
            <w:r w:rsidRPr="00B7400F">
              <w:rPr>
                <w:rFonts w:ascii="Times New Roman" w:eastAsia="Times New Roman" w:hAnsi="Times New Roman" w:cs="Times New Roman"/>
                <w:vertAlign w:val="superscript"/>
              </w:rPr>
              <w:t>2</w:t>
            </w:r>
          </w:p>
        </w:tc>
        <w:tc>
          <w:tcPr>
            <w:tcW w:w="992" w:type="dxa"/>
            <w:vAlign w:val="center"/>
          </w:tcPr>
          <w:p w14:paraId="0F437E1B" w14:textId="77777777" w:rsidR="00B7400F" w:rsidRPr="00B7400F" w:rsidRDefault="00B7400F" w:rsidP="00B7400F">
            <w:pPr>
              <w:rPr>
                <w:rFonts w:ascii="Times New Roman" w:eastAsia="Times New Roman" w:hAnsi="Times New Roman" w:cs="Times New Roman"/>
              </w:rPr>
            </w:pPr>
          </w:p>
        </w:tc>
        <w:tc>
          <w:tcPr>
            <w:tcW w:w="1274" w:type="dxa"/>
            <w:vAlign w:val="center"/>
          </w:tcPr>
          <w:p w14:paraId="2B498104" w14:textId="1AD0E72D"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0</w:t>
            </w:r>
            <w:r w:rsidR="000816AE">
              <w:rPr>
                <w:rFonts w:ascii="Times New Roman" w:eastAsia="Times New Roman" w:hAnsi="Times New Roman" w:cs="Times New Roman"/>
              </w:rPr>
              <w:t>,</w:t>
            </w:r>
            <w:r w:rsidRPr="00B7400F">
              <w:rPr>
                <w:rFonts w:ascii="Times New Roman" w:eastAsia="Times New Roman" w:hAnsi="Times New Roman" w:cs="Times New Roman"/>
              </w:rPr>
              <w:t>2880</w:t>
            </w:r>
          </w:p>
        </w:tc>
        <w:tc>
          <w:tcPr>
            <w:tcW w:w="1136" w:type="dxa"/>
            <w:vAlign w:val="center"/>
          </w:tcPr>
          <w:p w14:paraId="3DE73A90" w14:textId="77777777" w:rsidR="00B7400F" w:rsidRPr="00B7400F" w:rsidRDefault="00B7400F" w:rsidP="008D346B">
            <w:pPr>
              <w:jc w:val="center"/>
              <w:rPr>
                <w:rFonts w:ascii="Times New Roman" w:eastAsia="Times New Roman" w:hAnsi="Times New Roman" w:cs="Times New Roman"/>
              </w:rPr>
            </w:pPr>
          </w:p>
        </w:tc>
        <w:tc>
          <w:tcPr>
            <w:tcW w:w="1274" w:type="dxa"/>
            <w:vAlign w:val="center"/>
          </w:tcPr>
          <w:p w14:paraId="6ABE846C" w14:textId="5B4162F7"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0</w:t>
            </w:r>
            <w:r w:rsidR="000816AE">
              <w:rPr>
                <w:rFonts w:ascii="Times New Roman" w:eastAsia="Times New Roman" w:hAnsi="Times New Roman" w:cs="Times New Roman"/>
              </w:rPr>
              <w:t>,</w:t>
            </w:r>
            <w:r w:rsidRPr="00B7400F">
              <w:rPr>
                <w:rFonts w:ascii="Times New Roman" w:eastAsia="Times New Roman" w:hAnsi="Times New Roman" w:cs="Times New Roman"/>
              </w:rPr>
              <w:t>2995</w:t>
            </w:r>
          </w:p>
        </w:tc>
        <w:tc>
          <w:tcPr>
            <w:tcW w:w="994" w:type="dxa"/>
            <w:vAlign w:val="center"/>
          </w:tcPr>
          <w:p w14:paraId="29EB0278" w14:textId="77777777" w:rsidR="00B7400F" w:rsidRPr="00B7400F" w:rsidRDefault="00B7400F" w:rsidP="008D346B">
            <w:pPr>
              <w:jc w:val="center"/>
              <w:rPr>
                <w:rFonts w:ascii="Times New Roman" w:eastAsia="Times New Roman" w:hAnsi="Times New Roman" w:cs="Times New Roman"/>
              </w:rPr>
            </w:pPr>
          </w:p>
        </w:tc>
        <w:tc>
          <w:tcPr>
            <w:tcW w:w="1414" w:type="dxa"/>
            <w:vAlign w:val="center"/>
          </w:tcPr>
          <w:p w14:paraId="37CA8A43" w14:textId="767E91B7"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0</w:t>
            </w:r>
            <w:r w:rsidR="000816AE">
              <w:rPr>
                <w:rFonts w:ascii="Times New Roman" w:eastAsia="Times New Roman" w:hAnsi="Times New Roman" w:cs="Times New Roman"/>
              </w:rPr>
              <w:t>,</w:t>
            </w:r>
            <w:r w:rsidRPr="00B7400F">
              <w:rPr>
                <w:rFonts w:ascii="Times New Roman" w:eastAsia="Times New Roman" w:hAnsi="Times New Roman" w:cs="Times New Roman"/>
              </w:rPr>
              <w:t>1399</w:t>
            </w:r>
          </w:p>
        </w:tc>
      </w:tr>
      <w:tr w:rsidR="00B7400F" w:rsidRPr="00B7400F" w14:paraId="6C8CC309" w14:textId="77777777" w:rsidTr="00B7400F">
        <w:tc>
          <w:tcPr>
            <w:tcW w:w="1980" w:type="dxa"/>
          </w:tcPr>
          <w:p w14:paraId="259A9393" w14:textId="0EF544F7" w:rsidR="00B7400F" w:rsidRPr="00B7400F" w:rsidRDefault="00B7400F" w:rsidP="00B7400F">
            <w:pPr>
              <w:rPr>
                <w:rFonts w:ascii="Times New Roman" w:eastAsia="Times New Roman" w:hAnsi="Times New Roman" w:cs="Times New Roman"/>
              </w:rPr>
            </w:pPr>
            <w:r>
              <w:rPr>
                <w:rFonts w:ascii="Times New Roman" w:eastAsia="Times New Roman" w:hAnsi="Times New Roman" w:cs="Times New Roman"/>
              </w:rPr>
              <w:t>relatív h</w:t>
            </w:r>
            <w:r w:rsidRPr="00B7400F">
              <w:rPr>
                <w:rFonts w:ascii="Times New Roman" w:eastAsia="Times New Roman" w:hAnsi="Times New Roman" w:cs="Times New Roman"/>
              </w:rPr>
              <w:t>az</w:t>
            </w:r>
            <w:r>
              <w:rPr>
                <w:rFonts w:ascii="Times New Roman" w:eastAsia="Times New Roman" w:hAnsi="Times New Roman" w:cs="Times New Roman"/>
              </w:rPr>
              <w:t>á</w:t>
            </w:r>
            <w:r w:rsidRPr="00B7400F">
              <w:rPr>
                <w:rFonts w:ascii="Times New Roman" w:eastAsia="Times New Roman" w:hAnsi="Times New Roman" w:cs="Times New Roman"/>
              </w:rPr>
              <w:t>rd</w:t>
            </w:r>
            <w:r w:rsidRPr="00B7400F">
              <w:rPr>
                <w:rFonts w:ascii="Times New Roman" w:eastAsia="Times New Roman" w:hAnsi="Times New Roman" w:cs="Times New Roman"/>
                <w:vertAlign w:val="superscript"/>
              </w:rPr>
              <w:t>3</w:t>
            </w:r>
          </w:p>
        </w:tc>
        <w:tc>
          <w:tcPr>
            <w:tcW w:w="992" w:type="dxa"/>
            <w:vAlign w:val="center"/>
          </w:tcPr>
          <w:p w14:paraId="361C22C7" w14:textId="77777777" w:rsidR="00B7400F" w:rsidRPr="00B7400F" w:rsidRDefault="00B7400F" w:rsidP="00B7400F">
            <w:pPr>
              <w:rPr>
                <w:rFonts w:ascii="Times New Roman" w:eastAsia="Times New Roman" w:hAnsi="Times New Roman" w:cs="Times New Roman"/>
              </w:rPr>
            </w:pPr>
          </w:p>
        </w:tc>
        <w:tc>
          <w:tcPr>
            <w:tcW w:w="1274" w:type="dxa"/>
            <w:vAlign w:val="center"/>
          </w:tcPr>
          <w:p w14:paraId="706F04DB" w14:textId="70A92093"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0</w:t>
            </w:r>
            <w:r w:rsidR="000816AE">
              <w:rPr>
                <w:rFonts w:ascii="Times New Roman" w:eastAsia="Times New Roman" w:hAnsi="Times New Roman" w:cs="Times New Roman"/>
              </w:rPr>
              <w:t>,</w:t>
            </w:r>
            <w:r w:rsidRPr="00B7400F">
              <w:rPr>
                <w:rFonts w:ascii="Times New Roman" w:eastAsia="Times New Roman" w:hAnsi="Times New Roman" w:cs="Times New Roman"/>
              </w:rPr>
              <w:t>63</w:t>
            </w:r>
          </w:p>
        </w:tc>
        <w:tc>
          <w:tcPr>
            <w:tcW w:w="1136" w:type="dxa"/>
            <w:vAlign w:val="center"/>
          </w:tcPr>
          <w:p w14:paraId="6E1A3A38" w14:textId="77777777" w:rsidR="00B7400F" w:rsidRPr="00B7400F" w:rsidRDefault="00B7400F" w:rsidP="008D346B">
            <w:pPr>
              <w:jc w:val="center"/>
              <w:rPr>
                <w:rFonts w:ascii="Times New Roman" w:eastAsia="Times New Roman" w:hAnsi="Times New Roman" w:cs="Times New Roman"/>
              </w:rPr>
            </w:pPr>
          </w:p>
        </w:tc>
        <w:tc>
          <w:tcPr>
            <w:tcW w:w="1274" w:type="dxa"/>
            <w:vAlign w:val="center"/>
          </w:tcPr>
          <w:p w14:paraId="7F386F80" w14:textId="2353946D"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0</w:t>
            </w:r>
            <w:r w:rsidR="000816AE">
              <w:rPr>
                <w:rFonts w:ascii="Times New Roman" w:eastAsia="Times New Roman" w:hAnsi="Times New Roman" w:cs="Times New Roman"/>
              </w:rPr>
              <w:t>,</w:t>
            </w:r>
            <w:r w:rsidRPr="00B7400F">
              <w:rPr>
                <w:rFonts w:ascii="Times New Roman" w:eastAsia="Times New Roman" w:hAnsi="Times New Roman" w:cs="Times New Roman"/>
              </w:rPr>
              <w:t>74</w:t>
            </w:r>
          </w:p>
        </w:tc>
        <w:tc>
          <w:tcPr>
            <w:tcW w:w="994" w:type="dxa"/>
            <w:vAlign w:val="center"/>
          </w:tcPr>
          <w:p w14:paraId="331A76C4" w14:textId="77777777" w:rsidR="00B7400F" w:rsidRPr="00B7400F" w:rsidRDefault="00B7400F" w:rsidP="008D346B">
            <w:pPr>
              <w:jc w:val="center"/>
              <w:rPr>
                <w:rFonts w:ascii="Times New Roman" w:eastAsia="Times New Roman" w:hAnsi="Times New Roman" w:cs="Times New Roman"/>
              </w:rPr>
            </w:pPr>
          </w:p>
        </w:tc>
        <w:tc>
          <w:tcPr>
            <w:tcW w:w="1414" w:type="dxa"/>
            <w:vAlign w:val="center"/>
          </w:tcPr>
          <w:p w14:paraId="194AFB06" w14:textId="5871D829"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0</w:t>
            </w:r>
            <w:r w:rsidR="000816AE">
              <w:rPr>
                <w:rFonts w:ascii="Times New Roman" w:eastAsia="Times New Roman" w:hAnsi="Times New Roman" w:cs="Times New Roman"/>
              </w:rPr>
              <w:t>,</w:t>
            </w:r>
            <w:r w:rsidRPr="00B7400F">
              <w:rPr>
                <w:rFonts w:ascii="Times New Roman" w:eastAsia="Times New Roman" w:hAnsi="Times New Roman" w:cs="Times New Roman"/>
              </w:rPr>
              <w:t>70</w:t>
            </w:r>
          </w:p>
        </w:tc>
      </w:tr>
      <w:tr w:rsidR="00B7400F" w:rsidRPr="00B7400F" w14:paraId="368E664E" w14:textId="77777777" w:rsidTr="00B7400F">
        <w:tc>
          <w:tcPr>
            <w:tcW w:w="1980" w:type="dxa"/>
          </w:tcPr>
          <w:p w14:paraId="6F231066" w14:textId="3B392753" w:rsidR="00B7400F" w:rsidRPr="00B7400F"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95%</w:t>
            </w:r>
            <w:r>
              <w:rPr>
                <w:rFonts w:ascii="Times New Roman" w:eastAsia="Times New Roman" w:hAnsi="Times New Roman" w:cs="Times New Roman"/>
              </w:rPr>
              <w:t>-os</w:t>
            </w:r>
            <w:r w:rsidRPr="00B7400F">
              <w:rPr>
                <w:rFonts w:ascii="Times New Roman" w:eastAsia="Times New Roman" w:hAnsi="Times New Roman" w:cs="Times New Roman"/>
              </w:rPr>
              <w:t xml:space="preserve"> CI</w:t>
            </w:r>
          </w:p>
        </w:tc>
        <w:tc>
          <w:tcPr>
            <w:tcW w:w="992" w:type="dxa"/>
            <w:vAlign w:val="center"/>
          </w:tcPr>
          <w:p w14:paraId="2F391B0E" w14:textId="77777777" w:rsidR="00B7400F" w:rsidRPr="00B7400F" w:rsidRDefault="00B7400F" w:rsidP="00B7400F">
            <w:pPr>
              <w:rPr>
                <w:rFonts w:ascii="Times New Roman" w:eastAsia="Times New Roman" w:hAnsi="Times New Roman" w:cs="Times New Roman"/>
              </w:rPr>
            </w:pPr>
          </w:p>
        </w:tc>
        <w:tc>
          <w:tcPr>
            <w:tcW w:w="1274" w:type="dxa"/>
            <w:vAlign w:val="center"/>
          </w:tcPr>
          <w:p w14:paraId="3CCFC79F" w14:textId="4B6472FB"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(0</w:t>
            </w:r>
            <w:r w:rsidR="000816AE">
              <w:rPr>
                <w:rFonts w:ascii="Times New Roman" w:eastAsia="Times New Roman" w:hAnsi="Times New Roman" w:cs="Times New Roman"/>
              </w:rPr>
              <w:t>,</w:t>
            </w:r>
            <w:r w:rsidRPr="00B7400F">
              <w:rPr>
                <w:rFonts w:ascii="Times New Roman" w:eastAsia="Times New Roman" w:hAnsi="Times New Roman" w:cs="Times New Roman"/>
              </w:rPr>
              <w:t>29</w:t>
            </w:r>
            <w:r w:rsidR="000816AE">
              <w:rPr>
                <w:rFonts w:ascii="Times New Roman" w:eastAsia="Times New Roman" w:hAnsi="Times New Roman" w:cs="Times New Roman"/>
              </w:rPr>
              <w:t>;</w:t>
            </w:r>
            <w:r w:rsidRPr="00B7400F">
              <w:rPr>
                <w:rFonts w:ascii="Times New Roman" w:eastAsia="Times New Roman" w:hAnsi="Times New Roman" w:cs="Times New Roman"/>
              </w:rPr>
              <w:t xml:space="preserve"> 1</w:t>
            </w:r>
            <w:r w:rsidR="000816AE">
              <w:rPr>
                <w:rFonts w:ascii="Times New Roman" w:eastAsia="Times New Roman" w:hAnsi="Times New Roman" w:cs="Times New Roman"/>
              </w:rPr>
              <w:t>,</w:t>
            </w:r>
            <w:r w:rsidRPr="00B7400F">
              <w:rPr>
                <w:rFonts w:ascii="Times New Roman" w:eastAsia="Times New Roman" w:hAnsi="Times New Roman" w:cs="Times New Roman"/>
              </w:rPr>
              <w:t>36)</w:t>
            </w:r>
          </w:p>
        </w:tc>
        <w:tc>
          <w:tcPr>
            <w:tcW w:w="1136" w:type="dxa"/>
            <w:vAlign w:val="center"/>
          </w:tcPr>
          <w:p w14:paraId="0A29E8F2" w14:textId="77777777" w:rsidR="00B7400F" w:rsidRPr="00B7400F" w:rsidRDefault="00B7400F" w:rsidP="008D346B">
            <w:pPr>
              <w:jc w:val="center"/>
              <w:rPr>
                <w:rFonts w:ascii="Times New Roman" w:eastAsia="Times New Roman" w:hAnsi="Times New Roman" w:cs="Times New Roman"/>
              </w:rPr>
            </w:pPr>
          </w:p>
        </w:tc>
        <w:tc>
          <w:tcPr>
            <w:tcW w:w="1274" w:type="dxa"/>
            <w:vAlign w:val="center"/>
          </w:tcPr>
          <w:p w14:paraId="04DA38A6" w14:textId="1C6D95F7"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(0</w:t>
            </w:r>
            <w:r w:rsidR="000816AE">
              <w:rPr>
                <w:rFonts w:ascii="Times New Roman" w:eastAsia="Times New Roman" w:hAnsi="Times New Roman" w:cs="Times New Roman"/>
              </w:rPr>
              <w:t>,</w:t>
            </w:r>
            <w:r w:rsidRPr="00B7400F">
              <w:rPr>
                <w:rFonts w:ascii="Times New Roman" w:eastAsia="Times New Roman" w:hAnsi="Times New Roman" w:cs="Times New Roman"/>
              </w:rPr>
              <w:t>40</w:t>
            </w:r>
            <w:r w:rsidR="000816AE">
              <w:rPr>
                <w:rFonts w:ascii="Times New Roman" w:eastAsia="Times New Roman" w:hAnsi="Times New Roman" w:cs="Times New Roman"/>
              </w:rPr>
              <w:t>;</w:t>
            </w:r>
            <w:r w:rsidRPr="00B7400F">
              <w:rPr>
                <w:rFonts w:ascii="Times New Roman" w:eastAsia="Times New Roman" w:hAnsi="Times New Roman" w:cs="Times New Roman"/>
              </w:rPr>
              <w:t xml:space="preserve"> 1</w:t>
            </w:r>
            <w:r w:rsidR="000816AE">
              <w:rPr>
                <w:rFonts w:ascii="Times New Roman" w:eastAsia="Times New Roman" w:hAnsi="Times New Roman" w:cs="Times New Roman"/>
              </w:rPr>
              <w:t>,</w:t>
            </w:r>
            <w:r w:rsidRPr="00B7400F">
              <w:rPr>
                <w:rFonts w:ascii="Times New Roman" w:eastAsia="Times New Roman" w:hAnsi="Times New Roman" w:cs="Times New Roman"/>
              </w:rPr>
              <w:t>35)</w:t>
            </w:r>
          </w:p>
        </w:tc>
        <w:tc>
          <w:tcPr>
            <w:tcW w:w="994" w:type="dxa"/>
            <w:vAlign w:val="center"/>
          </w:tcPr>
          <w:p w14:paraId="42BBFCA4" w14:textId="77777777" w:rsidR="00B7400F" w:rsidRPr="00B7400F" w:rsidRDefault="00B7400F" w:rsidP="008D346B">
            <w:pPr>
              <w:jc w:val="center"/>
              <w:rPr>
                <w:rFonts w:ascii="Times New Roman" w:eastAsia="Times New Roman" w:hAnsi="Times New Roman" w:cs="Times New Roman"/>
              </w:rPr>
            </w:pPr>
          </w:p>
        </w:tc>
        <w:tc>
          <w:tcPr>
            <w:tcW w:w="1414" w:type="dxa"/>
            <w:vAlign w:val="center"/>
          </w:tcPr>
          <w:p w14:paraId="40D7EC3B" w14:textId="0395F551" w:rsidR="00B7400F" w:rsidRPr="00B7400F" w:rsidRDefault="00B7400F" w:rsidP="008D346B">
            <w:pPr>
              <w:jc w:val="center"/>
              <w:rPr>
                <w:rFonts w:ascii="Times New Roman" w:eastAsia="Times New Roman" w:hAnsi="Times New Roman" w:cs="Times New Roman"/>
              </w:rPr>
            </w:pPr>
            <w:r w:rsidRPr="00B7400F">
              <w:rPr>
                <w:rFonts w:ascii="Times New Roman" w:eastAsia="Times New Roman" w:hAnsi="Times New Roman" w:cs="Times New Roman"/>
              </w:rPr>
              <w:t>(0</w:t>
            </w:r>
            <w:r w:rsidR="000816AE">
              <w:rPr>
                <w:rFonts w:ascii="Times New Roman" w:eastAsia="Times New Roman" w:hAnsi="Times New Roman" w:cs="Times New Roman"/>
              </w:rPr>
              <w:t>,</w:t>
            </w:r>
            <w:r w:rsidRPr="00B7400F">
              <w:rPr>
                <w:rFonts w:ascii="Times New Roman" w:eastAsia="Times New Roman" w:hAnsi="Times New Roman" w:cs="Times New Roman"/>
              </w:rPr>
              <w:t>43</w:t>
            </w:r>
            <w:r w:rsidR="000816AE">
              <w:rPr>
                <w:rFonts w:ascii="Times New Roman" w:eastAsia="Times New Roman" w:hAnsi="Times New Roman" w:cs="Times New Roman"/>
              </w:rPr>
              <w:t>;</w:t>
            </w:r>
            <w:r w:rsidRPr="00B7400F">
              <w:rPr>
                <w:rFonts w:ascii="Times New Roman" w:eastAsia="Times New Roman" w:hAnsi="Times New Roman" w:cs="Times New Roman"/>
              </w:rPr>
              <w:t xml:space="preserve"> 1</w:t>
            </w:r>
            <w:r w:rsidR="000816AE">
              <w:rPr>
                <w:rFonts w:ascii="Times New Roman" w:eastAsia="Times New Roman" w:hAnsi="Times New Roman" w:cs="Times New Roman"/>
              </w:rPr>
              <w:t>,</w:t>
            </w:r>
            <w:r w:rsidRPr="00B7400F">
              <w:rPr>
                <w:rFonts w:ascii="Times New Roman" w:eastAsia="Times New Roman" w:hAnsi="Times New Roman" w:cs="Times New Roman"/>
              </w:rPr>
              <w:t>12)</w:t>
            </w:r>
          </w:p>
        </w:tc>
      </w:tr>
    </w:tbl>
    <w:p w14:paraId="7E265B68" w14:textId="77777777" w:rsidR="00B7400F" w:rsidRPr="00B7400F" w:rsidRDefault="00B7400F" w:rsidP="00B7400F">
      <w:pPr>
        <w:rPr>
          <w:rFonts w:ascii="Times New Roman" w:eastAsia="Times New Roman" w:hAnsi="Times New Roman" w:cs="Times New Roman"/>
          <w:sz w:val="18"/>
          <w:szCs w:val="18"/>
        </w:rPr>
      </w:pPr>
      <w:r w:rsidRPr="00B7400F">
        <w:rPr>
          <w:rFonts w:ascii="Times New Roman" w:eastAsia="Times New Roman" w:hAnsi="Times New Roman" w:cs="Times New Roman"/>
          <w:sz w:val="18"/>
          <w:szCs w:val="18"/>
          <w:vertAlign w:val="superscript"/>
        </w:rPr>
        <w:t>1</w:t>
      </w:r>
      <w:r w:rsidRPr="00B7400F">
        <w:rPr>
          <w:rFonts w:ascii="Times New Roman" w:eastAsia="Times New Roman" w:hAnsi="Times New Roman" w:cs="Times New Roman"/>
          <w:sz w:val="18"/>
          <w:szCs w:val="18"/>
        </w:rPr>
        <w:t xml:space="preserve"> 372 napig (52 hét + 7 nap ráhagyás) gyűjtött adatokon alapul.</w:t>
      </w:r>
    </w:p>
    <w:p w14:paraId="208DAA28" w14:textId="77777777" w:rsidR="00B7400F" w:rsidRPr="00B7400F" w:rsidRDefault="00B7400F" w:rsidP="00B7400F">
      <w:pPr>
        <w:rPr>
          <w:rFonts w:ascii="Times New Roman" w:eastAsia="Times New Roman" w:hAnsi="Times New Roman" w:cs="Times New Roman"/>
          <w:sz w:val="18"/>
          <w:szCs w:val="18"/>
        </w:rPr>
      </w:pPr>
      <w:r w:rsidRPr="00B7400F">
        <w:rPr>
          <w:rFonts w:ascii="Times New Roman" w:eastAsia="Times New Roman" w:hAnsi="Times New Roman" w:cs="Times New Roman"/>
          <w:sz w:val="18"/>
          <w:szCs w:val="18"/>
          <w:vertAlign w:val="superscript"/>
        </w:rPr>
        <w:t>2</w:t>
      </w:r>
      <w:r w:rsidRPr="00B7400F">
        <w:rPr>
          <w:rFonts w:ascii="Times New Roman" w:eastAsia="Times New Roman" w:hAnsi="Times New Roman" w:cs="Times New Roman"/>
          <w:sz w:val="18"/>
          <w:szCs w:val="18"/>
        </w:rPr>
        <w:t xml:space="preserve"> Lograng-próbán alapul.</w:t>
      </w:r>
    </w:p>
    <w:p w14:paraId="4979D382" w14:textId="75C5804B" w:rsidR="00B74070" w:rsidRPr="00B7400F" w:rsidRDefault="00B7400F" w:rsidP="00B7400F">
      <w:pPr>
        <w:rPr>
          <w:rFonts w:ascii="Times New Roman" w:eastAsia="Times New Roman" w:hAnsi="Times New Roman" w:cs="Times New Roman"/>
          <w:sz w:val="18"/>
          <w:szCs w:val="18"/>
        </w:rPr>
      </w:pPr>
      <w:r w:rsidRPr="00B7400F">
        <w:rPr>
          <w:rFonts w:ascii="Times New Roman" w:eastAsia="Times New Roman" w:hAnsi="Times New Roman" w:cs="Times New Roman"/>
          <w:sz w:val="18"/>
          <w:szCs w:val="18"/>
          <w:vertAlign w:val="superscript"/>
        </w:rPr>
        <w:t xml:space="preserve">3 </w:t>
      </w:r>
      <w:r w:rsidRPr="00B7400F">
        <w:rPr>
          <w:rFonts w:ascii="Times New Roman" w:eastAsia="Times New Roman" w:hAnsi="Times New Roman" w:cs="Times New Roman"/>
          <w:sz w:val="18"/>
          <w:szCs w:val="18"/>
        </w:rPr>
        <w:t>Cox-féle regressziós modellen alapul.</w:t>
      </w:r>
    </w:p>
    <w:p w14:paraId="5066EF05" w14:textId="77777777" w:rsidR="00B74070" w:rsidRDefault="00B74070" w:rsidP="009106D9">
      <w:pPr>
        <w:rPr>
          <w:rFonts w:ascii="Times New Roman" w:eastAsia="Times New Roman" w:hAnsi="Times New Roman" w:cs="Times New Roman"/>
        </w:rPr>
      </w:pPr>
    </w:p>
    <w:p w14:paraId="1CCC692A" w14:textId="0DCABEAB" w:rsidR="00B7400F" w:rsidRPr="00B7400F" w:rsidRDefault="00B7400F" w:rsidP="00A5740F">
      <w:pPr>
        <w:keepNext/>
        <w:widowControl/>
        <w:rPr>
          <w:rFonts w:ascii="Times New Roman" w:eastAsia="Times New Roman" w:hAnsi="Times New Roman" w:cs="Times New Roman"/>
          <w:i/>
          <w:iCs/>
          <w:u w:val="single"/>
        </w:rPr>
      </w:pPr>
      <w:r w:rsidRPr="00B7400F">
        <w:rPr>
          <w:rFonts w:ascii="Times New Roman" w:eastAsia="Times New Roman" w:hAnsi="Times New Roman" w:cs="Times New Roman"/>
          <w:i/>
          <w:iCs/>
          <w:u w:val="single"/>
        </w:rPr>
        <w:t>A</w:t>
      </w:r>
      <w:r>
        <w:rPr>
          <w:rFonts w:ascii="Times New Roman" w:eastAsia="Times New Roman" w:hAnsi="Times New Roman" w:cs="Times New Roman"/>
          <w:i/>
          <w:iCs/>
          <w:u w:val="single"/>
        </w:rPr>
        <w:t xml:space="preserve"> nintedanib</w:t>
      </w:r>
      <w:r w:rsidRPr="00B7400F">
        <w:rPr>
          <w:rFonts w:ascii="Times New Roman" w:eastAsia="Times New Roman" w:hAnsi="Times New Roman" w:cs="Times New Roman"/>
          <w:i/>
          <w:iCs/>
          <w:u w:val="single"/>
        </w:rPr>
        <w:t xml:space="preserve"> hosszú távú alkalmazása IPF-ben szenvedő betegeknél (INPULSIS-ON)</w:t>
      </w:r>
    </w:p>
    <w:p w14:paraId="7F411FD3" w14:textId="76A2B30D" w:rsidR="00B7400F" w:rsidRPr="00B7400F" w:rsidRDefault="00B7400F" w:rsidP="00A5740F">
      <w:pPr>
        <w:keepNext/>
        <w:widowControl/>
        <w:rPr>
          <w:rFonts w:ascii="Times New Roman" w:eastAsia="Times New Roman" w:hAnsi="Times New Roman" w:cs="Times New Roman"/>
        </w:rPr>
      </w:pPr>
      <w:r w:rsidRPr="00B7400F">
        <w:rPr>
          <w:rFonts w:ascii="Times New Roman" w:eastAsia="Times New Roman" w:hAnsi="Times New Roman" w:cs="Times New Roman"/>
        </w:rPr>
        <w:t>A</w:t>
      </w:r>
      <w:r>
        <w:rPr>
          <w:rFonts w:ascii="Times New Roman" w:eastAsia="Times New Roman" w:hAnsi="Times New Roman" w:cs="Times New Roman"/>
        </w:rPr>
        <w:t xml:space="preserve"> nintedanib</w:t>
      </w:r>
      <w:r w:rsidRPr="00B7400F">
        <w:rPr>
          <w:rFonts w:ascii="Times New Roman" w:eastAsia="Times New Roman" w:hAnsi="Times New Roman" w:cs="Times New Roman"/>
        </w:rPr>
        <w:t xml:space="preserve"> nyílt, kiterjesztett vizsgálatában 734 IPF-ben szenvedő beteg vett részt. Azon betegek, akik</w:t>
      </w:r>
      <w:r>
        <w:rPr>
          <w:rFonts w:ascii="Times New Roman" w:eastAsia="Times New Roman" w:hAnsi="Times New Roman" w:cs="Times New Roman"/>
        </w:rPr>
        <w:t xml:space="preserve"> </w:t>
      </w:r>
      <w:r w:rsidRPr="00B7400F">
        <w:rPr>
          <w:rFonts w:ascii="Times New Roman" w:eastAsia="Times New Roman" w:hAnsi="Times New Roman" w:cs="Times New Roman"/>
        </w:rPr>
        <w:t xml:space="preserve">befejezték valamely INPULSIS vizsgálat 52 hetes kezelési időszakát, nyílt elrendezésben </w:t>
      </w:r>
      <w:r>
        <w:rPr>
          <w:rFonts w:ascii="Times New Roman" w:eastAsia="Times New Roman" w:hAnsi="Times New Roman" w:cs="Times New Roman"/>
        </w:rPr>
        <w:t>nintedanib-</w:t>
      </w:r>
      <w:r w:rsidRPr="00B7400F">
        <w:rPr>
          <w:rFonts w:ascii="Times New Roman" w:eastAsia="Times New Roman" w:hAnsi="Times New Roman" w:cs="Times New Roman"/>
        </w:rPr>
        <w:t>kezelésben részesültek az INPULSIS-ON kiterjesztett vizsgálat során. A</w:t>
      </w:r>
      <w:r>
        <w:rPr>
          <w:rFonts w:ascii="Times New Roman" w:eastAsia="Times New Roman" w:hAnsi="Times New Roman" w:cs="Times New Roman"/>
        </w:rPr>
        <w:t xml:space="preserve"> nintedanibbal</w:t>
      </w:r>
      <w:r w:rsidRPr="00B7400F">
        <w:rPr>
          <w:rFonts w:ascii="Times New Roman" w:eastAsia="Times New Roman" w:hAnsi="Times New Roman" w:cs="Times New Roman"/>
        </w:rPr>
        <w:t xml:space="preserve"> kezelt betegek</w:t>
      </w:r>
      <w:r>
        <w:rPr>
          <w:rFonts w:ascii="Times New Roman" w:eastAsia="Times New Roman" w:hAnsi="Times New Roman" w:cs="Times New Roman"/>
        </w:rPr>
        <w:t xml:space="preserve"> </w:t>
      </w:r>
      <w:r w:rsidRPr="00B7400F">
        <w:rPr>
          <w:rFonts w:ascii="Times New Roman" w:eastAsia="Times New Roman" w:hAnsi="Times New Roman" w:cs="Times New Roman"/>
        </w:rPr>
        <w:t>medián expozíciós ideje mind az INPULSIS, mind az INPULSIS-ON vizsgálatokban 44,7</w:t>
      </w:r>
      <w:r w:rsidR="006C14B7">
        <w:rPr>
          <w:rFonts w:ascii="Times New Roman" w:eastAsia="Times New Roman" w:hAnsi="Times New Roman" w:cs="Times New Roman"/>
        </w:rPr>
        <w:t> </w:t>
      </w:r>
      <w:r w:rsidRPr="00B7400F">
        <w:rPr>
          <w:rFonts w:ascii="Times New Roman" w:eastAsia="Times New Roman" w:hAnsi="Times New Roman" w:cs="Times New Roman"/>
        </w:rPr>
        <w:t>hónap volt</w:t>
      </w:r>
      <w:r>
        <w:rPr>
          <w:rFonts w:ascii="Times New Roman" w:eastAsia="Times New Roman" w:hAnsi="Times New Roman" w:cs="Times New Roman"/>
        </w:rPr>
        <w:t xml:space="preserve"> </w:t>
      </w:r>
      <w:r w:rsidRPr="00B7400F">
        <w:rPr>
          <w:rFonts w:ascii="Times New Roman" w:eastAsia="Times New Roman" w:hAnsi="Times New Roman" w:cs="Times New Roman"/>
        </w:rPr>
        <w:t>(tartomány: 11,9–68,3). A feltáró hatékonysági végpontok magukban foglalták az FVC 192 hét alatt</w:t>
      </w:r>
      <w:r>
        <w:rPr>
          <w:rFonts w:ascii="Times New Roman" w:eastAsia="Times New Roman" w:hAnsi="Times New Roman" w:cs="Times New Roman"/>
        </w:rPr>
        <w:t xml:space="preserve"> </w:t>
      </w:r>
      <w:r w:rsidRPr="00B7400F">
        <w:rPr>
          <w:rFonts w:ascii="Times New Roman" w:eastAsia="Times New Roman" w:hAnsi="Times New Roman" w:cs="Times New Roman"/>
        </w:rPr>
        <w:t>végbement csökkenésének éves ütemét, amely –135,1 (5,8) ml/év volt minden kezelt beteg esetén, és</w:t>
      </w:r>
      <w:r>
        <w:rPr>
          <w:rFonts w:ascii="Times New Roman" w:eastAsia="Times New Roman" w:hAnsi="Times New Roman" w:cs="Times New Roman"/>
        </w:rPr>
        <w:t xml:space="preserve"> </w:t>
      </w:r>
      <w:r w:rsidRPr="00B7400F">
        <w:rPr>
          <w:rFonts w:ascii="Times New Roman" w:eastAsia="Times New Roman" w:hAnsi="Times New Roman" w:cs="Times New Roman"/>
        </w:rPr>
        <w:t>amely összhangban állt a III. fázisú INPULSIS vizsgálatokban nintedanibbal kezelt betegek FVCcsökkenésének éves ütemével (−113,6</w:t>
      </w:r>
      <w:r w:rsidR="006C14B7">
        <w:rPr>
          <w:rFonts w:ascii="Times New Roman" w:eastAsia="Times New Roman" w:hAnsi="Times New Roman" w:cs="Times New Roman"/>
        </w:rPr>
        <w:t> </w:t>
      </w:r>
      <w:r w:rsidRPr="00B7400F">
        <w:rPr>
          <w:rFonts w:ascii="Times New Roman" w:eastAsia="Times New Roman" w:hAnsi="Times New Roman" w:cs="Times New Roman"/>
        </w:rPr>
        <w:t>ml/év). Az INPULSIS-ON vizsgálat során a</w:t>
      </w:r>
      <w:r>
        <w:rPr>
          <w:rFonts w:ascii="Times New Roman" w:eastAsia="Times New Roman" w:hAnsi="Times New Roman" w:cs="Times New Roman"/>
        </w:rPr>
        <w:t xml:space="preserve"> nintedanibhoz</w:t>
      </w:r>
      <w:r w:rsidRPr="00B7400F">
        <w:rPr>
          <w:rFonts w:ascii="Times New Roman" w:eastAsia="Times New Roman" w:hAnsi="Times New Roman" w:cs="Times New Roman"/>
        </w:rPr>
        <w:t xml:space="preserve"> köthető</w:t>
      </w:r>
      <w:r>
        <w:rPr>
          <w:rFonts w:ascii="Times New Roman" w:eastAsia="Times New Roman" w:hAnsi="Times New Roman" w:cs="Times New Roman"/>
        </w:rPr>
        <w:t xml:space="preserve"> </w:t>
      </w:r>
      <w:r w:rsidRPr="00B7400F">
        <w:rPr>
          <w:rFonts w:ascii="Times New Roman" w:eastAsia="Times New Roman" w:hAnsi="Times New Roman" w:cs="Times New Roman"/>
        </w:rPr>
        <w:t>nemkívánatos események profilja konzisztens volt a III. fázisú INPULSIS vizsgálatokban</w:t>
      </w:r>
      <w:r>
        <w:rPr>
          <w:rFonts w:ascii="Times New Roman" w:eastAsia="Times New Roman" w:hAnsi="Times New Roman" w:cs="Times New Roman"/>
        </w:rPr>
        <w:t xml:space="preserve"> </w:t>
      </w:r>
      <w:r w:rsidRPr="00B7400F">
        <w:rPr>
          <w:rFonts w:ascii="Times New Roman" w:eastAsia="Times New Roman" w:hAnsi="Times New Roman" w:cs="Times New Roman"/>
        </w:rPr>
        <w:t>tapasztaltakkal.</w:t>
      </w:r>
    </w:p>
    <w:p w14:paraId="1CF0C88D" w14:textId="77777777" w:rsidR="00B7400F" w:rsidRDefault="00B7400F" w:rsidP="00B7400F">
      <w:pPr>
        <w:rPr>
          <w:rFonts w:ascii="Times New Roman" w:eastAsia="Times New Roman" w:hAnsi="Times New Roman" w:cs="Times New Roman"/>
        </w:rPr>
      </w:pPr>
    </w:p>
    <w:p w14:paraId="006EDDAA" w14:textId="2A97CF19" w:rsidR="00B7400F" w:rsidRPr="00B7400F" w:rsidRDefault="00B7400F" w:rsidP="00B7400F">
      <w:pPr>
        <w:rPr>
          <w:rFonts w:ascii="Times New Roman" w:eastAsia="Times New Roman" w:hAnsi="Times New Roman" w:cs="Times New Roman"/>
          <w:i/>
          <w:iCs/>
          <w:u w:val="single"/>
        </w:rPr>
      </w:pPr>
      <w:r w:rsidRPr="00B7400F">
        <w:rPr>
          <w:rFonts w:ascii="Times New Roman" w:eastAsia="Times New Roman" w:hAnsi="Times New Roman" w:cs="Times New Roman"/>
          <w:i/>
          <w:iCs/>
          <w:u w:val="single"/>
        </w:rPr>
        <w:t>IPF-es betegek előrehaladott tüdőfunkció károsodással (INSTAGE)</w:t>
      </w:r>
    </w:p>
    <w:p w14:paraId="0855FC3D" w14:textId="648E8050" w:rsidR="00B7400F" w:rsidRPr="00B7400F"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Az INSTAGE egy előrehaladott tüdőfunkció-károsodású (DLCO a várt érték ≤ 35%-a) IPF-es</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betegeken végzett, 24</w:t>
      </w:r>
      <w:r w:rsidR="006C14B7">
        <w:rPr>
          <w:rFonts w:ascii="Times New Roman" w:eastAsia="Times New Roman" w:hAnsi="Times New Roman" w:cs="Times New Roman"/>
        </w:rPr>
        <w:t> </w:t>
      </w:r>
      <w:r w:rsidRPr="00B7400F">
        <w:rPr>
          <w:rFonts w:ascii="Times New Roman" w:eastAsia="Times New Roman" w:hAnsi="Times New Roman" w:cs="Times New Roman"/>
        </w:rPr>
        <w:t>héten át tartó, multicentrikus, multinacionális, prospektív, randomizált, kettős</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vak, párhuzamos csoportos klinikai vizsgálat volt. 136</w:t>
      </w:r>
      <w:r w:rsidR="006C14B7">
        <w:rPr>
          <w:rFonts w:ascii="Times New Roman" w:eastAsia="Times New Roman" w:hAnsi="Times New Roman" w:cs="Times New Roman"/>
        </w:rPr>
        <w:t> </w:t>
      </w:r>
      <w:r w:rsidRPr="00B7400F">
        <w:rPr>
          <w:rFonts w:ascii="Times New Roman" w:eastAsia="Times New Roman" w:hAnsi="Times New Roman" w:cs="Times New Roman"/>
        </w:rPr>
        <w:t xml:space="preserve">beteget kezeltek </w:t>
      </w:r>
      <w:r>
        <w:rPr>
          <w:rFonts w:ascii="Times New Roman" w:eastAsia="Times New Roman" w:hAnsi="Times New Roman" w:cs="Times New Roman"/>
        </w:rPr>
        <w:t>nintedanib</w:t>
      </w:r>
      <w:r w:rsidRPr="00B7400F">
        <w:rPr>
          <w:rFonts w:ascii="Times New Roman" w:eastAsia="Times New Roman" w:hAnsi="Times New Roman" w:cs="Times New Roman"/>
        </w:rPr>
        <w:t xml:space="preserve"> monoterápiával. Az</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elsődleges végpont eredménye a Saint George’s Respiratory Questionnaire (SGRQ)</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összpontszámának –0,77</w:t>
      </w:r>
      <w:r w:rsidR="006C14B7">
        <w:rPr>
          <w:rFonts w:ascii="Times New Roman" w:eastAsia="Times New Roman" w:hAnsi="Times New Roman" w:cs="Times New Roman"/>
        </w:rPr>
        <w:t> </w:t>
      </w:r>
      <w:r w:rsidRPr="00B7400F">
        <w:rPr>
          <w:rFonts w:ascii="Times New Roman" w:eastAsia="Times New Roman" w:hAnsi="Times New Roman" w:cs="Times New Roman"/>
        </w:rPr>
        <w:t>egységgel történő csökkenését jelezte a 12. héten, a korrigált átlag</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kiindulástól számított abszolút változása alapján. Egy post hoc összehasonlítás kimutatta, hogy e</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betegeknél az FVC csökkenése megfelelt a III. fázisú INPULSIS vizsgálatokban kevésbé előrehaladott</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betegségben szenvedő és nintedanibbal kezelt betegek FVC csökkenésének.</w:t>
      </w:r>
    </w:p>
    <w:p w14:paraId="3B144FCF" w14:textId="17EB15FB" w:rsidR="00B7400F" w:rsidRPr="00B7400F"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A</w:t>
      </w:r>
      <w:r>
        <w:rPr>
          <w:rFonts w:ascii="Times New Roman" w:eastAsia="Times New Roman" w:hAnsi="Times New Roman" w:cs="Times New Roman"/>
        </w:rPr>
        <w:t xml:space="preserve"> nintedanib</w:t>
      </w:r>
      <w:r w:rsidRPr="00B7400F">
        <w:rPr>
          <w:rFonts w:ascii="Times New Roman" w:eastAsia="Times New Roman" w:hAnsi="Times New Roman" w:cs="Times New Roman"/>
        </w:rPr>
        <w:t xml:space="preserve"> biztonságossági és tolerálhatósági profilja előrehaladott tüdőfunkció-károsodásban szenvedő</w:t>
      </w:r>
      <w:r>
        <w:rPr>
          <w:rFonts w:ascii="Times New Roman" w:eastAsia="Times New Roman" w:hAnsi="Times New Roman" w:cs="Times New Roman"/>
        </w:rPr>
        <w:t xml:space="preserve"> </w:t>
      </w:r>
      <w:r w:rsidRPr="00B7400F">
        <w:rPr>
          <w:rFonts w:ascii="Times New Roman" w:eastAsia="Times New Roman" w:hAnsi="Times New Roman" w:cs="Times New Roman"/>
        </w:rPr>
        <w:t>IPF-es betegeknél megfelelt a III. fázisú INPULSIS vizsgálatokban megfigyeltekkel.</w:t>
      </w:r>
    </w:p>
    <w:p w14:paraId="79C2BFA0" w14:textId="77777777" w:rsidR="00B7400F" w:rsidRDefault="00B7400F" w:rsidP="00B7400F">
      <w:pPr>
        <w:rPr>
          <w:rFonts w:ascii="Times New Roman" w:eastAsia="Times New Roman" w:hAnsi="Times New Roman" w:cs="Times New Roman"/>
          <w:i/>
          <w:iCs/>
          <w:u w:val="single"/>
        </w:rPr>
      </w:pPr>
    </w:p>
    <w:p w14:paraId="4F043F50" w14:textId="4FD979DC" w:rsidR="00B7400F" w:rsidRPr="00B7400F" w:rsidRDefault="00B7400F" w:rsidP="00B7400F">
      <w:pPr>
        <w:rPr>
          <w:rFonts w:ascii="Times New Roman" w:eastAsia="Times New Roman" w:hAnsi="Times New Roman" w:cs="Times New Roman"/>
          <w:i/>
          <w:iCs/>
          <w:u w:val="single"/>
        </w:rPr>
      </w:pPr>
      <w:r w:rsidRPr="00FB43C7">
        <w:rPr>
          <w:rFonts w:ascii="Times New Roman" w:eastAsia="Times New Roman" w:hAnsi="Times New Roman" w:cs="Times New Roman"/>
          <w:i/>
          <w:iCs/>
          <w:u w:val="single"/>
        </w:rPr>
        <w:t>A IV. fázisú INJOURNEY elnevezésű, napi 2×150</w:t>
      </w:r>
      <w:r w:rsidR="002C4C4C">
        <w:rPr>
          <w:rFonts w:ascii="Times New Roman" w:eastAsia="Times New Roman" w:hAnsi="Times New Roman" w:cs="Times New Roman"/>
          <w:i/>
          <w:iCs/>
          <w:u w:val="single"/>
        </w:rPr>
        <w:t> </w:t>
      </w:r>
      <w:r w:rsidRPr="00FB43C7">
        <w:rPr>
          <w:rFonts w:ascii="Times New Roman" w:eastAsia="Times New Roman" w:hAnsi="Times New Roman" w:cs="Times New Roman"/>
          <w:i/>
          <w:iCs/>
          <w:u w:val="single"/>
        </w:rPr>
        <w:t>mg nintedanib és hozzáadott pirfenidon 12</w:t>
      </w:r>
      <w:r w:rsidR="00801A28">
        <w:rPr>
          <w:rFonts w:ascii="Times New Roman" w:eastAsia="Times New Roman" w:hAnsi="Times New Roman" w:cs="Times New Roman"/>
          <w:i/>
          <w:iCs/>
          <w:u w:val="single"/>
        </w:rPr>
        <w:t> </w:t>
      </w:r>
      <w:r w:rsidRPr="00FB43C7">
        <w:rPr>
          <w:rFonts w:ascii="Times New Roman" w:eastAsia="Times New Roman" w:hAnsi="Times New Roman" w:cs="Times New Roman"/>
          <w:i/>
          <w:iCs/>
          <w:u w:val="single"/>
        </w:rPr>
        <w:t>héten át</w:t>
      </w:r>
      <w:r w:rsidR="008B5F17" w:rsidRPr="00FB43C7">
        <w:rPr>
          <w:rFonts w:ascii="Times New Roman" w:eastAsia="Times New Roman" w:hAnsi="Times New Roman" w:cs="Times New Roman"/>
          <w:i/>
          <w:iCs/>
          <w:u w:val="single"/>
        </w:rPr>
        <w:t xml:space="preserve"> </w:t>
      </w:r>
      <w:r w:rsidRPr="00FB43C7">
        <w:rPr>
          <w:rFonts w:ascii="Times New Roman" w:eastAsia="Times New Roman" w:hAnsi="Times New Roman" w:cs="Times New Roman"/>
          <w:i/>
          <w:iCs/>
          <w:u w:val="single"/>
        </w:rPr>
        <w:t xml:space="preserve">történő </w:t>
      </w:r>
      <w:r w:rsidRPr="009F2667">
        <w:rPr>
          <w:rFonts w:ascii="Times New Roman" w:eastAsia="Times New Roman" w:hAnsi="Times New Roman" w:cs="Times New Roman"/>
          <w:i/>
          <w:iCs/>
          <w:u w:val="single"/>
        </w:rPr>
        <w:t>alkalmazásával végzett vizsgálatból származó további adatok</w:t>
      </w:r>
      <w:r w:rsidR="008B5F17">
        <w:rPr>
          <w:rFonts w:ascii="Times New Roman" w:eastAsia="Times New Roman" w:hAnsi="Times New Roman" w:cs="Times New Roman"/>
          <w:i/>
          <w:iCs/>
          <w:u w:val="single"/>
        </w:rPr>
        <w:t xml:space="preserve"> </w:t>
      </w:r>
    </w:p>
    <w:p w14:paraId="65B4E7D2" w14:textId="71E7C898" w:rsidR="00B74070"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A nintedanib és pirfenidon egyidejű alkalmazását egy korai fázisú, nyílt, randomizált, vizsgálatban</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értékelték, amelyben 105 beteg részvételével 12</w:t>
      </w:r>
      <w:r w:rsidR="00801A28">
        <w:rPr>
          <w:rFonts w:ascii="Times New Roman" w:eastAsia="Times New Roman" w:hAnsi="Times New Roman" w:cs="Times New Roman"/>
        </w:rPr>
        <w:t> </w:t>
      </w:r>
      <w:r w:rsidRPr="00B7400F">
        <w:rPr>
          <w:rFonts w:ascii="Times New Roman" w:eastAsia="Times New Roman" w:hAnsi="Times New Roman" w:cs="Times New Roman"/>
        </w:rPr>
        <w:t xml:space="preserve">héten át </w:t>
      </w:r>
      <w:r w:rsidR="00964202">
        <w:rPr>
          <w:rFonts w:ascii="Times New Roman" w:eastAsia="Times New Roman" w:hAnsi="Times New Roman" w:cs="Times New Roman"/>
        </w:rPr>
        <w:t xml:space="preserve">nintedanib </w:t>
      </w:r>
      <w:r w:rsidRPr="00B7400F">
        <w:rPr>
          <w:rFonts w:ascii="Times New Roman" w:eastAsia="Times New Roman" w:hAnsi="Times New Roman" w:cs="Times New Roman"/>
        </w:rPr>
        <w:t>napi 2×150</w:t>
      </w:r>
      <w:r w:rsidR="002C4C4C">
        <w:rPr>
          <w:rFonts w:ascii="Times New Roman" w:eastAsia="Times New Roman" w:hAnsi="Times New Roman" w:cs="Times New Roman"/>
        </w:rPr>
        <w:t> </w:t>
      </w:r>
      <w:r w:rsidRPr="00B7400F">
        <w:rPr>
          <w:rFonts w:ascii="Times New Roman" w:eastAsia="Times New Roman" w:hAnsi="Times New Roman" w:cs="Times New Roman"/>
        </w:rPr>
        <w:t>mg és pirfenidon (napi</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3×801</w:t>
      </w:r>
      <w:r w:rsidR="002C4C4C">
        <w:rPr>
          <w:rFonts w:ascii="Times New Roman" w:eastAsia="Times New Roman" w:hAnsi="Times New Roman" w:cs="Times New Roman"/>
        </w:rPr>
        <w:t> </w:t>
      </w:r>
      <w:r w:rsidRPr="00B7400F">
        <w:rPr>
          <w:rFonts w:ascii="Times New Roman" w:eastAsia="Times New Roman" w:hAnsi="Times New Roman" w:cs="Times New Roman"/>
        </w:rPr>
        <w:t>mg-ig emelve) kombinációját hasonlították össze az önmagában adott napi 2×150</w:t>
      </w:r>
      <w:r w:rsidR="002C4C4C">
        <w:rPr>
          <w:rFonts w:ascii="Times New Roman" w:eastAsia="Times New Roman" w:hAnsi="Times New Roman" w:cs="Times New Roman"/>
        </w:rPr>
        <w:t> </w:t>
      </w:r>
      <w:r w:rsidRPr="00B7400F">
        <w:rPr>
          <w:rFonts w:ascii="Times New Roman" w:eastAsia="Times New Roman" w:hAnsi="Times New Roman" w:cs="Times New Roman"/>
        </w:rPr>
        <w:t>mg</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nintedanibbal. Az elsőd</w:t>
      </w:r>
      <w:r w:rsidR="00964202">
        <w:rPr>
          <w:rFonts w:ascii="Times New Roman" w:eastAsia="Times New Roman" w:hAnsi="Times New Roman" w:cs="Times New Roman"/>
        </w:rPr>
        <w:t>leg</w:t>
      </w:r>
      <w:r w:rsidRPr="00B7400F">
        <w:rPr>
          <w:rFonts w:ascii="Times New Roman" w:eastAsia="Times New Roman" w:hAnsi="Times New Roman" w:cs="Times New Roman"/>
        </w:rPr>
        <w:t>es végpont a gasztrointesztinális nemkívánatos eseményeket tapasztaló</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betegek százalékos aránya volt a kiindulástól számított 12.</w:t>
      </w:r>
      <w:r w:rsidR="00803CAE">
        <w:rPr>
          <w:rFonts w:ascii="Times New Roman" w:eastAsia="Times New Roman" w:hAnsi="Times New Roman" w:cs="Times New Roman"/>
        </w:rPr>
        <w:t> </w:t>
      </w:r>
      <w:r w:rsidRPr="00B7400F">
        <w:rPr>
          <w:rFonts w:ascii="Times New Roman" w:eastAsia="Times New Roman" w:hAnsi="Times New Roman" w:cs="Times New Roman"/>
        </w:rPr>
        <w:t>héten. A gastrointestinalis nemkívánatos</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események gyakoriak voltak, és az egyes elemei korábban leírt biztonságossági profiljával egyezést</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mutattak. A hasmenés, hányinger és hányás voltak a leggyakoribb nemkívánatos események a</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nintedanib és pirfenidon kombináció esetén az önmagában adott nintedanibhoz képest.</w:t>
      </w:r>
    </w:p>
    <w:p w14:paraId="52AC587C" w14:textId="3C4F26E9" w:rsidR="00B74070"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Az FVC kiindulási állapottól a 12.</w:t>
      </w:r>
      <w:r w:rsidR="00803CAE">
        <w:rPr>
          <w:rFonts w:ascii="Times New Roman" w:eastAsia="Times New Roman" w:hAnsi="Times New Roman" w:cs="Times New Roman"/>
        </w:rPr>
        <w:t> </w:t>
      </w:r>
      <w:r w:rsidRPr="00B7400F">
        <w:rPr>
          <w:rFonts w:ascii="Times New Roman" w:eastAsia="Times New Roman" w:hAnsi="Times New Roman" w:cs="Times New Roman"/>
        </w:rPr>
        <w:t>hétig tapasztalt abszolút változásainak középértéke (standard</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hibával) -13,3 (17,4)</w:t>
      </w:r>
      <w:r w:rsidR="00803CAE">
        <w:rPr>
          <w:rFonts w:ascii="Times New Roman" w:eastAsia="Times New Roman" w:hAnsi="Times New Roman" w:cs="Times New Roman"/>
        </w:rPr>
        <w:t> </w:t>
      </w:r>
      <w:r w:rsidRPr="00B7400F">
        <w:rPr>
          <w:rFonts w:ascii="Times New Roman" w:eastAsia="Times New Roman" w:hAnsi="Times New Roman" w:cs="Times New Roman"/>
        </w:rPr>
        <w:t>ml volt a nintedanib és pirfenidon együttes adásakor (n=48), míg -40,9 (31,4)</w:t>
      </w:r>
      <w:r w:rsidR="00803CAE">
        <w:rPr>
          <w:rFonts w:ascii="Times New Roman" w:eastAsia="Times New Roman" w:hAnsi="Times New Roman" w:cs="Times New Roman"/>
        </w:rPr>
        <w:t> </w:t>
      </w:r>
      <w:r w:rsidRPr="00B7400F">
        <w:rPr>
          <w:rFonts w:ascii="Times New Roman" w:eastAsia="Times New Roman" w:hAnsi="Times New Roman" w:cs="Times New Roman"/>
        </w:rPr>
        <w:t>ml</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volt a csak nintedanibbal kezelteknél (n=44).</w:t>
      </w:r>
    </w:p>
    <w:p w14:paraId="6F8A14E0" w14:textId="77777777" w:rsidR="00B74070" w:rsidRDefault="00B74070" w:rsidP="009106D9">
      <w:pPr>
        <w:rPr>
          <w:rFonts w:ascii="Times New Roman" w:eastAsia="Times New Roman" w:hAnsi="Times New Roman" w:cs="Times New Roman"/>
        </w:rPr>
      </w:pPr>
    </w:p>
    <w:p w14:paraId="7394FFAD" w14:textId="77777777" w:rsidR="00B7400F" w:rsidRPr="00B7400F" w:rsidRDefault="00B7400F" w:rsidP="00B7400F">
      <w:pPr>
        <w:rPr>
          <w:rFonts w:ascii="Times New Roman" w:eastAsia="Times New Roman" w:hAnsi="Times New Roman" w:cs="Times New Roman"/>
          <w:i/>
          <w:iCs/>
        </w:rPr>
      </w:pPr>
      <w:r w:rsidRPr="00B7400F">
        <w:rPr>
          <w:rFonts w:ascii="Times New Roman" w:eastAsia="Times New Roman" w:hAnsi="Times New Roman" w:cs="Times New Roman"/>
          <w:i/>
          <w:iCs/>
        </w:rPr>
        <w:t>Egyéb, progresszív fenotípusú, krónikus fibrotizáló interstitialis tüdőbetegségek (ILD-k)</w:t>
      </w:r>
    </w:p>
    <w:p w14:paraId="4299FA6A" w14:textId="43949089" w:rsidR="00B7400F" w:rsidRPr="00B7400F"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 xml:space="preserve">A </w:t>
      </w:r>
      <w:r>
        <w:rPr>
          <w:rFonts w:ascii="Times New Roman" w:eastAsia="Times New Roman" w:hAnsi="Times New Roman" w:cs="Times New Roman"/>
        </w:rPr>
        <w:t>nintedanib</w:t>
      </w:r>
      <w:r w:rsidRPr="00B7400F">
        <w:rPr>
          <w:rFonts w:ascii="Times New Roman" w:eastAsia="Times New Roman" w:hAnsi="Times New Roman" w:cs="Times New Roman"/>
        </w:rPr>
        <w:t xml:space="preserve"> klinikai hatásosságát egyéb, progresszív fenotípusú, krónikus fibroticus ILD-k esetében egy</w:t>
      </w:r>
      <w:r>
        <w:rPr>
          <w:rFonts w:ascii="Times New Roman" w:eastAsia="Times New Roman" w:hAnsi="Times New Roman" w:cs="Times New Roman"/>
        </w:rPr>
        <w:t xml:space="preserve"> </w:t>
      </w:r>
      <w:r w:rsidRPr="00B7400F">
        <w:rPr>
          <w:rFonts w:ascii="Times New Roman" w:eastAsia="Times New Roman" w:hAnsi="Times New Roman" w:cs="Times New Roman"/>
        </w:rPr>
        <w:t>kettős vak, placebokontrollos, III. fázisú klinikai vizsgálatban (INBUILD) vizsgálták. Az IPF-ben</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szenvedő betegeket kizárták a vizsgálatból. Azokat a krónikus fibroticus ILD-kben szenvedő betegeket</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választották be, akiknél a nagy felbontású mellkas komputertomográfiás (HRCT) vizsgálat</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segítségével észlelt fibrózis jelentős mértékű (a fibrotikus képletek meghaladják a 10%-ot), és a</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progresszió klinikai jeleit mutatták (definíció szerint: ≥10% FVC-csökkenés, ≥5% – &lt;10%</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FVC-csökkenés romló tünetekkel vagy képalkotó vizsgálati eredményekkel, vagy romló tünetek és</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 xml:space="preserve">romló </w:t>
      </w:r>
      <w:r w:rsidRPr="00B7400F">
        <w:rPr>
          <w:rFonts w:ascii="Times New Roman" w:eastAsia="Times New Roman" w:hAnsi="Times New Roman" w:cs="Times New Roman"/>
        </w:rPr>
        <w:lastRenderedPageBreak/>
        <w:t>képalkotó vizsgálati eredmények a szűrést megelőző 24</w:t>
      </w:r>
      <w:r w:rsidR="00801A28">
        <w:rPr>
          <w:rFonts w:ascii="Times New Roman" w:eastAsia="Times New Roman" w:hAnsi="Times New Roman" w:cs="Times New Roman"/>
        </w:rPr>
        <w:t> </w:t>
      </w:r>
      <w:r w:rsidRPr="00B7400F">
        <w:rPr>
          <w:rFonts w:ascii="Times New Roman" w:eastAsia="Times New Roman" w:hAnsi="Times New Roman" w:cs="Times New Roman"/>
        </w:rPr>
        <w:t>hónapban). Feltétel volt még, hogy a</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 xml:space="preserve">betegek FVC-értéke a várt érték legalább 45%-a </w:t>
      </w:r>
      <w:r w:rsidRPr="00580B0B">
        <w:rPr>
          <w:rFonts w:ascii="Times New Roman" w:eastAsia="Times New Roman" w:hAnsi="Times New Roman" w:cs="Times New Roman"/>
        </w:rPr>
        <w:t xml:space="preserve">legyen, </w:t>
      </w:r>
      <w:r w:rsidR="00580B0B" w:rsidRPr="00580B0B">
        <w:rPr>
          <w:rFonts w:ascii="Times New Roman" w:hAnsi="Times New Roman" w:cs="Times New Roman"/>
          <w:spacing w:val="-1"/>
          <w:lang w:val="hu-HU"/>
        </w:rPr>
        <w:t>ill.</w:t>
      </w:r>
      <w:r w:rsidRPr="00580B0B">
        <w:rPr>
          <w:rFonts w:ascii="Times New Roman" w:eastAsia="Times New Roman" w:hAnsi="Times New Roman" w:cs="Times New Roman"/>
        </w:rPr>
        <w:t xml:space="preserve"> a DLCO</w:t>
      </w:r>
      <w:r w:rsidRPr="00B7400F">
        <w:rPr>
          <w:rFonts w:ascii="Times New Roman" w:eastAsia="Times New Roman" w:hAnsi="Times New Roman" w:cs="Times New Roman"/>
        </w:rPr>
        <w:t xml:space="preserve"> értéke a várt érték ≥30%-a és</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&lt;80%-a közé essen. Szintén feltétel volt a betegek progressziója, a klinikai gyakorlat alapján a beteg</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releváns ILD-jének megfelelő kezelése ellenére.</w:t>
      </w:r>
    </w:p>
    <w:p w14:paraId="0E29B02A" w14:textId="77777777" w:rsidR="00B7400F" w:rsidRDefault="00B7400F" w:rsidP="00B7400F">
      <w:pPr>
        <w:rPr>
          <w:rFonts w:ascii="Times New Roman" w:eastAsia="Times New Roman" w:hAnsi="Times New Roman" w:cs="Times New Roman"/>
        </w:rPr>
      </w:pPr>
    </w:p>
    <w:p w14:paraId="2EAD0AAA" w14:textId="113DBB4B" w:rsidR="004B7455"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Összesen 663</w:t>
      </w:r>
      <w:r w:rsidR="0076116E">
        <w:rPr>
          <w:rFonts w:ascii="Times New Roman" w:eastAsia="Times New Roman" w:hAnsi="Times New Roman" w:cs="Times New Roman"/>
        </w:rPr>
        <w:t> </w:t>
      </w:r>
      <w:r w:rsidRPr="00B7400F">
        <w:rPr>
          <w:rFonts w:ascii="Times New Roman" w:eastAsia="Times New Roman" w:hAnsi="Times New Roman" w:cs="Times New Roman"/>
        </w:rPr>
        <w:t>beteget randomizáltak 1:1 arányban a legalább 52</w:t>
      </w:r>
      <w:r w:rsidR="0076116E">
        <w:rPr>
          <w:rFonts w:ascii="Times New Roman" w:eastAsia="Times New Roman" w:hAnsi="Times New Roman" w:cs="Times New Roman"/>
        </w:rPr>
        <w:t> </w:t>
      </w:r>
      <w:r w:rsidRPr="00B7400F">
        <w:rPr>
          <w:rFonts w:ascii="Times New Roman" w:eastAsia="Times New Roman" w:hAnsi="Times New Roman" w:cs="Times New Roman"/>
        </w:rPr>
        <w:t>hétig naponta kétszer 150</w:t>
      </w:r>
      <w:r w:rsidR="0076116E">
        <w:rPr>
          <w:rFonts w:ascii="Times New Roman" w:eastAsia="Times New Roman" w:hAnsi="Times New Roman" w:cs="Times New Roman"/>
        </w:rPr>
        <w:t> </w:t>
      </w:r>
      <w:r w:rsidRPr="00B7400F">
        <w:rPr>
          <w:rFonts w:ascii="Times New Roman" w:eastAsia="Times New Roman" w:hAnsi="Times New Roman" w:cs="Times New Roman"/>
        </w:rPr>
        <w:t xml:space="preserve">mg </w:t>
      </w:r>
      <w:r>
        <w:rPr>
          <w:rFonts w:ascii="Times New Roman" w:eastAsia="Times New Roman" w:hAnsi="Times New Roman" w:cs="Times New Roman"/>
        </w:rPr>
        <w:t>nintedanibo</w:t>
      </w:r>
      <w:r w:rsidRPr="00B7400F">
        <w:rPr>
          <w:rFonts w:ascii="Times New Roman" w:eastAsia="Times New Roman" w:hAnsi="Times New Roman" w:cs="Times New Roman"/>
        </w:rPr>
        <w:t>t</w:t>
      </w:r>
      <w:r>
        <w:rPr>
          <w:rFonts w:ascii="Times New Roman" w:eastAsia="Times New Roman" w:hAnsi="Times New Roman" w:cs="Times New Roman"/>
        </w:rPr>
        <w:t xml:space="preserve"> </w:t>
      </w:r>
      <w:r w:rsidRPr="00B7400F">
        <w:rPr>
          <w:rFonts w:ascii="Times New Roman" w:eastAsia="Times New Roman" w:hAnsi="Times New Roman" w:cs="Times New Roman"/>
        </w:rPr>
        <w:t xml:space="preserve">vagy placebót kapó csoportokba. A medián </w:t>
      </w:r>
      <w:r>
        <w:rPr>
          <w:rFonts w:ascii="Times New Roman" w:eastAsia="Times New Roman" w:hAnsi="Times New Roman" w:cs="Times New Roman"/>
        </w:rPr>
        <w:t>nintedanib</w:t>
      </w:r>
      <w:r w:rsidRPr="00B7400F">
        <w:rPr>
          <w:rFonts w:ascii="Times New Roman" w:eastAsia="Times New Roman" w:hAnsi="Times New Roman" w:cs="Times New Roman"/>
        </w:rPr>
        <w:t>-kitettség a teljes vizsgálat során 17,4</w:t>
      </w:r>
      <w:r w:rsidR="0076116E">
        <w:rPr>
          <w:rFonts w:ascii="Times New Roman" w:eastAsia="Times New Roman" w:hAnsi="Times New Roman" w:cs="Times New Roman"/>
        </w:rPr>
        <w:t> </w:t>
      </w:r>
      <w:r w:rsidRPr="00B7400F">
        <w:rPr>
          <w:rFonts w:ascii="Times New Roman" w:eastAsia="Times New Roman" w:hAnsi="Times New Roman" w:cs="Times New Roman"/>
        </w:rPr>
        <w:t>hónap, az átlag</w:t>
      </w:r>
      <w:r w:rsidR="004B7455">
        <w:rPr>
          <w:rFonts w:ascii="Times New Roman" w:eastAsia="Times New Roman" w:hAnsi="Times New Roman" w:cs="Times New Roman"/>
        </w:rPr>
        <w:t xml:space="preserve"> </w:t>
      </w:r>
      <w:r>
        <w:rPr>
          <w:rFonts w:ascii="Times New Roman" w:eastAsia="Times New Roman" w:hAnsi="Times New Roman" w:cs="Times New Roman"/>
        </w:rPr>
        <w:t>nintedanib</w:t>
      </w:r>
      <w:r w:rsidRPr="00B7400F">
        <w:rPr>
          <w:rFonts w:ascii="Times New Roman" w:eastAsia="Times New Roman" w:hAnsi="Times New Roman" w:cs="Times New Roman"/>
        </w:rPr>
        <w:t>-kitettség a teljes vizsgálat során pedig 15,6</w:t>
      </w:r>
      <w:r w:rsidR="0076116E">
        <w:rPr>
          <w:rFonts w:ascii="Times New Roman" w:eastAsia="Times New Roman" w:hAnsi="Times New Roman" w:cs="Times New Roman"/>
        </w:rPr>
        <w:t> </w:t>
      </w:r>
      <w:r w:rsidRPr="00B7400F">
        <w:rPr>
          <w:rFonts w:ascii="Times New Roman" w:eastAsia="Times New Roman" w:hAnsi="Times New Roman" w:cs="Times New Roman"/>
        </w:rPr>
        <w:t>hónap volt. A randomizáció rétegzése a</w:t>
      </w:r>
      <w:r w:rsidR="004B7455">
        <w:rPr>
          <w:rFonts w:ascii="Times New Roman" w:eastAsia="Times New Roman" w:hAnsi="Times New Roman" w:cs="Times New Roman"/>
        </w:rPr>
        <w:t xml:space="preserve"> </w:t>
      </w:r>
      <w:r w:rsidRPr="00B7400F">
        <w:rPr>
          <w:rFonts w:ascii="Times New Roman" w:eastAsia="Times New Roman" w:hAnsi="Times New Roman" w:cs="Times New Roman"/>
        </w:rPr>
        <w:t>HRCT-vizsgálaton megfigyelt fibroticus mintázat alapján történt központi értékelés szerint. A HRCT</w:t>
      </w:r>
      <w:r w:rsidR="004B7455">
        <w:rPr>
          <w:rFonts w:ascii="Times New Roman" w:eastAsia="Times New Roman" w:hAnsi="Times New Roman" w:cs="Times New Roman"/>
        </w:rPr>
        <w:t xml:space="preserve"> </w:t>
      </w:r>
      <w:r w:rsidRPr="00B7400F">
        <w:rPr>
          <w:rFonts w:ascii="Times New Roman" w:eastAsia="Times New Roman" w:hAnsi="Times New Roman" w:cs="Times New Roman"/>
        </w:rPr>
        <w:t>alapján szokványos interstitialis pneumoniára (UIP) jellemző fibroticus mintázattal rendelkező</w:t>
      </w:r>
      <w:r w:rsidR="004B7455">
        <w:rPr>
          <w:rFonts w:ascii="Times New Roman" w:eastAsia="Times New Roman" w:hAnsi="Times New Roman" w:cs="Times New Roman"/>
        </w:rPr>
        <w:t xml:space="preserve"> </w:t>
      </w:r>
      <w:r w:rsidRPr="00B7400F">
        <w:rPr>
          <w:rFonts w:ascii="Times New Roman" w:eastAsia="Times New Roman" w:hAnsi="Times New Roman" w:cs="Times New Roman"/>
        </w:rPr>
        <w:t>412</w:t>
      </w:r>
      <w:r w:rsidR="0076116E">
        <w:rPr>
          <w:rFonts w:ascii="Times New Roman" w:eastAsia="Times New Roman" w:hAnsi="Times New Roman" w:cs="Times New Roman"/>
        </w:rPr>
        <w:t> </w:t>
      </w:r>
      <w:r w:rsidRPr="00B7400F">
        <w:rPr>
          <w:rFonts w:ascii="Times New Roman" w:eastAsia="Times New Roman" w:hAnsi="Times New Roman" w:cs="Times New Roman"/>
        </w:rPr>
        <w:t xml:space="preserve">beteget, </w:t>
      </w:r>
      <w:r w:rsidR="00580B0B" w:rsidRPr="00580B0B">
        <w:rPr>
          <w:rFonts w:ascii="Times New Roman" w:eastAsia="Times New Roman" w:hAnsi="Times New Roman" w:cs="Times New Roman"/>
        </w:rPr>
        <w:t>ill</w:t>
      </w:r>
      <w:r w:rsidR="00801A28">
        <w:rPr>
          <w:rFonts w:ascii="Times New Roman" w:eastAsia="Times New Roman" w:hAnsi="Times New Roman" w:cs="Times New Roman"/>
        </w:rPr>
        <w:t>.</w:t>
      </w:r>
      <w:r w:rsidRPr="00B7400F">
        <w:rPr>
          <w:rFonts w:ascii="Times New Roman" w:eastAsia="Times New Roman" w:hAnsi="Times New Roman" w:cs="Times New Roman"/>
        </w:rPr>
        <w:t xml:space="preserve"> a HRCT alapján egyéb fibroticus mintázattal rendelkező 251</w:t>
      </w:r>
      <w:r w:rsidR="00801A28">
        <w:rPr>
          <w:rFonts w:ascii="Times New Roman" w:eastAsia="Times New Roman" w:hAnsi="Times New Roman" w:cs="Times New Roman"/>
        </w:rPr>
        <w:t> </w:t>
      </w:r>
      <w:r w:rsidRPr="00B7400F">
        <w:rPr>
          <w:rFonts w:ascii="Times New Roman" w:eastAsia="Times New Roman" w:hAnsi="Times New Roman" w:cs="Times New Roman"/>
        </w:rPr>
        <w:t>beteget</w:t>
      </w:r>
      <w:r w:rsidR="004B7455">
        <w:rPr>
          <w:rFonts w:ascii="Times New Roman" w:eastAsia="Times New Roman" w:hAnsi="Times New Roman" w:cs="Times New Roman"/>
        </w:rPr>
        <w:t xml:space="preserve"> </w:t>
      </w:r>
      <w:r w:rsidRPr="00B7400F">
        <w:rPr>
          <w:rFonts w:ascii="Times New Roman" w:eastAsia="Times New Roman" w:hAnsi="Times New Roman" w:cs="Times New Roman"/>
        </w:rPr>
        <w:t>randomizálták. Ebben a vizsgálatban 2</w:t>
      </w:r>
      <w:r w:rsidR="00801A28">
        <w:rPr>
          <w:rFonts w:ascii="Times New Roman" w:eastAsia="Times New Roman" w:hAnsi="Times New Roman" w:cs="Times New Roman"/>
        </w:rPr>
        <w:t> </w:t>
      </w:r>
      <w:r w:rsidRPr="00B7400F">
        <w:rPr>
          <w:rFonts w:ascii="Times New Roman" w:eastAsia="Times New Roman" w:hAnsi="Times New Roman" w:cs="Times New Roman"/>
        </w:rPr>
        <w:t>primer populációpárt határoztak meg: valamennyi beteg (a</w:t>
      </w:r>
      <w:r w:rsidR="004B7455">
        <w:rPr>
          <w:rFonts w:ascii="Times New Roman" w:eastAsia="Times New Roman" w:hAnsi="Times New Roman" w:cs="Times New Roman"/>
        </w:rPr>
        <w:t xml:space="preserve"> </w:t>
      </w:r>
      <w:r w:rsidRPr="00B7400F">
        <w:rPr>
          <w:rFonts w:ascii="Times New Roman" w:eastAsia="Times New Roman" w:hAnsi="Times New Roman" w:cs="Times New Roman"/>
        </w:rPr>
        <w:t>teljes populáció), valamint a HRCT alapján UIP-re jellemző fibroticus mintázatot mutató betegek. A</w:t>
      </w:r>
      <w:r w:rsidR="004B7455">
        <w:rPr>
          <w:rFonts w:ascii="Times New Roman" w:eastAsia="Times New Roman" w:hAnsi="Times New Roman" w:cs="Times New Roman"/>
        </w:rPr>
        <w:t xml:space="preserve"> </w:t>
      </w:r>
      <w:r w:rsidRPr="00B7400F">
        <w:rPr>
          <w:rFonts w:ascii="Times New Roman" w:eastAsia="Times New Roman" w:hAnsi="Times New Roman" w:cs="Times New Roman"/>
        </w:rPr>
        <w:t>HRCT alapján egyéb fibroticus mintázatot mutató betegek képezték a „komplementer” populációt.</w:t>
      </w:r>
      <w:r w:rsidR="004B7455">
        <w:rPr>
          <w:rFonts w:ascii="Times New Roman" w:eastAsia="Times New Roman" w:hAnsi="Times New Roman" w:cs="Times New Roman"/>
        </w:rPr>
        <w:t xml:space="preserve"> </w:t>
      </w:r>
    </w:p>
    <w:p w14:paraId="64E5B13C" w14:textId="6276A8BD" w:rsidR="004B7455"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Az elsődleges végpont az erőltetett vitálkapacitás (FVC) csökkenésének éves üteme (ml) volt 52</w:t>
      </w:r>
      <w:r w:rsidR="00801A28">
        <w:rPr>
          <w:rFonts w:ascii="Times New Roman" w:eastAsia="Times New Roman" w:hAnsi="Times New Roman" w:cs="Times New Roman"/>
        </w:rPr>
        <w:t> </w:t>
      </w:r>
      <w:r w:rsidRPr="00B7400F">
        <w:rPr>
          <w:rFonts w:ascii="Times New Roman" w:eastAsia="Times New Roman" w:hAnsi="Times New Roman" w:cs="Times New Roman"/>
        </w:rPr>
        <w:t>hét</w:t>
      </w:r>
      <w:r w:rsidR="004B7455">
        <w:rPr>
          <w:rFonts w:ascii="Times New Roman" w:eastAsia="Times New Roman" w:hAnsi="Times New Roman" w:cs="Times New Roman"/>
        </w:rPr>
        <w:t xml:space="preserve"> </w:t>
      </w:r>
      <w:r w:rsidRPr="00B7400F">
        <w:rPr>
          <w:rFonts w:ascii="Times New Roman" w:eastAsia="Times New Roman" w:hAnsi="Times New Roman" w:cs="Times New Roman"/>
        </w:rPr>
        <w:t>alatt. A fő másodlagos végpontok a King's Brief Interstitial Lung Disease Questionnaire (K-BILD)</w:t>
      </w:r>
      <w:r w:rsidR="004B7455">
        <w:rPr>
          <w:rFonts w:ascii="Times New Roman" w:eastAsia="Times New Roman" w:hAnsi="Times New Roman" w:cs="Times New Roman"/>
        </w:rPr>
        <w:t xml:space="preserve"> </w:t>
      </w:r>
      <w:r w:rsidRPr="00B7400F">
        <w:rPr>
          <w:rFonts w:ascii="Times New Roman" w:eastAsia="Times New Roman" w:hAnsi="Times New Roman" w:cs="Times New Roman"/>
        </w:rPr>
        <w:t>kérdőív összpontszámában a kiindulási értékhez képest az 52.</w:t>
      </w:r>
      <w:r w:rsidR="009D2F76">
        <w:rPr>
          <w:rFonts w:ascii="Times New Roman" w:eastAsia="Times New Roman" w:hAnsi="Times New Roman" w:cs="Times New Roman"/>
        </w:rPr>
        <w:t> </w:t>
      </w:r>
      <w:r w:rsidRPr="00B7400F">
        <w:rPr>
          <w:rFonts w:ascii="Times New Roman" w:eastAsia="Times New Roman" w:hAnsi="Times New Roman" w:cs="Times New Roman"/>
        </w:rPr>
        <w:t>hétre bekövetkező abszolút változás, az</w:t>
      </w:r>
      <w:r w:rsidR="004B7455">
        <w:rPr>
          <w:rFonts w:ascii="Times New Roman" w:eastAsia="Times New Roman" w:hAnsi="Times New Roman" w:cs="Times New Roman"/>
        </w:rPr>
        <w:t xml:space="preserve"> </w:t>
      </w:r>
      <w:r w:rsidRPr="00B7400F">
        <w:rPr>
          <w:rFonts w:ascii="Times New Roman" w:eastAsia="Times New Roman" w:hAnsi="Times New Roman" w:cs="Times New Roman"/>
        </w:rPr>
        <w:t>ILD első akut exacerbációjáig vagy a halálig eltelt idő az 52</w:t>
      </w:r>
      <w:r w:rsidR="009D2F76">
        <w:rPr>
          <w:rFonts w:ascii="Times New Roman" w:eastAsia="Times New Roman" w:hAnsi="Times New Roman" w:cs="Times New Roman"/>
        </w:rPr>
        <w:t> </w:t>
      </w:r>
      <w:r w:rsidRPr="00B7400F">
        <w:rPr>
          <w:rFonts w:ascii="Times New Roman" w:eastAsia="Times New Roman" w:hAnsi="Times New Roman" w:cs="Times New Roman"/>
        </w:rPr>
        <w:t>hét alatt, valamint a halálig eltelt idő az</w:t>
      </w:r>
      <w:r w:rsidR="004B7455">
        <w:rPr>
          <w:rFonts w:ascii="Times New Roman" w:eastAsia="Times New Roman" w:hAnsi="Times New Roman" w:cs="Times New Roman"/>
        </w:rPr>
        <w:t xml:space="preserve"> </w:t>
      </w:r>
      <w:r w:rsidRPr="00B7400F">
        <w:rPr>
          <w:rFonts w:ascii="Times New Roman" w:eastAsia="Times New Roman" w:hAnsi="Times New Roman" w:cs="Times New Roman"/>
        </w:rPr>
        <w:t>52</w:t>
      </w:r>
      <w:r w:rsidR="00801A28">
        <w:rPr>
          <w:rFonts w:ascii="Times New Roman" w:eastAsia="Times New Roman" w:hAnsi="Times New Roman" w:cs="Times New Roman"/>
        </w:rPr>
        <w:t> </w:t>
      </w:r>
      <w:r w:rsidRPr="00B7400F">
        <w:rPr>
          <w:rFonts w:ascii="Times New Roman" w:eastAsia="Times New Roman" w:hAnsi="Times New Roman" w:cs="Times New Roman"/>
        </w:rPr>
        <w:t>hét alatt.</w:t>
      </w:r>
    </w:p>
    <w:p w14:paraId="55BE567D" w14:textId="08851CC9" w:rsidR="00B7400F" w:rsidRPr="00B7400F"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A betegek átlagos (standard deviáció [SD, min–max]) életkora 65,8 (9,8; 27–87) év volt, az FVC várt</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százalékos átlaga pedig 69,0% (15,6, 42–137) volt. Az ILD hátterében álló alapdiagnózisok a</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vizsgálatban részvevő csoportokban a hiperszenzitív pneumonitis (26,1%), autoimmun ILD (25,6%),</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idiopathiás nemspecifi</w:t>
      </w:r>
      <w:r w:rsidR="00FB43C7">
        <w:rPr>
          <w:rFonts w:ascii="Times New Roman" w:eastAsia="Times New Roman" w:hAnsi="Times New Roman" w:cs="Times New Roman"/>
        </w:rPr>
        <w:t>k</w:t>
      </w:r>
      <w:r w:rsidRPr="00B7400F">
        <w:rPr>
          <w:rFonts w:ascii="Times New Roman" w:eastAsia="Times New Roman" w:hAnsi="Times New Roman" w:cs="Times New Roman"/>
        </w:rPr>
        <w:t>us interstitialis pneumonia (18,9%), nem besorolható idiopathiás interstitialis</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pneumonia (17,2%), valamint egyéb ILD (12,2%).</w:t>
      </w:r>
    </w:p>
    <w:p w14:paraId="0E47CD42" w14:textId="77777777" w:rsidR="004B7455" w:rsidRDefault="004B7455" w:rsidP="00B7400F">
      <w:pPr>
        <w:rPr>
          <w:rFonts w:ascii="Times New Roman" w:eastAsia="Times New Roman" w:hAnsi="Times New Roman" w:cs="Times New Roman"/>
        </w:rPr>
      </w:pPr>
    </w:p>
    <w:p w14:paraId="5AF3F14E" w14:textId="32810719" w:rsidR="00B7400F" w:rsidRPr="00B7400F"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Az INBUILD vizsgálat tervezésekor és végrehajtásakor nem volt cél, hogy bizonyítsák a nintedanib</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előnyét az egyes diagnosztikai alcsoportokban. Az ILD diagnózisok alapján felállított alcsoportokban</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következetesen hatásosnak mutatkozott a kezelés. A nintedanib tekintetében nagyon korlátozott</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tapasztalatok állnak rendelkezésre a nagyon ritka progresszív, fibrotizáló ILD-k esetében.</w:t>
      </w:r>
    </w:p>
    <w:p w14:paraId="76E675C9" w14:textId="77777777" w:rsidR="004B7455" w:rsidRDefault="004B7455" w:rsidP="00B7400F">
      <w:pPr>
        <w:rPr>
          <w:rFonts w:ascii="Times New Roman" w:eastAsia="Times New Roman" w:hAnsi="Times New Roman" w:cs="Times New Roman"/>
        </w:rPr>
      </w:pPr>
    </w:p>
    <w:p w14:paraId="5B7D1BF8" w14:textId="739A0609" w:rsidR="00B7400F" w:rsidRPr="004B7455" w:rsidRDefault="00B7400F" w:rsidP="00B7400F">
      <w:pPr>
        <w:rPr>
          <w:rFonts w:ascii="Times New Roman" w:eastAsia="Times New Roman" w:hAnsi="Times New Roman" w:cs="Times New Roman"/>
          <w:i/>
          <w:iCs/>
          <w:u w:val="single"/>
        </w:rPr>
      </w:pPr>
      <w:r w:rsidRPr="004B7455">
        <w:rPr>
          <w:rFonts w:ascii="Times New Roman" w:eastAsia="Times New Roman" w:hAnsi="Times New Roman" w:cs="Times New Roman"/>
          <w:i/>
          <w:iCs/>
          <w:u w:val="single"/>
        </w:rPr>
        <w:t>Az FVC-csökkenés éves üteme</w:t>
      </w:r>
    </w:p>
    <w:p w14:paraId="3650F20A" w14:textId="5C779249" w:rsidR="00B7400F" w:rsidRDefault="00B7400F" w:rsidP="00B7400F">
      <w:pPr>
        <w:rPr>
          <w:rFonts w:ascii="Times New Roman" w:eastAsia="Times New Roman" w:hAnsi="Times New Roman" w:cs="Times New Roman"/>
        </w:rPr>
      </w:pPr>
      <w:r w:rsidRPr="00B7400F">
        <w:rPr>
          <w:rFonts w:ascii="Times New Roman" w:eastAsia="Times New Roman" w:hAnsi="Times New Roman" w:cs="Times New Roman"/>
        </w:rPr>
        <w:t>Az FVC csökkenésének éves üteme (ml-ben) 52 héten át vizsgálva szignifikánsan, 107,0</w:t>
      </w:r>
      <w:r w:rsidR="00980238">
        <w:rPr>
          <w:rFonts w:ascii="Times New Roman" w:eastAsia="Times New Roman" w:hAnsi="Times New Roman" w:cs="Times New Roman"/>
        </w:rPr>
        <w:t> </w:t>
      </w:r>
      <w:r w:rsidRPr="00B7400F">
        <w:rPr>
          <w:rFonts w:ascii="Times New Roman" w:eastAsia="Times New Roman" w:hAnsi="Times New Roman" w:cs="Times New Roman"/>
        </w:rPr>
        <w:t>ml-rel</w:t>
      </w:r>
      <w:r w:rsidR="008B5F17">
        <w:rPr>
          <w:rFonts w:ascii="Times New Roman" w:eastAsia="Times New Roman" w:hAnsi="Times New Roman" w:cs="Times New Roman"/>
        </w:rPr>
        <w:t xml:space="preserve"> </w:t>
      </w:r>
      <w:r w:rsidRPr="00B7400F">
        <w:rPr>
          <w:rFonts w:ascii="Times New Roman" w:eastAsia="Times New Roman" w:hAnsi="Times New Roman" w:cs="Times New Roman"/>
        </w:rPr>
        <w:t xml:space="preserve">alacsonyabb volt az </w:t>
      </w:r>
      <w:r>
        <w:rPr>
          <w:rFonts w:ascii="Times New Roman" w:eastAsia="Times New Roman" w:hAnsi="Times New Roman" w:cs="Times New Roman"/>
        </w:rPr>
        <w:t>nintedanib</w:t>
      </w:r>
      <w:r w:rsidRPr="00B7400F">
        <w:rPr>
          <w:rFonts w:ascii="Times New Roman" w:eastAsia="Times New Roman" w:hAnsi="Times New Roman" w:cs="Times New Roman"/>
        </w:rPr>
        <w:t>-kezelésben részesülő betegek esetében, mint a placebót kapó betegeknél</w:t>
      </w:r>
      <w:r w:rsidR="004B7455">
        <w:rPr>
          <w:rFonts w:ascii="Times New Roman" w:eastAsia="Times New Roman" w:hAnsi="Times New Roman" w:cs="Times New Roman"/>
        </w:rPr>
        <w:t xml:space="preserve"> </w:t>
      </w:r>
      <w:r w:rsidRPr="00B7400F">
        <w:rPr>
          <w:rFonts w:ascii="Times New Roman" w:eastAsia="Times New Roman" w:hAnsi="Times New Roman" w:cs="Times New Roman"/>
        </w:rPr>
        <w:t>(</w:t>
      </w:r>
      <w:r w:rsidR="0088605E">
        <w:rPr>
          <w:rFonts w:ascii="Times New Roman" w:eastAsia="Times New Roman" w:hAnsi="Times New Roman" w:cs="Times New Roman"/>
        </w:rPr>
        <w:t>9</w:t>
      </w:r>
      <w:r w:rsidRPr="00B7400F">
        <w:rPr>
          <w:rFonts w:ascii="Times New Roman" w:eastAsia="Times New Roman" w:hAnsi="Times New Roman" w:cs="Times New Roman"/>
        </w:rPr>
        <w:t>.</w:t>
      </w:r>
      <w:r w:rsidR="00980238">
        <w:rPr>
          <w:rFonts w:ascii="Times New Roman" w:eastAsia="Times New Roman" w:hAnsi="Times New Roman" w:cs="Times New Roman"/>
        </w:rPr>
        <w:t> </w:t>
      </w:r>
      <w:r w:rsidRPr="00B7400F">
        <w:rPr>
          <w:rFonts w:ascii="Times New Roman" w:eastAsia="Times New Roman" w:hAnsi="Times New Roman" w:cs="Times New Roman"/>
        </w:rPr>
        <w:t>táblázat), ami 57,0%-os relatív kezelési hatékonyságnak felel meg.</w:t>
      </w:r>
    </w:p>
    <w:p w14:paraId="079DC0CE" w14:textId="77777777" w:rsidR="00B7400F" w:rsidRDefault="00B7400F" w:rsidP="009106D9">
      <w:pPr>
        <w:rPr>
          <w:rFonts w:ascii="Times New Roman" w:eastAsia="Times New Roman" w:hAnsi="Times New Roman" w:cs="Times New Roman"/>
        </w:rPr>
      </w:pPr>
    </w:p>
    <w:p w14:paraId="2231E460" w14:textId="7233DA6D" w:rsidR="00B7400F" w:rsidRPr="004B7455" w:rsidRDefault="0088605E" w:rsidP="009106D9">
      <w:pPr>
        <w:rPr>
          <w:rFonts w:ascii="Times New Roman" w:eastAsia="Times New Roman" w:hAnsi="Times New Roman" w:cs="Times New Roman"/>
          <w:b/>
          <w:bCs/>
        </w:rPr>
      </w:pPr>
      <w:r>
        <w:rPr>
          <w:rFonts w:ascii="Times New Roman" w:eastAsia="Times New Roman" w:hAnsi="Times New Roman" w:cs="Times New Roman"/>
          <w:b/>
          <w:bCs/>
        </w:rPr>
        <w:t>9</w:t>
      </w:r>
      <w:r w:rsidR="004B7455" w:rsidRPr="004B7455">
        <w:rPr>
          <w:rFonts w:ascii="Times New Roman" w:eastAsia="Times New Roman" w:hAnsi="Times New Roman" w:cs="Times New Roman"/>
          <w:b/>
          <w:bCs/>
        </w:rPr>
        <w:t>. táblázat: Az FVC-csökkenés éves üteme (ml) 52 héten át vizsgálva</w:t>
      </w:r>
    </w:p>
    <w:tbl>
      <w:tblPr>
        <w:tblStyle w:val="Rcsostblzat"/>
        <w:tblW w:w="0" w:type="auto"/>
        <w:tblLook w:val="04A0" w:firstRow="1" w:lastRow="0" w:firstColumn="1" w:lastColumn="0" w:noHBand="0" w:noVBand="1"/>
      </w:tblPr>
      <w:tblGrid>
        <w:gridCol w:w="3823"/>
        <w:gridCol w:w="1842"/>
        <w:gridCol w:w="3119"/>
      </w:tblGrid>
      <w:tr w:rsidR="004B7455" w:rsidRPr="004B7455" w14:paraId="0AC4A315" w14:textId="77777777" w:rsidTr="004B7455">
        <w:tc>
          <w:tcPr>
            <w:tcW w:w="3823" w:type="dxa"/>
          </w:tcPr>
          <w:p w14:paraId="137C637D" w14:textId="77777777" w:rsidR="004B7455" w:rsidRPr="004B7455" w:rsidRDefault="004B7455" w:rsidP="004B7455">
            <w:pPr>
              <w:rPr>
                <w:rFonts w:ascii="Times New Roman" w:eastAsia="Times New Roman" w:hAnsi="Times New Roman" w:cs="Times New Roman"/>
                <w:lang w:val="en-GB"/>
              </w:rPr>
            </w:pPr>
          </w:p>
        </w:tc>
        <w:tc>
          <w:tcPr>
            <w:tcW w:w="1842" w:type="dxa"/>
          </w:tcPr>
          <w:p w14:paraId="26016E21" w14:textId="77777777" w:rsidR="004B7455" w:rsidRPr="004B7455" w:rsidRDefault="004B7455" w:rsidP="004B7455">
            <w:pPr>
              <w:rPr>
                <w:rFonts w:ascii="Times New Roman" w:eastAsia="Times New Roman" w:hAnsi="Times New Roman" w:cs="Times New Roman"/>
                <w:lang w:val="en-GB"/>
              </w:rPr>
            </w:pPr>
            <w:r w:rsidRPr="004B7455">
              <w:rPr>
                <w:rFonts w:ascii="Times New Roman" w:eastAsia="Times New Roman" w:hAnsi="Times New Roman" w:cs="Times New Roman"/>
                <w:lang w:val="en-GB"/>
              </w:rPr>
              <w:t>Placebo</w:t>
            </w:r>
          </w:p>
        </w:tc>
        <w:tc>
          <w:tcPr>
            <w:tcW w:w="3119" w:type="dxa"/>
          </w:tcPr>
          <w:p w14:paraId="1FEAB8EA" w14:textId="1C2C80F7" w:rsidR="004B7455" w:rsidRPr="004B7455" w:rsidRDefault="004B7455" w:rsidP="004B7455">
            <w:pPr>
              <w:rPr>
                <w:rFonts w:ascii="Times New Roman" w:eastAsia="Times New Roman" w:hAnsi="Times New Roman" w:cs="Times New Roman"/>
                <w:lang w:val="en-GB"/>
              </w:rPr>
            </w:pPr>
            <w:r w:rsidRPr="004B7455">
              <w:rPr>
                <w:rFonts w:ascii="Times New Roman" w:eastAsia="Times New Roman" w:hAnsi="Times New Roman" w:cs="Times New Roman"/>
                <w:lang w:val="en-GB"/>
              </w:rPr>
              <w:t xml:space="preserve">Nintedanib 150 mg </w:t>
            </w:r>
            <w:r>
              <w:rPr>
                <w:rFonts w:ascii="Times New Roman" w:eastAsia="Times New Roman" w:hAnsi="Times New Roman" w:cs="Times New Roman"/>
                <w:lang w:val="en-GB"/>
              </w:rPr>
              <w:t>napi kétszer</w:t>
            </w:r>
          </w:p>
        </w:tc>
      </w:tr>
      <w:tr w:rsidR="004B7455" w:rsidRPr="004B7455" w14:paraId="3A97FC68" w14:textId="77777777" w:rsidTr="004B7455">
        <w:tc>
          <w:tcPr>
            <w:tcW w:w="3823" w:type="dxa"/>
          </w:tcPr>
          <w:p w14:paraId="34B10757" w14:textId="2BD468D5" w:rsidR="004B7455" w:rsidRPr="002E182A" w:rsidRDefault="004B7455" w:rsidP="004B7455">
            <w:pPr>
              <w:rPr>
                <w:rFonts w:ascii="Times New Roman" w:eastAsia="Times New Roman" w:hAnsi="Times New Roman" w:cs="Times New Roman"/>
                <w:lang w:val="de-DE"/>
              </w:rPr>
            </w:pPr>
            <w:r w:rsidRPr="002E182A">
              <w:rPr>
                <w:rFonts w:ascii="Times New Roman" w:eastAsia="Times New Roman" w:hAnsi="Times New Roman" w:cs="Times New Roman"/>
                <w:lang w:val="de-DE"/>
              </w:rPr>
              <w:t>Az elemzésbe bevont betegek száma</w:t>
            </w:r>
          </w:p>
        </w:tc>
        <w:tc>
          <w:tcPr>
            <w:tcW w:w="1842" w:type="dxa"/>
          </w:tcPr>
          <w:p w14:paraId="06735C9E" w14:textId="77777777" w:rsidR="004B7455" w:rsidRPr="004B7455" w:rsidRDefault="004B7455" w:rsidP="008B5F17">
            <w:pPr>
              <w:jc w:val="center"/>
              <w:rPr>
                <w:rFonts w:ascii="Times New Roman" w:eastAsia="Times New Roman" w:hAnsi="Times New Roman" w:cs="Times New Roman"/>
                <w:lang w:val="en-GB"/>
              </w:rPr>
            </w:pPr>
            <w:r w:rsidRPr="004B7455">
              <w:rPr>
                <w:rFonts w:ascii="Times New Roman" w:eastAsia="Times New Roman" w:hAnsi="Times New Roman" w:cs="Times New Roman"/>
                <w:lang w:val="en-GB"/>
              </w:rPr>
              <w:t>331</w:t>
            </w:r>
          </w:p>
        </w:tc>
        <w:tc>
          <w:tcPr>
            <w:tcW w:w="3119" w:type="dxa"/>
          </w:tcPr>
          <w:p w14:paraId="12B4BBDE" w14:textId="77777777" w:rsidR="004B7455" w:rsidRPr="004B7455" w:rsidRDefault="004B7455" w:rsidP="008B5F17">
            <w:pPr>
              <w:jc w:val="center"/>
              <w:rPr>
                <w:rFonts w:ascii="Times New Roman" w:eastAsia="Times New Roman" w:hAnsi="Times New Roman" w:cs="Times New Roman"/>
                <w:lang w:val="en-GB"/>
              </w:rPr>
            </w:pPr>
            <w:r w:rsidRPr="004B7455">
              <w:rPr>
                <w:rFonts w:ascii="Times New Roman" w:eastAsia="Times New Roman" w:hAnsi="Times New Roman" w:cs="Times New Roman"/>
                <w:lang w:val="en-GB"/>
              </w:rPr>
              <w:t>332</w:t>
            </w:r>
          </w:p>
        </w:tc>
      </w:tr>
      <w:tr w:rsidR="004B7455" w:rsidRPr="004B7455" w14:paraId="62C7AC7D" w14:textId="77777777" w:rsidTr="004B7455">
        <w:tc>
          <w:tcPr>
            <w:tcW w:w="3823" w:type="dxa"/>
          </w:tcPr>
          <w:p w14:paraId="73BAE391" w14:textId="4334F317" w:rsidR="004B7455" w:rsidRPr="004B7455" w:rsidRDefault="004B7455" w:rsidP="004B7455">
            <w:pPr>
              <w:rPr>
                <w:rFonts w:ascii="Times New Roman" w:eastAsia="Times New Roman" w:hAnsi="Times New Roman" w:cs="Times New Roman"/>
                <w:lang w:val="en-GB"/>
              </w:rPr>
            </w:pPr>
            <w:r w:rsidRPr="004B7455">
              <w:rPr>
                <w:rFonts w:ascii="Times New Roman" w:eastAsia="Times New Roman" w:hAnsi="Times New Roman" w:cs="Times New Roman"/>
                <w:lang w:val="en-GB"/>
              </w:rPr>
              <w:t>Az 52 hét során tapasztalt</w:t>
            </w:r>
            <w:r>
              <w:rPr>
                <w:rFonts w:ascii="Times New Roman" w:eastAsia="Times New Roman" w:hAnsi="Times New Roman" w:cs="Times New Roman"/>
                <w:lang w:val="en-GB"/>
              </w:rPr>
              <w:t xml:space="preserve"> </w:t>
            </w:r>
            <w:r w:rsidRPr="004B7455">
              <w:rPr>
                <w:rFonts w:ascii="Times New Roman" w:eastAsia="Times New Roman" w:hAnsi="Times New Roman" w:cs="Times New Roman"/>
                <w:lang w:val="en-GB"/>
              </w:rPr>
              <w:t>csökkenés aránya</w:t>
            </w:r>
            <w:r w:rsidRPr="004B7455">
              <w:rPr>
                <w:rFonts w:ascii="Times New Roman" w:eastAsia="Times New Roman" w:hAnsi="Times New Roman" w:cs="Times New Roman"/>
                <w:vertAlign w:val="superscript"/>
                <w:lang w:val="en-GB"/>
              </w:rPr>
              <w:t>1</w:t>
            </w:r>
            <w:r>
              <w:rPr>
                <w:rFonts w:ascii="Times New Roman" w:eastAsia="Times New Roman" w:hAnsi="Times New Roman" w:cs="Times New Roman"/>
                <w:lang w:val="en-GB"/>
              </w:rPr>
              <w:t xml:space="preserve"> </w:t>
            </w:r>
            <w:r w:rsidRPr="004B7455">
              <w:rPr>
                <w:rFonts w:ascii="Times New Roman" w:eastAsia="Times New Roman" w:hAnsi="Times New Roman" w:cs="Times New Roman"/>
                <w:lang w:val="en-GB"/>
              </w:rPr>
              <w:t>(SE)</w:t>
            </w:r>
          </w:p>
        </w:tc>
        <w:tc>
          <w:tcPr>
            <w:tcW w:w="1842" w:type="dxa"/>
          </w:tcPr>
          <w:p w14:paraId="63B91DF2" w14:textId="19ECF5F9" w:rsidR="004B7455" w:rsidRPr="004B7455" w:rsidRDefault="004B7455" w:rsidP="008B5F17">
            <w:pPr>
              <w:jc w:val="center"/>
              <w:rPr>
                <w:rFonts w:ascii="Times New Roman" w:eastAsia="Times New Roman" w:hAnsi="Times New Roman" w:cs="Times New Roman"/>
                <w:lang w:val="en-GB"/>
              </w:rPr>
            </w:pPr>
            <w:r w:rsidRPr="004B7455">
              <w:rPr>
                <w:rFonts w:ascii="Times New Roman" w:eastAsia="Times New Roman" w:hAnsi="Times New Roman" w:cs="Times New Roman"/>
                <w:lang w:val="en-GB"/>
              </w:rPr>
              <w:t>-187</w:t>
            </w:r>
            <w:r w:rsidR="00FB43C7">
              <w:rPr>
                <w:rFonts w:ascii="Times New Roman" w:eastAsia="Times New Roman" w:hAnsi="Times New Roman" w:cs="Times New Roman"/>
                <w:lang w:val="en-GB"/>
              </w:rPr>
              <w:t>,</w:t>
            </w:r>
            <w:r w:rsidRPr="004B7455">
              <w:rPr>
                <w:rFonts w:ascii="Times New Roman" w:eastAsia="Times New Roman" w:hAnsi="Times New Roman" w:cs="Times New Roman"/>
                <w:lang w:val="en-GB"/>
              </w:rPr>
              <w:t>8 (14</w:t>
            </w:r>
            <w:r w:rsidR="00FB43C7">
              <w:rPr>
                <w:rFonts w:ascii="Times New Roman" w:eastAsia="Times New Roman" w:hAnsi="Times New Roman" w:cs="Times New Roman"/>
                <w:lang w:val="en-GB"/>
              </w:rPr>
              <w:t>,</w:t>
            </w:r>
            <w:r w:rsidRPr="004B7455">
              <w:rPr>
                <w:rFonts w:ascii="Times New Roman" w:eastAsia="Times New Roman" w:hAnsi="Times New Roman" w:cs="Times New Roman"/>
                <w:lang w:val="en-GB"/>
              </w:rPr>
              <w:t>8)</w:t>
            </w:r>
          </w:p>
        </w:tc>
        <w:tc>
          <w:tcPr>
            <w:tcW w:w="3119" w:type="dxa"/>
          </w:tcPr>
          <w:p w14:paraId="4FBEB8E3" w14:textId="03642C57" w:rsidR="004B7455" w:rsidRPr="004B7455" w:rsidRDefault="004B7455" w:rsidP="008B5F17">
            <w:pPr>
              <w:jc w:val="center"/>
              <w:rPr>
                <w:rFonts w:ascii="Times New Roman" w:eastAsia="Times New Roman" w:hAnsi="Times New Roman" w:cs="Times New Roman"/>
                <w:lang w:val="en-GB"/>
              </w:rPr>
            </w:pPr>
            <w:r w:rsidRPr="004B7455">
              <w:rPr>
                <w:rFonts w:ascii="Times New Roman" w:eastAsia="Times New Roman" w:hAnsi="Times New Roman" w:cs="Times New Roman"/>
                <w:lang w:val="en-GB"/>
              </w:rPr>
              <w:t>-80</w:t>
            </w:r>
            <w:r w:rsidR="00FB43C7">
              <w:rPr>
                <w:rFonts w:ascii="Times New Roman" w:eastAsia="Times New Roman" w:hAnsi="Times New Roman" w:cs="Times New Roman"/>
                <w:lang w:val="en-GB"/>
              </w:rPr>
              <w:t>,</w:t>
            </w:r>
            <w:r w:rsidRPr="004B7455">
              <w:rPr>
                <w:rFonts w:ascii="Times New Roman" w:eastAsia="Times New Roman" w:hAnsi="Times New Roman" w:cs="Times New Roman"/>
                <w:lang w:val="en-GB"/>
              </w:rPr>
              <w:t>8 (15</w:t>
            </w:r>
            <w:r w:rsidR="00FB43C7">
              <w:rPr>
                <w:rFonts w:ascii="Times New Roman" w:eastAsia="Times New Roman" w:hAnsi="Times New Roman" w:cs="Times New Roman"/>
                <w:lang w:val="en-GB"/>
              </w:rPr>
              <w:t>,</w:t>
            </w:r>
            <w:r w:rsidRPr="004B7455">
              <w:rPr>
                <w:rFonts w:ascii="Times New Roman" w:eastAsia="Times New Roman" w:hAnsi="Times New Roman" w:cs="Times New Roman"/>
                <w:lang w:val="en-GB"/>
              </w:rPr>
              <w:t>1)</w:t>
            </w:r>
          </w:p>
        </w:tc>
      </w:tr>
      <w:tr w:rsidR="004B7455" w:rsidRPr="004B7455" w14:paraId="72641670" w14:textId="77777777" w:rsidTr="004B7455">
        <w:tc>
          <w:tcPr>
            <w:tcW w:w="8784" w:type="dxa"/>
            <w:gridSpan w:val="3"/>
          </w:tcPr>
          <w:p w14:paraId="213110F4" w14:textId="1A3CB30F" w:rsidR="004B7455" w:rsidRPr="004B7455" w:rsidRDefault="004B7455" w:rsidP="004B7455">
            <w:pPr>
              <w:rPr>
                <w:rFonts w:ascii="Times New Roman" w:eastAsia="Times New Roman" w:hAnsi="Times New Roman" w:cs="Times New Roman"/>
                <w:lang w:val="en-GB"/>
              </w:rPr>
            </w:pPr>
            <w:r w:rsidRPr="004B7455">
              <w:rPr>
                <w:rFonts w:ascii="Times New Roman" w:eastAsia="Times New Roman" w:hAnsi="Times New Roman" w:cs="Times New Roman"/>
                <w:lang w:val="en-GB"/>
              </w:rPr>
              <w:t>Összehasonlítás placebóhoz képest</w:t>
            </w:r>
          </w:p>
        </w:tc>
      </w:tr>
      <w:tr w:rsidR="004B7455" w:rsidRPr="004B7455" w14:paraId="66A14B84" w14:textId="77777777" w:rsidTr="004B7455">
        <w:tc>
          <w:tcPr>
            <w:tcW w:w="3823" w:type="dxa"/>
          </w:tcPr>
          <w:p w14:paraId="04BDB091" w14:textId="3E53EAA9" w:rsidR="004B7455" w:rsidRPr="004B7455" w:rsidRDefault="004B7455" w:rsidP="004B7455">
            <w:pPr>
              <w:rPr>
                <w:rFonts w:ascii="Times New Roman" w:eastAsia="Times New Roman" w:hAnsi="Times New Roman" w:cs="Times New Roman"/>
                <w:lang w:val="en-GB"/>
              </w:rPr>
            </w:pPr>
            <w:r w:rsidRPr="004B7455">
              <w:rPr>
                <w:rFonts w:ascii="Times New Roman" w:eastAsia="Times New Roman" w:hAnsi="Times New Roman" w:cs="Times New Roman"/>
                <w:lang w:val="en-GB"/>
              </w:rPr>
              <w:t>Eltérés</w:t>
            </w:r>
            <w:r w:rsidRPr="004B7455">
              <w:rPr>
                <w:rFonts w:ascii="Times New Roman" w:eastAsia="Times New Roman" w:hAnsi="Times New Roman" w:cs="Times New Roman"/>
                <w:vertAlign w:val="superscript"/>
                <w:lang w:val="en-GB"/>
              </w:rPr>
              <w:t>1</w:t>
            </w:r>
          </w:p>
        </w:tc>
        <w:tc>
          <w:tcPr>
            <w:tcW w:w="1842" w:type="dxa"/>
          </w:tcPr>
          <w:p w14:paraId="7C2B511C" w14:textId="77777777" w:rsidR="004B7455" w:rsidRPr="004B7455" w:rsidRDefault="004B7455" w:rsidP="004B7455">
            <w:pPr>
              <w:rPr>
                <w:rFonts w:ascii="Times New Roman" w:eastAsia="Times New Roman" w:hAnsi="Times New Roman" w:cs="Times New Roman"/>
                <w:lang w:val="en-GB"/>
              </w:rPr>
            </w:pPr>
          </w:p>
        </w:tc>
        <w:tc>
          <w:tcPr>
            <w:tcW w:w="3119" w:type="dxa"/>
          </w:tcPr>
          <w:p w14:paraId="24D3A658" w14:textId="3505B7E2" w:rsidR="004B7455" w:rsidRPr="004B7455" w:rsidRDefault="004B7455" w:rsidP="008B5F17">
            <w:pPr>
              <w:jc w:val="center"/>
              <w:rPr>
                <w:rFonts w:ascii="Times New Roman" w:eastAsia="Times New Roman" w:hAnsi="Times New Roman" w:cs="Times New Roman"/>
                <w:lang w:val="en-GB"/>
              </w:rPr>
            </w:pPr>
            <w:r w:rsidRPr="004B7455">
              <w:rPr>
                <w:rFonts w:ascii="Times New Roman" w:eastAsia="Times New Roman" w:hAnsi="Times New Roman" w:cs="Times New Roman"/>
                <w:lang w:val="en-GB"/>
              </w:rPr>
              <w:t>107</w:t>
            </w:r>
            <w:r w:rsidR="00FB43C7">
              <w:rPr>
                <w:rFonts w:ascii="Times New Roman" w:eastAsia="Times New Roman" w:hAnsi="Times New Roman" w:cs="Times New Roman"/>
                <w:lang w:val="en-GB"/>
              </w:rPr>
              <w:t>,</w:t>
            </w:r>
            <w:r w:rsidRPr="004B7455">
              <w:rPr>
                <w:rFonts w:ascii="Times New Roman" w:eastAsia="Times New Roman" w:hAnsi="Times New Roman" w:cs="Times New Roman"/>
                <w:lang w:val="en-GB"/>
              </w:rPr>
              <w:t>0</w:t>
            </w:r>
          </w:p>
        </w:tc>
      </w:tr>
      <w:tr w:rsidR="004B7455" w:rsidRPr="004B7455" w14:paraId="5EB74F2D" w14:textId="77777777" w:rsidTr="004B7455">
        <w:tc>
          <w:tcPr>
            <w:tcW w:w="3823" w:type="dxa"/>
          </w:tcPr>
          <w:p w14:paraId="54DB0714" w14:textId="5EEE7BD5" w:rsidR="004B7455" w:rsidRPr="004B7455" w:rsidRDefault="004B7455" w:rsidP="004B7455">
            <w:pPr>
              <w:rPr>
                <w:rFonts w:ascii="Times New Roman" w:eastAsia="Times New Roman" w:hAnsi="Times New Roman" w:cs="Times New Roman"/>
                <w:lang w:val="en-GB"/>
              </w:rPr>
            </w:pPr>
            <w:r w:rsidRPr="004B7455">
              <w:rPr>
                <w:rFonts w:ascii="Times New Roman" w:eastAsia="Times New Roman" w:hAnsi="Times New Roman" w:cs="Times New Roman"/>
                <w:lang w:val="en-GB"/>
              </w:rPr>
              <w:t>95%</w:t>
            </w:r>
            <w:r>
              <w:rPr>
                <w:rFonts w:ascii="Times New Roman" w:eastAsia="Times New Roman" w:hAnsi="Times New Roman" w:cs="Times New Roman"/>
                <w:lang w:val="en-GB"/>
              </w:rPr>
              <w:t>-os</w:t>
            </w:r>
            <w:r w:rsidRPr="004B7455">
              <w:rPr>
                <w:rFonts w:ascii="Times New Roman" w:eastAsia="Times New Roman" w:hAnsi="Times New Roman" w:cs="Times New Roman"/>
                <w:lang w:val="en-GB"/>
              </w:rPr>
              <w:t xml:space="preserve"> CI</w:t>
            </w:r>
          </w:p>
        </w:tc>
        <w:tc>
          <w:tcPr>
            <w:tcW w:w="1842" w:type="dxa"/>
          </w:tcPr>
          <w:p w14:paraId="71AB7B54" w14:textId="77777777" w:rsidR="004B7455" w:rsidRPr="004B7455" w:rsidRDefault="004B7455" w:rsidP="004B7455">
            <w:pPr>
              <w:rPr>
                <w:rFonts w:ascii="Times New Roman" w:eastAsia="Times New Roman" w:hAnsi="Times New Roman" w:cs="Times New Roman"/>
                <w:lang w:val="en-GB"/>
              </w:rPr>
            </w:pPr>
          </w:p>
        </w:tc>
        <w:tc>
          <w:tcPr>
            <w:tcW w:w="3119" w:type="dxa"/>
          </w:tcPr>
          <w:p w14:paraId="5AA74963" w14:textId="4C3BC11C" w:rsidR="004B7455" w:rsidRPr="004B7455" w:rsidRDefault="004B7455" w:rsidP="008B5F17">
            <w:pPr>
              <w:jc w:val="center"/>
              <w:rPr>
                <w:rFonts w:ascii="Times New Roman" w:eastAsia="Times New Roman" w:hAnsi="Times New Roman" w:cs="Times New Roman"/>
                <w:lang w:val="en-GB"/>
              </w:rPr>
            </w:pPr>
            <w:r w:rsidRPr="004B7455">
              <w:rPr>
                <w:rFonts w:ascii="Times New Roman" w:eastAsia="Times New Roman" w:hAnsi="Times New Roman" w:cs="Times New Roman"/>
                <w:lang w:val="en-GB"/>
              </w:rPr>
              <w:t>(65</w:t>
            </w:r>
            <w:r w:rsidR="00FB43C7">
              <w:rPr>
                <w:rFonts w:ascii="Times New Roman" w:eastAsia="Times New Roman" w:hAnsi="Times New Roman" w:cs="Times New Roman"/>
                <w:lang w:val="en-GB"/>
              </w:rPr>
              <w:t>,</w:t>
            </w:r>
            <w:r w:rsidRPr="004B7455">
              <w:rPr>
                <w:rFonts w:ascii="Times New Roman" w:eastAsia="Times New Roman" w:hAnsi="Times New Roman" w:cs="Times New Roman"/>
                <w:lang w:val="en-GB"/>
              </w:rPr>
              <w:t>4, 148</w:t>
            </w:r>
            <w:r w:rsidR="00FB43C7">
              <w:rPr>
                <w:rFonts w:ascii="Times New Roman" w:eastAsia="Times New Roman" w:hAnsi="Times New Roman" w:cs="Times New Roman"/>
                <w:lang w:val="en-GB"/>
              </w:rPr>
              <w:t>,</w:t>
            </w:r>
            <w:r w:rsidRPr="004B7455">
              <w:rPr>
                <w:rFonts w:ascii="Times New Roman" w:eastAsia="Times New Roman" w:hAnsi="Times New Roman" w:cs="Times New Roman"/>
                <w:lang w:val="en-GB"/>
              </w:rPr>
              <w:t>5)</w:t>
            </w:r>
          </w:p>
        </w:tc>
      </w:tr>
      <w:tr w:rsidR="004B7455" w:rsidRPr="004B7455" w14:paraId="180D6EC5" w14:textId="77777777" w:rsidTr="004B7455">
        <w:tc>
          <w:tcPr>
            <w:tcW w:w="3823" w:type="dxa"/>
          </w:tcPr>
          <w:p w14:paraId="396566FC" w14:textId="7810F6D2" w:rsidR="004B7455" w:rsidRPr="004B7455" w:rsidRDefault="004B7455" w:rsidP="004B7455">
            <w:pPr>
              <w:rPr>
                <w:rFonts w:ascii="Times New Roman" w:eastAsia="Times New Roman" w:hAnsi="Times New Roman" w:cs="Times New Roman"/>
                <w:lang w:val="en-GB"/>
              </w:rPr>
            </w:pPr>
            <w:r w:rsidRPr="004B7455">
              <w:rPr>
                <w:rFonts w:ascii="Times New Roman" w:eastAsia="Times New Roman" w:hAnsi="Times New Roman" w:cs="Times New Roman"/>
                <w:lang w:val="en-GB"/>
              </w:rPr>
              <w:t>p-</w:t>
            </w:r>
            <w:r>
              <w:rPr>
                <w:rFonts w:ascii="Times New Roman" w:eastAsia="Times New Roman" w:hAnsi="Times New Roman" w:cs="Times New Roman"/>
                <w:lang w:val="en-GB"/>
              </w:rPr>
              <w:t>érték</w:t>
            </w:r>
          </w:p>
        </w:tc>
        <w:tc>
          <w:tcPr>
            <w:tcW w:w="1842" w:type="dxa"/>
          </w:tcPr>
          <w:p w14:paraId="022CB222" w14:textId="77777777" w:rsidR="004B7455" w:rsidRPr="004B7455" w:rsidRDefault="004B7455" w:rsidP="004B7455">
            <w:pPr>
              <w:rPr>
                <w:rFonts w:ascii="Times New Roman" w:eastAsia="Times New Roman" w:hAnsi="Times New Roman" w:cs="Times New Roman"/>
                <w:lang w:val="en-GB"/>
              </w:rPr>
            </w:pPr>
          </w:p>
        </w:tc>
        <w:tc>
          <w:tcPr>
            <w:tcW w:w="3119" w:type="dxa"/>
          </w:tcPr>
          <w:p w14:paraId="07BA7B00" w14:textId="2B6C3DC5" w:rsidR="004B7455" w:rsidRPr="004B7455" w:rsidRDefault="004B7455" w:rsidP="008B5F17">
            <w:pPr>
              <w:jc w:val="center"/>
              <w:rPr>
                <w:rFonts w:ascii="Times New Roman" w:eastAsia="Times New Roman" w:hAnsi="Times New Roman" w:cs="Times New Roman"/>
                <w:lang w:val="en-GB"/>
              </w:rPr>
            </w:pPr>
            <w:r w:rsidRPr="004B7455">
              <w:rPr>
                <w:rFonts w:ascii="Times New Roman" w:eastAsia="Times New Roman" w:hAnsi="Times New Roman" w:cs="Times New Roman"/>
                <w:lang w:val="en-GB"/>
              </w:rPr>
              <w:t>&lt; 0</w:t>
            </w:r>
            <w:r w:rsidR="00FB43C7">
              <w:rPr>
                <w:rFonts w:ascii="Times New Roman" w:eastAsia="Times New Roman" w:hAnsi="Times New Roman" w:cs="Times New Roman"/>
                <w:lang w:val="en-GB"/>
              </w:rPr>
              <w:t>,</w:t>
            </w:r>
            <w:r w:rsidRPr="004B7455">
              <w:rPr>
                <w:rFonts w:ascii="Times New Roman" w:eastAsia="Times New Roman" w:hAnsi="Times New Roman" w:cs="Times New Roman"/>
                <w:lang w:val="en-GB"/>
              </w:rPr>
              <w:t>0001</w:t>
            </w:r>
          </w:p>
        </w:tc>
      </w:tr>
    </w:tbl>
    <w:p w14:paraId="477B24EA" w14:textId="6532C8A3" w:rsidR="00B7400F" w:rsidRPr="004B7455" w:rsidRDefault="004B7455" w:rsidP="004B7455">
      <w:pPr>
        <w:rPr>
          <w:rFonts w:ascii="Times New Roman" w:eastAsia="Times New Roman" w:hAnsi="Times New Roman" w:cs="Times New Roman"/>
          <w:sz w:val="18"/>
          <w:szCs w:val="18"/>
        </w:rPr>
      </w:pPr>
      <w:r w:rsidRPr="004B7455">
        <w:rPr>
          <w:rFonts w:ascii="Times New Roman" w:eastAsia="Times New Roman" w:hAnsi="Times New Roman" w:cs="Times New Roman"/>
          <w:sz w:val="18"/>
          <w:szCs w:val="18"/>
          <w:vertAlign w:val="superscript"/>
        </w:rPr>
        <w:t>1</w:t>
      </w:r>
      <w:r w:rsidRPr="004B7455">
        <w:rPr>
          <w:rFonts w:ascii="Times New Roman" w:eastAsia="Times New Roman" w:hAnsi="Times New Roman" w:cs="Times New Roman"/>
          <w:sz w:val="18"/>
          <w:szCs w:val="18"/>
        </w:rPr>
        <w:t>Random regressziós koefficiensen alapul, a kezelés rögzített kategorikus hatásaival, HRCT mintázattal, az eltelt időben rögzített folyamatos hatásokkal, kiindulási FVC-vel (ml), valamint beleértve a kezelés–idő és kiindulás–idő interakciókat</w:t>
      </w:r>
    </w:p>
    <w:p w14:paraId="18BB0ABC" w14:textId="77777777" w:rsidR="004B7455" w:rsidRDefault="004B7455" w:rsidP="009106D9">
      <w:pPr>
        <w:rPr>
          <w:rFonts w:ascii="Times New Roman" w:eastAsia="Times New Roman" w:hAnsi="Times New Roman" w:cs="Times New Roman"/>
        </w:rPr>
      </w:pPr>
    </w:p>
    <w:p w14:paraId="0120DD31" w14:textId="728A65F0" w:rsidR="004B7455" w:rsidRDefault="004B7455" w:rsidP="004B7455">
      <w:pPr>
        <w:rPr>
          <w:rFonts w:ascii="Times New Roman" w:eastAsia="Times New Roman" w:hAnsi="Times New Roman" w:cs="Times New Roman"/>
        </w:rPr>
      </w:pPr>
      <w:r w:rsidRPr="004B7455">
        <w:rPr>
          <w:rFonts w:ascii="Times New Roman" w:eastAsia="Times New Roman" w:hAnsi="Times New Roman" w:cs="Times New Roman"/>
        </w:rPr>
        <w:t xml:space="preserve">Hasonló értékeket figyeltek meg a HRCT alapján UIP-szerű fibroticus mintázatot mutató </w:t>
      </w:r>
      <w:r w:rsidR="00F104A1">
        <w:rPr>
          <w:rFonts w:ascii="Times New Roman" w:eastAsia="Times New Roman" w:hAnsi="Times New Roman" w:cs="Times New Roman"/>
        </w:rPr>
        <w:t xml:space="preserve">primer </w:t>
      </w:r>
      <w:r w:rsidRPr="004B7455">
        <w:rPr>
          <w:rFonts w:ascii="Times New Roman" w:eastAsia="Times New Roman" w:hAnsi="Times New Roman" w:cs="Times New Roman"/>
        </w:rPr>
        <w:t>populációpárban. A kezelés hatása megfelelt a HRCT alapján egyéb fibroticus mintázatot mutató</w:t>
      </w:r>
      <w:r w:rsidR="00F104A1">
        <w:rPr>
          <w:rFonts w:ascii="Times New Roman" w:eastAsia="Times New Roman" w:hAnsi="Times New Roman" w:cs="Times New Roman"/>
        </w:rPr>
        <w:t xml:space="preserve"> </w:t>
      </w:r>
      <w:r w:rsidRPr="004B7455">
        <w:rPr>
          <w:rFonts w:ascii="Times New Roman" w:eastAsia="Times New Roman" w:hAnsi="Times New Roman" w:cs="Times New Roman"/>
        </w:rPr>
        <w:t>„komplementer” populációval (interakciós p-érték: 0,2268) (2</w:t>
      </w:r>
      <w:r w:rsidR="00980238">
        <w:rPr>
          <w:rFonts w:ascii="Times New Roman" w:eastAsia="Times New Roman" w:hAnsi="Times New Roman" w:cs="Times New Roman"/>
        </w:rPr>
        <w:t>. </w:t>
      </w:r>
      <w:r w:rsidRPr="004B7455">
        <w:rPr>
          <w:rFonts w:ascii="Times New Roman" w:eastAsia="Times New Roman" w:hAnsi="Times New Roman" w:cs="Times New Roman"/>
        </w:rPr>
        <w:t>ábra).</w:t>
      </w:r>
      <w:r w:rsidRPr="004B7455">
        <w:rPr>
          <w:rFonts w:ascii="Times New Roman" w:eastAsia="Times New Roman" w:hAnsi="Times New Roman" w:cs="Times New Roman"/>
        </w:rPr>
        <w:cr/>
      </w:r>
    </w:p>
    <w:p w14:paraId="4D514982" w14:textId="42758AF1" w:rsidR="004B7455" w:rsidRDefault="004B7455" w:rsidP="00A5740F">
      <w:pPr>
        <w:keepNext/>
        <w:widowControl/>
        <w:rPr>
          <w:rFonts w:ascii="Times New Roman" w:eastAsia="Times New Roman" w:hAnsi="Times New Roman" w:cs="Times New Roman"/>
          <w:b/>
          <w:bCs/>
        </w:rPr>
      </w:pPr>
      <w:r w:rsidRPr="004B7455">
        <w:rPr>
          <w:rFonts w:ascii="Times New Roman" w:eastAsia="Times New Roman" w:hAnsi="Times New Roman" w:cs="Times New Roman"/>
          <w:b/>
          <w:bCs/>
        </w:rPr>
        <w:lastRenderedPageBreak/>
        <w:t>2</w:t>
      </w:r>
      <w:r w:rsidR="00980238">
        <w:rPr>
          <w:rFonts w:ascii="Times New Roman" w:eastAsia="Times New Roman" w:hAnsi="Times New Roman" w:cs="Times New Roman"/>
          <w:b/>
          <w:bCs/>
        </w:rPr>
        <w:t>.</w:t>
      </w:r>
      <w:r w:rsidRPr="004B7455">
        <w:rPr>
          <w:rFonts w:ascii="Times New Roman" w:eastAsia="Times New Roman" w:hAnsi="Times New Roman" w:cs="Times New Roman"/>
          <w:b/>
          <w:bCs/>
        </w:rPr>
        <w:t xml:space="preserve"> ábra Az FVC-csökkenés éves ütemének (ml) fasor-ábrája 52 héten át vizsgálva a</w:t>
      </w:r>
      <w:r>
        <w:rPr>
          <w:rFonts w:ascii="Times New Roman" w:eastAsia="Times New Roman" w:hAnsi="Times New Roman" w:cs="Times New Roman"/>
          <w:b/>
          <w:bCs/>
        </w:rPr>
        <w:t xml:space="preserve"> </w:t>
      </w:r>
      <w:r w:rsidRPr="004B7455">
        <w:rPr>
          <w:rFonts w:ascii="Times New Roman" w:eastAsia="Times New Roman" w:hAnsi="Times New Roman" w:cs="Times New Roman"/>
          <w:b/>
          <w:bCs/>
        </w:rPr>
        <w:t>betegpopulációkban</w:t>
      </w:r>
    </w:p>
    <w:p w14:paraId="1148C0E6" w14:textId="265B5709" w:rsidR="004B7455" w:rsidRDefault="004B7455" w:rsidP="00A5740F">
      <w:pPr>
        <w:keepNext/>
        <w:widowControl/>
        <w:rPr>
          <w:rFonts w:ascii="Times New Roman" w:eastAsia="Times New Roman" w:hAnsi="Times New Roman" w:cs="Times New Roman"/>
          <w:b/>
          <w:bCs/>
        </w:rPr>
      </w:pPr>
      <w:r>
        <w:rPr>
          <w:noProof/>
        </w:rPr>
        <w:drawing>
          <wp:inline distT="0" distB="0" distL="0" distR="0" wp14:anchorId="2C4C6B7D" wp14:editId="256CEF9C">
            <wp:extent cx="5759585" cy="3476676"/>
            <wp:effectExtent l="0" t="0" r="0" b="0"/>
            <wp:docPr id="214300698" name="Kép 1" descr="A képen szöveg, képernyőkép, diagram, Párhuzamo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00698" name="Kép 1" descr="A képen szöveg, képernyőkép, diagram, Párhuzamos látható&#10;&#10;Automatikusan generált leírás"/>
                    <pic:cNvPicPr/>
                  </pic:nvPicPr>
                  <pic:blipFill>
                    <a:blip r:embed="rId9"/>
                    <a:stretch>
                      <a:fillRect/>
                    </a:stretch>
                  </pic:blipFill>
                  <pic:spPr>
                    <a:xfrm>
                      <a:off x="0" y="0"/>
                      <a:ext cx="5776624" cy="3486962"/>
                    </a:xfrm>
                    <a:prstGeom prst="rect">
                      <a:avLst/>
                    </a:prstGeom>
                  </pic:spPr>
                </pic:pic>
              </a:graphicData>
            </a:graphic>
          </wp:inline>
        </w:drawing>
      </w:r>
      <w:r w:rsidRPr="004B7455">
        <w:rPr>
          <w:rFonts w:ascii="Times New Roman" w:eastAsia="Times New Roman" w:hAnsi="Times New Roman" w:cs="Times New Roman"/>
          <w:b/>
          <w:bCs/>
        </w:rPr>
        <w:t xml:space="preserve"> </w:t>
      </w:r>
      <w:r w:rsidRPr="004B7455">
        <w:rPr>
          <w:rFonts w:ascii="Times New Roman" w:eastAsia="Times New Roman" w:hAnsi="Times New Roman" w:cs="Times New Roman"/>
          <w:b/>
          <w:bCs/>
        </w:rPr>
        <w:cr/>
      </w:r>
      <w:bookmarkStart w:id="2" w:name="_Hlk178685845"/>
      <w:r w:rsidR="008B1CDC" w:rsidRPr="008B1CDC">
        <w:rPr>
          <w:rFonts w:ascii="Times New Roman" w:eastAsia="Times New Roman" w:hAnsi="Times New Roman" w:cs="Times New Roman"/>
        </w:rPr>
        <w:t>bid = naponta kétszer</w:t>
      </w:r>
      <w:bookmarkEnd w:id="2"/>
    </w:p>
    <w:p w14:paraId="0579AC2D" w14:textId="77777777" w:rsidR="004B7455" w:rsidRDefault="004B7455" w:rsidP="00A5740F">
      <w:pPr>
        <w:keepNext/>
        <w:widowControl/>
        <w:rPr>
          <w:rFonts w:ascii="Times New Roman" w:eastAsia="Times New Roman" w:hAnsi="Times New Roman" w:cs="Times New Roman"/>
          <w:b/>
          <w:bCs/>
        </w:rPr>
      </w:pPr>
    </w:p>
    <w:p w14:paraId="46B52550" w14:textId="5FDF0F5D" w:rsidR="008B1CDC" w:rsidRPr="008B1CDC" w:rsidRDefault="008B1CDC" w:rsidP="008B1CDC">
      <w:pPr>
        <w:rPr>
          <w:rFonts w:ascii="Times New Roman" w:eastAsia="Times New Roman" w:hAnsi="Times New Roman" w:cs="Times New Roman"/>
        </w:rPr>
      </w:pPr>
      <w:r w:rsidRPr="008B1CDC">
        <w:rPr>
          <w:rFonts w:ascii="Times New Roman" w:eastAsia="Times New Roman" w:hAnsi="Times New Roman" w:cs="Times New Roman"/>
        </w:rPr>
        <w:t>A</w:t>
      </w:r>
      <w:r>
        <w:rPr>
          <w:rFonts w:ascii="Times New Roman" w:eastAsia="Times New Roman" w:hAnsi="Times New Roman" w:cs="Times New Roman"/>
        </w:rPr>
        <w:t xml:space="preserve"> nintedanib</w:t>
      </w:r>
      <w:r w:rsidRPr="008B1CDC">
        <w:rPr>
          <w:rFonts w:ascii="Times New Roman" w:eastAsia="Times New Roman" w:hAnsi="Times New Roman" w:cs="Times New Roman"/>
        </w:rPr>
        <w:t xml:space="preserve"> FVC éves csökkentési ütemét mérséklő hatásának eredményét valamennyi előre</w:t>
      </w:r>
      <w:r w:rsidR="00F104A1">
        <w:rPr>
          <w:rFonts w:ascii="Times New Roman" w:eastAsia="Times New Roman" w:hAnsi="Times New Roman" w:cs="Times New Roman"/>
        </w:rPr>
        <w:t xml:space="preserve"> </w:t>
      </w:r>
      <w:r w:rsidRPr="008B1CDC">
        <w:rPr>
          <w:rFonts w:ascii="Times New Roman" w:eastAsia="Times New Roman" w:hAnsi="Times New Roman" w:cs="Times New Roman"/>
        </w:rPr>
        <w:t>meghatározott szenzitivitási elemzés megerősítette, és hasonló eredmények voltak megfigyelhetők az</w:t>
      </w:r>
      <w:r w:rsidR="00F104A1">
        <w:rPr>
          <w:rFonts w:ascii="Times New Roman" w:eastAsia="Times New Roman" w:hAnsi="Times New Roman" w:cs="Times New Roman"/>
        </w:rPr>
        <w:t xml:space="preserve"> </w:t>
      </w:r>
      <w:r w:rsidRPr="008B1CDC">
        <w:rPr>
          <w:rFonts w:ascii="Times New Roman" w:eastAsia="Times New Roman" w:hAnsi="Times New Roman" w:cs="Times New Roman"/>
        </w:rPr>
        <w:t>előre meghatározott hatékonysági alcsoportokban: nem, életkori csoport, rassz, az FVC várt %-os</w:t>
      </w:r>
      <w:r w:rsidR="00F104A1">
        <w:rPr>
          <w:rFonts w:ascii="Times New Roman" w:eastAsia="Times New Roman" w:hAnsi="Times New Roman" w:cs="Times New Roman"/>
        </w:rPr>
        <w:t xml:space="preserve"> </w:t>
      </w:r>
      <w:r w:rsidRPr="008B1CDC">
        <w:rPr>
          <w:rFonts w:ascii="Times New Roman" w:eastAsia="Times New Roman" w:hAnsi="Times New Roman" w:cs="Times New Roman"/>
        </w:rPr>
        <w:t>kiindulási értéke és a csoportok ILD hátterében álló eredeti alapdiagnózisai.</w:t>
      </w:r>
    </w:p>
    <w:p w14:paraId="0E1374FA" w14:textId="77777777" w:rsidR="008B1CDC" w:rsidRDefault="008B1CDC" w:rsidP="008B1CDC">
      <w:pPr>
        <w:rPr>
          <w:rFonts w:ascii="Times New Roman" w:eastAsia="Times New Roman" w:hAnsi="Times New Roman" w:cs="Times New Roman"/>
        </w:rPr>
      </w:pPr>
    </w:p>
    <w:p w14:paraId="74C13069" w14:textId="326028FA" w:rsidR="004B7455" w:rsidRDefault="008B1CDC" w:rsidP="008B1CDC">
      <w:pPr>
        <w:rPr>
          <w:rFonts w:ascii="Times New Roman" w:eastAsia="Times New Roman" w:hAnsi="Times New Roman" w:cs="Times New Roman"/>
        </w:rPr>
      </w:pPr>
      <w:r w:rsidRPr="008B1CDC">
        <w:rPr>
          <w:rFonts w:ascii="Times New Roman" w:eastAsia="Times New Roman" w:hAnsi="Times New Roman" w:cs="Times New Roman"/>
        </w:rPr>
        <w:t>A 3.</w:t>
      </w:r>
      <w:r w:rsidR="00980238">
        <w:rPr>
          <w:rFonts w:ascii="Times New Roman" w:eastAsia="Times New Roman" w:hAnsi="Times New Roman" w:cs="Times New Roman"/>
        </w:rPr>
        <w:t> </w:t>
      </w:r>
      <w:r w:rsidRPr="008B1CDC">
        <w:rPr>
          <w:rFonts w:ascii="Times New Roman" w:eastAsia="Times New Roman" w:hAnsi="Times New Roman" w:cs="Times New Roman"/>
        </w:rPr>
        <w:t>ábra az FVC változásának alakulását mutatja be a kiinduláshoz képest az idő függvényében a</w:t>
      </w:r>
      <w:r w:rsidR="00F104A1">
        <w:rPr>
          <w:rFonts w:ascii="Times New Roman" w:eastAsia="Times New Roman" w:hAnsi="Times New Roman" w:cs="Times New Roman"/>
        </w:rPr>
        <w:t xml:space="preserve"> </w:t>
      </w:r>
      <w:r w:rsidRPr="008B1CDC">
        <w:rPr>
          <w:rFonts w:ascii="Times New Roman" w:eastAsia="Times New Roman" w:hAnsi="Times New Roman" w:cs="Times New Roman"/>
        </w:rPr>
        <w:t>kezelési csoportokban.</w:t>
      </w:r>
    </w:p>
    <w:p w14:paraId="533B1365" w14:textId="77777777" w:rsidR="004B7455" w:rsidRDefault="004B7455" w:rsidP="009106D9">
      <w:pPr>
        <w:rPr>
          <w:rFonts w:ascii="Times New Roman" w:eastAsia="Times New Roman" w:hAnsi="Times New Roman" w:cs="Times New Roman"/>
        </w:rPr>
      </w:pPr>
    </w:p>
    <w:p w14:paraId="3DCC5936" w14:textId="6783E81E" w:rsidR="004B7455" w:rsidRPr="008B1CDC" w:rsidRDefault="008B1CDC" w:rsidP="00A5740F">
      <w:pPr>
        <w:keepNext/>
        <w:widowControl/>
        <w:rPr>
          <w:rFonts w:ascii="Times New Roman" w:eastAsia="Times New Roman" w:hAnsi="Times New Roman" w:cs="Times New Roman"/>
          <w:b/>
          <w:bCs/>
        </w:rPr>
      </w:pPr>
      <w:r w:rsidRPr="008B1CDC">
        <w:rPr>
          <w:rFonts w:ascii="Times New Roman" w:eastAsia="Times New Roman" w:hAnsi="Times New Roman" w:cs="Times New Roman"/>
          <w:b/>
          <w:bCs/>
        </w:rPr>
        <w:lastRenderedPageBreak/>
        <w:t>3. ábra Az FVC kiindulástól az 52. hétig megfigyelt változásának (ml) átlaga (SEM)</w:t>
      </w:r>
    </w:p>
    <w:p w14:paraId="551A4588" w14:textId="4152048A" w:rsidR="004B7455" w:rsidRDefault="008B1CDC" w:rsidP="00A5740F">
      <w:pPr>
        <w:keepNext/>
        <w:widowControl/>
        <w:rPr>
          <w:rFonts w:ascii="Times New Roman" w:eastAsia="Times New Roman" w:hAnsi="Times New Roman" w:cs="Times New Roman"/>
        </w:rPr>
      </w:pPr>
      <w:r>
        <w:rPr>
          <w:noProof/>
        </w:rPr>
        <w:drawing>
          <wp:inline distT="0" distB="0" distL="0" distR="0" wp14:anchorId="0284F8E7" wp14:editId="68AEB3BA">
            <wp:extent cx="5760085" cy="4029075"/>
            <wp:effectExtent l="0" t="0" r="0" b="9525"/>
            <wp:docPr id="504365346" name="Kép 1" descr="A képen szöveg, diagram, sor, Párhuzamo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65346" name="Kép 1" descr="A képen szöveg, diagram, sor, Párhuzamos látható&#10;&#10;Automatikusan generált leírás"/>
                    <pic:cNvPicPr/>
                  </pic:nvPicPr>
                  <pic:blipFill>
                    <a:blip r:embed="rId10"/>
                    <a:stretch>
                      <a:fillRect/>
                    </a:stretch>
                  </pic:blipFill>
                  <pic:spPr>
                    <a:xfrm>
                      <a:off x="0" y="0"/>
                      <a:ext cx="5760085" cy="4029075"/>
                    </a:xfrm>
                    <a:prstGeom prst="rect">
                      <a:avLst/>
                    </a:prstGeom>
                  </pic:spPr>
                </pic:pic>
              </a:graphicData>
            </a:graphic>
          </wp:inline>
        </w:drawing>
      </w:r>
    </w:p>
    <w:p w14:paraId="4BD06EFC" w14:textId="796E5E67" w:rsidR="004B7455" w:rsidRDefault="008B1CDC" w:rsidP="009106D9">
      <w:pPr>
        <w:rPr>
          <w:rFonts w:ascii="Times New Roman" w:eastAsia="Times New Roman" w:hAnsi="Times New Roman" w:cs="Times New Roman"/>
        </w:rPr>
      </w:pPr>
      <w:r w:rsidRPr="008B1CDC">
        <w:rPr>
          <w:rFonts w:ascii="Times New Roman" w:eastAsia="Times New Roman" w:hAnsi="Times New Roman" w:cs="Times New Roman"/>
        </w:rPr>
        <w:t>bid = naponta kétszer</w:t>
      </w:r>
    </w:p>
    <w:p w14:paraId="7CEAA921" w14:textId="77777777" w:rsidR="004B7455" w:rsidRDefault="004B7455" w:rsidP="009106D9">
      <w:pPr>
        <w:rPr>
          <w:rFonts w:ascii="Times New Roman" w:eastAsia="Times New Roman" w:hAnsi="Times New Roman" w:cs="Times New Roman"/>
        </w:rPr>
      </w:pPr>
    </w:p>
    <w:p w14:paraId="676B144F" w14:textId="54D959A5" w:rsidR="008B1CDC" w:rsidRPr="008B1CDC" w:rsidRDefault="008B1CDC" w:rsidP="008B1CDC">
      <w:pPr>
        <w:rPr>
          <w:rFonts w:ascii="Times New Roman" w:eastAsia="Times New Roman" w:hAnsi="Times New Roman" w:cs="Times New Roman"/>
        </w:rPr>
      </w:pPr>
      <w:r w:rsidRPr="008B1CDC">
        <w:rPr>
          <w:rFonts w:ascii="Times New Roman" w:eastAsia="Times New Roman" w:hAnsi="Times New Roman" w:cs="Times New Roman"/>
        </w:rPr>
        <w:t>Emellett a</w:t>
      </w:r>
      <w:r>
        <w:rPr>
          <w:rFonts w:ascii="Times New Roman" w:eastAsia="Times New Roman" w:hAnsi="Times New Roman" w:cs="Times New Roman"/>
        </w:rPr>
        <w:t xml:space="preserve"> nintedanib</w:t>
      </w:r>
      <w:r w:rsidRPr="008B1CDC">
        <w:rPr>
          <w:rFonts w:ascii="Times New Roman" w:eastAsia="Times New Roman" w:hAnsi="Times New Roman" w:cs="Times New Roman"/>
        </w:rPr>
        <w:t xml:space="preserve"> a kedvező hatását figyelték meg az FVC várt %-os értéke korrigált átlagának</w:t>
      </w:r>
      <w:r w:rsidR="00F104A1">
        <w:rPr>
          <w:rFonts w:ascii="Times New Roman" w:eastAsia="Times New Roman" w:hAnsi="Times New Roman" w:cs="Times New Roman"/>
        </w:rPr>
        <w:t xml:space="preserve"> </w:t>
      </w:r>
      <w:r w:rsidRPr="008B1CDC">
        <w:rPr>
          <w:rFonts w:ascii="Times New Roman" w:eastAsia="Times New Roman" w:hAnsi="Times New Roman" w:cs="Times New Roman"/>
        </w:rPr>
        <w:t>abszolút változására a kiindulástól az 52.</w:t>
      </w:r>
      <w:r w:rsidR="00980238">
        <w:rPr>
          <w:rFonts w:ascii="Times New Roman" w:eastAsia="Times New Roman" w:hAnsi="Times New Roman" w:cs="Times New Roman"/>
        </w:rPr>
        <w:t> </w:t>
      </w:r>
      <w:r w:rsidRPr="008B1CDC">
        <w:rPr>
          <w:rFonts w:ascii="Times New Roman" w:eastAsia="Times New Roman" w:hAnsi="Times New Roman" w:cs="Times New Roman"/>
        </w:rPr>
        <w:t>hétig. Az FVC várt %-os értéke korrigált átlagának abszolút</w:t>
      </w:r>
      <w:r w:rsidR="00F104A1">
        <w:rPr>
          <w:rFonts w:ascii="Times New Roman" w:eastAsia="Times New Roman" w:hAnsi="Times New Roman" w:cs="Times New Roman"/>
        </w:rPr>
        <w:t xml:space="preserve"> </w:t>
      </w:r>
      <w:r w:rsidRPr="008B1CDC">
        <w:rPr>
          <w:rFonts w:ascii="Times New Roman" w:eastAsia="Times New Roman" w:hAnsi="Times New Roman" w:cs="Times New Roman"/>
        </w:rPr>
        <w:t>változása a kiindulástól az 52.</w:t>
      </w:r>
      <w:r w:rsidR="00980238">
        <w:rPr>
          <w:rFonts w:ascii="Times New Roman" w:eastAsia="Times New Roman" w:hAnsi="Times New Roman" w:cs="Times New Roman"/>
        </w:rPr>
        <w:t> </w:t>
      </w:r>
      <w:r w:rsidRPr="008B1CDC">
        <w:rPr>
          <w:rFonts w:ascii="Times New Roman" w:eastAsia="Times New Roman" w:hAnsi="Times New Roman" w:cs="Times New Roman"/>
        </w:rPr>
        <w:t>hétig alacsonyabb volt a nintedanib-csoportban (-2,62%) mint a</w:t>
      </w:r>
      <w:r w:rsidR="00F104A1">
        <w:rPr>
          <w:rFonts w:ascii="Times New Roman" w:eastAsia="Times New Roman" w:hAnsi="Times New Roman" w:cs="Times New Roman"/>
        </w:rPr>
        <w:t xml:space="preserve"> </w:t>
      </w:r>
      <w:r w:rsidRPr="008B1CDC">
        <w:rPr>
          <w:rFonts w:ascii="Times New Roman" w:eastAsia="Times New Roman" w:hAnsi="Times New Roman" w:cs="Times New Roman"/>
        </w:rPr>
        <w:t>placebocsoportban (-5,86%). A korrigált átlag kezelési csoportok közötti különbsége 3,24 (95%-os CI:</w:t>
      </w:r>
      <w:r w:rsidR="00F104A1">
        <w:rPr>
          <w:rFonts w:ascii="Times New Roman" w:eastAsia="Times New Roman" w:hAnsi="Times New Roman" w:cs="Times New Roman"/>
        </w:rPr>
        <w:t xml:space="preserve"> </w:t>
      </w:r>
      <w:r w:rsidRPr="008B1CDC">
        <w:rPr>
          <w:rFonts w:ascii="Times New Roman" w:eastAsia="Times New Roman" w:hAnsi="Times New Roman" w:cs="Times New Roman"/>
        </w:rPr>
        <w:t>2,09; 4,40, nominális p &lt; 0,0001) volt.</w:t>
      </w:r>
    </w:p>
    <w:p w14:paraId="0408AB76" w14:textId="77777777" w:rsidR="008B1CDC" w:rsidRDefault="008B1CDC" w:rsidP="008B1CDC">
      <w:pPr>
        <w:rPr>
          <w:rFonts w:ascii="Times New Roman" w:eastAsia="Times New Roman" w:hAnsi="Times New Roman" w:cs="Times New Roman"/>
        </w:rPr>
      </w:pPr>
    </w:p>
    <w:p w14:paraId="11F71B5B" w14:textId="355B20DE" w:rsidR="008B1CDC" w:rsidRPr="008B1CDC" w:rsidRDefault="008B1CDC" w:rsidP="008B1CDC">
      <w:pPr>
        <w:rPr>
          <w:rFonts w:ascii="Times New Roman" w:eastAsia="Times New Roman" w:hAnsi="Times New Roman" w:cs="Times New Roman"/>
          <w:i/>
          <w:iCs/>
          <w:u w:val="single"/>
        </w:rPr>
      </w:pPr>
      <w:r w:rsidRPr="008B1CDC">
        <w:rPr>
          <w:rFonts w:ascii="Times New Roman" w:eastAsia="Times New Roman" w:hAnsi="Times New Roman" w:cs="Times New Roman"/>
          <w:i/>
          <w:iCs/>
          <w:u w:val="single"/>
        </w:rPr>
        <w:t>FVC reszponder elemzés</w:t>
      </w:r>
    </w:p>
    <w:p w14:paraId="03974F6A" w14:textId="4A4F749E" w:rsidR="004B7455" w:rsidRDefault="008B1CDC" w:rsidP="008B1CDC">
      <w:pPr>
        <w:rPr>
          <w:rFonts w:ascii="Times New Roman" w:eastAsia="Times New Roman" w:hAnsi="Times New Roman" w:cs="Times New Roman"/>
        </w:rPr>
      </w:pPr>
      <w:r w:rsidRPr="008B1CDC">
        <w:rPr>
          <w:rFonts w:ascii="Times New Roman" w:eastAsia="Times New Roman" w:hAnsi="Times New Roman" w:cs="Times New Roman"/>
        </w:rPr>
        <w:t>Az FVC alapján reszponder betegek – definíció szerint akiknél az FVC várt %-os értékében</w:t>
      </w:r>
      <w:r w:rsidR="00F104A1">
        <w:rPr>
          <w:rFonts w:ascii="Times New Roman" w:eastAsia="Times New Roman" w:hAnsi="Times New Roman" w:cs="Times New Roman"/>
        </w:rPr>
        <w:t xml:space="preserve"> </w:t>
      </w:r>
      <w:r w:rsidRPr="008B1CDC">
        <w:rPr>
          <w:rFonts w:ascii="Times New Roman" w:eastAsia="Times New Roman" w:hAnsi="Times New Roman" w:cs="Times New Roman"/>
        </w:rPr>
        <w:t>bekövetkező relatív csökkenés nem nagyobb mint 5% – aránya magasabb volt a</w:t>
      </w:r>
      <w:r>
        <w:rPr>
          <w:rFonts w:ascii="Times New Roman" w:eastAsia="Times New Roman" w:hAnsi="Times New Roman" w:cs="Times New Roman"/>
        </w:rPr>
        <w:t xml:space="preserve"> nintedanib</w:t>
      </w:r>
      <w:r w:rsidRPr="008B1CDC">
        <w:rPr>
          <w:rFonts w:ascii="Times New Roman" w:eastAsia="Times New Roman" w:hAnsi="Times New Roman" w:cs="Times New Roman"/>
        </w:rPr>
        <w:t>-csoportban,</w:t>
      </w:r>
      <w:r>
        <w:rPr>
          <w:rFonts w:ascii="Times New Roman" w:eastAsia="Times New Roman" w:hAnsi="Times New Roman" w:cs="Times New Roman"/>
        </w:rPr>
        <w:t xml:space="preserve"> </w:t>
      </w:r>
      <w:r w:rsidRPr="008B1CDC">
        <w:rPr>
          <w:rFonts w:ascii="Times New Roman" w:eastAsia="Times New Roman" w:hAnsi="Times New Roman" w:cs="Times New Roman"/>
        </w:rPr>
        <w:t>mint a placebocsoportban. Hasonló eredményeket figyeltek meg a 10%-os küszöbértéket alkalmazó</w:t>
      </w:r>
      <w:r>
        <w:rPr>
          <w:rFonts w:ascii="Times New Roman" w:eastAsia="Times New Roman" w:hAnsi="Times New Roman" w:cs="Times New Roman"/>
        </w:rPr>
        <w:t xml:space="preserve"> </w:t>
      </w:r>
      <w:r w:rsidRPr="008B1CDC">
        <w:rPr>
          <w:rFonts w:ascii="Times New Roman" w:eastAsia="Times New Roman" w:hAnsi="Times New Roman" w:cs="Times New Roman"/>
        </w:rPr>
        <w:t>elemzésekben (</w:t>
      </w:r>
      <w:r w:rsidR="00AA446A">
        <w:rPr>
          <w:rFonts w:ascii="Times New Roman" w:eastAsia="Times New Roman" w:hAnsi="Times New Roman" w:cs="Times New Roman"/>
        </w:rPr>
        <w:t>10</w:t>
      </w:r>
      <w:r w:rsidRPr="008B1CDC">
        <w:rPr>
          <w:rFonts w:ascii="Times New Roman" w:eastAsia="Times New Roman" w:hAnsi="Times New Roman" w:cs="Times New Roman"/>
        </w:rPr>
        <w:t>.</w:t>
      </w:r>
      <w:r w:rsidR="00980238">
        <w:rPr>
          <w:rFonts w:ascii="Times New Roman" w:eastAsia="Times New Roman" w:hAnsi="Times New Roman" w:cs="Times New Roman"/>
        </w:rPr>
        <w:t> </w:t>
      </w:r>
      <w:r w:rsidRPr="008B1CDC">
        <w:rPr>
          <w:rFonts w:ascii="Times New Roman" w:eastAsia="Times New Roman" w:hAnsi="Times New Roman" w:cs="Times New Roman"/>
        </w:rPr>
        <w:t>táblázat).</w:t>
      </w:r>
    </w:p>
    <w:p w14:paraId="2BEF506B" w14:textId="77777777" w:rsidR="004B7455" w:rsidRDefault="004B7455" w:rsidP="009106D9">
      <w:pPr>
        <w:rPr>
          <w:rFonts w:ascii="Times New Roman" w:eastAsia="Times New Roman" w:hAnsi="Times New Roman" w:cs="Times New Roman"/>
        </w:rPr>
      </w:pPr>
    </w:p>
    <w:p w14:paraId="17708C99" w14:textId="6539B653" w:rsidR="004B7455" w:rsidRPr="008B1CDC" w:rsidRDefault="00AA446A" w:rsidP="009106D9">
      <w:pPr>
        <w:rPr>
          <w:rFonts w:ascii="Times New Roman" w:eastAsia="Times New Roman" w:hAnsi="Times New Roman" w:cs="Times New Roman"/>
          <w:b/>
          <w:bCs/>
        </w:rPr>
      </w:pPr>
      <w:r>
        <w:rPr>
          <w:rFonts w:ascii="Times New Roman" w:eastAsia="Times New Roman" w:hAnsi="Times New Roman" w:cs="Times New Roman"/>
          <w:b/>
          <w:bCs/>
        </w:rPr>
        <w:t>10</w:t>
      </w:r>
      <w:r w:rsidR="008B1CDC" w:rsidRPr="008B1CDC">
        <w:rPr>
          <w:rFonts w:ascii="Times New Roman" w:eastAsia="Times New Roman" w:hAnsi="Times New Roman" w:cs="Times New Roman"/>
          <w:b/>
          <w:bCs/>
        </w:rPr>
        <w:t>. táblázat: Az FVC reszponderek aránya az 52. héten az INBUILD vizsgálatban</w:t>
      </w:r>
    </w:p>
    <w:tbl>
      <w:tblPr>
        <w:tblStyle w:val="Rcsostblzat"/>
        <w:tblW w:w="0" w:type="auto"/>
        <w:tblLook w:val="04A0" w:firstRow="1" w:lastRow="0" w:firstColumn="1" w:lastColumn="0" w:noHBand="0" w:noVBand="1"/>
      </w:tblPr>
      <w:tblGrid>
        <w:gridCol w:w="3539"/>
        <w:gridCol w:w="2268"/>
        <w:gridCol w:w="3254"/>
      </w:tblGrid>
      <w:tr w:rsidR="008B1CDC" w:rsidRPr="008B1CDC" w14:paraId="31983B4C" w14:textId="77777777" w:rsidTr="008B1CDC">
        <w:tc>
          <w:tcPr>
            <w:tcW w:w="3539" w:type="dxa"/>
          </w:tcPr>
          <w:p w14:paraId="13B3EA09" w14:textId="77777777" w:rsidR="008B1CDC" w:rsidRPr="008B1CDC" w:rsidRDefault="008B1CDC" w:rsidP="008B1CDC">
            <w:pPr>
              <w:rPr>
                <w:rFonts w:ascii="Times New Roman" w:eastAsia="Times New Roman" w:hAnsi="Times New Roman" w:cs="Times New Roman"/>
                <w:lang w:val="en-GB"/>
              </w:rPr>
            </w:pPr>
          </w:p>
        </w:tc>
        <w:tc>
          <w:tcPr>
            <w:tcW w:w="2268" w:type="dxa"/>
          </w:tcPr>
          <w:p w14:paraId="78260441" w14:textId="77777777" w:rsidR="008B1CDC" w:rsidRPr="008B1CDC" w:rsidRDefault="008B1CDC" w:rsidP="002C4DBC">
            <w:pPr>
              <w:jc w:val="center"/>
              <w:rPr>
                <w:rFonts w:ascii="Times New Roman" w:eastAsia="Times New Roman" w:hAnsi="Times New Roman" w:cs="Times New Roman"/>
                <w:lang w:val="en-GB"/>
              </w:rPr>
            </w:pPr>
            <w:r w:rsidRPr="008B1CDC">
              <w:rPr>
                <w:rFonts w:ascii="Times New Roman" w:eastAsia="Times New Roman" w:hAnsi="Times New Roman" w:cs="Times New Roman"/>
                <w:lang w:val="en-GB"/>
              </w:rPr>
              <w:t>Placebo</w:t>
            </w:r>
          </w:p>
        </w:tc>
        <w:tc>
          <w:tcPr>
            <w:tcW w:w="3254" w:type="dxa"/>
          </w:tcPr>
          <w:p w14:paraId="657E192A" w14:textId="384A5739" w:rsidR="008B1CDC" w:rsidRPr="008B1CDC" w:rsidRDefault="008B1CDC" w:rsidP="002C4DBC">
            <w:pPr>
              <w:jc w:val="center"/>
              <w:rPr>
                <w:rFonts w:ascii="Times New Roman" w:eastAsia="Times New Roman" w:hAnsi="Times New Roman" w:cs="Times New Roman"/>
                <w:lang w:val="en-GB"/>
              </w:rPr>
            </w:pPr>
            <w:r w:rsidRPr="008B1CDC">
              <w:rPr>
                <w:rFonts w:ascii="Times New Roman" w:eastAsia="Times New Roman" w:hAnsi="Times New Roman" w:cs="Times New Roman"/>
                <w:lang w:val="en-GB"/>
              </w:rPr>
              <w:t xml:space="preserve">Nintedanib 150 mg </w:t>
            </w:r>
            <w:r>
              <w:rPr>
                <w:rFonts w:ascii="Times New Roman" w:eastAsia="Times New Roman" w:hAnsi="Times New Roman" w:cs="Times New Roman"/>
                <w:lang w:val="en-GB"/>
              </w:rPr>
              <w:t>napi kétszer</w:t>
            </w:r>
          </w:p>
        </w:tc>
      </w:tr>
      <w:tr w:rsidR="008B1CDC" w:rsidRPr="008B1CDC" w14:paraId="6EA94202" w14:textId="77777777" w:rsidTr="008B1CDC">
        <w:tc>
          <w:tcPr>
            <w:tcW w:w="3539" w:type="dxa"/>
          </w:tcPr>
          <w:p w14:paraId="3827A0AF" w14:textId="7AB01C97" w:rsidR="008B1CDC" w:rsidRPr="002E182A" w:rsidRDefault="008B1CDC" w:rsidP="008B1CDC">
            <w:pPr>
              <w:rPr>
                <w:rFonts w:ascii="Times New Roman" w:eastAsia="Times New Roman" w:hAnsi="Times New Roman" w:cs="Times New Roman"/>
                <w:lang w:val="de-DE"/>
              </w:rPr>
            </w:pPr>
            <w:r w:rsidRPr="002E182A">
              <w:rPr>
                <w:rFonts w:ascii="Times New Roman" w:eastAsia="Times New Roman" w:hAnsi="Times New Roman" w:cs="Times New Roman"/>
                <w:lang w:val="de-DE"/>
              </w:rPr>
              <w:t>Az elemzésbe bevont betegek száma</w:t>
            </w:r>
          </w:p>
        </w:tc>
        <w:tc>
          <w:tcPr>
            <w:tcW w:w="2268" w:type="dxa"/>
          </w:tcPr>
          <w:p w14:paraId="634C3DC0" w14:textId="77777777" w:rsidR="008B1CDC" w:rsidRPr="008B1CDC" w:rsidRDefault="008B1CDC" w:rsidP="002C4DBC">
            <w:pPr>
              <w:jc w:val="center"/>
              <w:rPr>
                <w:rFonts w:ascii="Times New Roman" w:eastAsia="Times New Roman" w:hAnsi="Times New Roman" w:cs="Times New Roman"/>
                <w:lang w:val="en-GB"/>
              </w:rPr>
            </w:pPr>
            <w:r w:rsidRPr="008B1CDC">
              <w:rPr>
                <w:rFonts w:ascii="Times New Roman" w:eastAsia="Times New Roman" w:hAnsi="Times New Roman" w:cs="Times New Roman"/>
                <w:lang w:val="en-GB"/>
              </w:rPr>
              <w:t>331</w:t>
            </w:r>
          </w:p>
        </w:tc>
        <w:tc>
          <w:tcPr>
            <w:tcW w:w="3254" w:type="dxa"/>
          </w:tcPr>
          <w:p w14:paraId="7EE9E954" w14:textId="77777777" w:rsidR="008B1CDC" w:rsidRPr="008B1CDC" w:rsidRDefault="008B1CDC" w:rsidP="002C4DBC">
            <w:pPr>
              <w:jc w:val="center"/>
              <w:rPr>
                <w:rFonts w:ascii="Times New Roman" w:eastAsia="Times New Roman" w:hAnsi="Times New Roman" w:cs="Times New Roman"/>
                <w:lang w:val="en-GB"/>
              </w:rPr>
            </w:pPr>
            <w:r w:rsidRPr="008B1CDC">
              <w:rPr>
                <w:rFonts w:ascii="Times New Roman" w:eastAsia="Times New Roman" w:hAnsi="Times New Roman" w:cs="Times New Roman"/>
                <w:lang w:val="en-GB"/>
              </w:rPr>
              <w:t>332</w:t>
            </w:r>
          </w:p>
        </w:tc>
      </w:tr>
      <w:tr w:rsidR="008B1CDC" w:rsidRPr="008B1CDC" w14:paraId="7F30E71A" w14:textId="77777777" w:rsidTr="00E0772D">
        <w:tc>
          <w:tcPr>
            <w:tcW w:w="9061" w:type="dxa"/>
            <w:gridSpan w:val="3"/>
          </w:tcPr>
          <w:p w14:paraId="6E5648BA" w14:textId="1E64863E" w:rsidR="008B1CDC" w:rsidRPr="008B1CDC" w:rsidRDefault="008B1CDC" w:rsidP="008B1CDC">
            <w:pPr>
              <w:rPr>
                <w:rFonts w:ascii="Times New Roman" w:eastAsia="Times New Roman" w:hAnsi="Times New Roman" w:cs="Times New Roman"/>
                <w:b/>
                <w:bCs/>
                <w:lang w:val="en-GB"/>
              </w:rPr>
            </w:pPr>
            <w:r w:rsidRPr="008B1CDC">
              <w:rPr>
                <w:rFonts w:ascii="Times New Roman" w:eastAsia="Times New Roman" w:hAnsi="Times New Roman" w:cs="Times New Roman"/>
                <w:b/>
                <w:bCs/>
                <w:lang w:val="en-GB"/>
              </w:rPr>
              <w:t>5%-os küszöbérték</w:t>
            </w:r>
          </w:p>
        </w:tc>
      </w:tr>
      <w:tr w:rsidR="008B1CDC" w:rsidRPr="008B1CDC" w14:paraId="44E03E8F" w14:textId="77777777" w:rsidTr="008B1CDC">
        <w:tc>
          <w:tcPr>
            <w:tcW w:w="3539" w:type="dxa"/>
          </w:tcPr>
          <w:p w14:paraId="121EC111" w14:textId="02E3610C" w:rsidR="008B1CDC" w:rsidRPr="008B1CDC" w:rsidRDefault="008B1CDC" w:rsidP="008B1CDC">
            <w:pPr>
              <w:rPr>
                <w:rFonts w:ascii="Times New Roman" w:eastAsia="Times New Roman" w:hAnsi="Times New Roman" w:cs="Times New Roman"/>
                <w:lang w:val="en-GB"/>
              </w:rPr>
            </w:pPr>
            <w:r w:rsidRPr="008B1CDC">
              <w:rPr>
                <w:rFonts w:ascii="Times New Roman" w:eastAsia="Times New Roman" w:hAnsi="Times New Roman" w:cs="Times New Roman"/>
                <w:lang w:val="en-GB"/>
              </w:rPr>
              <w:t>FVC reszponderek száma (%)</w:t>
            </w:r>
            <w:r w:rsidRPr="008B1CDC">
              <w:rPr>
                <w:rFonts w:ascii="Times New Roman" w:eastAsia="Times New Roman" w:hAnsi="Times New Roman" w:cs="Times New Roman"/>
                <w:vertAlign w:val="superscript"/>
                <w:lang w:val="en-GB"/>
              </w:rPr>
              <w:t>1</w:t>
            </w:r>
          </w:p>
        </w:tc>
        <w:tc>
          <w:tcPr>
            <w:tcW w:w="2268" w:type="dxa"/>
          </w:tcPr>
          <w:p w14:paraId="40E15CF4" w14:textId="0C2F4218" w:rsidR="008B1CDC" w:rsidRPr="008B1CDC" w:rsidRDefault="008B1CDC" w:rsidP="002C4DBC">
            <w:pPr>
              <w:jc w:val="center"/>
              <w:rPr>
                <w:rFonts w:ascii="Times New Roman" w:eastAsia="Times New Roman" w:hAnsi="Times New Roman" w:cs="Times New Roman"/>
                <w:lang w:val="en-GB"/>
              </w:rPr>
            </w:pPr>
            <w:r w:rsidRPr="008B1CDC">
              <w:rPr>
                <w:rFonts w:ascii="Times New Roman" w:eastAsia="Times New Roman" w:hAnsi="Times New Roman" w:cs="Times New Roman"/>
                <w:lang w:val="en-GB"/>
              </w:rPr>
              <w:t>104 (31</w:t>
            </w:r>
            <w:r w:rsidR="00FB43C7">
              <w:rPr>
                <w:rFonts w:ascii="Times New Roman" w:eastAsia="Times New Roman" w:hAnsi="Times New Roman" w:cs="Times New Roman"/>
                <w:lang w:val="en-GB"/>
              </w:rPr>
              <w:t>,</w:t>
            </w:r>
            <w:r w:rsidRPr="008B1CDC">
              <w:rPr>
                <w:rFonts w:ascii="Times New Roman" w:eastAsia="Times New Roman" w:hAnsi="Times New Roman" w:cs="Times New Roman"/>
                <w:lang w:val="en-GB"/>
              </w:rPr>
              <w:t>4)</w:t>
            </w:r>
          </w:p>
        </w:tc>
        <w:tc>
          <w:tcPr>
            <w:tcW w:w="3254" w:type="dxa"/>
          </w:tcPr>
          <w:p w14:paraId="20B7C3D3" w14:textId="0C074320" w:rsidR="008B1CDC" w:rsidRPr="008B1CDC" w:rsidRDefault="008B1CDC" w:rsidP="002C4DBC">
            <w:pPr>
              <w:jc w:val="center"/>
              <w:rPr>
                <w:rFonts w:ascii="Times New Roman" w:eastAsia="Times New Roman" w:hAnsi="Times New Roman" w:cs="Times New Roman"/>
                <w:lang w:val="en-GB"/>
              </w:rPr>
            </w:pPr>
            <w:r w:rsidRPr="008B1CDC">
              <w:rPr>
                <w:rFonts w:ascii="Times New Roman" w:eastAsia="Times New Roman" w:hAnsi="Times New Roman" w:cs="Times New Roman"/>
                <w:lang w:val="en-GB"/>
              </w:rPr>
              <w:t>158 (47</w:t>
            </w:r>
            <w:r w:rsidR="00FB43C7">
              <w:rPr>
                <w:rFonts w:ascii="Times New Roman" w:eastAsia="Times New Roman" w:hAnsi="Times New Roman" w:cs="Times New Roman"/>
                <w:lang w:val="en-GB"/>
              </w:rPr>
              <w:t>,</w:t>
            </w:r>
            <w:r w:rsidRPr="008B1CDC">
              <w:rPr>
                <w:rFonts w:ascii="Times New Roman" w:eastAsia="Times New Roman" w:hAnsi="Times New Roman" w:cs="Times New Roman"/>
                <w:lang w:val="en-GB"/>
              </w:rPr>
              <w:t>6)</w:t>
            </w:r>
          </w:p>
        </w:tc>
      </w:tr>
      <w:tr w:rsidR="008B1CDC" w:rsidRPr="008B1CDC" w14:paraId="6F7B8183" w14:textId="77777777" w:rsidTr="00E0772D">
        <w:tc>
          <w:tcPr>
            <w:tcW w:w="9061" w:type="dxa"/>
            <w:gridSpan w:val="3"/>
          </w:tcPr>
          <w:p w14:paraId="69CCC3AC" w14:textId="1D848CFF" w:rsidR="008B1CDC" w:rsidRPr="008B1CDC" w:rsidRDefault="008B1CDC" w:rsidP="008B1CDC">
            <w:pPr>
              <w:rPr>
                <w:rFonts w:ascii="Times New Roman" w:eastAsia="Times New Roman" w:hAnsi="Times New Roman" w:cs="Times New Roman"/>
                <w:lang w:val="en-GB"/>
              </w:rPr>
            </w:pPr>
            <w:r w:rsidRPr="008B1CDC">
              <w:rPr>
                <w:rFonts w:ascii="Times New Roman" w:eastAsia="Times New Roman" w:hAnsi="Times New Roman" w:cs="Times New Roman"/>
                <w:lang w:val="en-GB"/>
              </w:rPr>
              <w:t>Összehasonlítás placebóhoz képest</w:t>
            </w:r>
          </w:p>
        </w:tc>
      </w:tr>
      <w:tr w:rsidR="008B1CDC" w:rsidRPr="008B1CDC" w14:paraId="0F053C4C" w14:textId="77777777" w:rsidTr="008B1CDC">
        <w:tc>
          <w:tcPr>
            <w:tcW w:w="3539" w:type="dxa"/>
          </w:tcPr>
          <w:p w14:paraId="70246B3C" w14:textId="0C4690DA" w:rsidR="008B1CDC" w:rsidRPr="008B1CDC" w:rsidRDefault="008B1CDC" w:rsidP="008B1CDC">
            <w:pPr>
              <w:rPr>
                <w:rFonts w:ascii="Times New Roman" w:eastAsia="Times New Roman" w:hAnsi="Times New Roman" w:cs="Times New Roman"/>
                <w:lang w:val="en-GB"/>
              </w:rPr>
            </w:pPr>
            <w:r w:rsidRPr="008B1CDC">
              <w:rPr>
                <w:rFonts w:ascii="Times New Roman" w:eastAsia="Times New Roman" w:hAnsi="Times New Roman" w:cs="Times New Roman"/>
                <w:lang w:val="en-GB"/>
              </w:rPr>
              <w:t>Esélyhányados²</w:t>
            </w:r>
          </w:p>
        </w:tc>
        <w:tc>
          <w:tcPr>
            <w:tcW w:w="2268" w:type="dxa"/>
          </w:tcPr>
          <w:p w14:paraId="4032C552" w14:textId="77777777" w:rsidR="008B1CDC" w:rsidRPr="008B1CDC" w:rsidRDefault="008B1CDC" w:rsidP="008B1CDC">
            <w:pPr>
              <w:rPr>
                <w:rFonts w:ascii="Times New Roman" w:eastAsia="Times New Roman" w:hAnsi="Times New Roman" w:cs="Times New Roman"/>
                <w:lang w:val="en-GB"/>
              </w:rPr>
            </w:pPr>
          </w:p>
        </w:tc>
        <w:tc>
          <w:tcPr>
            <w:tcW w:w="3254" w:type="dxa"/>
          </w:tcPr>
          <w:p w14:paraId="76C8C39C" w14:textId="0DA6E324" w:rsidR="008B1CDC" w:rsidRPr="008B1CDC" w:rsidRDefault="008B1CDC" w:rsidP="002C4DBC">
            <w:pPr>
              <w:jc w:val="center"/>
              <w:rPr>
                <w:rFonts w:ascii="Times New Roman" w:eastAsia="Times New Roman" w:hAnsi="Times New Roman" w:cs="Times New Roman"/>
                <w:lang w:val="en-GB"/>
              </w:rPr>
            </w:pPr>
            <w:r w:rsidRPr="008B1CDC">
              <w:rPr>
                <w:rFonts w:ascii="Times New Roman" w:eastAsia="Times New Roman" w:hAnsi="Times New Roman" w:cs="Times New Roman"/>
                <w:lang w:val="en-GB"/>
              </w:rPr>
              <w:t>2</w:t>
            </w:r>
            <w:r w:rsidR="00FB43C7">
              <w:rPr>
                <w:rFonts w:ascii="Times New Roman" w:eastAsia="Times New Roman" w:hAnsi="Times New Roman" w:cs="Times New Roman"/>
                <w:lang w:val="en-GB"/>
              </w:rPr>
              <w:t>,</w:t>
            </w:r>
            <w:r w:rsidRPr="008B1CDC">
              <w:rPr>
                <w:rFonts w:ascii="Times New Roman" w:eastAsia="Times New Roman" w:hAnsi="Times New Roman" w:cs="Times New Roman"/>
                <w:lang w:val="en-GB"/>
              </w:rPr>
              <w:t>01</w:t>
            </w:r>
          </w:p>
        </w:tc>
      </w:tr>
      <w:tr w:rsidR="008B1CDC" w:rsidRPr="008B1CDC" w14:paraId="76BC4FD2" w14:textId="77777777" w:rsidTr="008B1CDC">
        <w:tc>
          <w:tcPr>
            <w:tcW w:w="3539" w:type="dxa"/>
          </w:tcPr>
          <w:p w14:paraId="56E6F691" w14:textId="01E4772B" w:rsidR="008B1CDC" w:rsidRPr="008B1CDC" w:rsidRDefault="008B1CDC" w:rsidP="008B1CDC">
            <w:pPr>
              <w:rPr>
                <w:rFonts w:ascii="Times New Roman" w:eastAsia="Times New Roman" w:hAnsi="Times New Roman" w:cs="Times New Roman"/>
                <w:lang w:val="en-GB"/>
              </w:rPr>
            </w:pPr>
            <w:r w:rsidRPr="008B1CDC">
              <w:rPr>
                <w:rFonts w:ascii="Times New Roman" w:eastAsia="Times New Roman" w:hAnsi="Times New Roman" w:cs="Times New Roman"/>
                <w:lang w:val="en-GB"/>
              </w:rPr>
              <w:t>95%</w:t>
            </w:r>
            <w:r>
              <w:rPr>
                <w:rFonts w:ascii="Times New Roman" w:eastAsia="Times New Roman" w:hAnsi="Times New Roman" w:cs="Times New Roman"/>
                <w:lang w:val="en-GB"/>
              </w:rPr>
              <w:t>-os</w:t>
            </w:r>
            <w:r w:rsidRPr="008B1CDC">
              <w:rPr>
                <w:rFonts w:ascii="Times New Roman" w:eastAsia="Times New Roman" w:hAnsi="Times New Roman" w:cs="Times New Roman"/>
                <w:lang w:val="en-GB"/>
              </w:rPr>
              <w:t xml:space="preserve"> CI</w:t>
            </w:r>
          </w:p>
        </w:tc>
        <w:tc>
          <w:tcPr>
            <w:tcW w:w="2268" w:type="dxa"/>
          </w:tcPr>
          <w:p w14:paraId="758DF309" w14:textId="77777777" w:rsidR="008B1CDC" w:rsidRPr="008B1CDC" w:rsidRDefault="008B1CDC" w:rsidP="008B1CDC">
            <w:pPr>
              <w:rPr>
                <w:rFonts w:ascii="Times New Roman" w:eastAsia="Times New Roman" w:hAnsi="Times New Roman" w:cs="Times New Roman"/>
                <w:lang w:val="en-GB"/>
              </w:rPr>
            </w:pPr>
          </w:p>
        </w:tc>
        <w:tc>
          <w:tcPr>
            <w:tcW w:w="3254" w:type="dxa"/>
          </w:tcPr>
          <w:p w14:paraId="61B1A2B8" w14:textId="6D25D243" w:rsidR="008B1CDC" w:rsidRPr="008B1CDC" w:rsidRDefault="008B1CDC" w:rsidP="002C4DBC">
            <w:pPr>
              <w:jc w:val="center"/>
              <w:rPr>
                <w:rFonts w:ascii="Times New Roman" w:eastAsia="Times New Roman" w:hAnsi="Times New Roman" w:cs="Times New Roman"/>
                <w:lang w:val="en-GB"/>
              </w:rPr>
            </w:pPr>
            <w:r w:rsidRPr="008B1CDC">
              <w:rPr>
                <w:rFonts w:ascii="Times New Roman" w:eastAsia="Times New Roman" w:hAnsi="Times New Roman" w:cs="Times New Roman"/>
                <w:lang w:val="en-GB"/>
              </w:rPr>
              <w:t>(1</w:t>
            </w:r>
            <w:r w:rsidR="00FB43C7">
              <w:rPr>
                <w:rFonts w:ascii="Times New Roman" w:eastAsia="Times New Roman" w:hAnsi="Times New Roman" w:cs="Times New Roman"/>
                <w:lang w:val="en-GB"/>
              </w:rPr>
              <w:t>,</w:t>
            </w:r>
            <w:r w:rsidRPr="008B1CDC">
              <w:rPr>
                <w:rFonts w:ascii="Times New Roman" w:eastAsia="Times New Roman" w:hAnsi="Times New Roman" w:cs="Times New Roman"/>
                <w:lang w:val="en-GB"/>
              </w:rPr>
              <w:t>46, 2</w:t>
            </w:r>
            <w:r w:rsidR="00FB43C7">
              <w:rPr>
                <w:rFonts w:ascii="Times New Roman" w:eastAsia="Times New Roman" w:hAnsi="Times New Roman" w:cs="Times New Roman"/>
                <w:lang w:val="en-GB"/>
              </w:rPr>
              <w:t>,</w:t>
            </w:r>
            <w:r w:rsidRPr="008B1CDC">
              <w:rPr>
                <w:rFonts w:ascii="Times New Roman" w:eastAsia="Times New Roman" w:hAnsi="Times New Roman" w:cs="Times New Roman"/>
                <w:lang w:val="en-GB"/>
              </w:rPr>
              <w:t>76)</w:t>
            </w:r>
          </w:p>
        </w:tc>
      </w:tr>
      <w:tr w:rsidR="008B1CDC" w:rsidRPr="008B1CDC" w14:paraId="0E810F97" w14:textId="77777777" w:rsidTr="008B1CDC">
        <w:tc>
          <w:tcPr>
            <w:tcW w:w="3539" w:type="dxa"/>
          </w:tcPr>
          <w:p w14:paraId="314F2978" w14:textId="15C7EA8C" w:rsidR="008B1CDC" w:rsidRPr="008B1CDC" w:rsidRDefault="008B1CDC" w:rsidP="008B1CDC">
            <w:pPr>
              <w:rPr>
                <w:rFonts w:ascii="Times New Roman" w:eastAsia="Times New Roman" w:hAnsi="Times New Roman" w:cs="Times New Roman"/>
                <w:lang w:val="en-GB"/>
              </w:rPr>
            </w:pPr>
            <w:r w:rsidRPr="008B1CDC">
              <w:rPr>
                <w:rFonts w:ascii="Times New Roman" w:eastAsia="Times New Roman" w:hAnsi="Times New Roman" w:cs="Times New Roman"/>
                <w:lang w:val="en-GB"/>
              </w:rPr>
              <w:t>Nomin</w:t>
            </w:r>
            <w:r>
              <w:rPr>
                <w:rFonts w:ascii="Times New Roman" w:eastAsia="Times New Roman" w:hAnsi="Times New Roman" w:cs="Times New Roman"/>
                <w:lang w:val="en-GB"/>
              </w:rPr>
              <w:t>ális</w:t>
            </w:r>
            <w:r w:rsidRPr="008B1CDC">
              <w:rPr>
                <w:rFonts w:ascii="Times New Roman" w:eastAsia="Times New Roman" w:hAnsi="Times New Roman" w:cs="Times New Roman"/>
                <w:lang w:val="en-GB"/>
              </w:rPr>
              <w:t xml:space="preserve"> p-</w:t>
            </w:r>
            <w:r>
              <w:rPr>
                <w:rFonts w:ascii="Times New Roman" w:eastAsia="Times New Roman" w:hAnsi="Times New Roman" w:cs="Times New Roman"/>
                <w:lang w:val="en-GB"/>
              </w:rPr>
              <w:t>érték</w:t>
            </w:r>
          </w:p>
        </w:tc>
        <w:tc>
          <w:tcPr>
            <w:tcW w:w="2268" w:type="dxa"/>
          </w:tcPr>
          <w:p w14:paraId="44F6B5F0" w14:textId="77777777" w:rsidR="008B1CDC" w:rsidRPr="008B1CDC" w:rsidRDefault="008B1CDC" w:rsidP="008B1CDC">
            <w:pPr>
              <w:rPr>
                <w:rFonts w:ascii="Times New Roman" w:eastAsia="Times New Roman" w:hAnsi="Times New Roman" w:cs="Times New Roman"/>
                <w:lang w:val="en-GB"/>
              </w:rPr>
            </w:pPr>
          </w:p>
        </w:tc>
        <w:tc>
          <w:tcPr>
            <w:tcW w:w="3254" w:type="dxa"/>
          </w:tcPr>
          <w:p w14:paraId="47AE8DC1" w14:textId="5F003D63" w:rsidR="008B1CDC" w:rsidRPr="008B1CDC" w:rsidRDefault="008B1CDC" w:rsidP="002C4DBC">
            <w:pPr>
              <w:jc w:val="center"/>
              <w:rPr>
                <w:rFonts w:ascii="Times New Roman" w:eastAsia="Times New Roman" w:hAnsi="Times New Roman" w:cs="Times New Roman"/>
                <w:lang w:val="en-GB"/>
              </w:rPr>
            </w:pPr>
            <w:r w:rsidRPr="008B1CDC">
              <w:rPr>
                <w:rFonts w:ascii="Times New Roman" w:eastAsia="Times New Roman" w:hAnsi="Times New Roman" w:cs="Times New Roman"/>
                <w:lang w:val="en-GB"/>
              </w:rPr>
              <w:t>&lt; 0</w:t>
            </w:r>
            <w:r w:rsidR="00FB43C7">
              <w:rPr>
                <w:rFonts w:ascii="Times New Roman" w:eastAsia="Times New Roman" w:hAnsi="Times New Roman" w:cs="Times New Roman"/>
                <w:lang w:val="en-GB"/>
              </w:rPr>
              <w:t>,</w:t>
            </w:r>
            <w:r w:rsidRPr="008B1CDC">
              <w:rPr>
                <w:rFonts w:ascii="Times New Roman" w:eastAsia="Times New Roman" w:hAnsi="Times New Roman" w:cs="Times New Roman"/>
                <w:lang w:val="en-GB"/>
              </w:rPr>
              <w:t>0001</w:t>
            </w:r>
          </w:p>
        </w:tc>
      </w:tr>
      <w:tr w:rsidR="008B1CDC" w:rsidRPr="008B1CDC" w14:paraId="1272B22F" w14:textId="77777777" w:rsidTr="00E0772D">
        <w:tc>
          <w:tcPr>
            <w:tcW w:w="9061" w:type="dxa"/>
            <w:gridSpan w:val="3"/>
          </w:tcPr>
          <w:p w14:paraId="083FCB9B" w14:textId="15ADE281" w:rsidR="008B1CDC" w:rsidRPr="008B1CDC" w:rsidRDefault="008B1CDC" w:rsidP="008B1CDC">
            <w:pPr>
              <w:rPr>
                <w:rFonts w:ascii="Times New Roman" w:eastAsia="Times New Roman" w:hAnsi="Times New Roman" w:cs="Times New Roman"/>
                <w:b/>
                <w:bCs/>
                <w:lang w:val="en-GB"/>
              </w:rPr>
            </w:pPr>
            <w:r w:rsidRPr="008B1CDC">
              <w:rPr>
                <w:rFonts w:ascii="Times New Roman" w:eastAsia="Times New Roman" w:hAnsi="Times New Roman" w:cs="Times New Roman"/>
                <w:b/>
                <w:bCs/>
                <w:lang w:val="en-GB"/>
              </w:rPr>
              <w:t>10%-os küszöbérték</w:t>
            </w:r>
          </w:p>
        </w:tc>
      </w:tr>
      <w:tr w:rsidR="008B1CDC" w:rsidRPr="008B1CDC" w14:paraId="7ECA5859" w14:textId="77777777" w:rsidTr="008B1CDC">
        <w:tc>
          <w:tcPr>
            <w:tcW w:w="3539" w:type="dxa"/>
          </w:tcPr>
          <w:p w14:paraId="563363D1" w14:textId="5D21FAFC" w:rsidR="008B1CDC" w:rsidRPr="008B1CDC" w:rsidRDefault="008B1CDC" w:rsidP="008B1CDC">
            <w:pPr>
              <w:rPr>
                <w:rFonts w:ascii="Times New Roman" w:eastAsia="Times New Roman" w:hAnsi="Times New Roman" w:cs="Times New Roman"/>
                <w:lang w:val="en-GB"/>
              </w:rPr>
            </w:pPr>
            <w:r w:rsidRPr="008B1CDC">
              <w:rPr>
                <w:rFonts w:ascii="Times New Roman" w:eastAsia="Times New Roman" w:hAnsi="Times New Roman" w:cs="Times New Roman"/>
                <w:lang w:val="en-GB"/>
              </w:rPr>
              <w:t>FVC reszponderek száma (%)</w:t>
            </w:r>
            <w:r w:rsidRPr="008B1CDC">
              <w:rPr>
                <w:rFonts w:ascii="Times New Roman" w:eastAsia="Times New Roman" w:hAnsi="Times New Roman" w:cs="Times New Roman"/>
                <w:vertAlign w:val="superscript"/>
                <w:lang w:val="en-GB"/>
              </w:rPr>
              <w:t>1</w:t>
            </w:r>
          </w:p>
        </w:tc>
        <w:tc>
          <w:tcPr>
            <w:tcW w:w="2268" w:type="dxa"/>
          </w:tcPr>
          <w:p w14:paraId="0C893221" w14:textId="273FF248" w:rsidR="008B1CDC" w:rsidRPr="008B1CDC" w:rsidRDefault="008B1CDC" w:rsidP="002C4DBC">
            <w:pPr>
              <w:jc w:val="center"/>
              <w:rPr>
                <w:rFonts w:ascii="Times New Roman" w:eastAsia="Times New Roman" w:hAnsi="Times New Roman" w:cs="Times New Roman"/>
                <w:lang w:val="en-GB"/>
              </w:rPr>
            </w:pPr>
            <w:r w:rsidRPr="008B1CDC">
              <w:rPr>
                <w:rFonts w:ascii="Times New Roman" w:eastAsia="Times New Roman" w:hAnsi="Times New Roman" w:cs="Times New Roman"/>
                <w:lang w:val="en-GB"/>
              </w:rPr>
              <w:t>169 (51</w:t>
            </w:r>
            <w:r w:rsidR="00FB43C7">
              <w:rPr>
                <w:rFonts w:ascii="Times New Roman" w:eastAsia="Times New Roman" w:hAnsi="Times New Roman" w:cs="Times New Roman"/>
                <w:lang w:val="en-GB"/>
              </w:rPr>
              <w:t>,</w:t>
            </w:r>
            <w:r w:rsidRPr="008B1CDC">
              <w:rPr>
                <w:rFonts w:ascii="Times New Roman" w:eastAsia="Times New Roman" w:hAnsi="Times New Roman" w:cs="Times New Roman"/>
                <w:lang w:val="en-GB"/>
              </w:rPr>
              <w:t>1)</w:t>
            </w:r>
          </w:p>
        </w:tc>
        <w:tc>
          <w:tcPr>
            <w:tcW w:w="3254" w:type="dxa"/>
          </w:tcPr>
          <w:p w14:paraId="0654D05E" w14:textId="5B3E7C89" w:rsidR="008B1CDC" w:rsidRPr="008B1CDC" w:rsidRDefault="008B1CDC" w:rsidP="002C4DBC">
            <w:pPr>
              <w:jc w:val="center"/>
              <w:rPr>
                <w:rFonts w:ascii="Times New Roman" w:eastAsia="Times New Roman" w:hAnsi="Times New Roman" w:cs="Times New Roman"/>
                <w:lang w:val="en-GB"/>
              </w:rPr>
            </w:pPr>
            <w:r w:rsidRPr="008B1CDC">
              <w:rPr>
                <w:rFonts w:ascii="Times New Roman" w:eastAsia="Times New Roman" w:hAnsi="Times New Roman" w:cs="Times New Roman"/>
                <w:lang w:val="en-GB"/>
              </w:rPr>
              <w:t>197 (59</w:t>
            </w:r>
            <w:r w:rsidR="00FB43C7">
              <w:rPr>
                <w:rFonts w:ascii="Times New Roman" w:eastAsia="Times New Roman" w:hAnsi="Times New Roman" w:cs="Times New Roman"/>
                <w:lang w:val="en-GB"/>
              </w:rPr>
              <w:t>,</w:t>
            </w:r>
            <w:r w:rsidRPr="008B1CDC">
              <w:rPr>
                <w:rFonts w:ascii="Times New Roman" w:eastAsia="Times New Roman" w:hAnsi="Times New Roman" w:cs="Times New Roman"/>
                <w:lang w:val="en-GB"/>
              </w:rPr>
              <w:t>3)</w:t>
            </w:r>
          </w:p>
        </w:tc>
      </w:tr>
      <w:tr w:rsidR="008B1CDC" w:rsidRPr="008B1CDC" w14:paraId="7293036E" w14:textId="77777777" w:rsidTr="00E0772D">
        <w:tc>
          <w:tcPr>
            <w:tcW w:w="9061" w:type="dxa"/>
            <w:gridSpan w:val="3"/>
          </w:tcPr>
          <w:p w14:paraId="33AC42FF" w14:textId="0BF89E88" w:rsidR="008B1CDC" w:rsidRPr="008B1CDC" w:rsidRDefault="008B1CDC" w:rsidP="008B1CDC">
            <w:pPr>
              <w:rPr>
                <w:rFonts w:ascii="Times New Roman" w:eastAsia="Times New Roman" w:hAnsi="Times New Roman" w:cs="Times New Roman"/>
                <w:lang w:val="en-GB"/>
              </w:rPr>
            </w:pPr>
            <w:r w:rsidRPr="008B1CDC">
              <w:rPr>
                <w:rFonts w:ascii="Times New Roman" w:eastAsia="Times New Roman" w:hAnsi="Times New Roman" w:cs="Times New Roman"/>
                <w:lang w:val="en-GB"/>
              </w:rPr>
              <w:t>Összehasonlítás placebóhoz képest</w:t>
            </w:r>
          </w:p>
        </w:tc>
      </w:tr>
      <w:tr w:rsidR="008B1CDC" w:rsidRPr="008B1CDC" w14:paraId="60C7DD9D" w14:textId="77777777" w:rsidTr="008B1CDC">
        <w:tc>
          <w:tcPr>
            <w:tcW w:w="3539" w:type="dxa"/>
          </w:tcPr>
          <w:p w14:paraId="0CF78827" w14:textId="5DF5CEFE" w:rsidR="008B1CDC" w:rsidRPr="008B1CDC" w:rsidRDefault="00CD75FD" w:rsidP="008B1CDC">
            <w:pPr>
              <w:rPr>
                <w:rFonts w:ascii="Times New Roman" w:eastAsia="Times New Roman" w:hAnsi="Times New Roman" w:cs="Times New Roman"/>
                <w:lang w:val="en-GB"/>
              </w:rPr>
            </w:pPr>
            <w:r w:rsidRPr="00CD75FD">
              <w:rPr>
                <w:rFonts w:ascii="Times New Roman" w:eastAsia="Times New Roman" w:hAnsi="Times New Roman" w:cs="Times New Roman"/>
                <w:lang w:val="en-GB"/>
              </w:rPr>
              <w:t>Esélyhányados²</w:t>
            </w:r>
          </w:p>
        </w:tc>
        <w:tc>
          <w:tcPr>
            <w:tcW w:w="2268" w:type="dxa"/>
          </w:tcPr>
          <w:p w14:paraId="0F2EF6F2" w14:textId="77777777" w:rsidR="008B1CDC" w:rsidRPr="008B1CDC" w:rsidRDefault="008B1CDC" w:rsidP="008B1CDC">
            <w:pPr>
              <w:rPr>
                <w:rFonts w:ascii="Times New Roman" w:eastAsia="Times New Roman" w:hAnsi="Times New Roman" w:cs="Times New Roman"/>
                <w:lang w:val="en-GB"/>
              </w:rPr>
            </w:pPr>
          </w:p>
        </w:tc>
        <w:tc>
          <w:tcPr>
            <w:tcW w:w="3254" w:type="dxa"/>
          </w:tcPr>
          <w:p w14:paraId="17C44CED" w14:textId="073C7F72" w:rsidR="008B1CDC" w:rsidRPr="008B1CDC" w:rsidRDefault="008B1CDC" w:rsidP="002C4DBC">
            <w:pPr>
              <w:jc w:val="center"/>
              <w:rPr>
                <w:rFonts w:ascii="Times New Roman" w:eastAsia="Times New Roman" w:hAnsi="Times New Roman" w:cs="Times New Roman"/>
                <w:lang w:val="en-GB"/>
              </w:rPr>
            </w:pPr>
            <w:r w:rsidRPr="008B1CDC">
              <w:rPr>
                <w:rFonts w:ascii="Times New Roman" w:eastAsia="Times New Roman" w:hAnsi="Times New Roman" w:cs="Times New Roman"/>
                <w:lang w:val="en-GB"/>
              </w:rPr>
              <w:t>1</w:t>
            </w:r>
            <w:r w:rsidR="00FB43C7">
              <w:rPr>
                <w:rFonts w:ascii="Times New Roman" w:eastAsia="Times New Roman" w:hAnsi="Times New Roman" w:cs="Times New Roman"/>
                <w:lang w:val="en-GB"/>
              </w:rPr>
              <w:t>,</w:t>
            </w:r>
            <w:r w:rsidRPr="008B1CDC">
              <w:rPr>
                <w:rFonts w:ascii="Times New Roman" w:eastAsia="Times New Roman" w:hAnsi="Times New Roman" w:cs="Times New Roman"/>
                <w:lang w:val="en-GB"/>
              </w:rPr>
              <w:t>42</w:t>
            </w:r>
          </w:p>
        </w:tc>
      </w:tr>
      <w:tr w:rsidR="008B1CDC" w:rsidRPr="008B1CDC" w14:paraId="05ABCA08" w14:textId="77777777" w:rsidTr="008B1CDC">
        <w:tc>
          <w:tcPr>
            <w:tcW w:w="3539" w:type="dxa"/>
          </w:tcPr>
          <w:p w14:paraId="6E8DAEBE" w14:textId="5833A639" w:rsidR="008B1CDC" w:rsidRPr="008B1CDC" w:rsidRDefault="008B1CDC" w:rsidP="008B1CDC">
            <w:pPr>
              <w:rPr>
                <w:rFonts w:ascii="Times New Roman" w:eastAsia="Times New Roman" w:hAnsi="Times New Roman" w:cs="Times New Roman"/>
                <w:lang w:val="en-GB"/>
              </w:rPr>
            </w:pPr>
            <w:r w:rsidRPr="008B1CDC">
              <w:rPr>
                <w:rFonts w:ascii="Times New Roman" w:eastAsia="Times New Roman" w:hAnsi="Times New Roman" w:cs="Times New Roman"/>
                <w:lang w:val="en-GB"/>
              </w:rPr>
              <w:t>95%</w:t>
            </w:r>
            <w:r w:rsidR="00CD75FD">
              <w:rPr>
                <w:rFonts w:ascii="Times New Roman" w:eastAsia="Times New Roman" w:hAnsi="Times New Roman" w:cs="Times New Roman"/>
                <w:lang w:val="en-GB"/>
              </w:rPr>
              <w:t>-os</w:t>
            </w:r>
            <w:r w:rsidRPr="008B1CDC">
              <w:rPr>
                <w:rFonts w:ascii="Times New Roman" w:eastAsia="Times New Roman" w:hAnsi="Times New Roman" w:cs="Times New Roman"/>
                <w:lang w:val="en-GB"/>
              </w:rPr>
              <w:t xml:space="preserve"> CI</w:t>
            </w:r>
          </w:p>
        </w:tc>
        <w:tc>
          <w:tcPr>
            <w:tcW w:w="2268" w:type="dxa"/>
          </w:tcPr>
          <w:p w14:paraId="4C759FA4" w14:textId="77777777" w:rsidR="008B1CDC" w:rsidRPr="008B1CDC" w:rsidRDefault="008B1CDC" w:rsidP="008B1CDC">
            <w:pPr>
              <w:rPr>
                <w:rFonts w:ascii="Times New Roman" w:eastAsia="Times New Roman" w:hAnsi="Times New Roman" w:cs="Times New Roman"/>
                <w:lang w:val="en-GB"/>
              </w:rPr>
            </w:pPr>
          </w:p>
        </w:tc>
        <w:tc>
          <w:tcPr>
            <w:tcW w:w="3254" w:type="dxa"/>
          </w:tcPr>
          <w:p w14:paraId="577A30B7" w14:textId="6883CFE7" w:rsidR="008B1CDC" w:rsidRPr="008B1CDC" w:rsidRDefault="008B1CDC" w:rsidP="002C4DBC">
            <w:pPr>
              <w:jc w:val="center"/>
              <w:rPr>
                <w:rFonts w:ascii="Times New Roman" w:eastAsia="Times New Roman" w:hAnsi="Times New Roman" w:cs="Times New Roman"/>
                <w:lang w:val="en-GB"/>
              </w:rPr>
            </w:pPr>
            <w:r w:rsidRPr="008B1CDC">
              <w:rPr>
                <w:rFonts w:ascii="Times New Roman" w:eastAsia="Times New Roman" w:hAnsi="Times New Roman" w:cs="Times New Roman"/>
                <w:lang w:val="en-GB"/>
              </w:rPr>
              <w:t>(1</w:t>
            </w:r>
            <w:r w:rsidR="00FB43C7">
              <w:rPr>
                <w:rFonts w:ascii="Times New Roman" w:eastAsia="Times New Roman" w:hAnsi="Times New Roman" w:cs="Times New Roman"/>
                <w:lang w:val="en-GB"/>
              </w:rPr>
              <w:t>,</w:t>
            </w:r>
            <w:r w:rsidRPr="008B1CDC">
              <w:rPr>
                <w:rFonts w:ascii="Times New Roman" w:eastAsia="Times New Roman" w:hAnsi="Times New Roman" w:cs="Times New Roman"/>
                <w:lang w:val="en-GB"/>
              </w:rPr>
              <w:t>04</w:t>
            </w:r>
            <w:r w:rsidR="00FB43C7">
              <w:rPr>
                <w:rFonts w:ascii="Times New Roman" w:eastAsia="Times New Roman" w:hAnsi="Times New Roman" w:cs="Times New Roman"/>
                <w:lang w:val="en-GB"/>
              </w:rPr>
              <w:t>;</w:t>
            </w:r>
            <w:r w:rsidRPr="008B1CDC">
              <w:rPr>
                <w:rFonts w:ascii="Times New Roman" w:eastAsia="Times New Roman" w:hAnsi="Times New Roman" w:cs="Times New Roman"/>
                <w:lang w:val="en-GB"/>
              </w:rPr>
              <w:t xml:space="preserve"> 1</w:t>
            </w:r>
            <w:r w:rsidR="00FB43C7">
              <w:rPr>
                <w:rFonts w:ascii="Times New Roman" w:eastAsia="Times New Roman" w:hAnsi="Times New Roman" w:cs="Times New Roman"/>
                <w:lang w:val="en-GB"/>
              </w:rPr>
              <w:t>,</w:t>
            </w:r>
            <w:r w:rsidRPr="008B1CDC">
              <w:rPr>
                <w:rFonts w:ascii="Times New Roman" w:eastAsia="Times New Roman" w:hAnsi="Times New Roman" w:cs="Times New Roman"/>
                <w:lang w:val="en-GB"/>
              </w:rPr>
              <w:t>94)</w:t>
            </w:r>
          </w:p>
        </w:tc>
      </w:tr>
      <w:tr w:rsidR="008B1CDC" w:rsidRPr="008B1CDC" w14:paraId="4A5C67C3" w14:textId="77777777" w:rsidTr="008B1CDC">
        <w:tc>
          <w:tcPr>
            <w:tcW w:w="3539" w:type="dxa"/>
          </w:tcPr>
          <w:p w14:paraId="2A723773" w14:textId="06251E2C" w:rsidR="008B1CDC" w:rsidRPr="008B1CDC" w:rsidRDefault="008B1CDC" w:rsidP="008B1CDC">
            <w:pPr>
              <w:rPr>
                <w:rFonts w:ascii="Times New Roman" w:eastAsia="Times New Roman" w:hAnsi="Times New Roman" w:cs="Times New Roman"/>
                <w:lang w:val="en-GB"/>
              </w:rPr>
            </w:pPr>
            <w:r w:rsidRPr="008B1CDC">
              <w:rPr>
                <w:rFonts w:ascii="Times New Roman" w:eastAsia="Times New Roman" w:hAnsi="Times New Roman" w:cs="Times New Roman"/>
                <w:lang w:val="en-GB"/>
              </w:rPr>
              <w:t>Nomin</w:t>
            </w:r>
            <w:r w:rsidR="00CD75FD">
              <w:rPr>
                <w:rFonts w:ascii="Times New Roman" w:eastAsia="Times New Roman" w:hAnsi="Times New Roman" w:cs="Times New Roman"/>
                <w:lang w:val="en-GB"/>
              </w:rPr>
              <w:t>ális</w:t>
            </w:r>
            <w:r w:rsidRPr="008B1CDC">
              <w:rPr>
                <w:rFonts w:ascii="Times New Roman" w:eastAsia="Times New Roman" w:hAnsi="Times New Roman" w:cs="Times New Roman"/>
                <w:lang w:val="en-GB"/>
              </w:rPr>
              <w:t xml:space="preserve"> p-</w:t>
            </w:r>
            <w:r w:rsidR="00CD75FD">
              <w:rPr>
                <w:rFonts w:ascii="Times New Roman" w:eastAsia="Times New Roman" w:hAnsi="Times New Roman" w:cs="Times New Roman"/>
                <w:lang w:val="en-GB"/>
              </w:rPr>
              <w:t>érték</w:t>
            </w:r>
          </w:p>
        </w:tc>
        <w:tc>
          <w:tcPr>
            <w:tcW w:w="2268" w:type="dxa"/>
          </w:tcPr>
          <w:p w14:paraId="7AC6067F" w14:textId="77777777" w:rsidR="008B1CDC" w:rsidRPr="008B1CDC" w:rsidRDefault="008B1CDC" w:rsidP="008B1CDC">
            <w:pPr>
              <w:rPr>
                <w:rFonts w:ascii="Times New Roman" w:eastAsia="Times New Roman" w:hAnsi="Times New Roman" w:cs="Times New Roman"/>
                <w:lang w:val="en-GB"/>
              </w:rPr>
            </w:pPr>
          </w:p>
        </w:tc>
        <w:tc>
          <w:tcPr>
            <w:tcW w:w="3254" w:type="dxa"/>
          </w:tcPr>
          <w:p w14:paraId="19F44088" w14:textId="23CBC908" w:rsidR="008B1CDC" w:rsidRPr="008B1CDC" w:rsidRDefault="008B1CDC" w:rsidP="002C4DBC">
            <w:pPr>
              <w:jc w:val="center"/>
              <w:rPr>
                <w:rFonts w:ascii="Times New Roman" w:eastAsia="Times New Roman" w:hAnsi="Times New Roman" w:cs="Times New Roman"/>
                <w:lang w:val="en-GB"/>
              </w:rPr>
            </w:pPr>
            <w:r w:rsidRPr="008B1CDC">
              <w:rPr>
                <w:rFonts w:ascii="Times New Roman" w:eastAsia="Times New Roman" w:hAnsi="Times New Roman" w:cs="Times New Roman"/>
                <w:lang w:val="en-GB"/>
              </w:rPr>
              <w:t>0</w:t>
            </w:r>
            <w:r w:rsidR="00FB43C7">
              <w:rPr>
                <w:rFonts w:ascii="Times New Roman" w:eastAsia="Times New Roman" w:hAnsi="Times New Roman" w:cs="Times New Roman"/>
                <w:lang w:val="en-GB"/>
              </w:rPr>
              <w:t>,</w:t>
            </w:r>
            <w:r w:rsidRPr="008B1CDC">
              <w:rPr>
                <w:rFonts w:ascii="Times New Roman" w:eastAsia="Times New Roman" w:hAnsi="Times New Roman" w:cs="Times New Roman"/>
                <w:lang w:val="en-GB"/>
              </w:rPr>
              <w:t>0268</w:t>
            </w:r>
          </w:p>
        </w:tc>
      </w:tr>
    </w:tbl>
    <w:p w14:paraId="03CE769D" w14:textId="0AD30334" w:rsidR="00CD75FD" w:rsidRPr="00CD75FD" w:rsidRDefault="00CD75FD" w:rsidP="00CD75FD">
      <w:pPr>
        <w:rPr>
          <w:rFonts w:ascii="Times New Roman" w:eastAsia="Times New Roman" w:hAnsi="Times New Roman" w:cs="Times New Roman"/>
          <w:sz w:val="18"/>
          <w:szCs w:val="18"/>
        </w:rPr>
      </w:pPr>
      <w:r w:rsidRPr="00CD75FD">
        <w:rPr>
          <w:rFonts w:ascii="Times New Roman" w:eastAsia="Times New Roman" w:hAnsi="Times New Roman" w:cs="Times New Roman"/>
          <w:sz w:val="18"/>
          <w:szCs w:val="18"/>
          <w:vertAlign w:val="superscript"/>
        </w:rPr>
        <w:t>1</w:t>
      </w:r>
      <w:r w:rsidRPr="00CD75FD">
        <w:rPr>
          <w:rFonts w:ascii="Times New Roman" w:eastAsia="Times New Roman" w:hAnsi="Times New Roman" w:cs="Times New Roman"/>
          <w:sz w:val="18"/>
          <w:szCs w:val="18"/>
        </w:rPr>
        <w:t xml:space="preserve">Reszponderek azok a betegek, akiknél az FVC %-os értékében bekövetkező relatív csökkenés nem nagyobb mint 5% vagy nem nagyobb mint 10%, a küszöbértéktől függően, és az FVC értékelését az 52. héten elvégezve (azok a betegek, akiknek </w:t>
      </w:r>
      <w:r w:rsidRPr="00CD75FD">
        <w:rPr>
          <w:rFonts w:ascii="Times New Roman" w:eastAsia="Times New Roman" w:hAnsi="Times New Roman" w:cs="Times New Roman"/>
          <w:sz w:val="18"/>
          <w:szCs w:val="18"/>
        </w:rPr>
        <w:lastRenderedPageBreak/>
        <w:t>nincsenek 52. heti adataik nem reszpondereknek tekintendők).</w:t>
      </w:r>
    </w:p>
    <w:p w14:paraId="36C2760A" w14:textId="68C594C7" w:rsidR="004B7455" w:rsidRPr="00CD75FD" w:rsidRDefault="00CD75FD" w:rsidP="00CD75FD">
      <w:pPr>
        <w:rPr>
          <w:rFonts w:ascii="Times New Roman" w:eastAsia="Times New Roman" w:hAnsi="Times New Roman" w:cs="Times New Roman"/>
          <w:sz w:val="18"/>
          <w:szCs w:val="18"/>
        </w:rPr>
      </w:pPr>
      <w:r w:rsidRPr="00CD75FD">
        <w:rPr>
          <w:rFonts w:ascii="Times New Roman" w:eastAsia="Times New Roman" w:hAnsi="Times New Roman" w:cs="Times New Roman"/>
          <w:sz w:val="18"/>
          <w:szCs w:val="18"/>
          <w:vertAlign w:val="superscript"/>
        </w:rPr>
        <w:t>2</w:t>
      </w:r>
      <w:r w:rsidRPr="00CD75FD">
        <w:rPr>
          <w:rFonts w:ascii="Times New Roman" w:eastAsia="Times New Roman" w:hAnsi="Times New Roman" w:cs="Times New Roman"/>
          <w:sz w:val="18"/>
          <w:szCs w:val="18"/>
        </w:rPr>
        <w:t>Logisztikus regresszió alapján, az FVC várt %-os kiindulási értéke folytonos kovariáns, a HRCT mintázat pedig bináris kovariáns.</w:t>
      </w:r>
    </w:p>
    <w:p w14:paraId="2A71CD77" w14:textId="77777777" w:rsidR="004B7455" w:rsidRDefault="004B7455" w:rsidP="009106D9">
      <w:pPr>
        <w:rPr>
          <w:rFonts w:ascii="Times New Roman" w:eastAsia="Times New Roman" w:hAnsi="Times New Roman" w:cs="Times New Roman"/>
        </w:rPr>
      </w:pPr>
    </w:p>
    <w:p w14:paraId="74031D68" w14:textId="77777777" w:rsidR="00CD75FD" w:rsidRPr="00CD75FD" w:rsidRDefault="00CD75FD" w:rsidP="00CD75FD">
      <w:pPr>
        <w:rPr>
          <w:rFonts w:ascii="Times New Roman" w:eastAsia="Times New Roman" w:hAnsi="Times New Roman" w:cs="Times New Roman"/>
          <w:i/>
          <w:iCs/>
          <w:u w:val="single"/>
        </w:rPr>
      </w:pPr>
      <w:r w:rsidRPr="00CD75FD">
        <w:rPr>
          <w:rFonts w:ascii="Times New Roman" w:eastAsia="Times New Roman" w:hAnsi="Times New Roman" w:cs="Times New Roman"/>
          <w:i/>
          <w:iCs/>
          <w:u w:val="single"/>
        </w:rPr>
        <w:t>Az ILD első akut exacerbációjáig vagy a halálig eltelt idő</w:t>
      </w:r>
    </w:p>
    <w:p w14:paraId="4E01AACA" w14:textId="43E1E240" w:rsidR="004B7455" w:rsidRDefault="00CD75FD" w:rsidP="00CD75FD">
      <w:pPr>
        <w:rPr>
          <w:rFonts w:ascii="Times New Roman" w:eastAsia="Times New Roman" w:hAnsi="Times New Roman" w:cs="Times New Roman"/>
        </w:rPr>
      </w:pPr>
      <w:r w:rsidRPr="00CD75FD">
        <w:rPr>
          <w:rFonts w:ascii="Times New Roman" w:eastAsia="Times New Roman" w:hAnsi="Times New Roman" w:cs="Times New Roman"/>
        </w:rPr>
        <w:t>A teljes vizsgálat során azoknak a betegeknek az aránya, akiknél legalább egy ILD első akut</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 xml:space="preserve">exacerbációt vagy halált regisztráltak, 13,9% volt az </w:t>
      </w:r>
      <w:r>
        <w:rPr>
          <w:rFonts w:ascii="Times New Roman" w:eastAsia="Times New Roman" w:hAnsi="Times New Roman" w:cs="Times New Roman"/>
        </w:rPr>
        <w:t>nintedanib</w:t>
      </w:r>
      <w:r w:rsidRPr="00CD75FD">
        <w:rPr>
          <w:rFonts w:ascii="Times New Roman" w:eastAsia="Times New Roman" w:hAnsi="Times New Roman" w:cs="Times New Roman"/>
        </w:rPr>
        <w:t>-csoportban és 19,6% a placebocsoportban.</w:t>
      </w:r>
      <w:r>
        <w:rPr>
          <w:rFonts w:ascii="Times New Roman" w:eastAsia="Times New Roman" w:hAnsi="Times New Roman" w:cs="Times New Roman"/>
        </w:rPr>
        <w:t xml:space="preserve"> </w:t>
      </w:r>
      <w:r w:rsidRPr="00CD75FD">
        <w:rPr>
          <w:rFonts w:ascii="Times New Roman" w:eastAsia="Times New Roman" w:hAnsi="Times New Roman" w:cs="Times New Roman"/>
        </w:rPr>
        <w:t>A HR értéke 0,67 (95%-os CI: 0,46; 0,98; nominális p = 0,0387), ami az ILD első akut exacerbációja</w:t>
      </w:r>
      <w:r>
        <w:rPr>
          <w:rFonts w:ascii="Times New Roman" w:eastAsia="Times New Roman" w:hAnsi="Times New Roman" w:cs="Times New Roman"/>
        </w:rPr>
        <w:t xml:space="preserve"> </w:t>
      </w:r>
      <w:r w:rsidRPr="00CD75FD">
        <w:rPr>
          <w:rFonts w:ascii="Times New Roman" w:eastAsia="Times New Roman" w:hAnsi="Times New Roman" w:cs="Times New Roman"/>
        </w:rPr>
        <w:t xml:space="preserve">vagy halál kockázatának 33%-os csökkenését jelzi az </w:t>
      </w:r>
      <w:r>
        <w:rPr>
          <w:rFonts w:ascii="Times New Roman" w:eastAsia="Times New Roman" w:hAnsi="Times New Roman" w:cs="Times New Roman"/>
        </w:rPr>
        <w:t>nintedanibo</w:t>
      </w:r>
      <w:r w:rsidRPr="00CD75FD">
        <w:rPr>
          <w:rFonts w:ascii="Times New Roman" w:eastAsia="Times New Roman" w:hAnsi="Times New Roman" w:cs="Times New Roman"/>
        </w:rPr>
        <w:t>t kapó betegeknél a placebót kapó</w:t>
      </w:r>
      <w:r>
        <w:rPr>
          <w:rFonts w:ascii="Times New Roman" w:eastAsia="Times New Roman" w:hAnsi="Times New Roman" w:cs="Times New Roman"/>
        </w:rPr>
        <w:t xml:space="preserve"> </w:t>
      </w:r>
      <w:r w:rsidRPr="00CD75FD">
        <w:rPr>
          <w:rFonts w:ascii="Times New Roman" w:eastAsia="Times New Roman" w:hAnsi="Times New Roman" w:cs="Times New Roman"/>
        </w:rPr>
        <w:t>betegekhez képest (4. ábra).</w:t>
      </w:r>
    </w:p>
    <w:p w14:paraId="2F10660E" w14:textId="77777777" w:rsidR="004B7455" w:rsidRDefault="004B7455" w:rsidP="009106D9">
      <w:pPr>
        <w:rPr>
          <w:rFonts w:ascii="Times New Roman" w:eastAsia="Times New Roman" w:hAnsi="Times New Roman" w:cs="Times New Roman"/>
        </w:rPr>
      </w:pPr>
    </w:p>
    <w:p w14:paraId="4DEF75D7" w14:textId="5B82239A" w:rsidR="004B7455" w:rsidRPr="00CD75FD" w:rsidRDefault="00CD75FD" w:rsidP="00CD75FD">
      <w:pPr>
        <w:rPr>
          <w:rFonts w:ascii="Times New Roman" w:eastAsia="Times New Roman" w:hAnsi="Times New Roman" w:cs="Times New Roman"/>
          <w:b/>
          <w:bCs/>
        </w:rPr>
      </w:pPr>
      <w:r w:rsidRPr="00CD75FD">
        <w:rPr>
          <w:rFonts w:ascii="Times New Roman" w:eastAsia="Times New Roman" w:hAnsi="Times New Roman" w:cs="Times New Roman"/>
          <w:b/>
          <w:bCs/>
        </w:rPr>
        <w:t>4. ábra Az ILD első akut exacerbációjáig vagy a halálig eltelt idő Kaplan–Meier-görbéje</w:t>
      </w:r>
      <w:r w:rsidR="002C4DBC">
        <w:rPr>
          <w:rFonts w:ascii="Times New Roman" w:eastAsia="Times New Roman" w:hAnsi="Times New Roman" w:cs="Times New Roman"/>
          <w:b/>
          <w:bCs/>
        </w:rPr>
        <w:t xml:space="preserve"> </w:t>
      </w:r>
      <w:r w:rsidRPr="00CD75FD">
        <w:rPr>
          <w:rFonts w:ascii="Times New Roman" w:eastAsia="Times New Roman" w:hAnsi="Times New Roman" w:cs="Times New Roman"/>
          <w:b/>
          <w:bCs/>
        </w:rPr>
        <w:t>a teljes vizsgálat során</w:t>
      </w:r>
    </w:p>
    <w:p w14:paraId="7417B5F1" w14:textId="0C70D622" w:rsidR="004B7455" w:rsidRDefault="00CD75FD" w:rsidP="009106D9">
      <w:pPr>
        <w:rPr>
          <w:rFonts w:ascii="Times New Roman" w:eastAsia="Times New Roman" w:hAnsi="Times New Roman" w:cs="Times New Roman"/>
        </w:rPr>
      </w:pPr>
      <w:r>
        <w:rPr>
          <w:noProof/>
        </w:rPr>
        <w:drawing>
          <wp:inline distT="0" distB="0" distL="0" distR="0" wp14:anchorId="5FD38448" wp14:editId="568CE575">
            <wp:extent cx="5760085" cy="4241165"/>
            <wp:effectExtent l="0" t="0" r="0" b="6985"/>
            <wp:docPr id="264755116" name="Kép 1" descr="A képen szöveg, diagram, Párhuzamos, sor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755116" name="Kép 1" descr="A képen szöveg, diagram, Párhuzamos, sor látható&#10;&#10;Automatikusan generált leírás"/>
                    <pic:cNvPicPr/>
                  </pic:nvPicPr>
                  <pic:blipFill>
                    <a:blip r:embed="rId11"/>
                    <a:stretch>
                      <a:fillRect/>
                    </a:stretch>
                  </pic:blipFill>
                  <pic:spPr>
                    <a:xfrm>
                      <a:off x="0" y="0"/>
                      <a:ext cx="5760085" cy="4241165"/>
                    </a:xfrm>
                    <a:prstGeom prst="rect">
                      <a:avLst/>
                    </a:prstGeom>
                  </pic:spPr>
                </pic:pic>
              </a:graphicData>
            </a:graphic>
          </wp:inline>
        </w:drawing>
      </w:r>
    </w:p>
    <w:p w14:paraId="4E269435" w14:textId="347310C6" w:rsidR="00CD75FD" w:rsidRDefault="00CD75FD" w:rsidP="009106D9">
      <w:pPr>
        <w:rPr>
          <w:rFonts w:ascii="Times New Roman" w:eastAsia="Times New Roman" w:hAnsi="Times New Roman" w:cs="Times New Roman"/>
        </w:rPr>
      </w:pPr>
      <w:r w:rsidRPr="00CD75FD">
        <w:rPr>
          <w:rFonts w:ascii="Times New Roman" w:eastAsia="Times New Roman" w:hAnsi="Times New Roman" w:cs="Times New Roman"/>
        </w:rPr>
        <w:t>bid = naponta kétszer</w:t>
      </w:r>
    </w:p>
    <w:p w14:paraId="75180BB1" w14:textId="77777777" w:rsidR="004B7455" w:rsidRDefault="004B7455" w:rsidP="009106D9">
      <w:pPr>
        <w:rPr>
          <w:rFonts w:ascii="Times New Roman" w:eastAsia="Times New Roman" w:hAnsi="Times New Roman" w:cs="Times New Roman"/>
        </w:rPr>
      </w:pPr>
    </w:p>
    <w:p w14:paraId="634B580B" w14:textId="77777777" w:rsidR="00CD75FD" w:rsidRPr="00CD75FD" w:rsidRDefault="00CD75FD" w:rsidP="00CD75FD">
      <w:pPr>
        <w:rPr>
          <w:rFonts w:ascii="Times New Roman" w:eastAsia="Times New Roman" w:hAnsi="Times New Roman" w:cs="Times New Roman"/>
          <w:i/>
          <w:iCs/>
          <w:u w:val="single"/>
        </w:rPr>
      </w:pPr>
      <w:r w:rsidRPr="00CD75FD">
        <w:rPr>
          <w:rFonts w:ascii="Times New Roman" w:eastAsia="Times New Roman" w:hAnsi="Times New Roman" w:cs="Times New Roman"/>
          <w:i/>
          <w:iCs/>
          <w:u w:val="single"/>
        </w:rPr>
        <w:t>Túlélési elemzés</w:t>
      </w:r>
    </w:p>
    <w:p w14:paraId="533F21D1" w14:textId="26A7435B" w:rsidR="00CD75FD" w:rsidRPr="00CD75FD" w:rsidRDefault="00CD75FD" w:rsidP="00CD75FD">
      <w:pPr>
        <w:rPr>
          <w:rFonts w:ascii="Times New Roman" w:eastAsia="Times New Roman" w:hAnsi="Times New Roman" w:cs="Times New Roman"/>
        </w:rPr>
      </w:pPr>
      <w:r w:rsidRPr="00CD75FD">
        <w:rPr>
          <w:rFonts w:ascii="Times New Roman" w:eastAsia="Times New Roman" w:hAnsi="Times New Roman" w:cs="Times New Roman"/>
        </w:rPr>
        <w:t xml:space="preserve">A halálozás kockázata alacsonyabb volt a </w:t>
      </w:r>
      <w:r>
        <w:rPr>
          <w:rFonts w:ascii="Times New Roman" w:eastAsia="Times New Roman" w:hAnsi="Times New Roman" w:cs="Times New Roman"/>
        </w:rPr>
        <w:t>nintedanib</w:t>
      </w:r>
      <w:r w:rsidRPr="00CD75FD">
        <w:rPr>
          <w:rFonts w:ascii="Times New Roman" w:eastAsia="Times New Roman" w:hAnsi="Times New Roman" w:cs="Times New Roman"/>
        </w:rPr>
        <w:t>-csoportban, mint a placebocsoportban. A HR értéke</w:t>
      </w:r>
      <w:r w:rsidR="00FB43C7">
        <w:rPr>
          <w:rFonts w:ascii="Times New Roman" w:eastAsia="Times New Roman" w:hAnsi="Times New Roman" w:cs="Times New Roman"/>
        </w:rPr>
        <w:t xml:space="preserve"> </w:t>
      </w:r>
      <w:r w:rsidRPr="00CD75FD">
        <w:rPr>
          <w:rFonts w:ascii="Times New Roman" w:eastAsia="Times New Roman" w:hAnsi="Times New Roman" w:cs="Times New Roman"/>
        </w:rPr>
        <w:t>0,78 volt (95%-os CI: 0,50; 1,21; nominális p = 0,2594), ami a halálozás kockázatának 22%-os</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 xml:space="preserve">csökkenését jelzi az </w:t>
      </w:r>
      <w:r>
        <w:rPr>
          <w:rFonts w:ascii="Times New Roman" w:eastAsia="Times New Roman" w:hAnsi="Times New Roman" w:cs="Times New Roman"/>
        </w:rPr>
        <w:t>nintedanib</w:t>
      </w:r>
      <w:r w:rsidRPr="00CD75FD">
        <w:rPr>
          <w:rFonts w:ascii="Times New Roman" w:eastAsia="Times New Roman" w:hAnsi="Times New Roman" w:cs="Times New Roman"/>
        </w:rPr>
        <w:t>et kapó betegeknél</w:t>
      </w:r>
      <w:r w:rsidR="00FB43C7">
        <w:rPr>
          <w:rFonts w:ascii="Times New Roman" w:eastAsia="Times New Roman" w:hAnsi="Times New Roman" w:cs="Times New Roman"/>
        </w:rPr>
        <w:t>,</w:t>
      </w:r>
      <w:r w:rsidRPr="00CD75FD">
        <w:rPr>
          <w:rFonts w:ascii="Times New Roman" w:eastAsia="Times New Roman" w:hAnsi="Times New Roman" w:cs="Times New Roman"/>
        </w:rPr>
        <w:t xml:space="preserve"> a placebót kapó betegekhez képest.</w:t>
      </w:r>
    </w:p>
    <w:p w14:paraId="7E8C3EF2" w14:textId="77777777" w:rsidR="00CD75FD" w:rsidRDefault="00CD75FD" w:rsidP="00CD75FD">
      <w:pPr>
        <w:rPr>
          <w:rFonts w:ascii="Times New Roman" w:eastAsia="Times New Roman" w:hAnsi="Times New Roman" w:cs="Times New Roman"/>
        </w:rPr>
      </w:pPr>
    </w:p>
    <w:p w14:paraId="1F0FDE2E" w14:textId="5BEBF1E6" w:rsidR="00CD75FD" w:rsidRPr="00CD75FD" w:rsidRDefault="00CD75FD" w:rsidP="00CD75FD">
      <w:pPr>
        <w:rPr>
          <w:rFonts w:ascii="Times New Roman" w:eastAsia="Times New Roman" w:hAnsi="Times New Roman" w:cs="Times New Roman"/>
          <w:i/>
          <w:iCs/>
          <w:u w:val="single"/>
        </w:rPr>
      </w:pPr>
      <w:r w:rsidRPr="00CD75FD">
        <w:rPr>
          <w:rFonts w:ascii="Times New Roman" w:eastAsia="Times New Roman" w:hAnsi="Times New Roman" w:cs="Times New Roman"/>
          <w:i/>
          <w:iCs/>
          <w:u w:val="single"/>
        </w:rPr>
        <w:t>Progresszióig eltelt idő (az FVC várt értékében bekövetkező ≥</w:t>
      </w:r>
      <w:r w:rsidR="00F54476">
        <w:rPr>
          <w:rFonts w:ascii="Times New Roman" w:eastAsia="Times New Roman" w:hAnsi="Times New Roman" w:cs="Times New Roman"/>
          <w:i/>
          <w:iCs/>
          <w:u w:val="single"/>
        </w:rPr>
        <w:t> </w:t>
      </w:r>
      <w:r w:rsidRPr="00CD75FD">
        <w:rPr>
          <w:rFonts w:ascii="Times New Roman" w:eastAsia="Times New Roman" w:hAnsi="Times New Roman" w:cs="Times New Roman"/>
          <w:i/>
          <w:iCs/>
          <w:u w:val="single"/>
        </w:rPr>
        <w:t>10% abszolút csökkenés) vagy</w:t>
      </w:r>
      <w:r w:rsidR="002C4DBC">
        <w:rPr>
          <w:rFonts w:ascii="Times New Roman" w:eastAsia="Times New Roman" w:hAnsi="Times New Roman" w:cs="Times New Roman"/>
          <w:i/>
          <w:iCs/>
          <w:u w:val="single"/>
        </w:rPr>
        <w:t xml:space="preserve"> </w:t>
      </w:r>
      <w:r w:rsidRPr="00CD75FD">
        <w:rPr>
          <w:rFonts w:ascii="Times New Roman" w:eastAsia="Times New Roman" w:hAnsi="Times New Roman" w:cs="Times New Roman"/>
          <w:i/>
          <w:iCs/>
          <w:u w:val="single"/>
        </w:rPr>
        <w:t>halálozás</w:t>
      </w:r>
    </w:p>
    <w:p w14:paraId="0E1A4FA4" w14:textId="2A62A628" w:rsidR="00CD75FD" w:rsidRPr="00CD75FD" w:rsidRDefault="00CD75FD" w:rsidP="00CD75FD">
      <w:pPr>
        <w:rPr>
          <w:rFonts w:ascii="Times New Roman" w:eastAsia="Times New Roman" w:hAnsi="Times New Roman" w:cs="Times New Roman"/>
        </w:rPr>
      </w:pPr>
      <w:r w:rsidRPr="00CD75FD">
        <w:rPr>
          <w:rFonts w:ascii="Times New Roman" w:eastAsia="Times New Roman" w:hAnsi="Times New Roman" w:cs="Times New Roman"/>
        </w:rPr>
        <w:t>Az INBUILD vizsgálatban a progresszió (a várt FCV %-os értékében bekövetkező ≥</w:t>
      </w:r>
      <w:r w:rsidR="00F54476">
        <w:rPr>
          <w:rFonts w:ascii="Times New Roman" w:eastAsia="Times New Roman" w:hAnsi="Times New Roman" w:cs="Times New Roman"/>
        </w:rPr>
        <w:t> </w:t>
      </w:r>
      <w:r w:rsidRPr="00CD75FD">
        <w:rPr>
          <w:rFonts w:ascii="Times New Roman" w:eastAsia="Times New Roman" w:hAnsi="Times New Roman" w:cs="Times New Roman"/>
        </w:rPr>
        <w:t>10% abszolút</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 xml:space="preserve">csökkenés) vagy halálozás kockázata lecsökkent az </w:t>
      </w:r>
      <w:r>
        <w:rPr>
          <w:rFonts w:ascii="Times New Roman" w:eastAsia="Times New Roman" w:hAnsi="Times New Roman" w:cs="Times New Roman"/>
        </w:rPr>
        <w:t>nintedanibba</w:t>
      </w:r>
      <w:r w:rsidRPr="00CD75FD">
        <w:rPr>
          <w:rFonts w:ascii="Times New Roman" w:eastAsia="Times New Roman" w:hAnsi="Times New Roman" w:cs="Times New Roman"/>
        </w:rPr>
        <w:t>l kezelt betegeknél. Az eseménnyel</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 xml:space="preserve">rendelkező betegek aránya 40,4% volt a </w:t>
      </w:r>
      <w:r>
        <w:rPr>
          <w:rFonts w:ascii="Times New Roman" w:eastAsia="Times New Roman" w:hAnsi="Times New Roman" w:cs="Times New Roman"/>
        </w:rPr>
        <w:t>nintedanib</w:t>
      </w:r>
      <w:r w:rsidRPr="00CD75FD">
        <w:rPr>
          <w:rFonts w:ascii="Times New Roman" w:eastAsia="Times New Roman" w:hAnsi="Times New Roman" w:cs="Times New Roman"/>
        </w:rPr>
        <w:t>-csoportban és 54,7% a placebocsoportban. A HR</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értéke 0,66 volt (95%-os CI: 0,53; 0,83; p = 0,0003), ami a progresszió (a várt FCV %-os értékében</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bekövetkező ≥</w:t>
      </w:r>
      <w:r w:rsidR="00F54476">
        <w:rPr>
          <w:rFonts w:ascii="Times New Roman" w:eastAsia="Times New Roman" w:hAnsi="Times New Roman" w:cs="Times New Roman"/>
        </w:rPr>
        <w:t> </w:t>
      </w:r>
      <w:r w:rsidRPr="00CD75FD">
        <w:rPr>
          <w:rFonts w:ascii="Times New Roman" w:eastAsia="Times New Roman" w:hAnsi="Times New Roman" w:cs="Times New Roman"/>
        </w:rPr>
        <w:t>10% abszolút csökkenés) vagy halálozás kockázatának 34%-os csökkenését jelzi az</w:t>
      </w:r>
      <w:r w:rsidR="002C4DBC">
        <w:rPr>
          <w:rFonts w:ascii="Times New Roman" w:eastAsia="Times New Roman" w:hAnsi="Times New Roman" w:cs="Times New Roman"/>
        </w:rPr>
        <w:t xml:space="preserve"> </w:t>
      </w:r>
      <w:r>
        <w:rPr>
          <w:rFonts w:ascii="Times New Roman" w:eastAsia="Times New Roman" w:hAnsi="Times New Roman" w:cs="Times New Roman"/>
        </w:rPr>
        <w:t>nintedanib</w:t>
      </w:r>
      <w:r w:rsidR="00FB43C7">
        <w:rPr>
          <w:rFonts w:ascii="Times New Roman" w:eastAsia="Times New Roman" w:hAnsi="Times New Roman" w:cs="Times New Roman"/>
        </w:rPr>
        <w:t>o</w:t>
      </w:r>
      <w:r w:rsidRPr="00CD75FD">
        <w:rPr>
          <w:rFonts w:ascii="Times New Roman" w:eastAsia="Times New Roman" w:hAnsi="Times New Roman" w:cs="Times New Roman"/>
        </w:rPr>
        <w:t>t kapó betegeknél</w:t>
      </w:r>
      <w:r w:rsidR="00FB43C7">
        <w:rPr>
          <w:rFonts w:ascii="Times New Roman" w:eastAsia="Times New Roman" w:hAnsi="Times New Roman" w:cs="Times New Roman"/>
        </w:rPr>
        <w:t>,</w:t>
      </w:r>
      <w:r w:rsidRPr="00CD75FD">
        <w:rPr>
          <w:rFonts w:ascii="Times New Roman" w:eastAsia="Times New Roman" w:hAnsi="Times New Roman" w:cs="Times New Roman"/>
        </w:rPr>
        <w:t xml:space="preserve"> a placebót kapó betegekhez képest.</w:t>
      </w:r>
    </w:p>
    <w:p w14:paraId="042F777F" w14:textId="77777777" w:rsidR="00CD75FD" w:rsidRDefault="00CD75FD" w:rsidP="00CD75FD">
      <w:pPr>
        <w:rPr>
          <w:rFonts w:ascii="Times New Roman" w:eastAsia="Times New Roman" w:hAnsi="Times New Roman" w:cs="Times New Roman"/>
        </w:rPr>
      </w:pPr>
    </w:p>
    <w:p w14:paraId="226DF9FB" w14:textId="71347312" w:rsidR="00CD75FD" w:rsidRPr="00CD75FD" w:rsidRDefault="00CD75FD" w:rsidP="00A5740F">
      <w:pPr>
        <w:keepNext/>
        <w:widowControl/>
        <w:rPr>
          <w:rFonts w:ascii="Times New Roman" w:eastAsia="Times New Roman" w:hAnsi="Times New Roman" w:cs="Times New Roman"/>
          <w:i/>
          <w:iCs/>
          <w:u w:val="single"/>
        </w:rPr>
      </w:pPr>
      <w:r w:rsidRPr="00CD75FD">
        <w:rPr>
          <w:rFonts w:ascii="Times New Roman" w:eastAsia="Times New Roman" w:hAnsi="Times New Roman" w:cs="Times New Roman"/>
          <w:i/>
          <w:iCs/>
          <w:u w:val="single"/>
        </w:rPr>
        <w:lastRenderedPageBreak/>
        <w:t>Életminőség</w:t>
      </w:r>
    </w:p>
    <w:p w14:paraId="2BEBBDAC" w14:textId="30FD9398" w:rsidR="00CD75FD" w:rsidRPr="00CD75FD" w:rsidRDefault="00CD75FD" w:rsidP="00A5740F">
      <w:pPr>
        <w:keepNext/>
        <w:widowControl/>
        <w:rPr>
          <w:rFonts w:ascii="Times New Roman" w:eastAsia="Times New Roman" w:hAnsi="Times New Roman" w:cs="Times New Roman"/>
        </w:rPr>
      </w:pPr>
      <w:r w:rsidRPr="00CD75FD">
        <w:rPr>
          <w:rFonts w:ascii="Times New Roman" w:eastAsia="Times New Roman" w:hAnsi="Times New Roman" w:cs="Times New Roman"/>
        </w:rPr>
        <w:t>A K-BILD összpontszám korrigált átlagának abszolút változása a kiindulástól az</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52.</w:t>
      </w:r>
      <w:r w:rsidR="00F54476">
        <w:rPr>
          <w:rFonts w:ascii="Times New Roman" w:eastAsia="Times New Roman" w:hAnsi="Times New Roman" w:cs="Times New Roman"/>
        </w:rPr>
        <w:t> </w:t>
      </w:r>
      <w:r w:rsidRPr="00CD75FD">
        <w:rPr>
          <w:rFonts w:ascii="Times New Roman" w:eastAsia="Times New Roman" w:hAnsi="Times New Roman" w:cs="Times New Roman"/>
        </w:rPr>
        <w:t>hétig -0,79</w:t>
      </w:r>
      <w:r w:rsidR="009F2667">
        <w:rPr>
          <w:rFonts w:ascii="Times New Roman" w:eastAsia="Times New Roman" w:hAnsi="Times New Roman" w:cs="Times New Roman"/>
        </w:rPr>
        <w:t> </w:t>
      </w:r>
      <w:r w:rsidRPr="00CD75FD">
        <w:rPr>
          <w:rFonts w:ascii="Times New Roman" w:eastAsia="Times New Roman" w:hAnsi="Times New Roman" w:cs="Times New Roman"/>
        </w:rPr>
        <w:t xml:space="preserve">egység volt a placebocsoportban és 0,55 az </w:t>
      </w:r>
      <w:r>
        <w:rPr>
          <w:rFonts w:ascii="Times New Roman" w:eastAsia="Times New Roman" w:hAnsi="Times New Roman" w:cs="Times New Roman"/>
        </w:rPr>
        <w:t>nintedanib</w:t>
      </w:r>
      <w:r w:rsidRPr="00CD75FD">
        <w:rPr>
          <w:rFonts w:ascii="Times New Roman" w:eastAsia="Times New Roman" w:hAnsi="Times New Roman" w:cs="Times New Roman"/>
        </w:rPr>
        <w:t>-csoportban. A kezelési csoportok</w:t>
      </w:r>
      <w:r>
        <w:rPr>
          <w:rFonts w:ascii="Times New Roman" w:eastAsia="Times New Roman" w:hAnsi="Times New Roman" w:cs="Times New Roman"/>
        </w:rPr>
        <w:t xml:space="preserve"> </w:t>
      </w:r>
      <w:r w:rsidRPr="00CD75FD">
        <w:rPr>
          <w:rFonts w:ascii="Times New Roman" w:eastAsia="Times New Roman" w:hAnsi="Times New Roman" w:cs="Times New Roman"/>
        </w:rPr>
        <w:t>közötti különbség 1,34 volt (95%-os CI: -0,31; 2,98; nominális p = 0,1115).</w:t>
      </w:r>
    </w:p>
    <w:p w14:paraId="5312DB09" w14:textId="4C7AF0E3" w:rsidR="00CD75FD" w:rsidRPr="00CD75FD" w:rsidRDefault="00CD75FD" w:rsidP="00CD75FD">
      <w:pPr>
        <w:rPr>
          <w:rFonts w:ascii="Times New Roman" w:eastAsia="Times New Roman" w:hAnsi="Times New Roman" w:cs="Times New Roman"/>
        </w:rPr>
      </w:pPr>
      <w:r w:rsidRPr="00CD75FD">
        <w:rPr>
          <w:rFonts w:ascii="Times New Roman" w:eastAsia="Times New Roman" w:hAnsi="Times New Roman" w:cs="Times New Roman"/>
        </w:rPr>
        <w:t>A Living with pulmonary fibrosis (L-PF) tünetek dyspnoera vonatkozó doménjének pontszáma</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korrigált átlagának abszolút változása a kiindulástól az 52.</w:t>
      </w:r>
      <w:r w:rsidR="00684A63">
        <w:rPr>
          <w:rFonts w:ascii="Times New Roman" w:eastAsia="Times New Roman" w:hAnsi="Times New Roman" w:cs="Times New Roman"/>
        </w:rPr>
        <w:t> </w:t>
      </w:r>
      <w:r w:rsidRPr="00CD75FD">
        <w:rPr>
          <w:rFonts w:ascii="Times New Roman" w:eastAsia="Times New Roman" w:hAnsi="Times New Roman" w:cs="Times New Roman"/>
        </w:rPr>
        <w:t xml:space="preserve">hétig 4,28 volt a </w:t>
      </w:r>
      <w:r>
        <w:rPr>
          <w:rFonts w:ascii="Times New Roman" w:eastAsia="Times New Roman" w:hAnsi="Times New Roman" w:cs="Times New Roman"/>
        </w:rPr>
        <w:t>nintedanib</w:t>
      </w:r>
      <w:r w:rsidRPr="00CD75FD">
        <w:rPr>
          <w:rFonts w:ascii="Times New Roman" w:eastAsia="Times New Roman" w:hAnsi="Times New Roman" w:cs="Times New Roman"/>
        </w:rPr>
        <w:t>-csoportban, a</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 xml:space="preserve">placebo-csoport 7,81 értékéhez képest. A csoportok közötti korrigált átlagkülönbség a </w:t>
      </w:r>
      <w:r>
        <w:rPr>
          <w:rFonts w:ascii="Times New Roman" w:eastAsia="Times New Roman" w:hAnsi="Times New Roman" w:cs="Times New Roman"/>
        </w:rPr>
        <w:t>nintedanib</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javára -3,53 volt (95%-os CI: -6,14; -0,92; nominális p = 0,0081). Az L-PF tünetek köhögésre</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vonatkozó doménjének pontszáma korrigált átlagának abszolút változása a kiindulástól az</w:t>
      </w:r>
      <w:r>
        <w:rPr>
          <w:rFonts w:ascii="Times New Roman" w:eastAsia="Times New Roman" w:hAnsi="Times New Roman" w:cs="Times New Roman"/>
        </w:rPr>
        <w:t xml:space="preserve"> </w:t>
      </w:r>
      <w:r w:rsidRPr="00CD75FD">
        <w:rPr>
          <w:rFonts w:ascii="Times New Roman" w:eastAsia="Times New Roman" w:hAnsi="Times New Roman" w:cs="Times New Roman"/>
        </w:rPr>
        <w:t>52.</w:t>
      </w:r>
      <w:r w:rsidR="00F54476">
        <w:rPr>
          <w:rFonts w:ascii="Times New Roman" w:eastAsia="Times New Roman" w:hAnsi="Times New Roman" w:cs="Times New Roman"/>
        </w:rPr>
        <w:t> </w:t>
      </w:r>
      <w:r w:rsidRPr="00CD75FD">
        <w:rPr>
          <w:rFonts w:ascii="Times New Roman" w:eastAsia="Times New Roman" w:hAnsi="Times New Roman" w:cs="Times New Roman"/>
        </w:rPr>
        <w:t xml:space="preserve">hétig </w:t>
      </w:r>
      <w:r w:rsidR="009F2667">
        <w:rPr>
          <w:rFonts w:ascii="Times New Roman" w:eastAsia="Times New Roman" w:hAnsi="Times New Roman" w:cs="Times New Roman"/>
        </w:rPr>
        <w:t>- </w:t>
      </w:r>
      <w:r w:rsidRPr="00CD75FD">
        <w:rPr>
          <w:rFonts w:ascii="Times New Roman" w:eastAsia="Times New Roman" w:hAnsi="Times New Roman" w:cs="Times New Roman"/>
        </w:rPr>
        <w:t xml:space="preserve">1,84 volt a </w:t>
      </w:r>
      <w:r>
        <w:rPr>
          <w:rFonts w:ascii="Times New Roman" w:eastAsia="Times New Roman" w:hAnsi="Times New Roman" w:cs="Times New Roman"/>
        </w:rPr>
        <w:t>nintedanib</w:t>
      </w:r>
      <w:r w:rsidRPr="00CD75FD">
        <w:rPr>
          <w:rFonts w:ascii="Times New Roman" w:eastAsia="Times New Roman" w:hAnsi="Times New Roman" w:cs="Times New Roman"/>
        </w:rPr>
        <w:t>-csoportban a placebocsoport 4,25 értékéhez képest. A csoportok közötti</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 xml:space="preserve">korrigált átlagkülönbség a </w:t>
      </w:r>
      <w:r>
        <w:rPr>
          <w:rFonts w:ascii="Times New Roman" w:eastAsia="Times New Roman" w:hAnsi="Times New Roman" w:cs="Times New Roman"/>
        </w:rPr>
        <w:t>nintedanib</w:t>
      </w:r>
      <w:r w:rsidRPr="00CD75FD">
        <w:rPr>
          <w:rFonts w:ascii="Times New Roman" w:eastAsia="Times New Roman" w:hAnsi="Times New Roman" w:cs="Times New Roman"/>
        </w:rPr>
        <w:t xml:space="preserve"> javára -6,09 volt (95%-os CI: -9,65; -2,53; nominális p = 0,0008).</w:t>
      </w:r>
    </w:p>
    <w:p w14:paraId="682BBD7E" w14:textId="77777777" w:rsidR="00CD75FD" w:rsidRDefault="00CD75FD" w:rsidP="00CD75FD">
      <w:pPr>
        <w:rPr>
          <w:rFonts w:ascii="Times New Roman" w:eastAsia="Times New Roman" w:hAnsi="Times New Roman" w:cs="Times New Roman"/>
        </w:rPr>
      </w:pPr>
    </w:p>
    <w:p w14:paraId="1569D957" w14:textId="11B1AC4D" w:rsidR="00CD75FD" w:rsidRPr="00CD75FD" w:rsidRDefault="00CD75FD" w:rsidP="00CD75FD">
      <w:pPr>
        <w:rPr>
          <w:rFonts w:ascii="Times New Roman" w:eastAsia="Times New Roman" w:hAnsi="Times New Roman" w:cs="Times New Roman"/>
          <w:i/>
          <w:iCs/>
        </w:rPr>
      </w:pPr>
      <w:r w:rsidRPr="00CD75FD">
        <w:rPr>
          <w:rFonts w:ascii="Times New Roman" w:eastAsia="Times New Roman" w:hAnsi="Times New Roman" w:cs="Times New Roman"/>
          <w:i/>
          <w:iCs/>
        </w:rPr>
        <w:t>Szisztémás sclerosissal társuló interstitialis tüdőbetegség (SSc-ILD)</w:t>
      </w:r>
    </w:p>
    <w:p w14:paraId="6A0EC3AE" w14:textId="77777777" w:rsidR="00CD75FD" w:rsidRDefault="00CD75FD" w:rsidP="00CD75FD">
      <w:pPr>
        <w:rPr>
          <w:rFonts w:ascii="Times New Roman" w:eastAsia="Times New Roman" w:hAnsi="Times New Roman" w:cs="Times New Roman"/>
        </w:rPr>
      </w:pPr>
    </w:p>
    <w:p w14:paraId="026057BB" w14:textId="5A09FB58" w:rsidR="00CD75FD" w:rsidRPr="00CD75FD" w:rsidRDefault="00CD75FD" w:rsidP="00CD75FD">
      <w:pPr>
        <w:rPr>
          <w:rFonts w:ascii="Times New Roman" w:eastAsia="Times New Roman" w:hAnsi="Times New Roman" w:cs="Times New Roman"/>
        </w:rPr>
      </w:pPr>
      <w:r w:rsidRPr="00CD75FD">
        <w:rPr>
          <w:rFonts w:ascii="Times New Roman" w:eastAsia="Times New Roman" w:hAnsi="Times New Roman" w:cs="Times New Roman"/>
        </w:rPr>
        <w:t xml:space="preserve">A </w:t>
      </w:r>
      <w:r>
        <w:rPr>
          <w:rFonts w:ascii="Times New Roman" w:eastAsia="Times New Roman" w:hAnsi="Times New Roman" w:cs="Times New Roman"/>
        </w:rPr>
        <w:t>nintedanib</w:t>
      </w:r>
      <w:r w:rsidRPr="00CD75FD">
        <w:rPr>
          <w:rFonts w:ascii="Times New Roman" w:eastAsia="Times New Roman" w:hAnsi="Times New Roman" w:cs="Times New Roman"/>
        </w:rPr>
        <w:t xml:space="preserve"> klinikai hatásosságát SSc-ILD-ben szenvedő betegek körében vizsgálták egy kettős</w:t>
      </w:r>
      <w:r w:rsidR="009F2667">
        <w:rPr>
          <w:rFonts w:ascii="Times New Roman" w:eastAsia="Times New Roman" w:hAnsi="Times New Roman" w:cs="Times New Roman"/>
        </w:rPr>
        <w:t xml:space="preserve"> </w:t>
      </w:r>
      <w:r w:rsidRPr="00CD75FD">
        <w:rPr>
          <w:rFonts w:ascii="Times New Roman" w:eastAsia="Times New Roman" w:hAnsi="Times New Roman" w:cs="Times New Roman"/>
        </w:rPr>
        <w:t>vak,</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randomizált, placebokontrollos, III. fázisú vizsgálatban (SENSCIS). A betegeket az Amerikai</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Reumatológiai Kollégium/Európai Reumaellenes Liga (American College of Rheumatology/European</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League Against Rheumatism) 2013. évi SSc klasszifikációs kritériumai és az elmúlt 12</w:t>
      </w:r>
      <w:r w:rsidR="0076116E">
        <w:rPr>
          <w:rFonts w:ascii="Times New Roman" w:eastAsia="Times New Roman" w:hAnsi="Times New Roman" w:cs="Times New Roman"/>
        </w:rPr>
        <w:t> </w:t>
      </w:r>
      <w:r w:rsidRPr="00CD75FD">
        <w:rPr>
          <w:rFonts w:ascii="Times New Roman" w:eastAsia="Times New Roman" w:hAnsi="Times New Roman" w:cs="Times New Roman"/>
        </w:rPr>
        <w:t>hónapban</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elvégzett nagy felbontású mellkas</w:t>
      </w:r>
      <w:r w:rsidR="009F2667">
        <w:rPr>
          <w:rFonts w:ascii="Times New Roman" w:eastAsia="Times New Roman" w:hAnsi="Times New Roman" w:cs="Times New Roman"/>
        </w:rPr>
        <w:t>i</w:t>
      </w:r>
      <w:r w:rsidRPr="00CD75FD">
        <w:rPr>
          <w:rFonts w:ascii="Times New Roman" w:eastAsia="Times New Roman" w:hAnsi="Times New Roman" w:cs="Times New Roman"/>
        </w:rPr>
        <w:t xml:space="preserve"> komputertomográfiás (HRCT) vizsgálat alapján diagnosztizálták</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SSc-ILD-vel. Összesen 580</w:t>
      </w:r>
      <w:r w:rsidR="0076116E">
        <w:rPr>
          <w:rFonts w:ascii="Times New Roman" w:eastAsia="Times New Roman" w:hAnsi="Times New Roman" w:cs="Times New Roman"/>
        </w:rPr>
        <w:t> </w:t>
      </w:r>
      <w:r w:rsidRPr="00CD75FD">
        <w:rPr>
          <w:rFonts w:ascii="Times New Roman" w:eastAsia="Times New Roman" w:hAnsi="Times New Roman" w:cs="Times New Roman"/>
        </w:rPr>
        <w:t>beteget randomizáltak 1:1 arányban a legalább 52</w:t>
      </w:r>
      <w:r w:rsidR="0076116E">
        <w:rPr>
          <w:rFonts w:ascii="Times New Roman" w:eastAsia="Times New Roman" w:hAnsi="Times New Roman" w:cs="Times New Roman"/>
        </w:rPr>
        <w:t> </w:t>
      </w:r>
      <w:r w:rsidRPr="00CD75FD">
        <w:rPr>
          <w:rFonts w:ascii="Times New Roman" w:eastAsia="Times New Roman" w:hAnsi="Times New Roman" w:cs="Times New Roman"/>
        </w:rPr>
        <w:t>hétig naponta kétszer</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150</w:t>
      </w:r>
      <w:r w:rsidR="0076116E">
        <w:rPr>
          <w:rFonts w:ascii="Times New Roman" w:eastAsia="Times New Roman" w:hAnsi="Times New Roman" w:cs="Times New Roman"/>
        </w:rPr>
        <w:t> </w:t>
      </w:r>
      <w:r w:rsidRPr="00CD75FD">
        <w:rPr>
          <w:rFonts w:ascii="Times New Roman" w:eastAsia="Times New Roman" w:hAnsi="Times New Roman" w:cs="Times New Roman"/>
        </w:rPr>
        <w:t xml:space="preserve">mg </w:t>
      </w:r>
      <w:r>
        <w:rPr>
          <w:rFonts w:ascii="Times New Roman" w:eastAsia="Times New Roman" w:hAnsi="Times New Roman" w:cs="Times New Roman"/>
        </w:rPr>
        <w:t>nintedanib</w:t>
      </w:r>
      <w:r w:rsidR="009F2667">
        <w:rPr>
          <w:rFonts w:ascii="Times New Roman" w:eastAsia="Times New Roman" w:hAnsi="Times New Roman" w:cs="Times New Roman"/>
        </w:rPr>
        <w:t>o</w:t>
      </w:r>
      <w:r w:rsidRPr="00CD75FD">
        <w:rPr>
          <w:rFonts w:ascii="Times New Roman" w:eastAsia="Times New Roman" w:hAnsi="Times New Roman" w:cs="Times New Roman"/>
        </w:rPr>
        <w:t>t vagy placebót kapó csoportokba, melyből 576 beteg kapott kezelést. A randomizáció</w:t>
      </w:r>
      <w:r>
        <w:rPr>
          <w:rFonts w:ascii="Times New Roman" w:eastAsia="Times New Roman" w:hAnsi="Times New Roman" w:cs="Times New Roman"/>
        </w:rPr>
        <w:t xml:space="preserve"> </w:t>
      </w:r>
      <w:r w:rsidRPr="00CD75FD">
        <w:rPr>
          <w:rFonts w:ascii="Times New Roman" w:eastAsia="Times New Roman" w:hAnsi="Times New Roman" w:cs="Times New Roman"/>
        </w:rPr>
        <w:t>rétegzése az antitopoizomeráz antitest státusz (ATA) alapján történt. Az egyes betegek legfeljebb</w:t>
      </w:r>
      <w:r>
        <w:rPr>
          <w:rFonts w:ascii="Times New Roman" w:eastAsia="Times New Roman" w:hAnsi="Times New Roman" w:cs="Times New Roman"/>
        </w:rPr>
        <w:t xml:space="preserve"> </w:t>
      </w:r>
      <w:r w:rsidRPr="00CD75FD">
        <w:rPr>
          <w:rFonts w:ascii="Times New Roman" w:eastAsia="Times New Roman" w:hAnsi="Times New Roman" w:cs="Times New Roman"/>
        </w:rPr>
        <w:t>100</w:t>
      </w:r>
      <w:r w:rsidR="0076116E">
        <w:rPr>
          <w:rFonts w:ascii="Times New Roman" w:eastAsia="Times New Roman" w:hAnsi="Times New Roman" w:cs="Times New Roman"/>
        </w:rPr>
        <w:t> </w:t>
      </w:r>
      <w:r w:rsidRPr="00CD75FD">
        <w:rPr>
          <w:rFonts w:ascii="Times New Roman" w:eastAsia="Times New Roman" w:hAnsi="Times New Roman" w:cs="Times New Roman"/>
        </w:rPr>
        <w:t xml:space="preserve">hétig maradtak a kettős-vak vizsgálati kezelésben (medián </w:t>
      </w:r>
      <w:r>
        <w:rPr>
          <w:rFonts w:ascii="Times New Roman" w:eastAsia="Times New Roman" w:hAnsi="Times New Roman" w:cs="Times New Roman"/>
        </w:rPr>
        <w:t>nintedanib</w:t>
      </w:r>
      <w:r w:rsidRPr="00CD75FD">
        <w:rPr>
          <w:rFonts w:ascii="Times New Roman" w:eastAsia="Times New Roman" w:hAnsi="Times New Roman" w:cs="Times New Roman"/>
        </w:rPr>
        <w:t>-kitettség: 15,4</w:t>
      </w:r>
      <w:r w:rsidR="0076116E">
        <w:rPr>
          <w:rFonts w:ascii="Times New Roman" w:eastAsia="Times New Roman" w:hAnsi="Times New Roman" w:cs="Times New Roman"/>
        </w:rPr>
        <w:t> </w:t>
      </w:r>
      <w:r w:rsidRPr="00CD75FD">
        <w:rPr>
          <w:rFonts w:ascii="Times New Roman" w:eastAsia="Times New Roman" w:hAnsi="Times New Roman" w:cs="Times New Roman"/>
        </w:rPr>
        <w:t xml:space="preserve">hónap; átlag </w:t>
      </w:r>
      <w:r>
        <w:rPr>
          <w:rFonts w:ascii="Times New Roman" w:eastAsia="Times New Roman" w:hAnsi="Times New Roman" w:cs="Times New Roman"/>
        </w:rPr>
        <w:t>nintedanib-</w:t>
      </w:r>
      <w:r w:rsidRPr="00CD75FD">
        <w:rPr>
          <w:rFonts w:ascii="Times New Roman" w:eastAsia="Times New Roman" w:hAnsi="Times New Roman" w:cs="Times New Roman"/>
        </w:rPr>
        <w:t>kitettség: 14,5</w:t>
      </w:r>
      <w:r w:rsidR="0076116E">
        <w:rPr>
          <w:rFonts w:ascii="Times New Roman" w:eastAsia="Times New Roman" w:hAnsi="Times New Roman" w:cs="Times New Roman"/>
        </w:rPr>
        <w:t> </w:t>
      </w:r>
      <w:r w:rsidRPr="00CD75FD">
        <w:rPr>
          <w:rFonts w:ascii="Times New Roman" w:eastAsia="Times New Roman" w:hAnsi="Times New Roman" w:cs="Times New Roman"/>
        </w:rPr>
        <w:t>hónap).</w:t>
      </w:r>
    </w:p>
    <w:p w14:paraId="52A10B4C" w14:textId="77777777" w:rsidR="004D5D00" w:rsidRDefault="004D5D00" w:rsidP="00CD75FD">
      <w:pPr>
        <w:rPr>
          <w:rFonts w:ascii="Times New Roman" w:eastAsia="Times New Roman" w:hAnsi="Times New Roman" w:cs="Times New Roman"/>
        </w:rPr>
      </w:pPr>
    </w:p>
    <w:p w14:paraId="5369B3B5" w14:textId="259AD4B1" w:rsidR="00CD75FD" w:rsidRPr="00CD75FD" w:rsidRDefault="00CD75FD" w:rsidP="00CD75FD">
      <w:pPr>
        <w:rPr>
          <w:rFonts w:ascii="Times New Roman" w:eastAsia="Times New Roman" w:hAnsi="Times New Roman" w:cs="Times New Roman"/>
        </w:rPr>
      </w:pPr>
      <w:r w:rsidRPr="00CD75FD">
        <w:rPr>
          <w:rFonts w:ascii="Times New Roman" w:eastAsia="Times New Roman" w:hAnsi="Times New Roman" w:cs="Times New Roman"/>
        </w:rPr>
        <w:t>Az elsődleges végpont az erőltetett vitálkapacitás (FVC) csökkenésének éves üteme volt 52</w:t>
      </w:r>
      <w:r w:rsidR="002A40AE">
        <w:rPr>
          <w:rFonts w:ascii="Times New Roman" w:eastAsia="Times New Roman" w:hAnsi="Times New Roman" w:cs="Times New Roman"/>
        </w:rPr>
        <w:t> </w:t>
      </w:r>
      <w:r w:rsidRPr="00CD75FD">
        <w:rPr>
          <w:rFonts w:ascii="Times New Roman" w:eastAsia="Times New Roman" w:hAnsi="Times New Roman" w:cs="Times New Roman"/>
        </w:rPr>
        <w:t>hét alatt.</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A fő másodlagos végpontok a módosított Rodnan-Skin-score értékben(mRSS) a kiindulási értékhez</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képest az 52.</w:t>
      </w:r>
      <w:r w:rsidR="002A40AE">
        <w:rPr>
          <w:rFonts w:ascii="Times New Roman" w:eastAsia="Times New Roman" w:hAnsi="Times New Roman" w:cs="Times New Roman"/>
        </w:rPr>
        <w:t> </w:t>
      </w:r>
      <w:r w:rsidRPr="00CD75FD">
        <w:rPr>
          <w:rFonts w:ascii="Times New Roman" w:eastAsia="Times New Roman" w:hAnsi="Times New Roman" w:cs="Times New Roman"/>
        </w:rPr>
        <w:t>hétre bekövetkező abszolút változás és a Saint George légzőszervi kérdőív (SGRQ)</w:t>
      </w:r>
      <w:r w:rsidR="002C4DBC">
        <w:rPr>
          <w:rFonts w:ascii="Times New Roman" w:eastAsia="Times New Roman" w:hAnsi="Times New Roman" w:cs="Times New Roman"/>
        </w:rPr>
        <w:t xml:space="preserve"> </w:t>
      </w:r>
      <w:r w:rsidRPr="00CD75FD">
        <w:rPr>
          <w:rFonts w:ascii="Times New Roman" w:eastAsia="Times New Roman" w:hAnsi="Times New Roman" w:cs="Times New Roman"/>
        </w:rPr>
        <w:t>összpontszámában a kiindulási értékhez képest az 52. hétre bekövetkező abszolút változás volt.</w:t>
      </w:r>
    </w:p>
    <w:p w14:paraId="09061CDF" w14:textId="77777777" w:rsidR="004D5D00" w:rsidRDefault="004D5D00" w:rsidP="00CD75FD">
      <w:pPr>
        <w:rPr>
          <w:rFonts w:ascii="Times New Roman" w:eastAsia="Times New Roman" w:hAnsi="Times New Roman" w:cs="Times New Roman"/>
        </w:rPr>
      </w:pPr>
    </w:p>
    <w:p w14:paraId="32FD5205" w14:textId="50AEF685" w:rsidR="00CD75FD" w:rsidRPr="00110009" w:rsidRDefault="00CD75FD" w:rsidP="00CD75FD">
      <w:pPr>
        <w:rPr>
          <w:rFonts w:ascii="Times New Roman" w:eastAsia="Times New Roman" w:hAnsi="Times New Roman" w:cs="Times New Roman"/>
        </w:rPr>
      </w:pPr>
      <w:r w:rsidRPr="00CD75FD">
        <w:rPr>
          <w:rFonts w:ascii="Times New Roman" w:eastAsia="Times New Roman" w:hAnsi="Times New Roman" w:cs="Times New Roman"/>
        </w:rPr>
        <w:t xml:space="preserve">Az összes a beteg 75,2%-a nő volt. </w:t>
      </w:r>
      <w:r w:rsidRPr="002C4DBC">
        <w:rPr>
          <w:rFonts w:ascii="Times New Roman" w:eastAsia="Times New Roman" w:hAnsi="Times New Roman" w:cs="Times New Roman"/>
        </w:rPr>
        <w:t>Az átlagos (standard deviáció [SD, min-max]) életkor 54,0 (12,2;</w:t>
      </w:r>
      <w:r w:rsidR="002C4DBC" w:rsidRPr="002C4DBC">
        <w:rPr>
          <w:rFonts w:ascii="Times New Roman" w:eastAsia="Times New Roman" w:hAnsi="Times New Roman" w:cs="Times New Roman"/>
        </w:rPr>
        <w:t xml:space="preserve"> </w:t>
      </w:r>
      <w:r w:rsidRPr="002C4DBC">
        <w:rPr>
          <w:rFonts w:ascii="Times New Roman" w:eastAsia="Times New Roman" w:hAnsi="Times New Roman" w:cs="Times New Roman"/>
        </w:rPr>
        <w:t>20-79) év volt. Összességében a betegek 51,9%-ának volt diffúz, bőrt érintő szisztémás sclerosisa</w:t>
      </w:r>
      <w:r w:rsidR="002C4DBC" w:rsidRPr="002C4DBC">
        <w:rPr>
          <w:rFonts w:ascii="Times New Roman" w:eastAsia="Times New Roman" w:hAnsi="Times New Roman" w:cs="Times New Roman"/>
        </w:rPr>
        <w:t xml:space="preserve"> </w:t>
      </w:r>
      <w:r w:rsidRPr="002C4DBC">
        <w:rPr>
          <w:rFonts w:ascii="Times New Roman" w:eastAsia="Times New Roman" w:hAnsi="Times New Roman" w:cs="Times New Roman"/>
        </w:rPr>
        <w:t>(SSc) és 48,1%-ának volt limitált, bőrt érintő SSc-je. Egy nem-Raynaud tünet első megjelenésétől</w:t>
      </w:r>
      <w:r w:rsidR="002C4DBC" w:rsidRPr="002C4DBC">
        <w:rPr>
          <w:rFonts w:ascii="Times New Roman" w:eastAsia="Times New Roman" w:hAnsi="Times New Roman" w:cs="Times New Roman"/>
        </w:rPr>
        <w:t xml:space="preserve"> </w:t>
      </w:r>
      <w:r w:rsidRPr="002C4DBC">
        <w:rPr>
          <w:rFonts w:ascii="Times New Roman" w:eastAsia="Times New Roman" w:hAnsi="Times New Roman" w:cs="Times New Roman"/>
        </w:rPr>
        <w:t xml:space="preserve">eltelt átlagos (SD) idő 3,49 (1,7) év volt. </w:t>
      </w:r>
      <w:r w:rsidRPr="00110009">
        <w:rPr>
          <w:rFonts w:ascii="Times New Roman" w:eastAsia="Times New Roman" w:hAnsi="Times New Roman" w:cs="Times New Roman"/>
        </w:rPr>
        <w:t xml:space="preserve">A betegek 49,0%-a a kiinduláskor stabil </w:t>
      </w:r>
      <w:r w:rsidR="009F2667">
        <w:rPr>
          <w:rFonts w:ascii="Times New Roman" w:eastAsia="Times New Roman" w:hAnsi="Times New Roman" w:cs="Times New Roman"/>
        </w:rPr>
        <w:t>mikofenolát-</w:t>
      </w:r>
      <w:r w:rsidR="009F2667" w:rsidRPr="00110009">
        <w:rPr>
          <w:rFonts w:ascii="Times New Roman" w:eastAsia="Times New Roman" w:hAnsi="Times New Roman" w:cs="Times New Roman"/>
        </w:rPr>
        <w:t xml:space="preserve">kezelésben </w:t>
      </w:r>
      <w:r w:rsidRPr="00110009">
        <w:rPr>
          <w:rFonts w:ascii="Times New Roman" w:eastAsia="Times New Roman" w:hAnsi="Times New Roman" w:cs="Times New Roman"/>
        </w:rPr>
        <w:t xml:space="preserve">részesült (46,5% mikofenolát-mofetil, 1,9% nátrium-mikofenolát, valamint 0,5% mikofenolsav). A kiinduláskor </w:t>
      </w:r>
      <w:r w:rsidR="009F2667">
        <w:rPr>
          <w:rFonts w:ascii="Times New Roman" w:eastAsia="Times New Roman" w:hAnsi="Times New Roman" w:cs="Times New Roman"/>
        </w:rPr>
        <w:t>mikofenolát</w:t>
      </w:r>
      <w:r w:rsidRPr="00110009">
        <w:rPr>
          <w:rFonts w:ascii="Times New Roman" w:eastAsia="Times New Roman" w:hAnsi="Times New Roman" w:cs="Times New Roman"/>
        </w:rPr>
        <w:t>-kezelést kapó és nem kapó betegek biztonságossági profilja hasonló volt.</w:t>
      </w:r>
    </w:p>
    <w:p w14:paraId="08833982" w14:textId="77777777" w:rsidR="00CD75FD" w:rsidRPr="00110009" w:rsidRDefault="00CD75FD" w:rsidP="00CD75FD">
      <w:pPr>
        <w:rPr>
          <w:rFonts w:ascii="Times New Roman" w:eastAsia="Times New Roman" w:hAnsi="Times New Roman" w:cs="Times New Roman"/>
        </w:rPr>
      </w:pPr>
    </w:p>
    <w:p w14:paraId="3B405FAF" w14:textId="01C1F290" w:rsidR="00CD75FD" w:rsidRPr="00110009" w:rsidRDefault="00CD75FD" w:rsidP="00CD75FD">
      <w:pPr>
        <w:rPr>
          <w:rFonts w:ascii="Times New Roman" w:eastAsia="Times New Roman" w:hAnsi="Times New Roman" w:cs="Times New Roman"/>
          <w:i/>
          <w:iCs/>
          <w:u w:val="single"/>
        </w:rPr>
      </w:pPr>
      <w:r w:rsidRPr="00110009">
        <w:rPr>
          <w:rFonts w:ascii="Times New Roman" w:eastAsia="Times New Roman" w:hAnsi="Times New Roman" w:cs="Times New Roman"/>
          <w:i/>
          <w:iCs/>
          <w:u w:val="single"/>
        </w:rPr>
        <w:t>Az FVC-csökkenés éves üteme</w:t>
      </w:r>
    </w:p>
    <w:p w14:paraId="371848F6" w14:textId="721481B0" w:rsidR="004B7455" w:rsidRPr="00110009" w:rsidRDefault="00CD75FD" w:rsidP="00CD75FD">
      <w:pPr>
        <w:rPr>
          <w:rFonts w:ascii="Times New Roman" w:eastAsia="Times New Roman" w:hAnsi="Times New Roman" w:cs="Times New Roman"/>
        </w:rPr>
      </w:pPr>
      <w:r w:rsidRPr="00110009">
        <w:rPr>
          <w:rFonts w:ascii="Times New Roman" w:eastAsia="Times New Roman" w:hAnsi="Times New Roman" w:cs="Times New Roman"/>
        </w:rPr>
        <w:t>Az FVC csökkenésének éves üteme (ml-ben) 52 héten át vizsgálva szignifikánsan, 41,0</w:t>
      </w:r>
      <w:r w:rsidR="002A40AE">
        <w:rPr>
          <w:rFonts w:ascii="Times New Roman" w:eastAsia="Times New Roman" w:hAnsi="Times New Roman" w:cs="Times New Roman"/>
        </w:rPr>
        <w:t> </w:t>
      </w:r>
      <w:r w:rsidRPr="00110009">
        <w:rPr>
          <w:rFonts w:ascii="Times New Roman" w:eastAsia="Times New Roman" w:hAnsi="Times New Roman" w:cs="Times New Roman"/>
        </w:rPr>
        <w:t>ml-rel</w:t>
      </w:r>
      <w:r w:rsidR="002C4DBC" w:rsidRPr="00110009">
        <w:rPr>
          <w:rFonts w:ascii="Times New Roman" w:eastAsia="Times New Roman" w:hAnsi="Times New Roman" w:cs="Times New Roman"/>
        </w:rPr>
        <w:t xml:space="preserve"> </w:t>
      </w:r>
      <w:r w:rsidRPr="00110009">
        <w:rPr>
          <w:rFonts w:ascii="Times New Roman" w:eastAsia="Times New Roman" w:hAnsi="Times New Roman" w:cs="Times New Roman"/>
        </w:rPr>
        <w:t>alacsonyabb volt a nintedanib-kezelésben részesülő betegek esetében, mint a placebót kapó betegeknél (1</w:t>
      </w:r>
      <w:r w:rsidR="00D03E4C">
        <w:rPr>
          <w:rFonts w:ascii="Times New Roman" w:eastAsia="Times New Roman" w:hAnsi="Times New Roman" w:cs="Times New Roman"/>
        </w:rPr>
        <w:t>1</w:t>
      </w:r>
      <w:r w:rsidRPr="00110009">
        <w:rPr>
          <w:rFonts w:ascii="Times New Roman" w:eastAsia="Times New Roman" w:hAnsi="Times New Roman" w:cs="Times New Roman"/>
        </w:rPr>
        <w:t>.</w:t>
      </w:r>
      <w:r w:rsidR="002A40AE">
        <w:rPr>
          <w:rFonts w:ascii="Times New Roman" w:eastAsia="Times New Roman" w:hAnsi="Times New Roman" w:cs="Times New Roman"/>
        </w:rPr>
        <w:t> </w:t>
      </w:r>
      <w:r w:rsidRPr="00110009">
        <w:rPr>
          <w:rFonts w:ascii="Times New Roman" w:eastAsia="Times New Roman" w:hAnsi="Times New Roman" w:cs="Times New Roman"/>
        </w:rPr>
        <w:t>táblázat), ami 43,8%-os relatív kezelési hatékonyságnak felel meg.</w:t>
      </w:r>
    </w:p>
    <w:p w14:paraId="406215A6" w14:textId="77777777" w:rsidR="004B7455" w:rsidRPr="00110009" w:rsidRDefault="004B7455" w:rsidP="009106D9">
      <w:pPr>
        <w:rPr>
          <w:rFonts w:ascii="Times New Roman" w:eastAsia="Times New Roman" w:hAnsi="Times New Roman" w:cs="Times New Roman"/>
        </w:rPr>
      </w:pPr>
    </w:p>
    <w:p w14:paraId="18A0E5DC" w14:textId="17C04097" w:rsidR="004B7455" w:rsidRPr="00110009" w:rsidRDefault="004D5D00" w:rsidP="009106D9">
      <w:pPr>
        <w:rPr>
          <w:rFonts w:ascii="Times New Roman" w:eastAsia="Times New Roman" w:hAnsi="Times New Roman" w:cs="Times New Roman"/>
          <w:b/>
          <w:bCs/>
        </w:rPr>
      </w:pPr>
      <w:r w:rsidRPr="00110009">
        <w:rPr>
          <w:rFonts w:ascii="Times New Roman" w:eastAsia="Times New Roman" w:hAnsi="Times New Roman" w:cs="Times New Roman"/>
          <w:b/>
          <w:bCs/>
        </w:rPr>
        <w:t>1</w:t>
      </w:r>
      <w:r w:rsidR="00265F72">
        <w:rPr>
          <w:rFonts w:ascii="Times New Roman" w:eastAsia="Times New Roman" w:hAnsi="Times New Roman" w:cs="Times New Roman"/>
          <w:b/>
          <w:bCs/>
        </w:rPr>
        <w:t>1</w:t>
      </w:r>
      <w:r w:rsidRPr="00110009">
        <w:rPr>
          <w:rFonts w:ascii="Times New Roman" w:eastAsia="Times New Roman" w:hAnsi="Times New Roman" w:cs="Times New Roman"/>
          <w:b/>
          <w:bCs/>
        </w:rPr>
        <w:t>. táblázat: Az FVC-csökkenés éves üteme (ml) 52 héten át vizsgálva</w:t>
      </w:r>
    </w:p>
    <w:tbl>
      <w:tblPr>
        <w:tblStyle w:val="Rcsostblzat"/>
        <w:tblW w:w="0" w:type="auto"/>
        <w:tblLook w:val="04A0" w:firstRow="1" w:lastRow="0" w:firstColumn="1" w:lastColumn="0" w:noHBand="0" w:noVBand="1"/>
      </w:tblPr>
      <w:tblGrid>
        <w:gridCol w:w="3539"/>
        <w:gridCol w:w="2410"/>
        <w:gridCol w:w="3112"/>
      </w:tblGrid>
      <w:tr w:rsidR="004D5D00" w:rsidRPr="004D5D00" w14:paraId="28692398" w14:textId="77777777" w:rsidTr="004D5D00">
        <w:tc>
          <w:tcPr>
            <w:tcW w:w="3539" w:type="dxa"/>
          </w:tcPr>
          <w:p w14:paraId="2DC8E980" w14:textId="77777777" w:rsidR="004D5D00" w:rsidRPr="00110009" w:rsidRDefault="004D5D00" w:rsidP="002C4DBC">
            <w:pPr>
              <w:jc w:val="center"/>
              <w:rPr>
                <w:rFonts w:ascii="Times New Roman" w:eastAsia="Times New Roman" w:hAnsi="Times New Roman" w:cs="Times New Roman"/>
              </w:rPr>
            </w:pPr>
          </w:p>
        </w:tc>
        <w:tc>
          <w:tcPr>
            <w:tcW w:w="2410" w:type="dxa"/>
          </w:tcPr>
          <w:p w14:paraId="0FB29464" w14:textId="77777777" w:rsidR="004D5D00" w:rsidRPr="004D5D00" w:rsidRDefault="004D5D00" w:rsidP="002C4DBC">
            <w:pPr>
              <w:jc w:val="center"/>
              <w:rPr>
                <w:rFonts w:ascii="Times New Roman" w:eastAsia="Times New Roman" w:hAnsi="Times New Roman" w:cs="Times New Roman"/>
              </w:rPr>
            </w:pPr>
            <w:r w:rsidRPr="004D5D00">
              <w:rPr>
                <w:rFonts w:ascii="Times New Roman" w:eastAsia="Times New Roman" w:hAnsi="Times New Roman" w:cs="Times New Roman"/>
              </w:rPr>
              <w:t>Placebo</w:t>
            </w:r>
          </w:p>
        </w:tc>
        <w:tc>
          <w:tcPr>
            <w:tcW w:w="3112" w:type="dxa"/>
          </w:tcPr>
          <w:p w14:paraId="50F37F58" w14:textId="0A9940EC" w:rsidR="004D5D00" w:rsidRPr="004D5D00" w:rsidRDefault="004D5D00" w:rsidP="002C4DBC">
            <w:pPr>
              <w:jc w:val="center"/>
              <w:rPr>
                <w:rFonts w:ascii="Times New Roman" w:eastAsia="Times New Roman" w:hAnsi="Times New Roman" w:cs="Times New Roman"/>
              </w:rPr>
            </w:pPr>
            <w:r w:rsidRPr="004D5D00">
              <w:rPr>
                <w:rFonts w:ascii="Times New Roman" w:eastAsia="Times New Roman" w:hAnsi="Times New Roman" w:cs="Times New Roman"/>
              </w:rPr>
              <w:t xml:space="preserve">Nintedanib 150 mg </w:t>
            </w:r>
            <w:r>
              <w:rPr>
                <w:rFonts w:ascii="Times New Roman" w:eastAsia="Times New Roman" w:hAnsi="Times New Roman" w:cs="Times New Roman"/>
              </w:rPr>
              <w:t>napi kétszer</w:t>
            </w:r>
          </w:p>
        </w:tc>
      </w:tr>
      <w:tr w:rsidR="004D5D00" w:rsidRPr="004D5D00" w14:paraId="2951B24F" w14:textId="77777777" w:rsidTr="004D5D00">
        <w:tc>
          <w:tcPr>
            <w:tcW w:w="3539" w:type="dxa"/>
          </w:tcPr>
          <w:p w14:paraId="648742C7" w14:textId="3B111FE4" w:rsidR="004D5D00" w:rsidRPr="002E182A" w:rsidRDefault="004D5D00" w:rsidP="004D5D00">
            <w:pPr>
              <w:rPr>
                <w:rFonts w:ascii="Times New Roman" w:eastAsia="Times New Roman" w:hAnsi="Times New Roman" w:cs="Times New Roman"/>
                <w:lang w:val="de-DE"/>
              </w:rPr>
            </w:pPr>
            <w:r w:rsidRPr="002E182A">
              <w:rPr>
                <w:rFonts w:ascii="Times New Roman" w:eastAsia="Times New Roman" w:hAnsi="Times New Roman" w:cs="Times New Roman"/>
                <w:lang w:val="de-DE"/>
              </w:rPr>
              <w:t>Az elemzésbe bevont betegek száma</w:t>
            </w:r>
          </w:p>
        </w:tc>
        <w:tc>
          <w:tcPr>
            <w:tcW w:w="2410" w:type="dxa"/>
          </w:tcPr>
          <w:p w14:paraId="3419ADDA" w14:textId="77777777" w:rsidR="004D5D00" w:rsidRPr="004D5D00" w:rsidRDefault="004D5D00" w:rsidP="002C4DBC">
            <w:pPr>
              <w:jc w:val="center"/>
              <w:rPr>
                <w:rFonts w:ascii="Times New Roman" w:eastAsia="Times New Roman" w:hAnsi="Times New Roman" w:cs="Times New Roman"/>
              </w:rPr>
            </w:pPr>
            <w:r w:rsidRPr="004D5D00">
              <w:rPr>
                <w:rFonts w:ascii="Times New Roman" w:eastAsia="Times New Roman" w:hAnsi="Times New Roman" w:cs="Times New Roman"/>
              </w:rPr>
              <w:t>288</w:t>
            </w:r>
          </w:p>
        </w:tc>
        <w:tc>
          <w:tcPr>
            <w:tcW w:w="3112" w:type="dxa"/>
          </w:tcPr>
          <w:p w14:paraId="582F4AB4" w14:textId="77777777" w:rsidR="004D5D00" w:rsidRPr="004D5D00" w:rsidRDefault="004D5D00" w:rsidP="002C4DBC">
            <w:pPr>
              <w:jc w:val="center"/>
              <w:rPr>
                <w:rFonts w:ascii="Times New Roman" w:eastAsia="Times New Roman" w:hAnsi="Times New Roman" w:cs="Times New Roman"/>
              </w:rPr>
            </w:pPr>
            <w:r w:rsidRPr="004D5D00">
              <w:rPr>
                <w:rFonts w:ascii="Times New Roman" w:eastAsia="Times New Roman" w:hAnsi="Times New Roman" w:cs="Times New Roman"/>
              </w:rPr>
              <w:t>287</w:t>
            </w:r>
          </w:p>
        </w:tc>
      </w:tr>
      <w:tr w:rsidR="004D5D00" w:rsidRPr="004D5D00" w14:paraId="409DDF46" w14:textId="77777777" w:rsidTr="004D5D00">
        <w:tc>
          <w:tcPr>
            <w:tcW w:w="3539" w:type="dxa"/>
          </w:tcPr>
          <w:p w14:paraId="2B134577" w14:textId="5A81FD82" w:rsidR="004D5D00" w:rsidRPr="004D5D00" w:rsidRDefault="004D5D00" w:rsidP="002A40AE">
            <w:pPr>
              <w:rPr>
                <w:rFonts w:ascii="Times New Roman" w:eastAsia="Times New Roman" w:hAnsi="Times New Roman" w:cs="Times New Roman"/>
              </w:rPr>
            </w:pPr>
            <w:r w:rsidRPr="004D5D00">
              <w:rPr>
                <w:rFonts w:ascii="Times New Roman" w:eastAsia="Times New Roman" w:hAnsi="Times New Roman" w:cs="Times New Roman"/>
              </w:rPr>
              <w:t>Az 52 hét során tapasztalt</w:t>
            </w:r>
            <w:r w:rsidR="002A40AE">
              <w:rPr>
                <w:rFonts w:ascii="Times New Roman" w:eastAsia="Times New Roman" w:hAnsi="Times New Roman" w:cs="Times New Roman"/>
              </w:rPr>
              <w:t xml:space="preserve"> </w:t>
            </w:r>
            <w:r w:rsidRPr="004D5D00">
              <w:rPr>
                <w:rFonts w:ascii="Times New Roman" w:eastAsia="Times New Roman" w:hAnsi="Times New Roman" w:cs="Times New Roman"/>
              </w:rPr>
              <w:t>csökkenés aránya</w:t>
            </w:r>
            <w:r w:rsidRPr="004D5D00">
              <w:rPr>
                <w:rFonts w:ascii="Times New Roman" w:eastAsia="Times New Roman" w:hAnsi="Times New Roman" w:cs="Times New Roman"/>
                <w:vertAlign w:val="superscript"/>
              </w:rPr>
              <w:t>1</w:t>
            </w:r>
            <w:r>
              <w:rPr>
                <w:rFonts w:ascii="Times New Roman" w:eastAsia="Times New Roman" w:hAnsi="Times New Roman" w:cs="Times New Roman"/>
              </w:rPr>
              <w:t xml:space="preserve"> </w:t>
            </w:r>
            <w:r w:rsidRPr="004D5D00">
              <w:rPr>
                <w:rFonts w:ascii="Times New Roman" w:eastAsia="Times New Roman" w:hAnsi="Times New Roman" w:cs="Times New Roman"/>
              </w:rPr>
              <w:t>(SE)</w:t>
            </w:r>
          </w:p>
        </w:tc>
        <w:tc>
          <w:tcPr>
            <w:tcW w:w="2410" w:type="dxa"/>
          </w:tcPr>
          <w:p w14:paraId="1D5CA5D9" w14:textId="103BC1B5" w:rsidR="004D5D00" w:rsidRPr="004D5D00" w:rsidRDefault="004D5D00" w:rsidP="002C4DBC">
            <w:pPr>
              <w:jc w:val="center"/>
              <w:rPr>
                <w:rFonts w:ascii="Times New Roman" w:eastAsia="Times New Roman" w:hAnsi="Times New Roman" w:cs="Times New Roman"/>
              </w:rPr>
            </w:pPr>
            <w:r w:rsidRPr="004D5D00">
              <w:rPr>
                <w:rFonts w:ascii="Times New Roman" w:eastAsia="Times New Roman" w:hAnsi="Times New Roman" w:cs="Times New Roman"/>
              </w:rPr>
              <w:t>-93</w:t>
            </w:r>
            <w:r w:rsidR="009F2667">
              <w:rPr>
                <w:rFonts w:ascii="Times New Roman" w:eastAsia="Times New Roman" w:hAnsi="Times New Roman" w:cs="Times New Roman"/>
              </w:rPr>
              <w:t>,</w:t>
            </w:r>
            <w:r w:rsidRPr="004D5D00">
              <w:rPr>
                <w:rFonts w:ascii="Times New Roman" w:eastAsia="Times New Roman" w:hAnsi="Times New Roman" w:cs="Times New Roman"/>
              </w:rPr>
              <w:t>3 (13</w:t>
            </w:r>
            <w:r w:rsidR="009F2667">
              <w:rPr>
                <w:rFonts w:ascii="Times New Roman" w:eastAsia="Times New Roman" w:hAnsi="Times New Roman" w:cs="Times New Roman"/>
              </w:rPr>
              <w:t>,</w:t>
            </w:r>
            <w:r w:rsidRPr="004D5D00">
              <w:rPr>
                <w:rFonts w:ascii="Times New Roman" w:eastAsia="Times New Roman" w:hAnsi="Times New Roman" w:cs="Times New Roman"/>
              </w:rPr>
              <w:t>5)</w:t>
            </w:r>
          </w:p>
        </w:tc>
        <w:tc>
          <w:tcPr>
            <w:tcW w:w="3112" w:type="dxa"/>
          </w:tcPr>
          <w:p w14:paraId="0653317B" w14:textId="40E46F76" w:rsidR="004D5D00" w:rsidRPr="004D5D00" w:rsidRDefault="004D5D00" w:rsidP="002C4DBC">
            <w:pPr>
              <w:jc w:val="center"/>
              <w:rPr>
                <w:rFonts w:ascii="Times New Roman" w:eastAsia="Times New Roman" w:hAnsi="Times New Roman" w:cs="Times New Roman"/>
              </w:rPr>
            </w:pPr>
            <w:r w:rsidRPr="004D5D00">
              <w:rPr>
                <w:rFonts w:ascii="Times New Roman" w:eastAsia="Times New Roman" w:hAnsi="Times New Roman" w:cs="Times New Roman"/>
              </w:rPr>
              <w:t>-52</w:t>
            </w:r>
            <w:r w:rsidR="009F2667">
              <w:rPr>
                <w:rFonts w:ascii="Times New Roman" w:eastAsia="Times New Roman" w:hAnsi="Times New Roman" w:cs="Times New Roman"/>
              </w:rPr>
              <w:t>,</w:t>
            </w:r>
            <w:r w:rsidRPr="004D5D00">
              <w:rPr>
                <w:rFonts w:ascii="Times New Roman" w:eastAsia="Times New Roman" w:hAnsi="Times New Roman" w:cs="Times New Roman"/>
              </w:rPr>
              <w:t>4 (13</w:t>
            </w:r>
            <w:r w:rsidR="009F2667">
              <w:rPr>
                <w:rFonts w:ascii="Times New Roman" w:eastAsia="Times New Roman" w:hAnsi="Times New Roman" w:cs="Times New Roman"/>
              </w:rPr>
              <w:t>,</w:t>
            </w:r>
            <w:r w:rsidRPr="004D5D00">
              <w:rPr>
                <w:rFonts w:ascii="Times New Roman" w:eastAsia="Times New Roman" w:hAnsi="Times New Roman" w:cs="Times New Roman"/>
              </w:rPr>
              <w:t>8)</w:t>
            </w:r>
          </w:p>
        </w:tc>
      </w:tr>
      <w:tr w:rsidR="004D5D00" w:rsidRPr="004D5D00" w14:paraId="15ADE83F" w14:textId="77777777" w:rsidTr="00E0772D">
        <w:tc>
          <w:tcPr>
            <w:tcW w:w="9061" w:type="dxa"/>
            <w:gridSpan w:val="3"/>
          </w:tcPr>
          <w:p w14:paraId="038B64FD" w14:textId="43DD17E4" w:rsidR="004D5D00" w:rsidRPr="004D5D00" w:rsidRDefault="004D5D00" w:rsidP="004D5D00">
            <w:pPr>
              <w:rPr>
                <w:rFonts w:ascii="Times New Roman" w:eastAsia="Times New Roman" w:hAnsi="Times New Roman" w:cs="Times New Roman"/>
              </w:rPr>
            </w:pPr>
            <w:r w:rsidRPr="004D5D00">
              <w:rPr>
                <w:rFonts w:ascii="Times New Roman" w:eastAsia="Times New Roman" w:hAnsi="Times New Roman" w:cs="Times New Roman"/>
              </w:rPr>
              <w:t>Összehasonlítás placebóhoz</w:t>
            </w:r>
            <w:r>
              <w:rPr>
                <w:rFonts w:ascii="Times New Roman" w:eastAsia="Times New Roman" w:hAnsi="Times New Roman" w:cs="Times New Roman"/>
              </w:rPr>
              <w:t xml:space="preserve"> </w:t>
            </w:r>
            <w:r w:rsidRPr="004D5D00">
              <w:rPr>
                <w:rFonts w:ascii="Times New Roman" w:eastAsia="Times New Roman" w:hAnsi="Times New Roman" w:cs="Times New Roman"/>
              </w:rPr>
              <w:t>képest</w:t>
            </w:r>
          </w:p>
        </w:tc>
      </w:tr>
      <w:tr w:rsidR="004D5D00" w:rsidRPr="004D5D00" w14:paraId="4CAE9281" w14:textId="77777777" w:rsidTr="004D5D00">
        <w:tc>
          <w:tcPr>
            <w:tcW w:w="3539" w:type="dxa"/>
          </w:tcPr>
          <w:p w14:paraId="4BB3846A" w14:textId="7BF5614B" w:rsidR="004D5D00" w:rsidRPr="004D5D00" w:rsidRDefault="004D5D00" w:rsidP="004D5D00">
            <w:pPr>
              <w:rPr>
                <w:rFonts w:ascii="Times New Roman" w:eastAsia="Times New Roman" w:hAnsi="Times New Roman" w:cs="Times New Roman"/>
              </w:rPr>
            </w:pPr>
            <w:r w:rsidRPr="004D5D00">
              <w:rPr>
                <w:rFonts w:ascii="Times New Roman" w:eastAsia="Times New Roman" w:hAnsi="Times New Roman" w:cs="Times New Roman"/>
              </w:rPr>
              <w:t>Eltérés</w:t>
            </w:r>
            <w:r w:rsidRPr="004D5D00">
              <w:rPr>
                <w:rFonts w:ascii="Times New Roman" w:eastAsia="Times New Roman" w:hAnsi="Times New Roman" w:cs="Times New Roman"/>
                <w:vertAlign w:val="superscript"/>
              </w:rPr>
              <w:t>1</w:t>
            </w:r>
          </w:p>
        </w:tc>
        <w:tc>
          <w:tcPr>
            <w:tcW w:w="2410" w:type="dxa"/>
          </w:tcPr>
          <w:p w14:paraId="40EBB3F2" w14:textId="77777777" w:rsidR="004D5D00" w:rsidRPr="004D5D00" w:rsidRDefault="004D5D00" w:rsidP="004D5D00">
            <w:pPr>
              <w:rPr>
                <w:rFonts w:ascii="Times New Roman" w:eastAsia="Times New Roman" w:hAnsi="Times New Roman" w:cs="Times New Roman"/>
              </w:rPr>
            </w:pPr>
          </w:p>
        </w:tc>
        <w:tc>
          <w:tcPr>
            <w:tcW w:w="3112" w:type="dxa"/>
          </w:tcPr>
          <w:p w14:paraId="2D6311CC" w14:textId="1694EAFF" w:rsidR="004D5D00" w:rsidRPr="004D5D00" w:rsidRDefault="004D5D00" w:rsidP="002C4DBC">
            <w:pPr>
              <w:jc w:val="center"/>
              <w:rPr>
                <w:rFonts w:ascii="Times New Roman" w:eastAsia="Times New Roman" w:hAnsi="Times New Roman" w:cs="Times New Roman"/>
              </w:rPr>
            </w:pPr>
            <w:r w:rsidRPr="004D5D00">
              <w:rPr>
                <w:rFonts w:ascii="Times New Roman" w:eastAsia="Times New Roman" w:hAnsi="Times New Roman" w:cs="Times New Roman"/>
              </w:rPr>
              <w:t>41</w:t>
            </w:r>
            <w:r w:rsidR="009F2667">
              <w:rPr>
                <w:rFonts w:ascii="Times New Roman" w:eastAsia="Times New Roman" w:hAnsi="Times New Roman" w:cs="Times New Roman"/>
              </w:rPr>
              <w:t>,</w:t>
            </w:r>
            <w:r w:rsidRPr="004D5D00">
              <w:rPr>
                <w:rFonts w:ascii="Times New Roman" w:eastAsia="Times New Roman" w:hAnsi="Times New Roman" w:cs="Times New Roman"/>
              </w:rPr>
              <w:t>0</w:t>
            </w:r>
          </w:p>
        </w:tc>
      </w:tr>
      <w:tr w:rsidR="004D5D00" w:rsidRPr="004D5D00" w14:paraId="2040985A" w14:textId="77777777" w:rsidTr="004D5D00">
        <w:tc>
          <w:tcPr>
            <w:tcW w:w="3539" w:type="dxa"/>
          </w:tcPr>
          <w:p w14:paraId="60373F12" w14:textId="612791AF" w:rsidR="004D5D00" w:rsidRPr="004D5D00" w:rsidRDefault="004D5D00" w:rsidP="004D5D00">
            <w:pPr>
              <w:rPr>
                <w:rFonts w:ascii="Times New Roman" w:eastAsia="Times New Roman" w:hAnsi="Times New Roman" w:cs="Times New Roman"/>
              </w:rPr>
            </w:pPr>
            <w:r w:rsidRPr="004D5D00">
              <w:rPr>
                <w:rFonts w:ascii="Times New Roman" w:eastAsia="Times New Roman" w:hAnsi="Times New Roman" w:cs="Times New Roman"/>
              </w:rPr>
              <w:t>95%</w:t>
            </w:r>
            <w:r>
              <w:rPr>
                <w:rFonts w:ascii="Times New Roman" w:eastAsia="Times New Roman" w:hAnsi="Times New Roman" w:cs="Times New Roman"/>
              </w:rPr>
              <w:t>-os</w:t>
            </w:r>
            <w:r w:rsidRPr="004D5D00">
              <w:rPr>
                <w:rFonts w:ascii="Times New Roman" w:eastAsia="Times New Roman" w:hAnsi="Times New Roman" w:cs="Times New Roman"/>
              </w:rPr>
              <w:t xml:space="preserve"> CI</w:t>
            </w:r>
          </w:p>
        </w:tc>
        <w:tc>
          <w:tcPr>
            <w:tcW w:w="2410" w:type="dxa"/>
          </w:tcPr>
          <w:p w14:paraId="427B7812" w14:textId="77777777" w:rsidR="004D5D00" w:rsidRPr="004D5D00" w:rsidRDefault="004D5D00" w:rsidP="004D5D00">
            <w:pPr>
              <w:rPr>
                <w:rFonts w:ascii="Times New Roman" w:eastAsia="Times New Roman" w:hAnsi="Times New Roman" w:cs="Times New Roman"/>
              </w:rPr>
            </w:pPr>
          </w:p>
        </w:tc>
        <w:tc>
          <w:tcPr>
            <w:tcW w:w="3112" w:type="dxa"/>
          </w:tcPr>
          <w:p w14:paraId="15BA1EE9" w14:textId="45B9D780" w:rsidR="004D5D00" w:rsidRPr="004D5D00" w:rsidRDefault="004D5D00" w:rsidP="002C4DBC">
            <w:pPr>
              <w:jc w:val="center"/>
              <w:rPr>
                <w:rFonts w:ascii="Times New Roman" w:eastAsia="Times New Roman" w:hAnsi="Times New Roman" w:cs="Times New Roman"/>
              </w:rPr>
            </w:pPr>
            <w:r w:rsidRPr="004D5D00">
              <w:rPr>
                <w:rFonts w:ascii="Times New Roman" w:eastAsia="Times New Roman" w:hAnsi="Times New Roman" w:cs="Times New Roman"/>
              </w:rPr>
              <w:t>(2</w:t>
            </w:r>
            <w:r w:rsidR="009F2667">
              <w:rPr>
                <w:rFonts w:ascii="Times New Roman" w:eastAsia="Times New Roman" w:hAnsi="Times New Roman" w:cs="Times New Roman"/>
              </w:rPr>
              <w:t>,</w:t>
            </w:r>
            <w:r w:rsidRPr="004D5D00">
              <w:rPr>
                <w:rFonts w:ascii="Times New Roman" w:eastAsia="Times New Roman" w:hAnsi="Times New Roman" w:cs="Times New Roman"/>
              </w:rPr>
              <w:t>9</w:t>
            </w:r>
            <w:r w:rsidR="009F2667">
              <w:rPr>
                <w:rFonts w:ascii="Times New Roman" w:eastAsia="Times New Roman" w:hAnsi="Times New Roman" w:cs="Times New Roman"/>
              </w:rPr>
              <w:t>;</w:t>
            </w:r>
            <w:r w:rsidRPr="004D5D00">
              <w:rPr>
                <w:rFonts w:ascii="Times New Roman" w:eastAsia="Times New Roman" w:hAnsi="Times New Roman" w:cs="Times New Roman"/>
              </w:rPr>
              <w:t xml:space="preserve"> 79</w:t>
            </w:r>
            <w:r w:rsidR="009F2667">
              <w:rPr>
                <w:rFonts w:ascii="Times New Roman" w:eastAsia="Times New Roman" w:hAnsi="Times New Roman" w:cs="Times New Roman"/>
              </w:rPr>
              <w:t>,</w:t>
            </w:r>
            <w:r w:rsidRPr="004D5D00">
              <w:rPr>
                <w:rFonts w:ascii="Times New Roman" w:eastAsia="Times New Roman" w:hAnsi="Times New Roman" w:cs="Times New Roman"/>
              </w:rPr>
              <w:t>0)</w:t>
            </w:r>
          </w:p>
        </w:tc>
      </w:tr>
      <w:tr w:rsidR="004D5D00" w:rsidRPr="004D5D00" w14:paraId="632BCAA2" w14:textId="77777777" w:rsidTr="004D5D00">
        <w:tc>
          <w:tcPr>
            <w:tcW w:w="3539" w:type="dxa"/>
          </w:tcPr>
          <w:p w14:paraId="69218803" w14:textId="2E365854" w:rsidR="004D5D00" w:rsidRPr="004D5D00" w:rsidRDefault="004D5D00" w:rsidP="004D5D00">
            <w:pPr>
              <w:rPr>
                <w:rFonts w:ascii="Times New Roman" w:eastAsia="Times New Roman" w:hAnsi="Times New Roman" w:cs="Times New Roman"/>
              </w:rPr>
            </w:pPr>
            <w:r w:rsidRPr="004D5D00">
              <w:rPr>
                <w:rFonts w:ascii="Times New Roman" w:eastAsia="Times New Roman" w:hAnsi="Times New Roman" w:cs="Times New Roman"/>
              </w:rPr>
              <w:t>p-</w:t>
            </w:r>
            <w:r>
              <w:rPr>
                <w:rFonts w:ascii="Times New Roman" w:eastAsia="Times New Roman" w:hAnsi="Times New Roman" w:cs="Times New Roman"/>
              </w:rPr>
              <w:t>érték</w:t>
            </w:r>
          </w:p>
        </w:tc>
        <w:tc>
          <w:tcPr>
            <w:tcW w:w="2410" w:type="dxa"/>
          </w:tcPr>
          <w:p w14:paraId="466BDAB1" w14:textId="77777777" w:rsidR="004D5D00" w:rsidRPr="004D5D00" w:rsidRDefault="004D5D00" w:rsidP="004D5D00">
            <w:pPr>
              <w:rPr>
                <w:rFonts w:ascii="Times New Roman" w:eastAsia="Times New Roman" w:hAnsi="Times New Roman" w:cs="Times New Roman"/>
              </w:rPr>
            </w:pPr>
          </w:p>
        </w:tc>
        <w:tc>
          <w:tcPr>
            <w:tcW w:w="3112" w:type="dxa"/>
          </w:tcPr>
          <w:p w14:paraId="32B19EF4" w14:textId="058D1FBF" w:rsidR="004D5D00" w:rsidRPr="004D5D00" w:rsidRDefault="004D5D00" w:rsidP="002C4DBC">
            <w:pPr>
              <w:jc w:val="center"/>
              <w:rPr>
                <w:rFonts w:ascii="Times New Roman" w:eastAsia="Times New Roman" w:hAnsi="Times New Roman" w:cs="Times New Roman"/>
              </w:rPr>
            </w:pPr>
            <w:r w:rsidRPr="004D5D00">
              <w:rPr>
                <w:rFonts w:ascii="Times New Roman" w:eastAsia="Times New Roman" w:hAnsi="Times New Roman" w:cs="Times New Roman"/>
              </w:rPr>
              <w:t>&lt;0</w:t>
            </w:r>
            <w:r w:rsidR="009F2667">
              <w:rPr>
                <w:rFonts w:ascii="Times New Roman" w:eastAsia="Times New Roman" w:hAnsi="Times New Roman" w:cs="Times New Roman"/>
              </w:rPr>
              <w:t>,</w:t>
            </w:r>
            <w:r w:rsidRPr="004D5D00">
              <w:rPr>
                <w:rFonts w:ascii="Times New Roman" w:eastAsia="Times New Roman" w:hAnsi="Times New Roman" w:cs="Times New Roman"/>
              </w:rPr>
              <w:t>05</w:t>
            </w:r>
          </w:p>
        </w:tc>
      </w:tr>
    </w:tbl>
    <w:p w14:paraId="323FEC25" w14:textId="1A1B6E51" w:rsidR="004D5D00" w:rsidRPr="004D5D00" w:rsidRDefault="004D5D00" w:rsidP="004D5D00">
      <w:pPr>
        <w:rPr>
          <w:rFonts w:ascii="Times New Roman" w:eastAsia="Times New Roman" w:hAnsi="Times New Roman" w:cs="Times New Roman"/>
          <w:sz w:val="18"/>
          <w:szCs w:val="18"/>
        </w:rPr>
      </w:pPr>
      <w:r w:rsidRPr="004D5D00">
        <w:rPr>
          <w:rFonts w:ascii="Times New Roman" w:eastAsia="Times New Roman" w:hAnsi="Times New Roman" w:cs="Times New Roman"/>
          <w:sz w:val="18"/>
          <w:szCs w:val="18"/>
          <w:vertAlign w:val="superscript"/>
        </w:rPr>
        <w:t>1</w:t>
      </w:r>
      <w:r w:rsidRPr="004D5D00">
        <w:rPr>
          <w:rFonts w:ascii="Times New Roman" w:eastAsia="Times New Roman" w:hAnsi="Times New Roman" w:cs="Times New Roman"/>
          <w:sz w:val="18"/>
          <w:szCs w:val="18"/>
        </w:rPr>
        <w:t>Random regressziós koefficiensen alapul, a kezelés rögzített kategorikus hatásaival, ATA-státusszal, nemmel, az eltelt időben rögzített folyamatos hatásokkal, kiindulási FVC-vel (ml), életkorral, magassággal, valamint beleértve a kezelés–idő és kiindulás–idő interakciókat. A betegspecifikus elemekre és időre (mint változókra) vonatkozó random hatást figyelembe vették.</w:t>
      </w:r>
    </w:p>
    <w:p w14:paraId="2C6D4C37" w14:textId="212E68A1" w:rsidR="004D5D00" w:rsidRPr="004D5D00" w:rsidRDefault="004D5D00" w:rsidP="004D5D00">
      <w:pPr>
        <w:rPr>
          <w:rFonts w:ascii="Times New Roman" w:eastAsia="Times New Roman" w:hAnsi="Times New Roman" w:cs="Times New Roman"/>
          <w:sz w:val="18"/>
          <w:szCs w:val="18"/>
        </w:rPr>
      </w:pPr>
      <w:r w:rsidRPr="004D5D00">
        <w:rPr>
          <w:rFonts w:ascii="Times New Roman" w:eastAsia="Times New Roman" w:hAnsi="Times New Roman" w:cs="Times New Roman"/>
          <w:sz w:val="18"/>
          <w:szCs w:val="18"/>
        </w:rPr>
        <w:t xml:space="preserve">Az egy-egy betegen belüli hibák modellezése egy strukturálatlan variancia–kovariancia mátrixszal történt. Az egyének </w:t>
      </w:r>
      <w:r w:rsidRPr="004D5D00">
        <w:rPr>
          <w:rFonts w:ascii="Times New Roman" w:eastAsia="Times New Roman" w:hAnsi="Times New Roman" w:cs="Times New Roman"/>
          <w:sz w:val="18"/>
          <w:szCs w:val="18"/>
        </w:rPr>
        <w:lastRenderedPageBreak/>
        <w:t>közötti variabilitás modellezése egy variancia–komponensek variancia–kovariancia mátrixszal történt</w:t>
      </w:r>
      <w:r w:rsidR="009F2667">
        <w:rPr>
          <w:rFonts w:ascii="Times New Roman" w:eastAsia="Times New Roman" w:hAnsi="Times New Roman" w:cs="Times New Roman"/>
          <w:sz w:val="18"/>
          <w:szCs w:val="18"/>
        </w:rPr>
        <w:t>.</w:t>
      </w:r>
    </w:p>
    <w:p w14:paraId="46738112" w14:textId="77777777" w:rsidR="004D5D00" w:rsidRDefault="004D5D00" w:rsidP="009106D9">
      <w:pPr>
        <w:rPr>
          <w:rFonts w:ascii="Times New Roman" w:eastAsia="Times New Roman" w:hAnsi="Times New Roman" w:cs="Times New Roman"/>
          <w:b/>
          <w:bCs/>
        </w:rPr>
      </w:pPr>
    </w:p>
    <w:p w14:paraId="29BBF262" w14:textId="1207987D" w:rsidR="004D5D00" w:rsidRPr="004D5D00" w:rsidRDefault="004D5D00" w:rsidP="004D5D00">
      <w:pPr>
        <w:rPr>
          <w:rFonts w:ascii="Times New Roman" w:eastAsia="Times New Roman" w:hAnsi="Times New Roman" w:cs="Times New Roman"/>
        </w:rPr>
      </w:pPr>
      <w:r w:rsidRPr="004D5D00">
        <w:rPr>
          <w:rFonts w:ascii="Times New Roman" w:eastAsia="Times New Roman" w:hAnsi="Times New Roman" w:cs="Times New Roman"/>
        </w:rPr>
        <w:t xml:space="preserve">A </w:t>
      </w:r>
      <w:r>
        <w:rPr>
          <w:rFonts w:ascii="Times New Roman" w:eastAsia="Times New Roman" w:hAnsi="Times New Roman" w:cs="Times New Roman"/>
        </w:rPr>
        <w:t>nintedanib</w:t>
      </w:r>
      <w:r w:rsidRPr="004D5D00">
        <w:rPr>
          <w:rFonts w:ascii="Times New Roman" w:eastAsia="Times New Roman" w:hAnsi="Times New Roman" w:cs="Times New Roman"/>
        </w:rPr>
        <w:t xml:space="preserve"> hatása az FVC éves csökkenési ütemének mérséklésére hasonló volt az egyes előre</w:t>
      </w:r>
      <w:r w:rsidR="002C4DBC">
        <w:rPr>
          <w:rFonts w:ascii="Times New Roman" w:eastAsia="Times New Roman" w:hAnsi="Times New Roman" w:cs="Times New Roman"/>
        </w:rPr>
        <w:t xml:space="preserve"> </w:t>
      </w:r>
      <w:r w:rsidRPr="004D5D00">
        <w:rPr>
          <w:rFonts w:ascii="Times New Roman" w:eastAsia="Times New Roman" w:hAnsi="Times New Roman" w:cs="Times New Roman"/>
        </w:rPr>
        <w:t>meghatározott szenzitivitási elemzésekhez, és nem figyeltek meg heterogenitást az előre</w:t>
      </w:r>
      <w:r w:rsidR="002C4DBC">
        <w:rPr>
          <w:rFonts w:ascii="Times New Roman" w:eastAsia="Times New Roman" w:hAnsi="Times New Roman" w:cs="Times New Roman"/>
        </w:rPr>
        <w:t xml:space="preserve"> </w:t>
      </w:r>
      <w:r w:rsidRPr="004D5D00">
        <w:rPr>
          <w:rFonts w:ascii="Times New Roman" w:eastAsia="Times New Roman" w:hAnsi="Times New Roman" w:cs="Times New Roman"/>
        </w:rPr>
        <w:t xml:space="preserve">meghatározott alcsoportokban (pl. életkor, nem vagy </w:t>
      </w:r>
      <w:r w:rsidR="009F2667">
        <w:rPr>
          <w:rFonts w:ascii="Times New Roman" w:eastAsia="Times New Roman" w:hAnsi="Times New Roman" w:cs="Times New Roman"/>
        </w:rPr>
        <w:t>mikofenolát</w:t>
      </w:r>
      <w:r w:rsidRPr="004D5D00">
        <w:rPr>
          <w:rFonts w:ascii="Times New Roman" w:eastAsia="Times New Roman" w:hAnsi="Times New Roman" w:cs="Times New Roman"/>
        </w:rPr>
        <w:t>-használat).</w:t>
      </w:r>
    </w:p>
    <w:p w14:paraId="54EA8B2F" w14:textId="77777777" w:rsidR="004D5D00" w:rsidRDefault="004D5D00" w:rsidP="004D5D00">
      <w:pPr>
        <w:rPr>
          <w:rFonts w:ascii="Times New Roman" w:eastAsia="Times New Roman" w:hAnsi="Times New Roman" w:cs="Times New Roman"/>
        </w:rPr>
      </w:pPr>
    </w:p>
    <w:p w14:paraId="437A12EB" w14:textId="0B6E08FC" w:rsidR="004D5D00" w:rsidRPr="004D5D00" w:rsidRDefault="004D5D00" w:rsidP="004D5D00">
      <w:pPr>
        <w:rPr>
          <w:rFonts w:ascii="Times New Roman" w:eastAsia="Times New Roman" w:hAnsi="Times New Roman" w:cs="Times New Roman"/>
        </w:rPr>
      </w:pPr>
      <w:r w:rsidRPr="004D5D00">
        <w:rPr>
          <w:rFonts w:ascii="Times New Roman" w:eastAsia="Times New Roman" w:hAnsi="Times New Roman" w:cs="Times New Roman"/>
        </w:rPr>
        <w:t>Hasonló hatásokat figyeltek meg más tüdőfunkciós végpontokra (pl. az FVC ml-ben kifejezett</w:t>
      </w:r>
      <w:r w:rsidR="002C4DBC">
        <w:rPr>
          <w:rFonts w:ascii="Times New Roman" w:eastAsia="Times New Roman" w:hAnsi="Times New Roman" w:cs="Times New Roman"/>
        </w:rPr>
        <w:t xml:space="preserve"> </w:t>
      </w:r>
      <w:r w:rsidRPr="004D5D00">
        <w:rPr>
          <w:rFonts w:ascii="Times New Roman" w:eastAsia="Times New Roman" w:hAnsi="Times New Roman" w:cs="Times New Roman"/>
        </w:rPr>
        <w:t>abszolút változása a kiindulástól az 52.</w:t>
      </w:r>
      <w:r w:rsidR="00067E8B">
        <w:rPr>
          <w:rFonts w:ascii="Times New Roman" w:eastAsia="Times New Roman" w:hAnsi="Times New Roman" w:cs="Times New Roman"/>
        </w:rPr>
        <w:t> </w:t>
      </w:r>
      <w:r w:rsidRPr="004D5D00">
        <w:rPr>
          <w:rFonts w:ascii="Times New Roman" w:eastAsia="Times New Roman" w:hAnsi="Times New Roman" w:cs="Times New Roman"/>
        </w:rPr>
        <w:t>hétig [1</w:t>
      </w:r>
      <w:r w:rsidR="00685B7E">
        <w:rPr>
          <w:rFonts w:ascii="Times New Roman" w:eastAsia="Times New Roman" w:hAnsi="Times New Roman" w:cs="Times New Roman"/>
        </w:rPr>
        <w:t>2</w:t>
      </w:r>
      <w:r w:rsidRPr="004D5D00">
        <w:rPr>
          <w:rFonts w:ascii="Times New Roman" w:eastAsia="Times New Roman" w:hAnsi="Times New Roman" w:cs="Times New Roman"/>
        </w:rPr>
        <w:t>.</w:t>
      </w:r>
      <w:r w:rsidR="00067E8B">
        <w:rPr>
          <w:rFonts w:ascii="Times New Roman" w:eastAsia="Times New Roman" w:hAnsi="Times New Roman" w:cs="Times New Roman"/>
        </w:rPr>
        <w:t> </w:t>
      </w:r>
      <w:r w:rsidRPr="004D5D00">
        <w:rPr>
          <w:rFonts w:ascii="Times New Roman" w:eastAsia="Times New Roman" w:hAnsi="Times New Roman" w:cs="Times New Roman"/>
        </w:rPr>
        <w:t>táblázat, 5.</w:t>
      </w:r>
      <w:r w:rsidR="00067E8B">
        <w:rPr>
          <w:rFonts w:ascii="Times New Roman" w:eastAsia="Times New Roman" w:hAnsi="Times New Roman" w:cs="Times New Roman"/>
        </w:rPr>
        <w:t> </w:t>
      </w:r>
      <w:r w:rsidRPr="004D5D00">
        <w:rPr>
          <w:rFonts w:ascii="Times New Roman" w:eastAsia="Times New Roman" w:hAnsi="Times New Roman" w:cs="Times New Roman"/>
        </w:rPr>
        <w:t>ábra]) és az 52 hetes időtartam alatt várt</w:t>
      </w:r>
      <w:r w:rsidR="002C4DBC">
        <w:rPr>
          <w:rFonts w:ascii="Times New Roman" w:eastAsia="Times New Roman" w:hAnsi="Times New Roman" w:cs="Times New Roman"/>
        </w:rPr>
        <w:t xml:space="preserve"> </w:t>
      </w:r>
      <w:r w:rsidRPr="004D5D00">
        <w:rPr>
          <w:rFonts w:ascii="Times New Roman" w:eastAsia="Times New Roman" w:hAnsi="Times New Roman" w:cs="Times New Roman"/>
        </w:rPr>
        <w:t>az FVC %-ban kifejezett csökkenési ütemére, (1</w:t>
      </w:r>
      <w:r w:rsidR="001456F9">
        <w:rPr>
          <w:rFonts w:ascii="Times New Roman" w:eastAsia="Times New Roman" w:hAnsi="Times New Roman" w:cs="Times New Roman"/>
        </w:rPr>
        <w:t>3</w:t>
      </w:r>
      <w:r w:rsidRPr="004D5D00">
        <w:rPr>
          <w:rFonts w:ascii="Times New Roman" w:eastAsia="Times New Roman" w:hAnsi="Times New Roman" w:cs="Times New Roman"/>
        </w:rPr>
        <w:t>.</w:t>
      </w:r>
      <w:r w:rsidR="009E321A">
        <w:rPr>
          <w:rFonts w:ascii="Times New Roman" w:eastAsia="Times New Roman" w:hAnsi="Times New Roman" w:cs="Times New Roman"/>
        </w:rPr>
        <w:t> </w:t>
      </w:r>
      <w:r w:rsidRPr="004D5D00">
        <w:rPr>
          <w:rFonts w:ascii="Times New Roman" w:eastAsia="Times New Roman" w:hAnsi="Times New Roman" w:cs="Times New Roman"/>
        </w:rPr>
        <w:t xml:space="preserve">táblázat) ami további bizonyítékul szolgál a </w:t>
      </w:r>
      <w:r>
        <w:rPr>
          <w:rFonts w:ascii="Times New Roman" w:eastAsia="Times New Roman" w:hAnsi="Times New Roman" w:cs="Times New Roman"/>
        </w:rPr>
        <w:t xml:space="preserve">nintedanib </w:t>
      </w:r>
      <w:r w:rsidRPr="004D5D00">
        <w:rPr>
          <w:rFonts w:ascii="Times New Roman" w:eastAsia="Times New Roman" w:hAnsi="Times New Roman" w:cs="Times New Roman"/>
        </w:rPr>
        <w:t xml:space="preserve">SSc-ILD-progressziót lassító hatásaira. A </w:t>
      </w:r>
      <w:r>
        <w:rPr>
          <w:rFonts w:ascii="Times New Roman" w:eastAsia="Times New Roman" w:hAnsi="Times New Roman" w:cs="Times New Roman"/>
        </w:rPr>
        <w:t>nintedanib</w:t>
      </w:r>
      <w:r w:rsidRPr="004D5D00">
        <w:rPr>
          <w:rFonts w:ascii="Times New Roman" w:eastAsia="Times New Roman" w:hAnsi="Times New Roman" w:cs="Times New Roman"/>
        </w:rPr>
        <w:t>-csoportban kevesebb beteget érintett az FVC-nek a</w:t>
      </w:r>
      <w:r>
        <w:rPr>
          <w:rFonts w:ascii="Times New Roman" w:eastAsia="Times New Roman" w:hAnsi="Times New Roman" w:cs="Times New Roman"/>
        </w:rPr>
        <w:t xml:space="preserve"> v</w:t>
      </w:r>
      <w:r w:rsidRPr="004D5D00">
        <w:rPr>
          <w:rFonts w:ascii="Times New Roman" w:eastAsia="Times New Roman" w:hAnsi="Times New Roman" w:cs="Times New Roman"/>
        </w:rPr>
        <w:t xml:space="preserve">árt érték 5%-ánál nagyobb abszolút csökkenése (20,6% a </w:t>
      </w:r>
      <w:r>
        <w:rPr>
          <w:rFonts w:ascii="Times New Roman" w:eastAsia="Times New Roman" w:hAnsi="Times New Roman" w:cs="Times New Roman"/>
        </w:rPr>
        <w:t>nintedanib</w:t>
      </w:r>
      <w:r w:rsidRPr="004D5D00">
        <w:rPr>
          <w:rFonts w:ascii="Times New Roman" w:eastAsia="Times New Roman" w:hAnsi="Times New Roman" w:cs="Times New Roman"/>
        </w:rPr>
        <w:t>-csoportban vs. 28,5% a</w:t>
      </w:r>
      <w:r>
        <w:rPr>
          <w:rFonts w:ascii="Times New Roman" w:eastAsia="Times New Roman" w:hAnsi="Times New Roman" w:cs="Times New Roman"/>
        </w:rPr>
        <w:t xml:space="preserve"> </w:t>
      </w:r>
      <w:r w:rsidRPr="004D5D00">
        <w:rPr>
          <w:rFonts w:ascii="Times New Roman" w:eastAsia="Times New Roman" w:hAnsi="Times New Roman" w:cs="Times New Roman"/>
        </w:rPr>
        <w:t>placebocsoportban; OR = 0,65, p = 0,0287). Az FVC ml-ben kifejezett, 10%-nál nagyobb relatív</w:t>
      </w:r>
      <w:r>
        <w:rPr>
          <w:rFonts w:ascii="Times New Roman" w:eastAsia="Times New Roman" w:hAnsi="Times New Roman" w:cs="Times New Roman"/>
        </w:rPr>
        <w:t xml:space="preserve"> </w:t>
      </w:r>
      <w:r w:rsidRPr="004D5D00">
        <w:rPr>
          <w:rFonts w:ascii="Times New Roman" w:eastAsia="Times New Roman" w:hAnsi="Times New Roman" w:cs="Times New Roman"/>
        </w:rPr>
        <w:t xml:space="preserve">csökkenése összehasonlítható volt a csoportok között (16,7% a </w:t>
      </w:r>
      <w:r>
        <w:rPr>
          <w:rFonts w:ascii="Times New Roman" w:eastAsia="Times New Roman" w:hAnsi="Times New Roman" w:cs="Times New Roman"/>
        </w:rPr>
        <w:t>nintedanib</w:t>
      </w:r>
      <w:r w:rsidRPr="004D5D00">
        <w:rPr>
          <w:rFonts w:ascii="Times New Roman" w:eastAsia="Times New Roman" w:hAnsi="Times New Roman" w:cs="Times New Roman"/>
        </w:rPr>
        <w:t>-csoportban vs. 18,1% a</w:t>
      </w:r>
      <w:r>
        <w:rPr>
          <w:rFonts w:ascii="Times New Roman" w:eastAsia="Times New Roman" w:hAnsi="Times New Roman" w:cs="Times New Roman"/>
        </w:rPr>
        <w:t xml:space="preserve"> </w:t>
      </w:r>
      <w:r w:rsidRPr="004D5D00">
        <w:rPr>
          <w:rFonts w:ascii="Times New Roman" w:eastAsia="Times New Roman" w:hAnsi="Times New Roman" w:cs="Times New Roman"/>
        </w:rPr>
        <w:t>placebocsoportban; OR = 0,91, p-érték = 0,6842). Ezen analízisek során az 52.</w:t>
      </w:r>
      <w:r w:rsidR="00067E8B">
        <w:rPr>
          <w:rFonts w:ascii="Times New Roman" w:eastAsia="Times New Roman" w:hAnsi="Times New Roman" w:cs="Times New Roman"/>
        </w:rPr>
        <w:t> </w:t>
      </w:r>
      <w:r w:rsidRPr="004D5D00">
        <w:rPr>
          <w:rFonts w:ascii="Times New Roman" w:eastAsia="Times New Roman" w:hAnsi="Times New Roman" w:cs="Times New Roman"/>
        </w:rPr>
        <w:t>héten hiányzó FVC</w:t>
      </w:r>
      <w:r>
        <w:rPr>
          <w:rFonts w:ascii="Times New Roman" w:eastAsia="Times New Roman" w:hAnsi="Times New Roman" w:cs="Times New Roman"/>
        </w:rPr>
        <w:t>-</w:t>
      </w:r>
      <w:r w:rsidRPr="004D5D00">
        <w:rPr>
          <w:rFonts w:ascii="Times New Roman" w:eastAsia="Times New Roman" w:hAnsi="Times New Roman" w:cs="Times New Roman"/>
        </w:rPr>
        <w:t>értékeket a betegnek a kezelés alatt kapott legrosszabb értékével pótolták.</w:t>
      </w:r>
    </w:p>
    <w:p w14:paraId="71D3997A" w14:textId="77777777" w:rsidR="004D5D00" w:rsidRDefault="004D5D00" w:rsidP="004D5D00">
      <w:pPr>
        <w:rPr>
          <w:rFonts w:ascii="Times New Roman" w:eastAsia="Times New Roman" w:hAnsi="Times New Roman" w:cs="Times New Roman"/>
        </w:rPr>
      </w:pPr>
    </w:p>
    <w:p w14:paraId="15793446" w14:textId="1F0023C7" w:rsidR="004D5D00" w:rsidRPr="004D5D00" w:rsidRDefault="004D5D00" w:rsidP="004D5D00">
      <w:pPr>
        <w:rPr>
          <w:rFonts w:ascii="Times New Roman" w:eastAsia="Times New Roman" w:hAnsi="Times New Roman" w:cs="Times New Roman"/>
        </w:rPr>
      </w:pPr>
      <w:r w:rsidRPr="004D5D00">
        <w:rPr>
          <w:rFonts w:ascii="Times New Roman" w:eastAsia="Times New Roman" w:hAnsi="Times New Roman" w:cs="Times New Roman"/>
        </w:rPr>
        <w:t>A 100</w:t>
      </w:r>
      <w:r w:rsidR="00067E8B">
        <w:rPr>
          <w:rFonts w:ascii="Times New Roman" w:eastAsia="Times New Roman" w:hAnsi="Times New Roman" w:cs="Times New Roman"/>
        </w:rPr>
        <w:t> </w:t>
      </w:r>
      <w:r w:rsidRPr="004D5D00">
        <w:rPr>
          <w:rFonts w:ascii="Times New Roman" w:eastAsia="Times New Roman" w:hAnsi="Times New Roman" w:cs="Times New Roman"/>
        </w:rPr>
        <w:t>héten át (a SENSCIS vizsgálat maximális kezelési időtartama) kinyert adatok feltáró elemzése</w:t>
      </w:r>
      <w:r w:rsidR="002C4DBC">
        <w:rPr>
          <w:rFonts w:ascii="Times New Roman" w:eastAsia="Times New Roman" w:hAnsi="Times New Roman" w:cs="Times New Roman"/>
        </w:rPr>
        <w:t xml:space="preserve"> </w:t>
      </w:r>
      <w:r w:rsidRPr="004D5D00">
        <w:rPr>
          <w:rFonts w:ascii="Times New Roman" w:eastAsia="Times New Roman" w:hAnsi="Times New Roman" w:cs="Times New Roman"/>
        </w:rPr>
        <w:t xml:space="preserve">arra utal, hogy a </w:t>
      </w:r>
      <w:r>
        <w:rPr>
          <w:rFonts w:ascii="Times New Roman" w:eastAsia="Times New Roman" w:hAnsi="Times New Roman" w:cs="Times New Roman"/>
        </w:rPr>
        <w:t>nintedanib</w:t>
      </w:r>
      <w:r w:rsidRPr="004D5D00">
        <w:rPr>
          <w:rFonts w:ascii="Times New Roman" w:eastAsia="Times New Roman" w:hAnsi="Times New Roman" w:cs="Times New Roman"/>
        </w:rPr>
        <w:t>n</w:t>
      </w:r>
      <w:r>
        <w:rPr>
          <w:rFonts w:ascii="Times New Roman" w:eastAsia="Times New Roman" w:hAnsi="Times New Roman" w:cs="Times New Roman"/>
        </w:rPr>
        <w:t>a</w:t>
      </w:r>
      <w:r w:rsidRPr="004D5D00">
        <w:rPr>
          <w:rFonts w:ascii="Times New Roman" w:eastAsia="Times New Roman" w:hAnsi="Times New Roman" w:cs="Times New Roman"/>
        </w:rPr>
        <w:t>k az SSc-ILD progressziójára a kezelés alatt kifejtett csökkentő hatása az</w:t>
      </w:r>
      <w:r w:rsidR="002C4DBC">
        <w:rPr>
          <w:rFonts w:ascii="Times New Roman" w:eastAsia="Times New Roman" w:hAnsi="Times New Roman" w:cs="Times New Roman"/>
        </w:rPr>
        <w:t xml:space="preserve"> </w:t>
      </w:r>
      <w:r w:rsidRPr="004D5D00">
        <w:rPr>
          <w:rFonts w:ascii="Times New Roman" w:eastAsia="Times New Roman" w:hAnsi="Times New Roman" w:cs="Times New Roman"/>
        </w:rPr>
        <w:t>52.</w:t>
      </w:r>
      <w:r w:rsidR="00067E8B">
        <w:rPr>
          <w:rFonts w:ascii="Times New Roman" w:eastAsia="Times New Roman" w:hAnsi="Times New Roman" w:cs="Times New Roman"/>
        </w:rPr>
        <w:t> </w:t>
      </w:r>
      <w:r w:rsidRPr="004D5D00">
        <w:rPr>
          <w:rFonts w:ascii="Times New Roman" w:eastAsia="Times New Roman" w:hAnsi="Times New Roman" w:cs="Times New Roman"/>
        </w:rPr>
        <w:t>hét után is fennállt.</w:t>
      </w:r>
    </w:p>
    <w:p w14:paraId="092144BF" w14:textId="77777777" w:rsidR="004D5D00" w:rsidRDefault="004D5D00" w:rsidP="009106D9">
      <w:pPr>
        <w:rPr>
          <w:rFonts w:ascii="Times New Roman" w:eastAsia="Times New Roman" w:hAnsi="Times New Roman" w:cs="Times New Roman"/>
          <w:b/>
          <w:bCs/>
        </w:rPr>
      </w:pPr>
    </w:p>
    <w:p w14:paraId="625F8375" w14:textId="478DE37C" w:rsidR="004D5D00" w:rsidRDefault="004D5D00" w:rsidP="009106D9">
      <w:pPr>
        <w:rPr>
          <w:rFonts w:ascii="Times New Roman" w:eastAsia="Times New Roman" w:hAnsi="Times New Roman" w:cs="Times New Roman"/>
          <w:b/>
          <w:bCs/>
        </w:rPr>
      </w:pPr>
      <w:r w:rsidRPr="004D5D00">
        <w:rPr>
          <w:rFonts w:ascii="Times New Roman" w:eastAsia="Times New Roman" w:hAnsi="Times New Roman" w:cs="Times New Roman"/>
          <w:b/>
          <w:bCs/>
        </w:rPr>
        <w:t>5. ábra: Az FVC kiindulástól az 52. hétig megfigyelt változásának (ml) átlaga (SEM)</w:t>
      </w:r>
      <w:r w:rsidRPr="004D5D00">
        <w:rPr>
          <w:rFonts w:ascii="Times New Roman" w:eastAsia="Times New Roman" w:hAnsi="Times New Roman" w:cs="Times New Roman"/>
          <w:b/>
          <w:bCs/>
        </w:rPr>
        <w:cr/>
      </w:r>
      <w:r>
        <w:rPr>
          <w:noProof/>
        </w:rPr>
        <w:drawing>
          <wp:inline distT="0" distB="0" distL="0" distR="0" wp14:anchorId="295CECC8" wp14:editId="27C99CF0">
            <wp:extent cx="5760085" cy="3865245"/>
            <wp:effectExtent l="0" t="0" r="0" b="1905"/>
            <wp:docPr id="185754080"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54080" name=""/>
                    <pic:cNvPicPr/>
                  </pic:nvPicPr>
                  <pic:blipFill>
                    <a:blip r:embed="rId12"/>
                    <a:stretch>
                      <a:fillRect/>
                    </a:stretch>
                  </pic:blipFill>
                  <pic:spPr>
                    <a:xfrm>
                      <a:off x="0" y="0"/>
                      <a:ext cx="5760085" cy="3865245"/>
                    </a:xfrm>
                    <a:prstGeom prst="rect">
                      <a:avLst/>
                    </a:prstGeom>
                  </pic:spPr>
                </pic:pic>
              </a:graphicData>
            </a:graphic>
          </wp:inline>
        </w:drawing>
      </w:r>
    </w:p>
    <w:p w14:paraId="329DDA5B" w14:textId="77777777" w:rsidR="004D5D00" w:rsidRDefault="004D5D00" w:rsidP="009106D9">
      <w:pPr>
        <w:rPr>
          <w:rFonts w:ascii="Times New Roman" w:eastAsia="Times New Roman" w:hAnsi="Times New Roman" w:cs="Times New Roman"/>
          <w:b/>
          <w:bCs/>
        </w:rPr>
      </w:pPr>
    </w:p>
    <w:p w14:paraId="4F778678" w14:textId="38DD9813" w:rsidR="004D5D00" w:rsidRDefault="004D5D00" w:rsidP="009106D9">
      <w:pPr>
        <w:rPr>
          <w:rFonts w:ascii="Times New Roman" w:eastAsia="Times New Roman" w:hAnsi="Times New Roman" w:cs="Times New Roman"/>
        </w:rPr>
      </w:pPr>
      <w:r w:rsidRPr="004D5D00">
        <w:rPr>
          <w:rFonts w:ascii="Times New Roman" w:eastAsia="Times New Roman" w:hAnsi="Times New Roman" w:cs="Times New Roman"/>
        </w:rPr>
        <w:t>bid = naponta kétszer</w:t>
      </w:r>
    </w:p>
    <w:p w14:paraId="6C212552" w14:textId="77777777" w:rsidR="004D5D00" w:rsidRDefault="004D5D00" w:rsidP="009106D9">
      <w:pPr>
        <w:rPr>
          <w:rFonts w:ascii="Times New Roman" w:eastAsia="Times New Roman" w:hAnsi="Times New Roman" w:cs="Times New Roman"/>
        </w:rPr>
      </w:pPr>
    </w:p>
    <w:p w14:paraId="2CC91D05" w14:textId="175B6086" w:rsidR="004D5D00" w:rsidRPr="004D5D00" w:rsidRDefault="004D5D00" w:rsidP="00301BF4">
      <w:pPr>
        <w:keepNext/>
        <w:rPr>
          <w:rFonts w:ascii="Times New Roman" w:eastAsia="Times New Roman" w:hAnsi="Times New Roman" w:cs="Times New Roman"/>
          <w:b/>
          <w:bCs/>
        </w:rPr>
      </w:pPr>
      <w:r w:rsidRPr="004D5D00">
        <w:rPr>
          <w:rFonts w:ascii="Times New Roman" w:eastAsia="Times New Roman" w:hAnsi="Times New Roman" w:cs="Times New Roman"/>
          <w:b/>
          <w:bCs/>
        </w:rPr>
        <w:t>1</w:t>
      </w:r>
      <w:r w:rsidR="00074993">
        <w:rPr>
          <w:rFonts w:ascii="Times New Roman" w:eastAsia="Times New Roman" w:hAnsi="Times New Roman" w:cs="Times New Roman"/>
          <w:b/>
          <w:bCs/>
        </w:rPr>
        <w:t>2</w:t>
      </w:r>
      <w:r w:rsidRPr="004D5D00">
        <w:rPr>
          <w:rFonts w:ascii="Times New Roman" w:eastAsia="Times New Roman" w:hAnsi="Times New Roman" w:cs="Times New Roman"/>
          <w:b/>
          <w:bCs/>
        </w:rPr>
        <w:t>. táblázat: Az FVC kiindulástól az 52. hétig bekövetkezett abszolút változása (ml)</w:t>
      </w:r>
    </w:p>
    <w:tbl>
      <w:tblPr>
        <w:tblStyle w:val="Rcsostblzat"/>
        <w:tblW w:w="0" w:type="auto"/>
        <w:tblLook w:val="04A0" w:firstRow="1" w:lastRow="0" w:firstColumn="1" w:lastColumn="0" w:noHBand="0" w:noVBand="1"/>
      </w:tblPr>
      <w:tblGrid>
        <w:gridCol w:w="3539"/>
        <w:gridCol w:w="2268"/>
        <w:gridCol w:w="3254"/>
      </w:tblGrid>
      <w:tr w:rsidR="004D5D00" w:rsidRPr="004D5D00" w14:paraId="0D8F5E30" w14:textId="77777777" w:rsidTr="004D5D00">
        <w:tc>
          <w:tcPr>
            <w:tcW w:w="3539" w:type="dxa"/>
          </w:tcPr>
          <w:p w14:paraId="0D54D873" w14:textId="77777777" w:rsidR="004D5D00" w:rsidRPr="004D5D00" w:rsidRDefault="004D5D00" w:rsidP="00301BF4">
            <w:pPr>
              <w:keepNext/>
              <w:jc w:val="center"/>
              <w:rPr>
                <w:rFonts w:ascii="Times New Roman" w:eastAsia="Times New Roman" w:hAnsi="Times New Roman" w:cs="Times New Roman"/>
                <w:lang w:val="en-GB"/>
              </w:rPr>
            </w:pPr>
          </w:p>
        </w:tc>
        <w:tc>
          <w:tcPr>
            <w:tcW w:w="2268" w:type="dxa"/>
          </w:tcPr>
          <w:p w14:paraId="0B007784" w14:textId="77777777" w:rsidR="004D5D00" w:rsidRPr="004D5D00" w:rsidRDefault="004D5D00" w:rsidP="00301BF4">
            <w:pPr>
              <w:keepNext/>
              <w:jc w:val="center"/>
              <w:rPr>
                <w:rFonts w:ascii="Times New Roman" w:eastAsia="Times New Roman" w:hAnsi="Times New Roman" w:cs="Times New Roman"/>
                <w:lang w:val="en-GB"/>
              </w:rPr>
            </w:pPr>
            <w:r w:rsidRPr="004D5D00">
              <w:rPr>
                <w:rFonts w:ascii="Times New Roman" w:eastAsia="Times New Roman" w:hAnsi="Times New Roman" w:cs="Times New Roman"/>
                <w:lang w:val="en-GB"/>
              </w:rPr>
              <w:t>Placebo</w:t>
            </w:r>
          </w:p>
        </w:tc>
        <w:tc>
          <w:tcPr>
            <w:tcW w:w="3254" w:type="dxa"/>
          </w:tcPr>
          <w:p w14:paraId="2BF5BE39" w14:textId="56B9702B" w:rsidR="004D5D00" w:rsidRPr="004D5D00" w:rsidRDefault="004D5D00" w:rsidP="00301BF4">
            <w:pPr>
              <w:keepNext/>
              <w:jc w:val="center"/>
              <w:rPr>
                <w:rFonts w:ascii="Times New Roman" w:eastAsia="Times New Roman" w:hAnsi="Times New Roman" w:cs="Times New Roman"/>
                <w:lang w:val="en-GB"/>
              </w:rPr>
            </w:pPr>
            <w:r w:rsidRPr="004D5D00">
              <w:rPr>
                <w:rFonts w:ascii="Times New Roman" w:eastAsia="Times New Roman" w:hAnsi="Times New Roman" w:cs="Times New Roman"/>
                <w:lang w:val="en-GB"/>
              </w:rPr>
              <w:t xml:space="preserve">Nintedanib 150 mg </w:t>
            </w:r>
            <w:r>
              <w:rPr>
                <w:rFonts w:ascii="Times New Roman" w:eastAsia="Times New Roman" w:hAnsi="Times New Roman" w:cs="Times New Roman"/>
                <w:lang w:val="en-GB"/>
              </w:rPr>
              <w:t>napi kétszer</w:t>
            </w:r>
          </w:p>
        </w:tc>
      </w:tr>
      <w:tr w:rsidR="004D5D00" w:rsidRPr="004D5D00" w14:paraId="581DCF1C" w14:textId="77777777" w:rsidTr="004D5D00">
        <w:tc>
          <w:tcPr>
            <w:tcW w:w="3539" w:type="dxa"/>
          </w:tcPr>
          <w:p w14:paraId="501D03DF" w14:textId="00F9A475" w:rsidR="004D5D00" w:rsidRPr="00A15F63" w:rsidRDefault="004D5D00" w:rsidP="004D5D00">
            <w:pPr>
              <w:rPr>
                <w:rFonts w:ascii="Times New Roman" w:eastAsia="Times New Roman" w:hAnsi="Times New Roman" w:cs="Times New Roman"/>
                <w:lang w:val="de-DE"/>
              </w:rPr>
            </w:pPr>
            <w:r w:rsidRPr="00A15F63">
              <w:rPr>
                <w:rFonts w:ascii="Times New Roman" w:eastAsia="Times New Roman" w:hAnsi="Times New Roman" w:cs="Times New Roman"/>
                <w:lang w:val="de-DE"/>
              </w:rPr>
              <w:t>Az elemzésbe bevont betegek száma</w:t>
            </w:r>
          </w:p>
        </w:tc>
        <w:tc>
          <w:tcPr>
            <w:tcW w:w="2268" w:type="dxa"/>
          </w:tcPr>
          <w:p w14:paraId="042A50D7" w14:textId="77777777" w:rsidR="004D5D00" w:rsidRPr="004D5D00" w:rsidRDefault="004D5D00" w:rsidP="00301BF4">
            <w:pPr>
              <w:jc w:val="center"/>
              <w:rPr>
                <w:rFonts w:ascii="Times New Roman" w:eastAsia="Times New Roman" w:hAnsi="Times New Roman" w:cs="Times New Roman"/>
                <w:lang w:val="en-GB"/>
              </w:rPr>
            </w:pPr>
            <w:r w:rsidRPr="004D5D00">
              <w:rPr>
                <w:rFonts w:ascii="Times New Roman" w:eastAsia="Times New Roman" w:hAnsi="Times New Roman" w:cs="Times New Roman"/>
                <w:lang w:val="en-GB"/>
              </w:rPr>
              <w:t>288</w:t>
            </w:r>
          </w:p>
        </w:tc>
        <w:tc>
          <w:tcPr>
            <w:tcW w:w="3254" w:type="dxa"/>
          </w:tcPr>
          <w:p w14:paraId="666BFEE0" w14:textId="77777777" w:rsidR="004D5D00" w:rsidRPr="004D5D00" w:rsidRDefault="004D5D00" w:rsidP="00301BF4">
            <w:pPr>
              <w:jc w:val="center"/>
              <w:rPr>
                <w:rFonts w:ascii="Times New Roman" w:eastAsia="Times New Roman" w:hAnsi="Times New Roman" w:cs="Times New Roman"/>
                <w:lang w:val="en-GB"/>
              </w:rPr>
            </w:pPr>
            <w:r w:rsidRPr="004D5D00">
              <w:rPr>
                <w:rFonts w:ascii="Times New Roman" w:eastAsia="Times New Roman" w:hAnsi="Times New Roman" w:cs="Times New Roman"/>
                <w:lang w:val="en-GB"/>
              </w:rPr>
              <w:t>288</w:t>
            </w:r>
          </w:p>
        </w:tc>
      </w:tr>
      <w:tr w:rsidR="004D5D00" w:rsidRPr="004D5D00" w14:paraId="41EEC9D4" w14:textId="77777777" w:rsidTr="004D5D00">
        <w:tc>
          <w:tcPr>
            <w:tcW w:w="3539" w:type="dxa"/>
          </w:tcPr>
          <w:p w14:paraId="0A9F490E" w14:textId="1B4C318D" w:rsidR="004D5D00" w:rsidRPr="004D5D00" w:rsidRDefault="004D5D00" w:rsidP="004D5D00">
            <w:pPr>
              <w:rPr>
                <w:rFonts w:ascii="Times New Roman" w:eastAsia="Times New Roman" w:hAnsi="Times New Roman" w:cs="Times New Roman"/>
                <w:lang w:val="en-GB"/>
              </w:rPr>
            </w:pPr>
            <w:r w:rsidRPr="004D5D00">
              <w:rPr>
                <w:rFonts w:ascii="Times New Roman" w:eastAsia="Times New Roman" w:hAnsi="Times New Roman" w:cs="Times New Roman"/>
                <w:lang w:val="en-GB"/>
              </w:rPr>
              <w:t>Kiindulási átlag (SD)</w:t>
            </w:r>
          </w:p>
        </w:tc>
        <w:tc>
          <w:tcPr>
            <w:tcW w:w="2268" w:type="dxa"/>
          </w:tcPr>
          <w:p w14:paraId="1BC2566F" w14:textId="58E830BE" w:rsidR="004D5D00" w:rsidRPr="004D5D00" w:rsidRDefault="004D5D00" w:rsidP="00301BF4">
            <w:pPr>
              <w:jc w:val="center"/>
              <w:rPr>
                <w:rFonts w:ascii="Times New Roman" w:eastAsia="Times New Roman" w:hAnsi="Times New Roman" w:cs="Times New Roman"/>
                <w:lang w:val="en-GB"/>
              </w:rPr>
            </w:pPr>
            <w:r w:rsidRPr="004D5D00">
              <w:rPr>
                <w:rFonts w:ascii="Times New Roman" w:eastAsia="Times New Roman" w:hAnsi="Times New Roman" w:cs="Times New Roman"/>
                <w:lang w:val="en-GB"/>
              </w:rPr>
              <w:t>2541</w:t>
            </w:r>
            <w:r w:rsidR="009F2667">
              <w:rPr>
                <w:rFonts w:ascii="Times New Roman" w:eastAsia="Times New Roman" w:hAnsi="Times New Roman" w:cs="Times New Roman"/>
                <w:lang w:val="en-GB"/>
              </w:rPr>
              <w:t>,</w:t>
            </w:r>
            <w:r w:rsidRPr="004D5D00">
              <w:rPr>
                <w:rFonts w:ascii="Times New Roman" w:eastAsia="Times New Roman" w:hAnsi="Times New Roman" w:cs="Times New Roman"/>
                <w:lang w:val="en-GB"/>
              </w:rPr>
              <w:t>0 (815</w:t>
            </w:r>
            <w:r w:rsidR="009F2667">
              <w:rPr>
                <w:rFonts w:ascii="Times New Roman" w:eastAsia="Times New Roman" w:hAnsi="Times New Roman" w:cs="Times New Roman"/>
                <w:lang w:val="en-GB"/>
              </w:rPr>
              <w:t>,</w:t>
            </w:r>
            <w:r w:rsidRPr="004D5D00">
              <w:rPr>
                <w:rFonts w:ascii="Times New Roman" w:eastAsia="Times New Roman" w:hAnsi="Times New Roman" w:cs="Times New Roman"/>
                <w:lang w:val="en-GB"/>
              </w:rPr>
              <w:t>5)</w:t>
            </w:r>
          </w:p>
        </w:tc>
        <w:tc>
          <w:tcPr>
            <w:tcW w:w="3254" w:type="dxa"/>
          </w:tcPr>
          <w:p w14:paraId="097AAA95" w14:textId="28B52072" w:rsidR="004D5D00" w:rsidRPr="004D5D00" w:rsidRDefault="004D5D00" w:rsidP="00301BF4">
            <w:pPr>
              <w:jc w:val="center"/>
              <w:rPr>
                <w:rFonts w:ascii="Times New Roman" w:eastAsia="Times New Roman" w:hAnsi="Times New Roman" w:cs="Times New Roman"/>
                <w:lang w:val="en-GB"/>
              </w:rPr>
            </w:pPr>
            <w:r w:rsidRPr="004D5D00">
              <w:rPr>
                <w:rFonts w:ascii="Times New Roman" w:eastAsia="Times New Roman" w:hAnsi="Times New Roman" w:cs="Times New Roman"/>
                <w:lang w:val="en-GB"/>
              </w:rPr>
              <w:t>2458</w:t>
            </w:r>
            <w:r w:rsidR="009F2667">
              <w:rPr>
                <w:rFonts w:ascii="Times New Roman" w:eastAsia="Times New Roman" w:hAnsi="Times New Roman" w:cs="Times New Roman"/>
                <w:lang w:val="en-GB"/>
              </w:rPr>
              <w:t>,</w:t>
            </w:r>
            <w:r w:rsidRPr="004D5D00">
              <w:rPr>
                <w:rFonts w:ascii="Times New Roman" w:eastAsia="Times New Roman" w:hAnsi="Times New Roman" w:cs="Times New Roman"/>
                <w:lang w:val="en-GB"/>
              </w:rPr>
              <w:t>5 (735</w:t>
            </w:r>
            <w:r w:rsidR="009F2667">
              <w:rPr>
                <w:rFonts w:ascii="Times New Roman" w:eastAsia="Times New Roman" w:hAnsi="Times New Roman" w:cs="Times New Roman"/>
                <w:lang w:val="en-GB"/>
              </w:rPr>
              <w:t>,</w:t>
            </w:r>
            <w:r w:rsidRPr="004D5D00">
              <w:rPr>
                <w:rFonts w:ascii="Times New Roman" w:eastAsia="Times New Roman" w:hAnsi="Times New Roman" w:cs="Times New Roman"/>
                <w:lang w:val="en-GB"/>
              </w:rPr>
              <w:t>9)</w:t>
            </w:r>
          </w:p>
        </w:tc>
      </w:tr>
      <w:tr w:rsidR="004D5D00" w:rsidRPr="004D5D00" w14:paraId="2426D4DA" w14:textId="77777777" w:rsidTr="004D5D00">
        <w:tc>
          <w:tcPr>
            <w:tcW w:w="3539" w:type="dxa"/>
          </w:tcPr>
          <w:p w14:paraId="00C1B099" w14:textId="47AA7C4C" w:rsidR="004D5D00" w:rsidRPr="004D5D00" w:rsidRDefault="004D5D00" w:rsidP="00067E8B">
            <w:pPr>
              <w:rPr>
                <w:rFonts w:ascii="Times New Roman" w:eastAsia="Times New Roman" w:hAnsi="Times New Roman" w:cs="Times New Roman"/>
                <w:lang w:val="en-GB"/>
              </w:rPr>
            </w:pPr>
            <w:r w:rsidRPr="004D5D00">
              <w:rPr>
                <w:rFonts w:ascii="Times New Roman" w:eastAsia="Times New Roman" w:hAnsi="Times New Roman" w:cs="Times New Roman"/>
                <w:lang w:val="en-GB"/>
              </w:rPr>
              <w:t>Az 52 hét során tapasztalt</w:t>
            </w:r>
            <w:r w:rsidR="00067E8B">
              <w:rPr>
                <w:rFonts w:ascii="Times New Roman" w:eastAsia="Times New Roman" w:hAnsi="Times New Roman" w:cs="Times New Roman"/>
                <w:lang w:val="en-GB"/>
              </w:rPr>
              <w:t xml:space="preserve"> </w:t>
            </w:r>
            <w:r w:rsidRPr="004D5D00">
              <w:rPr>
                <w:rFonts w:ascii="Times New Roman" w:eastAsia="Times New Roman" w:hAnsi="Times New Roman" w:cs="Times New Roman"/>
                <w:lang w:val="en-GB"/>
              </w:rPr>
              <w:t>csökkenés átlaga</w:t>
            </w:r>
            <w:r w:rsidRPr="004D5D00">
              <w:rPr>
                <w:rFonts w:ascii="Times New Roman" w:eastAsia="Times New Roman" w:hAnsi="Times New Roman" w:cs="Times New Roman"/>
                <w:vertAlign w:val="superscript"/>
                <w:lang w:val="en-GB"/>
              </w:rPr>
              <w:t>1</w:t>
            </w:r>
            <w:r>
              <w:rPr>
                <w:rFonts w:ascii="Times New Roman" w:eastAsia="Times New Roman" w:hAnsi="Times New Roman" w:cs="Times New Roman"/>
                <w:vertAlign w:val="superscript"/>
                <w:lang w:val="en-GB"/>
              </w:rPr>
              <w:t xml:space="preserve"> </w:t>
            </w:r>
            <w:r w:rsidRPr="004D5D00">
              <w:rPr>
                <w:rFonts w:ascii="Times New Roman" w:eastAsia="Times New Roman" w:hAnsi="Times New Roman" w:cs="Times New Roman"/>
                <w:lang w:val="en-GB"/>
              </w:rPr>
              <w:t>(SE)</w:t>
            </w:r>
          </w:p>
        </w:tc>
        <w:tc>
          <w:tcPr>
            <w:tcW w:w="2268" w:type="dxa"/>
          </w:tcPr>
          <w:p w14:paraId="21A0843F" w14:textId="316A5D93" w:rsidR="004D5D00" w:rsidRPr="004D5D00" w:rsidRDefault="004D5D00" w:rsidP="00301BF4">
            <w:pPr>
              <w:jc w:val="center"/>
              <w:rPr>
                <w:rFonts w:ascii="Times New Roman" w:eastAsia="Times New Roman" w:hAnsi="Times New Roman" w:cs="Times New Roman"/>
                <w:lang w:val="en-GB"/>
              </w:rPr>
            </w:pPr>
            <w:r w:rsidRPr="004D5D00">
              <w:rPr>
                <w:rFonts w:ascii="Times New Roman" w:eastAsia="Times New Roman" w:hAnsi="Times New Roman" w:cs="Times New Roman"/>
                <w:lang w:val="en-GB"/>
              </w:rPr>
              <w:t>-101</w:t>
            </w:r>
            <w:r w:rsidR="009F2667">
              <w:rPr>
                <w:rFonts w:ascii="Times New Roman" w:eastAsia="Times New Roman" w:hAnsi="Times New Roman" w:cs="Times New Roman"/>
                <w:lang w:val="en-GB"/>
              </w:rPr>
              <w:t>,</w:t>
            </w:r>
            <w:r w:rsidRPr="004D5D00">
              <w:rPr>
                <w:rFonts w:ascii="Times New Roman" w:eastAsia="Times New Roman" w:hAnsi="Times New Roman" w:cs="Times New Roman"/>
                <w:lang w:val="en-GB"/>
              </w:rPr>
              <w:t>0 (13</w:t>
            </w:r>
            <w:r w:rsidR="009F2667">
              <w:rPr>
                <w:rFonts w:ascii="Times New Roman" w:eastAsia="Times New Roman" w:hAnsi="Times New Roman" w:cs="Times New Roman"/>
                <w:lang w:val="en-GB"/>
              </w:rPr>
              <w:t>,</w:t>
            </w:r>
            <w:r w:rsidRPr="004D5D00">
              <w:rPr>
                <w:rFonts w:ascii="Times New Roman" w:eastAsia="Times New Roman" w:hAnsi="Times New Roman" w:cs="Times New Roman"/>
                <w:lang w:val="en-GB"/>
              </w:rPr>
              <w:t>6)</w:t>
            </w:r>
          </w:p>
        </w:tc>
        <w:tc>
          <w:tcPr>
            <w:tcW w:w="3254" w:type="dxa"/>
          </w:tcPr>
          <w:p w14:paraId="25FE343D" w14:textId="55E19168" w:rsidR="004D5D00" w:rsidRPr="004D5D00" w:rsidRDefault="004D5D00" w:rsidP="00301BF4">
            <w:pPr>
              <w:jc w:val="center"/>
              <w:rPr>
                <w:rFonts w:ascii="Times New Roman" w:eastAsia="Times New Roman" w:hAnsi="Times New Roman" w:cs="Times New Roman"/>
                <w:lang w:val="en-GB"/>
              </w:rPr>
            </w:pPr>
            <w:r w:rsidRPr="004D5D00">
              <w:rPr>
                <w:rFonts w:ascii="Times New Roman" w:eastAsia="Times New Roman" w:hAnsi="Times New Roman" w:cs="Times New Roman"/>
                <w:lang w:val="en-GB"/>
              </w:rPr>
              <w:t>-54</w:t>
            </w:r>
            <w:r w:rsidR="009F2667">
              <w:rPr>
                <w:rFonts w:ascii="Times New Roman" w:eastAsia="Times New Roman" w:hAnsi="Times New Roman" w:cs="Times New Roman"/>
                <w:lang w:val="en-GB"/>
              </w:rPr>
              <w:t>,</w:t>
            </w:r>
            <w:r w:rsidRPr="004D5D00">
              <w:rPr>
                <w:rFonts w:ascii="Times New Roman" w:eastAsia="Times New Roman" w:hAnsi="Times New Roman" w:cs="Times New Roman"/>
                <w:lang w:val="en-GB"/>
              </w:rPr>
              <w:t>6 (13</w:t>
            </w:r>
            <w:r w:rsidR="009F2667">
              <w:rPr>
                <w:rFonts w:ascii="Times New Roman" w:eastAsia="Times New Roman" w:hAnsi="Times New Roman" w:cs="Times New Roman"/>
                <w:lang w:val="en-GB"/>
              </w:rPr>
              <w:t>,</w:t>
            </w:r>
            <w:r w:rsidRPr="004D5D00">
              <w:rPr>
                <w:rFonts w:ascii="Times New Roman" w:eastAsia="Times New Roman" w:hAnsi="Times New Roman" w:cs="Times New Roman"/>
                <w:lang w:val="en-GB"/>
              </w:rPr>
              <w:t>9)</w:t>
            </w:r>
          </w:p>
        </w:tc>
      </w:tr>
      <w:tr w:rsidR="004D5D00" w:rsidRPr="004D5D00" w14:paraId="71F0670F" w14:textId="77777777" w:rsidTr="00E0772D">
        <w:tc>
          <w:tcPr>
            <w:tcW w:w="9061" w:type="dxa"/>
            <w:gridSpan w:val="3"/>
          </w:tcPr>
          <w:p w14:paraId="00C0725F" w14:textId="514D1A2B" w:rsidR="004D5D00" w:rsidRPr="004D5D00" w:rsidRDefault="004D5D00" w:rsidP="004D5D00">
            <w:pPr>
              <w:rPr>
                <w:rFonts w:ascii="Times New Roman" w:eastAsia="Times New Roman" w:hAnsi="Times New Roman" w:cs="Times New Roman"/>
                <w:lang w:val="en-GB"/>
              </w:rPr>
            </w:pPr>
            <w:r w:rsidRPr="004D5D00">
              <w:rPr>
                <w:rFonts w:ascii="Times New Roman" w:eastAsia="Times New Roman" w:hAnsi="Times New Roman" w:cs="Times New Roman"/>
                <w:lang w:val="en-GB"/>
              </w:rPr>
              <w:t>Összehasonlítás placebóhoz</w:t>
            </w:r>
            <w:r>
              <w:rPr>
                <w:rFonts w:ascii="Times New Roman" w:eastAsia="Times New Roman" w:hAnsi="Times New Roman" w:cs="Times New Roman"/>
                <w:lang w:val="en-GB"/>
              </w:rPr>
              <w:t xml:space="preserve"> </w:t>
            </w:r>
            <w:r w:rsidRPr="004D5D00">
              <w:rPr>
                <w:rFonts w:ascii="Times New Roman" w:eastAsia="Times New Roman" w:hAnsi="Times New Roman" w:cs="Times New Roman"/>
                <w:lang w:val="en-GB"/>
              </w:rPr>
              <w:t>képest</w:t>
            </w:r>
          </w:p>
        </w:tc>
      </w:tr>
      <w:tr w:rsidR="004D5D00" w:rsidRPr="004D5D00" w14:paraId="73BDDD5A" w14:textId="77777777" w:rsidTr="004D5D00">
        <w:tc>
          <w:tcPr>
            <w:tcW w:w="3539" w:type="dxa"/>
          </w:tcPr>
          <w:p w14:paraId="2EAEAA04" w14:textId="1AA81BCD" w:rsidR="004D5D00" w:rsidRPr="004D5D00" w:rsidRDefault="004D5D00" w:rsidP="004D5D00">
            <w:pPr>
              <w:rPr>
                <w:rFonts w:ascii="Times New Roman" w:eastAsia="Times New Roman" w:hAnsi="Times New Roman" w:cs="Times New Roman"/>
                <w:lang w:val="en-GB"/>
              </w:rPr>
            </w:pPr>
            <w:r>
              <w:rPr>
                <w:rFonts w:ascii="Times New Roman" w:eastAsia="Times New Roman" w:hAnsi="Times New Roman" w:cs="Times New Roman"/>
                <w:lang w:val="en-GB"/>
              </w:rPr>
              <w:t>Átlag</w:t>
            </w:r>
            <w:r w:rsidRPr="004D5D00">
              <w:rPr>
                <w:rFonts w:ascii="Times New Roman" w:eastAsia="Times New Roman" w:hAnsi="Times New Roman" w:cs="Times New Roman"/>
                <w:vertAlign w:val="superscript"/>
                <w:lang w:val="en-GB"/>
              </w:rPr>
              <w:t>1</w:t>
            </w:r>
          </w:p>
        </w:tc>
        <w:tc>
          <w:tcPr>
            <w:tcW w:w="2268" w:type="dxa"/>
          </w:tcPr>
          <w:p w14:paraId="7DBD36F0" w14:textId="77777777" w:rsidR="004D5D00" w:rsidRPr="004D5D00" w:rsidRDefault="004D5D00" w:rsidP="004D5D00">
            <w:pPr>
              <w:rPr>
                <w:rFonts w:ascii="Times New Roman" w:eastAsia="Times New Roman" w:hAnsi="Times New Roman" w:cs="Times New Roman"/>
                <w:lang w:val="en-GB"/>
              </w:rPr>
            </w:pPr>
          </w:p>
        </w:tc>
        <w:tc>
          <w:tcPr>
            <w:tcW w:w="3254" w:type="dxa"/>
          </w:tcPr>
          <w:p w14:paraId="5EF18D12" w14:textId="499430DA" w:rsidR="004D5D00" w:rsidRPr="004D5D00" w:rsidRDefault="004D5D00" w:rsidP="00301BF4">
            <w:pPr>
              <w:jc w:val="center"/>
              <w:rPr>
                <w:rFonts w:ascii="Times New Roman" w:eastAsia="Times New Roman" w:hAnsi="Times New Roman" w:cs="Times New Roman"/>
                <w:lang w:val="en-GB"/>
              </w:rPr>
            </w:pPr>
            <w:r w:rsidRPr="004D5D00">
              <w:rPr>
                <w:rFonts w:ascii="Times New Roman" w:eastAsia="Times New Roman" w:hAnsi="Times New Roman" w:cs="Times New Roman"/>
                <w:lang w:val="en-GB"/>
              </w:rPr>
              <w:t>46</w:t>
            </w:r>
            <w:r w:rsidR="009F2667">
              <w:rPr>
                <w:rFonts w:ascii="Times New Roman" w:eastAsia="Times New Roman" w:hAnsi="Times New Roman" w:cs="Times New Roman"/>
                <w:lang w:val="en-GB"/>
              </w:rPr>
              <w:t>,</w:t>
            </w:r>
            <w:r w:rsidRPr="004D5D00">
              <w:rPr>
                <w:rFonts w:ascii="Times New Roman" w:eastAsia="Times New Roman" w:hAnsi="Times New Roman" w:cs="Times New Roman"/>
                <w:lang w:val="en-GB"/>
              </w:rPr>
              <w:t>4</w:t>
            </w:r>
          </w:p>
        </w:tc>
      </w:tr>
      <w:tr w:rsidR="004D5D00" w:rsidRPr="004D5D00" w14:paraId="12E683C1" w14:textId="77777777" w:rsidTr="004D5D00">
        <w:tc>
          <w:tcPr>
            <w:tcW w:w="3539" w:type="dxa"/>
          </w:tcPr>
          <w:p w14:paraId="55E1C286" w14:textId="0236667E" w:rsidR="004D5D00" w:rsidRPr="004D5D00" w:rsidRDefault="004D5D00" w:rsidP="004D5D00">
            <w:pPr>
              <w:rPr>
                <w:rFonts w:ascii="Times New Roman" w:eastAsia="Times New Roman" w:hAnsi="Times New Roman" w:cs="Times New Roman"/>
                <w:lang w:val="en-GB"/>
              </w:rPr>
            </w:pPr>
            <w:r w:rsidRPr="004D5D00">
              <w:rPr>
                <w:rFonts w:ascii="Times New Roman" w:eastAsia="Times New Roman" w:hAnsi="Times New Roman" w:cs="Times New Roman"/>
                <w:lang w:val="en-GB"/>
              </w:rPr>
              <w:t>95%</w:t>
            </w:r>
            <w:r>
              <w:rPr>
                <w:rFonts w:ascii="Times New Roman" w:eastAsia="Times New Roman" w:hAnsi="Times New Roman" w:cs="Times New Roman"/>
                <w:lang w:val="en-GB"/>
              </w:rPr>
              <w:t>-os</w:t>
            </w:r>
            <w:r w:rsidRPr="004D5D00">
              <w:rPr>
                <w:rFonts w:ascii="Times New Roman" w:eastAsia="Times New Roman" w:hAnsi="Times New Roman" w:cs="Times New Roman"/>
                <w:lang w:val="en-GB"/>
              </w:rPr>
              <w:t xml:space="preserve"> CI</w:t>
            </w:r>
          </w:p>
        </w:tc>
        <w:tc>
          <w:tcPr>
            <w:tcW w:w="2268" w:type="dxa"/>
          </w:tcPr>
          <w:p w14:paraId="50F08032" w14:textId="77777777" w:rsidR="004D5D00" w:rsidRPr="004D5D00" w:rsidRDefault="004D5D00" w:rsidP="004D5D00">
            <w:pPr>
              <w:rPr>
                <w:rFonts w:ascii="Times New Roman" w:eastAsia="Times New Roman" w:hAnsi="Times New Roman" w:cs="Times New Roman"/>
                <w:lang w:val="en-GB"/>
              </w:rPr>
            </w:pPr>
          </w:p>
        </w:tc>
        <w:tc>
          <w:tcPr>
            <w:tcW w:w="3254" w:type="dxa"/>
          </w:tcPr>
          <w:p w14:paraId="3572DF1F" w14:textId="01F79975" w:rsidR="004D5D00" w:rsidRPr="004D5D00" w:rsidRDefault="004D5D00" w:rsidP="00301BF4">
            <w:pPr>
              <w:jc w:val="center"/>
              <w:rPr>
                <w:rFonts w:ascii="Times New Roman" w:eastAsia="Times New Roman" w:hAnsi="Times New Roman" w:cs="Times New Roman"/>
                <w:lang w:val="en-GB"/>
              </w:rPr>
            </w:pPr>
            <w:r w:rsidRPr="004D5D00">
              <w:rPr>
                <w:rFonts w:ascii="Times New Roman" w:eastAsia="Times New Roman" w:hAnsi="Times New Roman" w:cs="Times New Roman"/>
                <w:lang w:val="en-GB"/>
              </w:rPr>
              <w:t>(8</w:t>
            </w:r>
            <w:r w:rsidR="009F2667">
              <w:rPr>
                <w:rFonts w:ascii="Times New Roman" w:eastAsia="Times New Roman" w:hAnsi="Times New Roman" w:cs="Times New Roman"/>
                <w:lang w:val="en-GB"/>
              </w:rPr>
              <w:t>,</w:t>
            </w:r>
            <w:r w:rsidRPr="004D5D00">
              <w:rPr>
                <w:rFonts w:ascii="Times New Roman" w:eastAsia="Times New Roman" w:hAnsi="Times New Roman" w:cs="Times New Roman"/>
                <w:lang w:val="en-GB"/>
              </w:rPr>
              <w:t>1</w:t>
            </w:r>
            <w:r w:rsidR="009F2667">
              <w:rPr>
                <w:rFonts w:ascii="Times New Roman" w:eastAsia="Times New Roman" w:hAnsi="Times New Roman" w:cs="Times New Roman"/>
                <w:lang w:val="en-GB"/>
              </w:rPr>
              <w:t>;</w:t>
            </w:r>
            <w:r w:rsidRPr="004D5D00">
              <w:rPr>
                <w:rFonts w:ascii="Times New Roman" w:eastAsia="Times New Roman" w:hAnsi="Times New Roman" w:cs="Times New Roman"/>
                <w:lang w:val="en-GB"/>
              </w:rPr>
              <w:t xml:space="preserve"> 84</w:t>
            </w:r>
            <w:r w:rsidR="009F2667">
              <w:rPr>
                <w:rFonts w:ascii="Times New Roman" w:eastAsia="Times New Roman" w:hAnsi="Times New Roman" w:cs="Times New Roman"/>
                <w:lang w:val="en-GB"/>
              </w:rPr>
              <w:t>,</w:t>
            </w:r>
            <w:r w:rsidRPr="004D5D00">
              <w:rPr>
                <w:rFonts w:ascii="Times New Roman" w:eastAsia="Times New Roman" w:hAnsi="Times New Roman" w:cs="Times New Roman"/>
                <w:lang w:val="en-GB"/>
              </w:rPr>
              <w:t>7)</w:t>
            </w:r>
          </w:p>
        </w:tc>
      </w:tr>
      <w:tr w:rsidR="004D5D00" w:rsidRPr="004D5D00" w14:paraId="1EEF7E0B" w14:textId="77777777" w:rsidTr="004D5D00">
        <w:tc>
          <w:tcPr>
            <w:tcW w:w="3539" w:type="dxa"/>
          </w:tcPr>
          <w:p w14:paraId="30592E46" w14:textId="0D69F5E1" w:rsidR="004D5D00" w:rsidRPr="004D5D00" w:rsidRDefault="004D5D00" w:rsidP="004D5D00">
            <w:pPr>
              <w:rPr>
                <w:rFonts w:ascii="Times New Roman" w:eastAsia="Times New Roman" w:hAnsi="Times New Roman" w:cs="Times New Roman"/>
                <w:lang w:val="en-GB"/>
              </w:rPr>
            </w:pPr>
            <w:r w:rsidRPr="004D5D00">
              <w:rPr>
                <w:rFonts w:ascii="Times New Roman" w:eastAsia="Times New Roman" w:hAnsi="Times New Roman" w:cs="Times New Roman"/>
                <w:lang w:val="en-GB"/>
              </w:rPr>
              <w:lastRenderedPageBreak/>
              <w:t>p-</w:t>
            </w:r>
            <w:r>
              <w:rPr>
                <w:rFonts w:ascii="Times New Roman" w:eastAsia="Times New Roman" w:hAnsi="Times New Roman" w:cs="Times New Roman"/>
                <w:lang w:val="en-GB"/>
              </w:rPr>
              <w:t>érték</w:t>
            </w:r>
          </w:p>
        </w:tc>
        <w:tc>
          <w:tcPr>
            <w:tcW w:w="2268" w:type="dxa"/>
          </w:tcPr>
          <w:p w14:paraId="6850FEE1" w14:textId="77777777" w:rsidR="004D5D00" w:rsidRPr="004D5D00" w:rsidRDefault="004D5D00" w:rsidP="004D5D00">
            <w:pPr>
              <w:rPr>
                <w:rFonts w:ascii="Times New Roman" w:eastAsia="Times New Roman" w:hAnsi="Times New Roman" w:cs="Times New Roman"/>
                <w:lang w:val="en-GB"/>
              </w:rPr>
            </w:pPr>
          </w:p>
        </w:tc>
        <w:tc>
          <w:tcPr>
            <w:tcW w:w="3254" w:type="dxa"/>
          </w:tcPr>
          <w:p w14:paraId="064EFA93" w14:textId="12C6CB23" w:rsidR="004D5D00" w:rsidRPr="004D5D00" w:rsidRDefault="004D5D00" w:rsidP="00301BF4">
            <w:pPr>
              <w:jc w:val="center"/>
              <w:rPr>
                <w:rFonts w:ascii="Times New Roman" w:eastAsia="Times New Roman" w:hAnsi="Times New Roman" w:cs="Times New Roman"/>
                <w:lang w:val="en-GB"/>
              </w:rPr>
            </w:pPr>
            <w:r w:rsidRPr="004D5D00">
              <w:rPr>
                <w:rFonts w:ascii="Times New Roman" w:eastAsia="Times New Roman" w:hAnsi="Times New Roman" w:cs="Times New Roman"/>
                <w:lang w:val="en-GB"/>
              </w:rPr>
              <w:t>&lt;0</w:t>
            </w:r>
            <w:r w:rsidR="009F2667">
              <w:rPr>
                <w:rFonts w:ascii="Times New Roman" w:eastAsia="Times New Roman" w:hAnsi="Times New Roman" w:cs="Times New Roman"/>
                <w:lang w:val="en-GB"/>
              </w:rPr>
              <w:t>,</w:t>
            </w:r>
            <w:r w:rsidRPr="004D5D00">
              <w:rPr>
                <w:rFonts w:ascii="Times New Roman" w:eastAsia="Times New Roman" w:hAnsi="Times New Roman" w:cs="Times New Roman"/>
                <w:lang w:val="en-GB"/>
              </w:rPr>
              <w:t>05</w:t>
            </w:r>
          </w:p>
        </w:tc>
      </w:tr>
    </w:tbl>
    <w:p w14:paraId="79A8C57E" w14:textId="35344BB6" w:rsidR="004D5D00" w:rsidRPr="00236B48" w:rsidRDefault="00BD6ED2" w:rsidP="00BD6ED2">
      <w:pPr>
        <w:rPr>
          <w:rFonts w:ascii="Times New Roman" w:eastAsia="Times New Roman" w:hAnsi="Times New Roman" w:cs="Times New Roman"/>
        </w:rPr>
      </w:pPr>
      <w:r w:rsidRPr="00BD6ED2">
        <w:rPr>
          <w:rFonts w:ascii="Times New Roman" w:eastAsia="Times New Roman" w:hAnsi="Times New Roman" w:cs="Times New Roman"/>
          <w:sz w:val="18"/>
          <w:szCs w:val="18"/>
          <w:vertAlign w:val="superscript"/>
        </w:rPr>
        <w:t>1</w:t>
      </w:r>
      <w:r w:rsidRPr="00BD6ED2">
        <w:rPr>
          <w:rFonts w:ascii="Times New Roman" w:eastAsia="Times New Roman" w:hAnsi="Times New Roman" w:cs="Times New Roman"/>
          <w:sz w:val="18"/>
          <w:szCs w:val="18"/>
        </w:rPr>
        <w:t>Ismételt mérések kevert modelljén (MMRM) alapul az ATA-státusz, vizit, kezelés–vizit interakció, kiindulás–vizit interakció, életkor, nem és magasság kategorikus hatásaival. Az ismételt mérés a vizit során történt. A betegen belüli hibák modellezése egy strukturálatlan variancia–kovariancia mátrixszal történt. A korrigált átlag meghatározása az összes, a modellben elemzett beteg alapján történt (nem csak a kiindulási értékkel és az 52. heti méréssel rendelkező betegek alapján).</w:t>
      </w:r>
      <w:r w:rsidRPr="00BD6ED2">
        <w:rPr>
          <w:rFonts w:ascii="Times New Roman" w:eastAsia="Times New Roman" w:hAnsi="Times New Roman" w:cs="Times New Roman"/>
          <w:sz w:val="18"/>
          <w:szCs w:val="18"/>
        </w:rPr>
        <w:cr/>
      </w:r>
    </w:p>
    <w:p w14:paraId="4C17E772" w14:textId="2792B844" w:rsidR="004D5D00" w:rsidRDefault="00BD6ED2" w:rsidP="009106D9">
      <w:pPr>
        <w:rPr>
          <w:rFonts w:ascii="Times New Roman" w:eastAsia="Times New Roman" w:hAnsi="Times New Roman" w:cs="Times New Roman"/>
          <w:b/>
          <w:bCs/>
        </w:rPr>
      </w:pPr>
      <w:r w:rsidRPr="00BD6ED2">
        <w:rPr>
          <w:rFonts w:ascii="Times New Roman" w:eastAsia="Times New Roman" w:hAnsi="Times New Roman" w:cs="Times New Roman"/>
          <w:b/>
          <w:bCs/>
        </w:rPr>
        <w:t>1</w:t>
      </w:r>
      <w:r w:rsidR="00CA2D8F">
        <w:rPr>
          <w:rFonts w:ascii="Times New Roman" w:eastAsia="Times New Roman" w:hAnsi="Times New Roman" w:cs="Times New Roman"/>
          <w:b/>
          <w:bCs/>
        </w:rPr>
        <w:t>3</w:t>
      </w:r>
      <w:r w:rsidRPr="00BD6ED2">
        <w:rPr>
          <w:rFonts w:ascii="Times New Roman" w:eastAsia="Times New Roman" w:hAnsi="Times New Roman" w:cs="Times New Roman"/>
          <w:b/>
          <w:bCs/>
        </w:rPr>
        <w:t>. táblázat: Az FVC éves csökkenési üteme (várt %) 52 héten keresztül vizsgálva</w:t>
      </w:r>
    </w:p>
    <w:tbl>
      <w:tblPr>
        <w:tblStyle w:val="Rcsostblzat"/>
        <w:tblW w:w="0" w:type="auto"/>
        <w:tblLook w:val="04A0" w:firstRow="1" w:lastRow="0" w:firstColumn="1" w:lastColumn="0" w:noHBand="0" w:noVBand="1"/>
      </w:tblPr>
      <w:tblGrid>
        <w:gridCol w:w="3539"/>
        <w:gridCol w:w="2268"/>
        <w:gridCol w:w="3254"/>
      </w:tblGrid>
      <w:tr w:rsidR="00BD6ED2" w:rsidRPr="00BD6ED2" w14:paraId="28AFBC1E" w14:textId="77777777" w:rsidTr="00BD6ED2">
        <w:tc>
          <w:tcPr>
            <w:tcW w:w="3539" w:type="dxa"/>
          </w:tcPr>
          <w:p w14:paraId="10CFE1FD" w14:textId="77777777" w:rsidR="00BD6ED2" w:rsidRPr="00BD6ED2" w:rsidRDefault="00BD6ED2" w:rsidP="00BD6ED2">
            <w:pPr>
              <w:rPr>
                <w:rFonts w:ascii="Times New Roman" w:eastAsia="Times New Roman" w:hAnsi="Times New Roman" w:cs="Times New Roman"/>
                <w:lang w:val="en-GB"/>
              </w:rPr>
            </w:pPr>
          </w:p>
        </w:tc>
        <w:tc>
          <w:tcPr>
            <w:tcW w:w="2268" w:type="dxa"/>
          </w:tcPr>
          <w:p w14:paraId="121D6FF8" w14:textId="77777777" w:rsidR="00BD6ED2" w:rsidRPr="00BD6ED2" w:rsidRDefault="00BD6ED2" w:rsidP="00301BF4">
            <w:pPr>
              <w:jc w:val="center"/>
              <w:rPr>
                <w:rFonts w:ascii="Times New Roman" w:eastAsia="Times New Roman" w:hAnsi="Times New Roman" w:cs="Times New Roman"/>
                <w:lang w:val="en-GB"/>
              </w:rPr>
            </w:pPr>
            <w:r w:rsidRPr="00BD6ED2">
              <w:rPr>
                <w:rFonts w:ascii="Times New Roman" w:eastAsia="Times New Roman" w:hAnsi="Times New Roman" w:cs="Times New Roman"/>
                <w:lang w:val="en-GB"/>
              </w:rPr>
              <w:t>Placebo</w:t>
            </w:r>
          </w:p>
        </w:tc>
        <w:tc>
          <w:tcPr>
            <w:tcW w:w="3254" w:type="dxa"/>
          </w:tcPr>
          <w:p w14:paraId="0E5D3465" w14:textId="71435E09" w:rsidR="00BD6ED2" w:rsidRPr="00BD6ED2" w:rsidRDefault="00BD6ED2" w:rsidP="00301BF4">
            <w:pPr>
              <w:jc w:val="center"/>
              <w:rPr>
                <w:rFonts w:ascii="Times New Roman" w:eastAsia="Times New Roman" w:hAnsi="Times New Roman" w:cs="Times New Roman"/>
                <w:lang w:val="en-GB"/>
              </w:rPr>
            </w:pPr>
            <w:r w:rsidRPr="00BD6ED2">
              <w:rPr>
                <w:rFonts w:ascii="Times New Roman" w:eastAsia="Times New Roman" w:hAnsi="Times New Roman" w:cs="Times New Roman"/>
                <w:lang w:val="en-GB"/>
              </w:rPr>
              <w:t xml:space="preserve">Nintedanib 150 mg </w:t>
            </w:r>
            <w:r>
              <w:rPr>
                <w:rFonts w:ascii="Times New Roman" w:eastAsia="Times New Roman" w:hAnsi="Times New Roman" w:cs="Times New Roman"/>
                <w:lang w:val="en-GB"/>
              </w:rPr>
              <w:t>napi kétszer</w:t>
            </w:r>
          </w:p>
        </w:tc>
      </w:tr>
      <w:tr w:rsidR="00BD6ED2" w:rsidRPr="00BD6ED2" w14:paraId="1AEB5858" w14:textId="77777777" w:rsidTr="00BD6ED2">
        <w:tc>
          <w:tcPr>
            <w:tcW w:w="3539" w:type="dxa"/>
          </w:tcPr>
          <w:p w14:paraId="78D091ED" w14:textId="359B40B6" w:rsidR="00BD6ED2" w:rsidRPr="00A15F63" w:rsidRDefault="00BD6ED2" w:rsidP="00BD6ED2">
            <w:pPr>
              <w:rPr>
                <w:rFonts w:ascii="Times New Roman" w:eastAsia="Times New Roman" w:hAnsi="Times New Roman" w:cs="Times New Roman"/>
                <w:lang w:val="de-DE"/>
              </w:rPr>
            </w:pPr>
            <w:r w:rsidRPr="00A15F63">
              <w:rPr>
                <w:rFonts w:ascii="Times New Roman" w:eastAsia="Times New Roman" w:hAnsi="Times New Roman" w:cs="Times New Roman"/>
                <w:lang w:val="de-DE"/>
              </w:rPr>
              <w:t>Az elemzésbe bevont betegek száma</w:t>
            </w:r>
          </w:p>
        </w:tc>
        <w:tc>
          <w:tcPr>
            <w:tcW w:w="2268" w:type="dxa"/>
          </w:tcPr>
          <w:p w14:paraId="747B38CA" w14:textId="77777777" w:rsidR="00BD6ED2" w:rsidRPr="00BD6ED2" w:rsidRDefault="00BD6ED2" w:rsidP="00301BF4">
            <w:pPr>
              <w:jc w:val="center"/>
              <w:rPr>
                <w:rFonts w:ascii="Times New Roman" w:eastAsia="Times New Roman" w:hAnsi="Times New Roman" w:cs="Times New Roman"/>
                <w:lang w:val="en-GB"/>
              </w:rPr>
            </w:pPr>
            <w:r w:rsidRPr="00BD6ED2">
              <w:rPr>
                <w:rFonts w:ascii="Times New Roman" w:eastAsia="Times New Roman" w:hAnsi="Times New Roman" w:cs="Times New Roman"/>
                <w:lang w:val="en-GB"/>
              </w:rPr>
              <w:t>288</w:t>
            </w:r>
          </w:p>
        </w:tc>
        <w:tc>
          <w:tcPr>
            <w:tcW w:w="3254" w:type="dxa"/>
          </w:tcPr>
          <w:p w14:paraId="363E9BCA" w14:textId="77777777" w:rsidR="00BD6ED2" w:rsidRPr="00BD6ED2" w:rsidRDefault="00BD6ED2" w:rsidP="00301BF4">
            <w:pPr>
              <w:jc w:val="center"/>
              <w:rPr>
                <w:rFonts w:ascii="Times New Roman" w:eastAsia="Times New Roman" w:hAnsi="Times New Roman" w:cs="Times New Roman"/>
                <w:lang w:val="en-GB"/>
              </w:rPr>
            </w:pPr>
            <w:r w:rsidRPr="00BD6ED2">
              <w:rPr>
                <w:rFonts w:ascii="Times New Roman" w:eastAsia="Times New Roman" w:hAnsi="Times New Roman" w:cs="Times New Roman"/>
                <w:lang w:val="en-GB"/>
              </w:rPr>
              <w:t>287</w:t>
            </w:r>
          </w:p>
        </w:tc>
      </w:tr>
      <w:tr w:rsidR="00BD6ED2" w:rsidRPr="00BD6ED2" w14:paraId="7D5C8B17" w14:textId="77777777" w:rsidTr="00BD6ED2">
        <w:tc>
          <w:tcPr>
            <w:tcW w:w="3539" w:type="dxa"/>
          </w:tcPr>
          <w:p w14:paraId="5A44648E" w14:textId="6F6BC8F1" w:rsidR="00BD6ED2" w:rsidRPr="00BD6ED2" w:rsidRDefault="00BD6ED2" w:rsidP="00D27878">
            <w:pPr>
              <w:rPr>
                <w:rFonts w:ascii="Times New Roman" w:eastAsia="Times New Roman" w:hAnsi="Times New Roman" w:cs="Times New Roman"/>
                <w:lang w:val="en-GB"/>
              </w:rPr>
            </w:pPr>
            <w:r w:rsidRPr="00BD6ED2">
              <w:rPr>
                <w:rFonts w:ascii="Times New Roman" w:eastAsia="Times New Roman" w:hAnsi="Times New Roman" w:cs="Times New Roman"/>
                <w:lang w:val="en-GB"/>
              </w:rPr>
              <w:t>Az 52 hét során tapasztalt</w:t>
            </w:r>
            <w:r w:rsidR="00D27878">
              <w:rPr>
                <w:rFonts w:ascii="Times New Roman" w:eastAsia="Times New Roman" w:hAnsi="Times New Roman" w:cs="Times New Roman"/>
                <w:lang w:val="en-GB"/>
              </w:rPr>
              <w:t xml:space="preserve"> </w:t>
            </w:r>
            <w:r w:rsidRPr="00BD6ED2">
              <w:rPr>
                <w:rFonts w:ascii="Times New Roman" w:eastAsia="Times New Roman" w:hAnsi="Times New Roman" w:cs="Times New Roman"/>
                <w:lang w:val="en-GB"/>
              </w:rPr>
              <w:t>csökkenés aránya</w:t>
            </w:r>
            <w:r w:rsidRPr="00BD6ED2">
              <w:rPr>
                <w:rFonts w:ascii="Times New Roman" w:eastAsia="Times New Roman" w:hAnsi="Times New Roman" w:cs="Times New Roman"/>
                <w:vertAlign w:val="superscript"/>
                <w:lang w:val="en-GB"/>
              </w:rPr>
              <w:t>1</w:t>
            </w:r>
            <w:r>
              <w:rPr>
                <w:rFonts w:ascii="Times New Roman" w:eastAsia="Times New Roman" w:hAnsi="Times New Roman" w:cs="Times New Roman"/>
                <w:vertAlign w:val="superscript"/>
                <w:lang w:val="en-GB"/>
              </w:rPr>
              <w:t xml:space="preserve"> </w:t>
            </w:r>
            <w:r w:rsidRPr="00BD6ED2">
              <w:rPr>
                <w:rFonts w:ascii="Times New Roman" w:eastAsia="Times New Roman" w:hAnsi="Times New Roman" w:cs="Times New Roman"/>
                <w:lang w:val="en-GB"/>
              </w:rPr>
              <w:t>(SE)</w:t>
            </w:r>
          </w:p>
        </w:tc>
        <w:tc>
          <w:tcPr>
            <w:tcW w:w="2268" w:type="dxa"/>
          </w:tcPr>
          <w:p w14:paraId="0CD26F82" w14:textId="0C667123" w:rsidR="00BD6ED2" w:rsidRPr="00BD6ED2" w:rsidRDefault="00BD6ED2" w:rsidP="00301BF4">
            <w:pPr>
              <w:jc w:val="center"/>
              <w:rPr>
                <w:rFonts w:ascii="Times New Roman" w:eastAsia="Times New Roman" w:hAnsi="Times New Roman" w:cs="Times New Roman"/>
                <w:lang w:val="en-GB"/>
              </w:rPr>
            </w:pPr>
            <w:r w:rsidRPr="00BD6ED2">
              <w:rPr>
                <w:rFonts w:ascii="Times New Roman" w:eastAsia="Times New Roman" w:hAnsi="Times New Roman" w:cs="Times New Roman"/>
                <w:lang w:val="en-GB"/>
              </w:rPr>
              <w:t>-2</w:t>
            </w:r>
            <w:r w:rsidR="009F2667">
              <w:rPr>
                <w:rFonts w:ascii="Times New Roman" w:eastAsia="Times New Roman" w:hAnsi="Times New Roman" w:cs="Times New Roman"/>
                <w:lang w:val="en-GB"/>
              </w:rPr>
              <w:t>,</w:t>
            </w:r>
            <w:r w:rsidRPr="00BD6ED2">
              <w:rPr>
                <w:rFonts w:ascii="Times New Roman" w:eastAsia="Times New Roman" w:hAnsi="Times New Roman" w:cs="Times New Roman"/>
                <w:lang w:val="en-GB"/>
              </w:rPr>
              <w:t>6 (0</w:t>
            </w:r>
            <w:r w:rsidR="009F2667">
              <w:rPr>
                <w:rFonts w:ascii="Times New Roman" w:eastAsia="Times New Roman" w:hAnsi="Times New Roman" w:cs="Times New Roman"/>
                <w:lang w:val="en-GB"/>
              </w:rPr>
              <w:t>,</w:t>
            </w:r>
            <w:r w:rsidRPr="00BD6ED2">
              <w:rPr>
                <w:rFonts w:ascii="Times New Roman" w:eastAsia="Times New Roman" w:hAnsi="Times New Roman" w:cs="Times New Roman"/>
                <w:lang w:val="en-GB"/>
              </w:rPr>
              <w:t>4)</w:t>
            </w:r>
          </w:p>
        </w:tc>
        <w:tc>
          <w:tcPr>
            <w:tcW w:w="3254" w:type="dxa"/>
          </w:tcPr>
          <w:p w14:paraId="000C927E" w14:textId="486660B4" w:rsidR="00BD6ED2" w:rsidRPr="00BD6ED2" w:rsidRDefault="00BD6ED2" w:rsidP="00301BF4">
            <w:pPr>
              <w:jc w:val="center"/>
              <w:rPr>
                <w:rFonts w:ascii="Times New Roman" w:eastAsia="Times New Roman" w:hAnsi="Times New Roman" w:cs="Times New Roman"/>
                <w:lang w:val="en-GB"/>
              </w:rPr>
            </w:pPr>
            <w:r w:rsidRPr="00BD6ED2">
              <w:rPr>
                <w:rFonts w:ascii="Times New Roman" w:eastAsia="Times New Roman" w:hAnsi="Times New Roman" w:cs="Times New Roman"/>
                <w:lang w:val="en-GB"/>
              </w:rPr>
              <w:t>-1</w:t>
            </w:r>
            <w:r w:rsidR="009F2667">
              <w:rPr>
                <w:rFonts w:ascii="Times New Roman" w:eastAsia="Times New Roman" w:hAnsi="Times New Roman" w:cs="Times New Roman"/>
                <w:lang w:val="en-GB"/>
              </w:rPr>
              <w:t>,</w:t>
            </w:r>
            <w:r w:rsidRPr="00BD6ED2">
              <w:rPr>
                <w:rFonts w:ascii="Times New Roman" w:eastAsia="Times New Roman" w:hAnsi="Times New Roman" w:cs="Times New Roman"/>
                <w:lang w:val="en-GB"/>
              </w:rPr>
              <w:t>4 (0</w:t>
            </w:r>
            <w:r w:rsidR="009F2667">
              <w:rPr>
                <w:rFonts w:ascii="Times New Roman" w:eastAsia="Times New Roman" w:hAnsi="Times New Roman" w:cs="Times New Roman"/>
                <w:lang w:val="en-GB"/>
              </w:rPr>
              <w:t>,</w:t>
            </w:r>
            <w:r w:rsidRPr="00BD6ED2">
              <w:rPr>
                <w:rFonts w:ascii="Times New Roman" w:eastAsia="Times New Roman" w:hAnsi="Times New Roman" w:cs="Times New Roman"/>
                <w:lang w:val="en-GB"/>
              </w:rPr>
              <w:t>4)</w:t>
            </w:r>
          </w:p>
        </w:tc>
      </w:tr>
      <w:tr w:rsidR="00BD6ED2" w:rsidRPr="00BD6ED2" w14:paraId="55E29F3F" w14:textId="77777777" w:rsidTr="00E0772D">
        <w:tc>
          <w:tcPr>
            <w:tcW w:w="9061" w:type="dxa"/>
            <w:gridSpan w:val="3"/>
          </w:tcPr>
          <w:p w14:paraId="6250EEB6" w14:textId="54A63562" w:rsidR="00BD6ED2" w:rsidRPr="00BD6ED2" w:rsidRDefault="00BD6ED2" w:rsidP="00BD6ED2">
            <w:pPr>
              <w:rPr>
                <w:rFonts w:ascii="Times New Roman" w:eastAsia="Times New Roman" w:hAnsi="Times New Roman" w:cs="Times New Roman"/>
                <w:lang w:val="en-GB"/>
              </w:rPr>
            </w:pPr>
            <w:r w:rsidRPr="00BD6ED2">
              <w:rPr>
                <w:rFonts w:ascii="Times New Roman" w:eastAsia="Times New Roman" w:hAnsi="Times New Roman" w:cs="Times New Roman"/>
                <w:lang w:val="en-GB"/>
              </w:rPr>
              <w:t>Összehasonlítás placebóhoz</w:t>
            </w:r>
            <w:r>
              <w:rPr>
                <w:rFonts w:ascii="Times New Roman" w:eastAsia="Times New Roman" w:hAnsi="Times New Roman" w:cs="Times New Roman"/>
                <w:lang w:val="en-GB"/>
              </w:rPr>
              <w:t xml:space="preserve"> </w:t>
            </w:r>
            <w:r w:rsidRPr="00BD6ED2">
              <w:rPr>
                <w:rFonts w:ascii="Times New Roman" w:eastAsia="Times New Roman" w:hAnsi="Times New Roman" w:cs="Times New Roman"/>
                <w:lang w:val="en-GB"/>
              </w:rPr>
              <w:t>képest</w:t>
            </w:r>
          </w:p>
        </w:tc>
      </w:tr>
      <w:tr w:rsidR="00BD6ED2" w:rsidRPr="00BD6ED2" w14:paraId="4FB18058" w14:textId="77777777" w:rsidTr="00BD6ED2">
        <w:tc>
          <w:tcPr>
            <w:tcW w:w="3539" w:type="dxa"/>
          </w:tcPr>
          <w:p w14:paraId="720419A3" w14:textId="30A62321" w:rsidR="00BD6ED2" w:rsidRPr="00BD6ED2" w:rsidRDefault="00BD6ED2" w:rsidP="00BD6ED2">
            <w:pPr>
              <w:rPr>
                <w:rFonts w:ascii="Times New Roman" w:eastAsia="Times New Roman" w:hAnsi="Times New Roman" w:cs="Times New Roman"/>
                <w:lang w:val="en-GB"/>
              </w:rPr>
            </w:pPr>
            <w:r>
              <w:rPr>
                <w:rFonts w:ascii="Times New Roman" w:eastAsia="Times New Roman" w:hAnsi="Times New Roman" w:cs="Times New Roman"/>
                <w:lang w:val="en-GB"/>
              </w:rPr>
              <w:t>Eltérés</w:t>
            </w:r>
            <w:r w:rsidRPr="00BD6ED2">
              <w:rPr>
                <w:rFonts w:ascii="Times New Roman" w:eastAsia="Times New Roman" w:hAnsi="Times New Roman" w:cs="Times New Roman"/>
                <w:vertAlign w:val="superscript"/>
                <w:lang w:val="en-GB"/>
              </w:rPr>
              <w:t>1</w:t>
            </w:r>
          </w:p>
        </w:tc>
        <w:tc>
          <w:tcPr>
            <w:tcW w:w="2268" w:type="dxa"/>
          </w:tcPr>
          <w:p w14:paraId="225875AE" w14:textId="77777777" w:rsidR="00BD6ED2" w:rsidRPr="00BD6ED2" w:rsidRDefault="00BD6ED2" w:rsidP="00BD6ED2">
            <w:pPr>
              <w:rPr>
                <w:rFonts w:ascii="Times New Roman" w:eastAsia="Times New Roman" w:hAnsi="Times New Roman" w:cs="Times New Roman"/>
                <w:lang w:val="en-GB"/>
              </w:rPr>
            </w:pPr>
          </w:p>
        </w:tc>
        <w:tc>
          <w:tcPr>
            <w:tcW w:w="3254" w:type="dxa"/>
          </w:tcPr>
          <w:p w14:paraId="36A76A9B" w14:textId="1A98BB66" w:rsidR="00BD6ED2" w:rsidRPr="00BD6ED2" w:rsidRDefault="00BD6ED2" w:rsidP="00301BF4">
            <w:pPr>
              <w:jc w:val="center"/>
              <w:rPr>
                <w:rFonts w:ascii="Times New Roman" w:eastAsia="Times New Roman" w:hAnsi="Times New Roman" w:cs="Times New Roman"/>
                <w:lang w:val="en-GB"/>
              </w:rPr>
            </w:pPr>
            <w:r w:rsidRPr="00BD6ED2">
              <w:rPr>
                <w:rFonts w:ascii="Times New Roman" w:eastAsia="Times New Roman" w:hAnsi="Times New Roman" w:cs="Times New Roman"/>
                <w:lang w:val="en-GB"/>
              </w:rPr>
              <w:t>1</w:t>
            </w:r>
            <w:r w:rsidR="009F2667">
              <w:rPr>
                <w:rFonts w:ascii="Times New Roman" w:eastAsia="Times New Roman" w:hAnsi="Times New Roman" w:cs="Times New Roman"/>
                <w:lang w:val="en-GB"/>
              </w:rPr>
              <w:t>,</w:t>
            </w:r>
            <w:r w:rsidRPr="00BD6ED2">
              <w:rPr>
                <w:rFonts w:ascii="Times New Roman" w:eastAsia="Times New Roman" w:hAnsi="Times New Roman" w:cs="Times New Roman"/>
                <w:lang w:val="en-GB"/>
              </w:rPr>
              <w:t>15</w:t>
            </w:r>
          </w:p>
        </w:tc>
      </w:tr>
      <w:tr w:rsidR="00BD6ED2" w:rsidRPr="00BD6ED2" w14:paraId="02A45D6C" w14:textId="77777777" w:rsidTr="00BD6ED2">
        <w:tc>
          <w:tcPr>
            <w:tcW w:w="3539" w:type="dxa"/>
          </w:tcPr>
          <w:p w14:paraId="6795871C" w14:textId="2EA413F9" w:rsidR="00BD6ED2" w:rsidRPr="00BD6ED2" w:rsidRDefault="00BD6ED2" w:rsidP="00BD6ED2">
            <w:pPr>
              <w:rPr>
                <w:rFonts w:ascii="Times New Roman" w:eastAsia="Times New Roman" w:hAnsi="Times New Roman" w:cs="Times New Roman"/>
                <w:lang w:val="en-GB"/>
              </w:rPr>
            </w:pPr>
            <w:r w:rsidRPr="00BD6ED2">
              <w:rPr>
                <w:rFonts w:ascii="Times New Roman" w:eastAsia="Times New Roman" w:hAnsi="Times New Roman" w:cs="Times New Roman"/>
                <w:lang w:val="en-GB"/>
              </w:rPr>
              <w:t>95%</w:t>
            </w:r>
            <w:r>
              <w:rPr>
                <w:rFonts w:ascii="Times New Roman" w:eastAsia="Times New Roman" w:hAnsi="Times New Roman" w:cs="Times New Roman"/>
                <w:lang w:val="en-GB"/>
              </w:rPr>
              <w:t>-os</w:t>
            </w:r>
            <w:r w:rsidRPr="00BD6ED2">
              <w:rPr>
                <w:rFonts w:ascii="Times New Roman" w:eastAsia="Times New Roman" w:hAnsi="Times New Roman" w:cs="Times New Roman"/>
                <w:lang w:val="en-GB"/>
              </w:rPr>
              <w:t xml:space="preserve"> CI</w:t>
            </w:r>
          </w:p>
        </w:tc>
        <w:tc>
          <w:tcPr>
            <w:tcW w:w="2268" w:type="dxa"/>
          </w:tcPr>
          <w:p w14:paraId="6E6D2086" w14:textId="77777777" w:rsidR="00BD6ED2" w:rsidRPr="00BD6ED2" w:rsidRDefault="00BD6ED2" w:rsidP="00BD6ED2">
            <w:pPr>
              <w:rPr>
                <w:rFonts w:ascii="Times New Roman" w:eastAsia="Times New Roman" w:hAnsi="Times New Roman" w:cs="Times New Roman"/>
                <w:lang w:val="en-GB"/>
              </w:rPr>
            </w:pPr>
          </w:p>
        </w:tc>
        <w:tc>
          <w:tcPr>
            <w:tcW w:w="3254" w:type="dxa"/>
          </w:tcPr>
          <w:p w14:paraId="6B85AF56" w14:textId="0C4DFA02" w:rsidR="00BD6ED2" w:rsidRPr="00BD6ED2" w:rsidRDefault="00BD6ED2" w:rsidP="00301BF4">
            <w:pPr>
              <w:jc w:val="center"/>
              <w:rPr>
                <w:rFonts w:ascii="Times New Roman" w:eastAsia="Times New Roman" w:hAnsi="Times New Roman" w:cs="Times New Roman"/>
                <w:lang w:val="en-GB"/>
              </w:rPr>
            </w:pPr>
            <w:r w:rsidRPr="00BD6ED2">
              <w:rPr>
                <w:rFonts w:ascii="Times New Roman" w:eastAsia="Times New Roman" w:hAnsi="Times New Roman" w:cs="Times New Roman"/>
                <w:lang w:val="en-GB"/>
              </w:rPr>
              <w:t>(0</w:t>
            </w:r>
            <w:r w:rsidR="009F2667">
              <w:rPr>
                <w:rFonts w:ascii="Times New Roman" w:eastAsia="Times New Roman" w:hAnsi="Times New Roman" w:cs="Times New Roman"/>
                <w:lang w:val="en-GB"/>
              </w:rPr>
              <w:t>,</w:t>
            </w:r>
            <w:r w:rsidRPr="00BD6ED2">
              <w:rPr>
                <w:rFonts w:ascii="Times New Roman" w:eastAsia="Times New Roman" w:hAnsi="Times New Roman" w:cs="Times New Roman"/>
                <w:lang w:val="en-GB"/>
              </w:rPr>
              <w:t>09</w:t>
            </w:r>
            <w:r w:rsidR="009F2667">
              <w:rPr>
                <w:rFonts w:ascii="Times New Roman" w:eastAsia="Times New Roman" w:hAnsi="Times New Roman" w:cs="Times New Roman"/>
                <w:lang w:val="en-GB"/>
              </w:rPr>
              <w:t>;</w:t>
            </w:r>
            <w:r w:rsidRPr="00BD6ED2">
              <w:rPr>
                <w:rFonts w:ascii="Times New Roman" w:eastAsia="Times New Roman" w:hAnsi="Times New Roman" w:cs="Times New Roman"/>
                <w:lang w:val="en-GB"/>
              </w:rPr>
              <w:t xml:space="preserve"> 2</w:t>
            </w:r>
            <w:r w:rsidR="009F2667">
              <w:rPr>
                <w:rFonts w:ascii="Times New Roman" w:eastAsia="Times New Roman" w:hAnsi="Times New Roman" w:cs="Times New Roman"/>
                <w:lang w:val="en-GB"/>
              </w:rPr>
              <w:t>,</w:t>
            </w:r>
            <w:r w:rsidRPr="00BD6ED2">
              <w:rPr>
                <w:rFonts w:ascii="Times New Roman" w:eastAsia="Times New Roman" w:hAnsi="Times New Roman" w:cs="Times New Roman"/>
                <w:lang w:val="en-GB"/>
              </w:rPr>
              <w:t>21)</w:t>
            </w:r>
          </w:p>
        </w:tc>
      </w:tr>
      <w:tr w:rsidR="00BD6ED2" w:rsidRPr="00BD6ED2" w14:paraId="0C698AE6" w14:textId="77777777" w:rsidTr="00BD6ED2">
        <w:tc>
          <w:tcPr>
            <w:tcW w:w="3539" w:type="dxa"/>
          </w:tcPr>
          <w:p w14:paraId="76A0B05A" w14:textId="2F6A38BD" w:rsidR="00BD6ED2" w:rsidRPr="00BD6ED2" w:rsidRDefault="00BD6ED2" w:rsidP="00BD6ED2">
            <w:pPr>
              <w:rPr>
                <w:rFonts w:ascii="Times New Roman" w:eastAsia="Times New Roman" w:hAnsi="Times New Roman" w:cs="Times New Roman"/>
                <w:lang w:val="en-GB"/>
              </w:rPr>
            </w:pPr>
            <w:r w:rsidRPr="00BD6ED2">
              <w:rPr>
                <w:rFonts w:ascii="Times New Roman" w:eastAsia="Times New Roman" w:hAnsi="Times New Roman" w:cs="Times New Roman"/>
                <w:lang w:val="en-GB"/>
              </w:rPr>
              <w:t>p-</w:t>
            </w:r>
            <w:r>
              <w:rPr>
                <w:rFonts w:ascii="Times New Roman" w:eastAsia="Times New Roman" w:hAnsi="Times New Roman" w:cs="Times New Roman"/>
                <w:lang w:val="en-GB"/>
              </w:rPr>
              <w:t>érték</w:t>
            </w:r>
          </w:p>
        </w:tc>
        <w:tc>
          <w:tcPr>
            <w:tcW w:w="2268" w:type="dxa"/>
          </w:tcPr>
          <w:p w14:paraId="0D9A6EC7" w14:textId="77777777" w:rsidR="00BD6ED2" w:rsidRPr="00BD6ED2" w:rsidRDefault="00BD6ED2" w:rsidP="00BD6ED2">
            <w:pPr>
              <w:rPr>
                <w:rFonts w:ascii="Times New Roman" w:eastAsia="Times New Roman" w:hAnsi="Times New Roman" w:cs="Times New Roman"/>
                <w:lang w:val="en-GB"/>
              </w:rPr>
            </w:pPr>
          </w:p>
        </w:tc>
        <w:tc>
          <w:tcPr>
            <w:tcW w:w="3254" w:type="dxa"/>
          </w:tcPr>
          <w:p w14:paraId="78987911" w14:textId="267CD1D4" w:rsidR="00BD6ED2" w:rsidRPr="00BD6ED2" w:rsidRDefault="00BD6ED2" w:rsidP="00301BF4">
            <w:pPr>
              <w:jc w:val="center"/>
              <w:rPr>
                <w:rFonts w:ascii="Times New Roman" w:eastAsia="Times New Roman" w:hAnsi="Times New Roman" w:cs="Times New Roman"/>
                <w:lang w:val="en-GB"/>
              </w:rPr>
            </w:pPr>
            <w:r w:rsidRPr="00BD6ED2">
              <w:rPr>
                <w:rFonts w:ascii="Times New Roman" w:eastAsia="Times New Roman" w:hAnsi="Times New Roman" w:cs="Times New Roman"/>
                <w:lang w:val="en-GB"/>
              </w:rPr>
              <w:t>&lt;0</w:t>
            </w:r>
            <w:r w:rsidR="009F2667">
              <w:rPr>
                <w:rFonts w:ascii="Times New Roman" w:eastAsia="Times New Roman" w:hAnsi="Times New Roman" w:cs="Times New Roman"/>
                <w:lang w:val="en-GB"/>
              </w:rPr>
              <w:t>,</w:t>
            </w:r>
            <w:r w:rsidRPr="00BD6ED2">
              <w:rPr>
                <w:rFonts w:ascii="Times New Roman" w:eastAsia="Times New Roman" w:hAnsi="Times New Roman" w:cs="Times New Roman"/>
                <w:lang w:val="en-GB"/>
              </w:rPr>
              <w:t>05</w:t>
            </w:r>
          </w:p>
        </w:tc>
      </w:tr>
    </w:tbl>
    <w:p w14:paraId="235B25D0" w14:textId="687CECE4" w:rsidR="004D5D00" w:rsidRPr="00BD6ED2" w:rsidRDefault="00BD6ED2" w:rsidP="00BD6ED2">
      <w:pPr>
        <w:rPr>
          <w:rFonts w:ascii="Times New Roman" w:eastAsia="Times New Roman" w:hAnsi="Times New Roman" w:cs="Times New Roman"/>
          <w:sz w:val="18"/>
          <w:szCs w:val="18"/>
        </w:rPr>
      </w:pPr>
      <w:r w:rsidRPr="00BD6ED2">
        <w:rPr>
          <w:rFonts w:ascii="Times New Roman" w:eastAsia="Times New Roman" w:hAnsi="Times New Roman" w:cs="Times New Roman"/>
          <w:sz w:val="18"/>
          <w:szCs w:val="18"/>
          <w:vertAlign w:val="superscript"/>
        </w:rPr>
        <w:t>1</w:t>
      </w:r>
      <w:r w:rsidRPr="00BD6ED2">
        <w:rPr>
          <w:rFonts w:ascii="Times New Roman" w:eastAsia="Times New Roman" w:hAnsi="Times New Roman" w:cs="Times New Roman"/>
          <w:sz w:val="18"/>
          <w:szCs w:val="18"/>
        </w:rPr>
        <w:t>Random regressziós koefficiensen alapul, a kezelés rögzített kategorikus hatásaival, ATA-státusszal, rögzített folyamatos hatásokkal az időre vonatkozóan, kiindulási FVC-vel (várt %), ideértve a kezelés–idő és kiindulás–idő interakciókat. A betegspecifikus elemekre és időre (mint változókra) vonatkozó random hatást figyelembe vették. A betegen belüli hibák modellezése egy strukturálatlan variancia–kovariancia mátrixszal történt. Az egyének közötti variabilitás modellezése egy variancia–komponensek variancia–kovariancia mátrixszal történt</w:t>
      </w:r>
      <w:r w:rsidR="009F2667">
        <w:rPr>
          <w:rFonts w:ascii="Times New Roman" w:eastAsia="Times New Roman" w:hAnsi="Times New Roman" w:cs="Times New Roman"/>
          <w:sz w:val="18"/>
          <w:szCs w:val="18"/>
        </w:rPr>
        <w:t>.</w:t>
      </w:r>
    </w:p>
    <w:p w14:paraId="29464FC6" w14:textId="77777777" w:rsidR="004D5D00" w:rsidRPr="004D5D00" w:rsidRDefault="004D5D00" w:rsidP="009106D9">
      <w:pPr>
        <w:rPr>
          <w:rFonts w:ascii="Times New Roman" w:eastAsia="Times New Roman" w:hAnsi="Times New Roman" w:cs="Times New Roman"/>
        </w:rPr>
      </w:pPr>
    </w:p>
    <w:p w14:paraId="4342265D" w14:textId="1D8A8736" w:rsidR="00BD6ED2" w:rsidRPr="00BD6ED2" w:rsidRDefault="00BD6ED2" w:rsidP="00BD6ED2">
      <w:pPr>
        <w:rPr>
          <w:rFonts w:ascii="Times New Roman" w:eastAsia="Times New Roman" w:hAnsi="Times New Roman" w:cs="Times New Roman"/>
          <w:i/>
          <w:iCs/>
          <w:u w:val="single"/>
        </w:rPr>
      </w:pPr>
      <w:r w:rsidRPr="00BD6ED2">
        <w:rPr>
          <w:rFonts w:ascii="Times New Roman" w:eastAsia="Times New Roman" w:hAnsi="Times New Roman" w:cs="Times New Roman"/>
          <w:i/>
          <w:iCs/>
          <w:u w:val="single"/>
        </w:rPr>
        <w:t>A Módosított Rodnan-bőrpontszám (mRSS) változása a kiindulástól az 52.</w:t>
      </w:r>
      <w:r w:rsidR="00D27878">
        <w:rPr>
          <w:rFonts w:ascii="Times New Roman" w:eastAsia="Times New Roman" w:hAnsi="Times New Roman" w:cs="Times New Roman"/>
          <w:i/>
          <w:iCs/>
          <w:u w:val="single"/>
        </w:rPr>
        <w:t> </w:t>
      </w:r>
      <w:r w:rsidRPr="00BD6ED2">
        <w:rPr>
          <w:rFonts w:ascii="Times New Roman" w:eastAsia="Times New Roman" w:hAnsi="Times New Roman" w:cs="Times New Roman"/>
          <w:i/>
          <w:iCs/>
          <w:u w:val="single"/>
        </w:rPr>
        <w:t>hétig</w:t>
      </w:r>
    </w:p>
    <w:p w14:paraId="3BD671DB" w14:textId="3B34659A" w:rsidR="00BD6ED2" w:rsidRPr="00BD6ED2" w:rsidRDefault="00BD6ED2" w:rsidP="00BD6ED2">
      <w:pPr>
        <w:rPr>
          <w:rFonts w:ascii="Times New Roman" w:eastAsia="Times New Roman" w:hAnsi="Times New Roman" w:cs="Times New Roman"/>
        </w:rPr>
      </w:pPr>
      <w:r w:rsidRPr="00BD6ED2">
        <w:rPr>
          <w:rFonts w:ascii="Times New Roman" w:eastAsia="Times New Roman" w:hAnsi="Times New Roman" w:cs="Times New Roman"/>
        </w:rPr>
        <w:t>Az mRSS korrigált átlagának abszolút változása a kiindulástól az 52. hétig összehasonlítható volt a</w:t>
      </w:r>
      <w:r w:rsidR="00301BF4">
        <w:rPr>
          <w:rFonts w:ascii="Times New Roman" w:eastAsia="Times New Roman" w:hAnsi="Times New Roman" w:cs="Times New Roman"/>
        </w:rPr>
        <w:t xml:space="preserve"> </w:t>
      </w:r>
      <w:r>
        <w:rPr>
          <w:rFonts w:ascii="Times New Roman" w:eastAsia="Times New Roman" w:hAnsi="Times New Roman" w:cs="Times New Roman"/>
        </w:rPr>
        <w:t>nintedanib</w:t>
      </w:r>
      <w:r w:rsidRPr="00BD6ED2">
        <w:rPr>
          <w:rFonts w:ascii="Times New Roman" w:eastAsia="Times New Roman" w:hAnsi="Times New Roman" w:cs="Times New Roman"/>
        </w:rPr>
        <w:t>-csoport (-2,17 [95%-os CI -2,69; -1,65]) és a placebo-csoport (-1,96 [95%-os CI -2,48; -1,45])</w:t>
      </w:r>
      <w:r>
        <w:rPr>
          <w:rFonts w:ascii="Times New Roman" w:eastAsia="Times New Roman" w:hAnsi="Times New Roman" w:cs="Times New Roman"/>
        </w:rPr>
        <w:t xml:space="preserve"> </w:t>
      </w:r>
      <w:r w:rsidRPr="00BD6ED2">
        <w:rPr>
          <w:rFonts w:ascii="Times New Roman" w:eastAsia="Times New Roman" w:hAnsi="Times New Roman" w:cs="Times New Roman"/>
        </w:rPr>
        <w:t>között. A korrigált átlag kezelési csoportok közötti különbsége -0,21 (95%-os CI -0,94; 0,53;</w:t>
      </w:r>
      <w:r w:rsidR="00301BF4">
        <w:rPr>
          <w:rFonts w:ascii="Times New Roman" w:eastAsia="Times New Roman" w:hAnsi="Times New Roman" w:cs="Times New Roman"/>
        </w:rPr>
        <w:t xml:space="preserve"> </w:t>
      </w:r>
      <w:r w:rsidRPr="00BD6ED2">
        <w:rPr>
          <w:rFonts w:ascii="Times New Roman" w:eastAsia="Times New Roman" w:hAnsi="Times New Roman" w:cs="Times New Roman"/>
        </w:rPr>
        <w:t>p</w:t>
      </w:r>
      <w:r w:rsidR="009F2667">
        <w:rPr>
          <w:rFonts w:ascii="Times New Roman" w:eastAsia="Times New Roman" w:hAnsi="Times New Roman" w:cs="Times New Roman"/>
        </w:rPr>
        <w:t> </w:t>
      </w:r>
      <w:r w:rsidRPr="00BD6ED2">
        <w:rPr>
          <w:rFonts w:ascii="Times New Roman" w:eastAsia="Times New Roman" w:hAnsi="Times New Roman" w:cs="Times New Roman"/>
        </w:rPr>
        <w:t>= 0,5785) volt.</w:t>
      </w:r>
    </w:p>
    <w:p w14:paraId="081E0A71" w14:textId="77777777" w:rsidR="00BD6ED2" w:rsidRDefault="00BD6ED2" w:rsidP="00BD6ED2">
      <w:pPr>
        <w:rPr>
          <w:rFonts w:ascii="Times New Roman" w:eastAsia="Times New Roman" w:hAnsi="Times New Roman" w:cs="Times New Roman"/>
        </w:rPr>
      </w:pPr>
    </w:p>
    <w:p w14:paraId="2CDAC1EA" w14:textId="642AA24E" w:rsidR="00BD6ED2" w:rsidRPr="00BD6ED2" w:rsidRDefault="00BD6ED2" w:rsidP="00BD6ED2">
      <w:pPr>
        <w:rPr>
          <w:rFonts w:ascii="Times New Roman" w:eastAsia="Times New Roman" w:hAnsi="Times New Roman" w:cs="Times New Roman"/>
          <w:i/>
          <w:iCs/>
          <w:u w:val="single"/>
        </w:rPr>
      </w:pPr>
      <w:r w:rsidRPr="00BD6ED2">
        <w:rPr>
          <w:rFonts w:ascii="Times New Roman" w:eastAsia="Times New Roman" w:hAnsi="Times New Roman" w:cs="Times New Roman"/>
          <w:i/>
          <w:iCs/>
          <w:u w:val="single"/>
        </w:rPr>
        <w:t>A St. George légzőszervi kérdőív (SGRQ) összpontszámának változása a kiindulástól az 52.</w:t>
      </w:r>
      <w:r w:rsidR="00D27878">
        <w:rPr>
          <w:rFonts w:ascii="Times New Roman" w:eastAsia="Times New Roman" w:hAnsi="Times New Roman" w:cs="Times New Roman"/>
          <w:i/>
          <w:iCs/>
          <w:u w:val="single"/>
        </w:rPr>
        <w:t> </w:t>
      </w:r>
      <w:r w:rsidRPr="00BD6ED2">
        <w:rPr>
          <w:rFonts w:ascii="Times New Roman" w:eastAsia="Times New Roman" w:hAnsi="Times New Roman" w:cs="Times New Roman"/>
          <w:i/>
          <w:iCs/>
          <w:u w:val="single"/>
        </w:rPr>
        <w:t>hétig</w:t>
      </w:r>
    </w:p>
    <w:p w14:paraId="58A0BBD5" w14:textId="38AD3835" w:rsidR="00BD6ED2" w:rsidRPr="00BD6ED2" w:rsidRDefault="00BD6ED2" w:rsidP="00BD6ED2">
      <w:pPr>
        <w:rPr>
          <w:rFonts w:ascii="Times New Roman" w:eastAsia="Times New Roman" w:hAnsi="Times New Roman" w:cs="Times New Roman"/>
        </w:rPr>
      </w:pPr>
      <w:r w:rsidRPr="00BD6ED2">
        <w:rPr>
          <w:rFonts w:ascii="Times New Roman" w:eastAsia="Times New Roman" w:hAnsi="Times New Roman" w:cs="Times New Roman"/>
        </w:rPr>
        <w:t xml:space="preserve">Az SGRQ összpontszám korrigált átlagának abszolút változása a kiindulástól az 52. </w:t>
      </w:r>
      <w:r w:rsidR="00301BF4">
        <w:rPr>
          <w:rFonts w:ascii="Times New Roman" w:eastAsia="Times New Roman" w:hAnsi="Times New Roman" w:cs="Times New Roman"/>
        </w:rPr>
        <w:t>h</w:t>
      </w:r>
      <w:r w:rsidRPr="00BD6ED2">
        <w:rPr>
          <w:rFonts w:ascii="Times New Roman" w:eastAsia="Times New Roman" w:hAnsi="Times New Roman" w:cs="Times New Roman"/>
        </w:rPr>
        <w:t>étig</w:t>
      </w:r>
      <w:r w:rsidR="00301BF4">
        <w:rPr>
          <w:rFonts w:ascii="Times New Roman" w:eastAsia="Times New Roman" w:hAnsi="Times New Roman" w:cs="Times New Roman"/>
        </w:rPr>
        <w:t xml:space="preserve"> </w:t>
      </w:r>
      <w:r w:rsidRPr="00BD6ED2">
        <w:rPr>
          <w:rFonts w:ascii="Times New Roman" w:eastAsia="Times New Roman" w:hAnsi="Times New Roman" w:cs="Times New Roman"/>
        </w:rPr>
        <w:t xml:space="preserve">összehasonlítható volt a </w:t>
      </w:r>
      <w:r>
        <w:rPr>
          <w:rFonts w:ascii="Times New Roman" w:eastAsia="Times New Roman" w:hAnsi="Times New Roman" w:cs="Times New Roman"/>
        </w:rPr>
        <w:t>nintedanib</w:t>
      </w:r>
      <w:r w:rsidRPr="00BD6ED2">
        <w:rPr>
          <w:rFonts w:ascii="Times New Roman" w:eastAsia="Times New Roman" w:hAnsi="Times New Roman" w:cs="Times New Roman"/>
        </w:rPr>
        <w:t>-csoport (0,81 [95%-os CI -0,92; 2,55]) és a placebocsoport (-0,88</w:t>
      </w:r>
      <w:r w:rsidR="00301BF4">
        <w:rPr>
          <w:rFonts w:ascii="Times New Roman" w:eastAsia="Times New Roman" w:hAnsi="Times New Roman" w:cs="Times New Roman"/>
        </w:rPr>
        <w:t xml:space="preserve"> </w:t>
      </w:r>
      <w:r w:rsidRPr="00BD6ED2">
        <w:rPr>
          <w:rFonts w:ascii="Times New Roman" w:eastAsia="Times New Roman" w:hAnsi="Times New Roman" w:cs="Times New Roman"/>
        </w:rPr>
        <w:t>[95%-os CI -2,58; 0,82]) között. A korrigált átlag kezelési csoportok közötti különbsége 1,69 (95%-os</w:t>
      </w:r>
      <w:r w:rsidR="00301BF4">
        <w:rPr>
          <w:rFonts w:ascii="Times New Roman" w:eastAsia="Times New Roman" w:hAnsi="Times New Roman" w:cs="Times New Roman"/>
        </w:rPr>
        <w:t xml:space="preserve"> </w:t>
      </w:r>
      <w:r w:rsidRPr="00BD6ED2">
        <w:rPr>
          <w:rFonts w:ascii="Times New Roman" w:eastAsia="Times New Roman" w:hAnsi="Times New Roman" w:cs="Times New Roman"/>
        </w:rPr>
        <w:t>CI -0,73; 4,12; p = 0,1711) volt.</w:t>
      </w:r>
    </w:p>
    <w:p w14:paraId="574CF34D" w14:textId="77777777" w:rsidR="00BD6ED2" w:rsidRDefault="00BD6ED2" w:rsidP="00BD6ED2">
      <w:pPr>
        <w:rPr>
          <w:rFonts w:ascii="Times New Roman" w:eastAsia="Times New Roman" w:hAnsi="Times New Roman" w:cs="Times New Roman"/>
        </w:rPr>
      </w:pPr>
    </w:p>
    <w:p w14:paraId="2952C4B4" w14:textId="5BB55A10" w:rsidR="00BD6ED2" w:rsidRPr="00BD6ED2" w:rsidRDefault="00BD6ED2" w:rsidP="00BD6ED2">
      <w:pPr>
        <w:rPr>
          <w:rFonts w:ascii="Times New Roman" w:eastAsia="Times New Roman" w:hAnsi="Times New Roman" w:cs="Times New Roman"/>
          <w:i/>
          <w:iCs/>
          <w:u w:val="single"/>
        </w:rPr>
      </w:pPr>
      <w:r w:rsidRPr="00BD6ED2">
        <w:rPr>
          <w:rFonts w:ascii="Times New Roman" w:eastAsia="Times New Roman" w:hAnsi="Times New Roman" w:cs="Times New Roman"/>
          <w:i/>
          <w:iCs/>
          <w:u w:val="single"/>
        </w:rPr>
        <w:t>Túlélési elemzés</w:t>
      </w:r>
    </w:p>
    <w:p w14:paraId="41536D4E" w14:textId="47781352" w:rsidR="00BD6ED2" w:rsidRPr="00BD6ED2" w:rsidRDefault="00BD6ED2" w:rsidP="00BD6ED2">
      <w:pPr>
        <w:rPr>
          <w:rFonts w:ascii="Times New Roman" w:eastAsia="Times New Roman" w:hAnsi="Times New Roman" w:cs="Times New Roman"/>
        </w:rPr>
      </w:pPr>
      <w:r w:rsidRPr="00BD6ED2">
        <w:rPr>
          <w:rFonts w:ascii="Times New Roman" w:eastAsia="Times New Roman" w:hAnsi="Times New Roman" w:cs="Times New Roman"/>
        </w:rPr>
        <w:t xml:space="preserve">A mortalitás a teljes vizsgálat során hasonló volt a </w:t>
      </w:r>
      <w:r>
        <w:rPr>
          <w:rFonts w:ascii="Times New Roman" w:eastAsia="Times New Roman" w:hAnsi="Times New Roman" w:cs="Times New Roman"/>
        </w:rPr>
        <w:t>nintedanib</w:t>
      </w:r>
      <w:r w:rsidRPr="00BD6ED2">
        <w:rPr>
          <w:rFonts w:ascii="Times New Roman" w:eastAsia="Times New Roman" w:hAnsi="Times New Roman" w:cs="Times New Roman"/>
        </w:rPr>
        <w:t xml:space="preserve"> (N = 10; 3,5%) és a placebocsoportban</w:t>
      </w:r>
      <w:r w:rsidR="00301BF4">
        <w:rPr>
          <w:rFonts w:ascii="Times New Roman" w:eastAsia="Times New Roman" w:hAnsi="Times New Roman" w:cs="Times New Roman"/>
        </w:rPr>
        <w:t xml:space="preserve"> </w:t>
      </w:r>
      <w:r w:rsidRPr="00BD6ED2">
        <w:rPr>
          <w:rFonts w:ascii="Times New Roman" w:eastAsia="Times New Roman" w:hAnsi="Times New Roman" w:cs="Times New Roman"/>
        </w:rPr>
        <w:t>(N = 9; 3,1%). A halálozásig eltelt idő elemzése a teljes vizsgálatra nézve 1,16-os HR-t eredményezett</w:t>
      </w:r>
      <w:r w:rsidR="00301BF4">
        <w:rPr>
          <w:rFonts w:ascii="Times New Roman" w:eastAsia="Times New Roman" w:hAnsi="Times New Roman" w:cs="Times New Roman"/>
        </w:rPr>
        <w:t xml:space="preserve"> </w:t>
      </w:r>
      <w:r w:rsidRPr="00BD6ED2">
        <w:rPr>
          <w:rFonts w:ascii="Times New Roman" w:eastAsia="Times New Roman" w:hAnsi="Times New Roman" w:cs="Times New Roman"/>
        </w:rPr>
        <w:t>(95%-os CI 0,47; 2,84; p = 0,7535).</w:t>
      </w:r>
    </w:p>
    <w:p w14:paraId="38950D99" w14:textId="70AC5052" w:rsidR="00BD6ED2" w:rsidRPr="00BD6ED2" w:rsidRDefault="00BD6ED2" w:rsidP="00BD6ED2">
      <w:pPr>
        <w:rPr>
          <w:rFonts w:ascii="Times New Roman" w:eastAsia="Times New Roman" w:hAnsi="Times New Roman" w:cs="Times New Roman"/>
        </w:rPr>
      </w:pPr>
    </w:p>
    <w:p w14:paraId="49376C44" w14:textId="77777777" w:rsidR="00BD6ED2" w:rsidRPr="00BD6ED2" w:rsidRDefault="00BD6ED2" w:rsidP="00BD6ED2">
      <w:pPr>
        <w:rPr>
          <w:rFonts w:ascii="Times New Roman" w:eastAsia="Times New Roman" w:hAnsi="Times New Roman" w:cs="Times New Roman"/>
          <w:u w:val="single"/>
        </w:rPr>
      </w:pPr>
      <w:r w:rsidRPr="00BD6ED2">
        <w:rPr>
          <w:rFonts w:ascii="Times New Roman" w:eastAsia="Times New Roman" w:hAnsi="Times New Roman" w:cs="Times New Roman"/>
          <w:u w:val="single"/>
        </w:rPr>
        <w:t>QT-intervallum</w:t>
      </w:r>
    </w:p>
    <w:p w14:paraId="27CD4C9D" w14:textId="25D0D9D7" w:rsidR="00BD6ED2" w:rsidRPr="00BD6ED2" w:rsidRDefault="00BD6ED2" w:rsidP="00BD6ED2">
      <w:pPr>
        <w:rPr>
          <w:rFonts w:ascii="Times New Roman" w:eastAsia="Times New Roman" w:hAnsi="Times New Roman" w:cs="Times New Roman"/>
        </w:rPr>
      </w:pPr>
      <w:r w:rsidRPr="00BD6ED2">
        <w:rPr>
          <w:rFonts w:ascii="Times New Roman" w:eastAsia="Times New Roman" w:hAnsi="Times New Roman" w:cs="Times New Roman"/>
        </w:rPr>
        <w:t>Egy vesesejtes carcinomában szenvedő betegek bevonásával végzett célzott vizsgálatban a QT/QTc</w:t>
      </w:r>
      <w:r w:rsidR="00301BF4">
        <w:rPr>
          <w:rFonts w:ascii="Times New Roman" w:eastAsia="Times New Roman" w:hAnsi="Times New Roman" w:cs="Times New Roman"/>
        </w:rPr>
        <w:t xml:space="preserve"> </w:t>
      </w:r>
      <w:r w:rsidRPr="00BD6ED2">
        <w:rPr>
          <w:rFonts w:ascii="Times New Roman" w:eastAsia="Times New Roman" w:hAnsi="Times New Roman" w:cs="Times New Roman"/>
        </w:rPr>
        <w:t>méréseket rögzítették, és kimutatták, hogy a nintedanib egyszeri 200</w:t>
      </w:r>
      <w:r w:rsidR="0076116E">
        <w:rPr>
          <w:rFonts w:ascii="Times New Roman" w:eastAsia="Times New Roman" w:hAnsi="Times New Roman" w:cs="Times New Roman"/>
        </w:rPr>
        <w:t> </w:t>
      </w:r>
      <w:r w:rsidRPr="00BD6ED2">
        <w:rPr>
          <w:rFonts w:ascii="Times New Roman" w:eastAsia="Times New Roman" w:hAnsi="Times New Roman" w:cs="Times New Roman"/>
        </w:rPr>
        <w:t xml:space="preserve">mg-os </w:t>
      </w:r>
      <w:r w:rsidR="009F2667" w:rsidRPr="00A5740F">
        <w:rPr>
          <w:rFonts w:ascii="Times New Roman" w:eastAsia="Times New Roman" w:hAnsi="Times New Roman" w:cs="Times New Roman"/>
          <w:i/>
          <w:iCs/>
        </w:rPr>
        <w:t>per os</w:t>
      </w:r>
      <w:r w:rsidR="009F2667" w:rsidRPr="00BD6ED2">
        <w:rPr>
          <w:rFonts w:ascii="Times New Roman" w:eastAsia="Times New Roman" w:hAnsi="Times New Roman" w:cs="Times New Roman"/>
        </w:rPr>
        <w:t xml:space="preserve"> </w:t>
      </w:r>
      <w:r w:rsidRPr="00BD6ED2">
        <w:rPr>
          <w:rFonts w:ascii="Times New Roman" w:eastAsia="Times New Roman" w:hAnsi="Times New Roman" w:cs="Times New Roman"/>
        </w:rPr>
        <w:t>dózisa, valamint a</w:t>
      </w:r>
      <w:r w:rsidR="00301BF4">
        <w:rPr>
          <w:rFonts w:ascii="Times New Roman" w:eastAsia="Times New Roman" w:hAnsi="Times New Roman" w:cs="Times New Roman"/>
        </w:rPr>
        <w:t xml:space="preserve"> </w:t>
      </w:r>
      <w:r w:rsidRPr="00BD6ED2">
        <w:rPr>
          <w:rFonts w:ascii="Times New Roman" w:eastAsia="Times New Roman" w:hAnsi="Times New Roman" w:cs="Times New Roman"/>
        </w:rPr>
        <w:t>15</w:t>
      </w:r>
      <w:r w:rsidR="00D27878">
        <w:rPr>
          <w:rFonts w:ascii="Times New Roman" w:eastAsia="Times New Roman" w:hAnsi="Times New Roman" w:cs="Times New Roman"/>
        </w:rPr>
        <w:t> </w:t>
      </w:r>
      <w:r w:rsidRPr="00BD6ED2">
        <w:rPr>
          <w:rFonts w:ascii="Times New Roman" w:eastAsia="Times New Roman" w:hAnsi="Times New Roman" w:cs="Times New Roman"/>
        </w:rPr>
        <w:t>napon át, naponta kétszer alkalmazott 200</w:t>
      </w:r>
      <w:r w:rsidR="0076116E">
        <w:rPr>
          <w:rFonts w:ascii="Times New Roman" w:eastAsia="Times New Roman" w:hAnsi="Times New Roman" w:cs="Times New Roman"/>
        </w:rPr>
        <w:t> </w:t>
      </w:r>
      <w:r w:rsidRPr="00BD6ED2">
        <w:rPr>
          <w:rFonts w:ascii="Times New Roman" w:eastAsia="Times New Roman" w:hAnsi="Times New Roman" w:cs="Times New Roman"/>
        </w:rPr>
        <w:t xml:space="preserve">mg-os ismételt </w:t>
      </w:r>
      <w:r w:rsidR="009F2667" w:rsidRPr="00A5740F">
        <w:rPr>
          <w:rFonts w:ascii="Times New Roman" w:eastAsia="Times New Roman" w:hAnsi="Times New Roman" w:cs="Times New Roman"/>
          <w:i/>
          <w:iCs/>
        </w:rPr>
        <w:t>per os</w:t>
      </w:r>
      <w:r w:rsidR="009F2667" w:rsidRPr="00BD6ED2">
        <w:rPr>
          <w:rFonts w:ascii="Times New Roman" w:eastAsia="Times New Roman" w:hAnsi="Times New Roman" w:cs="Times New Roman"/>
        </w:rPr>
        <w:t xml:space="preserve"> </w:t>
      </w:r>
      <w:r w:rsidRPr="00BD6ED2">
        <w:rPr>
          <w:rFonts w:ascii="Times New Roman" w:eastAsia="Times New Roman" w:hAnsi="Times New Roman" w:cs="Times New Roman"/>
        </w:rPr>
        <w:t>dózisai nem nyújtják meg a</w:t>
      </w:r>
      <w:r w:rsidR="00301BF4">
        <w:rPr>
          <w:rFonts w:ascii="Times New Roman" w:eastAsia="Times New Roman" w:hAnsi="Times New Roman" w:cs="Times New Roman"/>
        </w:rPr>
        <w:t xml:space="preserve"> </w:t>
      </w:r>
      <w:r w:rsidRPr="00BD6ED2">
        <w:rPr>
          <w:rFonts w:ascii="Times New Roman" w:eastAsia="Times New Roman" w:hAnsi="Times New Roman" w:cs="Times New Roman"/>
        </w:rPr>
        <w:t>QTcF-intervalllumot.</w:t>
      </w:r>
    </w:p>
    <w:p w14:paraId="105A10A1" w14:textId="77777777" w:rsidR="00BD6ED2" w:rsidRDefault="00BD6ED2" w:rsidP="00BD6ED2">
      <w:pPr>
        <w:rPr>
          <w:rFonts w:ascii="Times New Roman" w:eastAsia="Times New Roman" w:hAnsi="Times New Roman" w:cs="Times New Roman"/>
        </w:rPr>
      </w:pPr>
    </w:p>
    <w:p w14:paraId="7E78F33D" w14:textId="42B3DC66" w:rsidR="005753FD" w:rsidRDefault="00BD6ED2" w:rsidP="005753FD">
      <w:pPr>
        <w:rPr>
          <w:rFonts w:ascii="Times New Roman" w:eastAsia="Times New Roman" w:hAnsi="Times New Roman" w:cs="Times New Roman"/>
          <w:u w:val="single"/>
        </w:rPr>
      </w:pPr>
      <w:r w:rsidRPr="00BD6ED2">
        <w:rPr>
          <w:rFonts w:ascii="Times New Roman" w:eastAsia="Times New Roman" w:hAnsi="Times New Roman" w:cs="Times New Roman"/>
          <w:u w:val="single"/>
        </w:rPr>
        <w:t>Gyermekek és serdülők</w:t>
      </w:r>
    </w:p>
    <w:p w14:paraId="4A96DF3A" w14:textId="091B0AC7" w:rsidR="005753FD" w:rsidRPr="00300950" w:rsidRDefault="005753FD" w:rsidP="005753FD">
      <w:pPr>
        <w:rPr>
          <w:rFonts w:ascii="Times New Roman" w:eastAsia="Times New Roman" w:hAnsi="Times New Roman" w:cs="Times New Roman"/>
          <w:i/>
          <w:iCs/>
          <w:lang w:val="hu-HU"/>
        </w:rPr>
      </w:pPr>
      <w:r w:rsidRPr="00300950">
        <w:rPr>
          <w:rFonts w:ascii="Times New Roman" w:eastAsia="Times New Roman" w:hAnsi="Times New Roman" w:cs="Times New Roman"/>
          <w:i/>
          <w:iCs/>
          <w:lang w:val="hu-HU"/>
        </w:rPr>
        <w:t>Klinikailag jelentős, progresszív fibrotizáló interstitialis tüdőbetegségek (ILD</w:t>
      </w:r>
      <w:r w:rsidR="005A4523">
        <w:rPr>
          <w:rFonts w:ascii="Times New Roman" w:eastAsia="Times New Roman" w:hAnsi="Times New Roman" w:cs="Times New Roman"/>
          <w:i/>
          <w:iCs/>
          <w:lang w:val="hu-HU"/>
        </w:rPr>
        <w:t>s</w:t>
      </w:r>
      <w:r w:rsidRPr="00300950">
        <w:rPr>
          <w:rFonts w:ascii="Times New Roman" w:eastAsia="Times New Roman" w:hAnsi="Times New Roman" w:cs="Times New Roman"/>
          <w:i/>
          <w:iCs/>
          <w:lang w:val="hu-HU"/>
        </w:rPr>
        <w:t xml:space="preserve">), valamint szisztémás sclerosissal társuló fibrotizáló interstitialis tüdőbetegség (SSc-ILD) 6. és betöltött 18. életév közötti gyermekeknél és serdülőknél </w:t>
      </w:r>
    </w:p>
    <w:p w14:paraId="371F187A" w14:textId="77777777" w:rsidR="005753FD" w:rsidRPr="00300950" w:rsidRDefault="005753FD" w:rsidP="005753FD">
      <w:pPr>
        <w:rPr>
          <w:rFonts w:ascii="Times New Roman" w:eastAsia="Times New Roman" w:hAnsi="Times New Roman" w:cs="Times New Roman"/>
          <w:lang w:val="hu-HU"/>
        </w:rPr>
      </w:pPr>
    </w:p>
    <w:p w14:paraId="18FE99E7" w14:textId="052E5600" w:rsidR="005753FD" w:rsidRPr="00300950" w:rsidRDefault="005753FD" w:rsidP="005753FD">
      <w:pPr>
        <w:rPr>
          <w:rFonts w:ascii="Times New Roman" w:eastAsia="Times New Roman" w:hAnsi="Times New Roman" w:cs="Times New Roman"/>
          <w:lang w:val="hu-HU"/>
        </w:rPr>
      </w:pPr>
      <w:r w:rsidRPr="00300950">
        <w:rPr>
          <w:rFonts w:ascii="Times New Roman" w:eastAsia="Times New Roman" w:hAnsi="Times New Roman" w:cs="Times New Roman"/>
          <w:lang w:val="hu-HU"/>
        </w:rPr>
        <w:t>A nintedanib klinikai biztonságosságát és hatásosságát klinikailag jelentős fibrotizáló interstitialis tüdőbetegség</w:t>
      </w:r>
      <w:r w:rsidR="005A4523">
        <w:rPr>
          <w:rFonts w:ascii="Times New Roman" w:eastAsia="Times New Roman" w:hAnsi="Times New Roman" w:cs="Times New Roman"/>
          <w:lang w:val="hu-HU"/>
        </w:rPr>
        <w:t>ek</w:t>
      </w:r>
      <w:r w:rsidRPr="00300950">
        <w:rPr>
          <w:rFonts w:ascii="Times New Roman" w:eastAsia="Times New Roman" w:hAnsi="Times New Roman" w:cs="Times New Roman"/>
          <w:lang w:val="hu-HU"/>
        </w:rPr>
        <w:t>ben (ILD</w:t>
      </w:r>
      <w:r w:rsidR="005A4523">
        <w:rPr>
          <w:rFonts w:ascii="Times New Roman" w:eastAsia="Times New Roman" w:hAnsi="Times New Roman" w:cs="Times New Roman"/>
          <w:lang w:val="hu-HU"/>
        </w:rPr>
        <w:t>s</w:t>
      </w:r>
      <w:r w:rsidRPr="00300950">
        <w:rPr>
          <w:rFonts w:ascii="Times New Roman" w:eastAsia="Times New Roman" w:hAnsi="Times New Roman" w:cs="Times New Roman"/>
          <w:lang w:val="hu-HU"/>
        </w:rPr>
        <w:t xml:space="preserve">) szenvedő 6. és betöltött 18. életév közötti gyermekek és serdülők esetében egy feltáró, randomizált, kettős vak, placebokontrollos III. fázisú vizsgálatban (InPedILD 1199.337) értékelték. </w:t>
      </w:r>
    </w:p>
    <w:p w14:paraId="5CEC4E10" w14:textId="77777777" w:rsidR="00846C88" w:rsidRPr="00300950" w:rsidRDefault="00846C88" w:rsidP="005753FD">
      <w:pPr>
        <w:rPr>
          <w:rFonts w:ascii="Times New Roman" w:eastAsia="Times New Roman" w:hAnsi="Times New Roman" w:cs="Times New Roman"/>
          <w:lang w:val="hu-HU"/>
        </w:rPr>
      </w:pPr>
    </w:p>
    <w:p w14:paraId="7A62E09F" w14:textId="0E6D4E15" w:rsidR="005753FD" w:rsidRPr="00300950" w:rsidRDefault="005753FD" w:rsidP="005753FD">
      <w:p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A betegeket 2:1 arányban randomizálták, melynek során a betegek vagy nintedanibot kaptak naponta kétszer (a dózist a testtömeg alapján állították be, 25 mg-os kapszulát is alkalmazva), vagy ennek megfelelően adagolt placebót 24 héten át, amit nintedanibbal végzett változó időtartamú nyílt kezelés követett. A kezelőorvos szerint klinikailag indokolt esetben az irányelveknek megfelelő standard ellátás alkalmazása megengedett volt. </w:t>
      </w:r>
    </w:p>
    <w:p w14:paraId="3E502C52" w14:textId="77777777" w:rsidR="005753FD" w:rsidRPr="00300950" w:rsidRDefault="005753FD" w:rsidP="005753FD">
      <w:pPr>
        <w:rPr>
          <w:rFonts w:ascii="Times New Roman" w:eastAsia="Times New Roman" w:hAnsi="Times New Roman" w:cs="Times New Roman"/>
          <w:lang w:val="hu-HU"/>
        </w:rPr>
      </w:pPr>
    </w:p>
    <w:p w14:paraId="24C129AC" w14:textId="77777777" w:rsidR="005753FD" w:rsidRPr="00300950" w:rsidRDefault="005753FD" w:rsidP="005753FD">
      <w:p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Az InPedILD vizsgálat elsődleges célja a nintedanib dózisexpozíciójának és biztonságosságának értékelése volt klinikailag jelentős fibrotizáló ILD-ben szenvedő gyermekek és serdülők esetén. A hatásosság értékelése csak másodlagos cél volt. </w:t>
      </w:r>
    </w:p>
    <w:p w14:paraId="52608509" w14:textId="77777777" w:rsidR="00022BF4" w:rsidRPr="00300950" w:rsidRDefault="00022BF4" w:rsidP="005753FD">
      <w:pPr>
        <w:rPr>
          <w:rFonts w:ascii="Times New Roman" w:eastAsia="Times New Roman" w:hAnsi="Times New Roman" w:cs="Times New Roman"/>
          <w:lang w:val="hu-HU"/>
        </w:rPr>
      </w:pPr>
    </w:p>
    <w:p w14:paraId="216863D5" w14:textId="77777777" w:rsidR="005753FD" w:rsidRPr="00300950" w:rsidRDefault="005753FD" w:rsidP="005753FD">
      <w:p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Az InPedILD vizsgálatba olyan klinikailag jelentős fibrotizáló ILD-ben szenvedő 6. és betöltött 18. életév közötti gyermekek és serdülők kerültek bevonásra, akiknél a várt FVC legalább 25% volt. Fibrotizáló ILD-ben szenvedő betegként határozták meg azokat, akiknél a fibrosist két HRCT-vizsgálattal (melyek közül az egyik HRCT-vizsgálatot a beválasztást megelőző 12 hónapon belül végezték el) vagy tüdőbiopsziával és egy, a beválasztást megelőző 12 hónapon belül végzett HRCT-vizsgálattal igazolták. </w:t>
      </w:r>
    </w:p>
    <w:p w14:paraId="28FCF7BB" w14:textId="77777777" w:rsidR="00022BF4" w:rsidRPr="00300950" w:rsidRDefault="00022BF4" w:rsidP="005753FD">
      <w:pPr>
        <w:rPr>
          <w:rFonts w:ascii="Times New Roman" w:eastAsia="Times New Roman" w:hAnsi="Times New Roman" w:cs="Times New Roman"/>
          <w:lang w:val="hu-HU"/>
        </w:rPr>
      </w:pPr>
    </w:p>
    <w:p w14:paraId="08BAC0B7" w14:textId="5ACC8FB0" w:rsidR="005753FD" w:rsidRPr="00300950" w:rsidRDefault="005753FD" w:rsidP="005753FD">
      <w:pPr>
        <w:rPr>
          <w:rFonts w:ascii="Times New Roman" w:eastAsia="Times New Roman" w:hAnsi="Times New Roman" w:cs="Times New Roman"/>
          <w:lang w:val="hu-HU"/>
        </w:rPr>
      </w:pPr>
      <w:r w:rsidRPr="00300950">
        <w:rPr>
          <w:rFonts w:ascii="Times New Roman" w:eastAsia="Times New Roman" w:hAnsi="Times New Roman" w:cs="Times New Roman"/>
          <w:lang w:val="hu-HU"/>
        </w:rPr>
        <w:t>Klinikailag szignifikáns volt a betegség, ha a Fan-pontszám legalább 3 volt, ill</w:t>
      </w:r>
      <w:r w:rsidR="00095C38">
        <w:rPr>
          <w:rFonts w:ascii="Times New Roman" w:eastAsia="Times New Roman" w:hAnsi="Times New Roman" w:cs="Times New Roman"/>
          <w:lang w:val="hu-HU"/>
        </w:rPr>
        <w:t xml:space="preserve">. </w:t>
      </w:r>
      <w:r w:rsidRPr="00300950">
        <w:rPr>
          <w:rFonts w:ascii="Times New Roman" w:eastAsia="Times New Roman" w:hAnsi="Times New Roman" w:cs="Times New Roman"/>
          <w:lang w:val="hu-HU"/>
        </w:rPr>
        <w:t>a a bármilyen időkeret alatt bekövetkező klinikai progresszió dokumentáltan bizonyított volt. A klinikai progresszió igazolható volt az FVC előrejelzett értékének ≥ 10%-os relatív csökkenése esetén, az FVC előrejelzett értékének 5-10%-os relatív csökkenése és a tünetek súlyosbodása esetén, a fibrosis mértékének a HRCT-felvételen kimutatható fokozódásával vagy a klinikai állapotromlás egyéb, a progresszív tüdőfibrózisnak tulajdonítható (pl. fokozott oxigénigény, csökkent diffúziós kapacitás) mutatói alapján, ugyanakkor ez nem volt bevonási kritérium a ≥ 3 Fan-pontszámú betegek esetében.</w:t>
      </w:r>
    </w:p>
    <w:p w14:paraId="4CA72027" w14:textId="77777777" w:rsidR="005753FD" w:rsidRPr="00300950" w:rsidRDefault="005753FD" w:rsidP="005753FD">
      <w:pPr>
        <w:rPr>
          <w:rFonts w:ascii="Times New Roman" w:eastAsia="Times New Roman" w:hAnsi="Times New Roman" w:cs="Times New Roman"/>
        </w:rPr>
      </w:pPr>
    </w:p>
    <w:p w14:paraId="379F958D" w14:textId="77777777" w:rsidR="003D2AF9" w:rsidRPr="00300950" w:rsidRDefault="003D2AF9" w:rsidP="003D2AF9">
      <w:p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Összesen 39 beteget randomizáltak (61,5% nő). Kiindulási jellemzők: </w:t>
      </w:r>
    </w:p>
    <w:p w14:paraId="003925F5" w14:textId="120D93CD" w:rsidR="003D2AF9" w:rsidRPr="00300950" w:rsidRDefault="003D2AF9" w:rsidP="00300950">
      <w:pPr>
        <w:pStyle w:val="Listaszerbekezds"/>
        <w:numPr>
          <w:ilvl w:val="0"/>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6. és betöltött 12. életév között: 12 beteg; 12. és betöltött 18. életév között: 27 beteg. Az átlagéletkor (szórás [SD]) 12,6 (3,3) év volt. </w:t>
      </w:r>
    </w:p>
    <w:p w14:paraId="2B71D26A" w14:textId="03FBA853" w:rsidR="003D2AF9" w:rsidRPr="00300950" w:rsidRDefault="003D2AF9" w:rsidP="00300950">
      <w:pPr>
        <w:pStyle w:val="Listaszerbekezds"/>
        <w:numPr>
          <w:ilvl w:val="0"/>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Az átlagos (SD) testtömeg 42,2 kg (17,8 kg) volt; 6. és betöltött 12. életév között: 26,6 kg (10,4 kg), 12. és betöltött 18. életév között: 49,1 kg (16,0 kg). </w:t>
      </w:r>
    </w:p>
    <w:p w14:paraId="48A1FF01" w14:textId="171E0E82" w:rsidR="003D2AF9" w:rsidRPr="00300950" w:rsidRDefault="003D2AF9" w:rsidP="00300950">
      <w:pPr>
        <w:pStyle w:val="Listaszerbekezds"/>
        <w:numPr>
          <w:ilvl w:val="0"/>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A BMI életkorra vonatkozó Z-értékének összesített kiindulási átlaga (SD) –0,6 (1,8) volt. </w:t>
      </w:r>
    </w:p>
    <w:p w14:paraId="09C0B111" w14:textId="71627318" w:rsidR="003D2AF9" w:rsidRPr="00300950" w:rsidRDefault="003D2AF9" w:rsidP="00300950">
      <w:pPr>
        <w:pStyle w:val="Listaszerbekezds"/>
        <w:numPr>
          <w:ilvl w:val="0"/>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Az FVC Z-értékének összesített átlaga (SD) a kiinduláskor –3,5 (1,9) volt. </w:t>
      </w:r>
    </w:p>
    <w:p w14:paraId="40559BA3" w14:textId="77777777" w:rsidR="003D2AF9" w:rsidRPr="00300950" w:rsidRDefault="003D2AF9" w:rsidP="003D2AF9">
      <w:pPr>
        <w:rPr>
          <w:rFonts w:ascii="Times New Roman" w:eastAsia="Times New Roman" w:hAnsi="Times New Roman" w:cs="Times New Roman"/>
          <w:lang w:val="hu-HU"/>
        </w:rPr>
      </w:pPr>
    </w:p>
    <w:p w14:paraId="2F409A7A" w14:textId="77777777" w:rsidR="003D2AF9" w:rsidRPr="00300950" w:rsidRDefault="003D2AF9" w:rsidP="003D2AF9">
      <w:p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Az ILD hátterében álló leggyakoribb önálló alapdiagnózisok a következők voltak: </w:t>
      </w:r>
    </w:p>
    <w:p w14:paraId="5C730120" w14:textId="16C928A9" w:rsidR="003D2AF9" w:rsidRPr="00300950" w:rsidRDefault="003D2AF9" w:rsidP="000C2E74">
      <w:pPr>
        <w:pStyle w:val="Listaszerbekezds"/>
        <w:numPr>
          <w:ilvl w:val="0"/>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a „surfactant protein hiánya” (nintedanib: 26,9%, placebo: 38,5%); </w:t>
      </w:r>
    </w:p>
    <w:p w14:paraId="42FF1B6A" w14:textId="2F589838" w:rsidR="003D2AF9" w:rsidRPr="00300950" w:rsidRDefault="003D2AF9" w:rsidP="00EB3B16">
      <w:pPr>
        <w:pStyle w:val="Listaszerbekezds"/>
        <w:numPr>
          <w:ilvl w:val="0"/>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„szisztémás sclerosis” (nintedanib: 15,4%, placebo: 23,1%); </w:t>
      </w:r>
    </w:p>
    <w:p w14:paraId="4FCB95D6" w14:textId="3957225D" w:rsidR="003D2AF9" w:rsidRPr="00300950" w:rsidRDefault="003D2AF9" w:rsidP="00EB3B16">
      <w:pPr>
        <w:pStyle w:val="Listaszerbekezds"/>
        <w:numPr>
          <w:ilvl w:val="0"/>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„toxikus/irradiációs/gyógyszer-okozta pneumonitis” (nintedanib: 11,5%, placebo 7,7%); </w:t>
      </w:r>
    </w:p>
    <w:p w14:paraId="504014E6" w14:textId="79F07884" w:rsidR="003D2AF9" w:rsidRPr="00300950" w:rsidRDefault="003D2AF9" w:rsidP="00EB3B16">
      <w:pPr>
        <w:pStyle w:val="Listaszerbekezds"/>
        <w:numPr>
          <w:ilvl w:val="0"/>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„krónikus hiperszenzitív pneumonitis”-t 2 betegnél jelentettek (nintedanib: 7,7%). </w:t>
      </w:r>
    </w:p>
    <w:p w14:paraId="6214567D" w14:textId="77777777" w:rsidR="00C600B6" w:rsidRDefault="003D2AF9" w:rsidP="00EB3B16">
      <w:pPr>
        <w:pStyle w:val="Listaszerbekezds"/>
        <w:numPr>
          <w:ilvl w:val="0"/>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Az ILD hátterében 1-1 esetben jelentett betegségek: </w:t>
      </w:r>
    </w:p>
    <w:p w14:paraId="456E9372" w14:textId="74B13311" w:rsidR="003D2AF9" w:rsidRPr="00300950" w:rsidRDefault="003D2AF9" w:rsidP="00300950">
      <w:pPr>
        <w:pStyle w:val="Listaszerbekezds"/>
        <w:numPr>
          <w:ilvl w:val="1"/>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poszt-HSCT fibrosis, </w:t>
      </w:r>
    </w:p>
    <w:p w14:paraId="3E1B58BA" w14:textId="6E5DE276" w:rsidR="003D2AF9" w:rsidRPr="00300950" w:rsidRDefault="003D2AF9" w:rsidP="00EB3B16">
      <w:pPr>
        <w:pStyle w:val="Listaszerbekezds"/>
        <w:numPr>
          <w:ilvl w:val="1"/>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 juvenilis RA, </w:t>
      </w:r>
    </w:p>
    <w:p w14:paraId="3A27A905" w14:textId="6B69DB87" w:rsidR="003D2AF9" w:rsidRPr="00300950" w:rsidRDefault="003D2AF9" w:rsidP="00EB3B16">
      <w:pPr>
        <w:pStyle w:val="Listaszerbekezds"/>
        <w:numPr>
          <w:ilvl w:val="1"/>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juvenilis idiopathiás arthritis, </w:t>
      </w:r>
    </w:p>
    <w:p w14:paraId="1E8BE94E" w14:textId="20058823" w:rsidR="003D2AF9" w:rsidRPr="00300950" w:rsidRDefault="003D2AF9" w:rsidP="00EB3B16">
      <w:pPr>
        <w:pStyle w:val="Listaszerbekezds"/>
        <w:numPr>
          <w:ilvl w:val="1"/>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dermatomyositis (DM), </w:t>
      </w:r>
    </w:p>
    <w:p w14:paraId="7882098F" w14:textId="2B649DA3" w:rsidR="003D2AF9" w:rsidRPr="00300950" w:rsidRDefault="003D2AF9" w:rsidP="00EB3B16">
      <w:pPr>
        <w:pStyle w:val="Listaszerbekezds"/>
        <w:numPr>
          <w:ilvl w:val="1"/>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desquamativ interstitialis pneumonitis, </w:t>
      </w:r>
    </w:p>
    <w:p w14:paraId="2FB5A3F1" w14:textId="0E60D69F" w:rsidR="003D2AF9" w:rsidRPr="00300950" w:rsidRDefault="003D2AF9" w:rsidP="00EB3B16">
      <w:pPr>
        <w:pStyle w:val="Listaszerbekezds"/>
        <w:numPr>
          <w:ilvl w:val="1"/>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H1N1 influenza, </w:t>
      </w:r>
    </w:p>
    <w:p w14:paraId="665F2B17" w14:textId="41315987" w:rsidR="003D2AF9" w:rsidRPr="00300950" w:rsidRDefault="003D2AF9" w:rsidP="00E24572">
      <w:pPr>
        <w:pStyle w:val="Listaszerbekezds"/>
        <w:numPr>
          <w:ilvl w:val="1"/>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tisztázatlan betegség (krónikus diffúz tüdőbetegség), </w:t>
      </w:r>
    </w:p>
    <w:p w14:paraId="6C0509B0" w14:textId="5F061EEF" w:rsidR="003D2AF9" w:rsidRPr="00300950" w:rsidRDefault="003D2AF9" w:rsidP="00E24572">
      <w:pPr>
        <w:pStyle w:val="Listaszerbekezds"/>
        <w:numPr>
          <w:ilvl w:val="1"/>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Copa-szindróma, </w:t>
      </w:r>
    </w:p>
    <w:p w14:paraId="18519A34" w14:textId="06BB170D" w:rsidR="003D2AF9" w:rsidRPr="00300950" w:rsidRDefault="003D2AF9" w:rsidP="00E24572">
      <w:pPr>
        <w:pStyle w:val="Listaszerbekezds"/>
        <w:numPr>
          <w:ilvl w:val="1"/>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Copa génmutáció, </w:t>
      </w:r>
    </w:p>
    <w:p w14:paraId="0D957AB6" w14:textId="279B2061" w:rsidR="003D2AF9" w:rsidRPr="00300950" w:rsidRDefault="003D2AF9" w:rsidP="00E24572">
      <w:pPr>
        <w:pStyle w:val="Listaszerbekezds"/>
        <w:numPr>
          <w:ilvl w:val="1"/>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nem differenciált kötőszöveti betegség, </w:t>
      </w:r>
    </w:p>
    <w:p w14:paraId="3A9145F9" w14:textId="7F0FE8E8" w:rsidR="003D2AF9" w:rsidRPr="00300950" w:rsidRDefault="003D2AF9" w:rsidP="00E24572">
      <w:pPr>
        <w:pStyle w:val="Listaszerbekezds"/>
        <w:numPr>
          <w:ilvl w:val="1"/>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posztinfekciós bronchiolitis obliterans, </w:t>
      </w:r>
    </w:p>
    <w:p w14:paraId="72364196" w14:textId="1608EAC4" w:rsidR="003D2AF9" w:rsidRPr="00300950" w:rsidRDefault="003D2AF9" w:rsidP="00E24572">
      <w:pPr>
        <w:pStyle w:val="Listaszerbekezds"/>
        <w:numPr>
          <w:ilvl w:val="1"/>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nem meghatározott ILD, </w:t>
      </w:r>
    </w:p>
    <w:p w14:paraId="267F196B" w14:textId="14AC677E" w:rsidR="003D2AF9" w:rsidRPr="00300950" w:rsidRDefault="003D2AF9" w:rsidP="00E24572">
      <w:pPr>
        <w:pStyle w:val="Listaszerbekezds"/>
        <w:numPr>
          <w:ilvl w:val="1"/>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idiopathiás vasculopathia, </w:t>
      </w:r>
    </w:p>
    <w:p w14:paraId="74FEF682" w14:textId="3594DDFB" w:rsidR="003D2AF9" w:rsidRPr="00300950" w:rsidRDefault="003D2AF9" w:rsidP="00300950">
      <w:pPr>
        <w:pStyle w:val="Listaszerbekezds"/>
        <w:numPr>
          <w:ilvl w:val="1"/>
          <w:numId w:val="43"/>
        </w:num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Sting-asszociált vasculopathia. </w:t>
      </w:r>
    </w:p>
    <w:p w14:paraId="6949CAAB" w14:textId="77777777" w:rsidR="003D2AF9" w:rsidRPr="00300950" w:rsidRDefault="003D2AF9" w:rsidP="003D2AF9">
      <w:pPr>
        <w:rPr>
          <w:rFonts w:ascii="Times New Roman" w:eastAsia="Times New Roman" w:hAnsi="Times New Roman" w:cs="Times New Roman"/>
          <w:lang w:val="hu-HU"/>
        </w:rPr>
      </w:pPr>
    </w:p>
    <w:p w14:paraId="4EF0FEBA" w14:textId="77777777" w:rsidR="003D2AF9" w:rsidRPr="00300950" w:rsidRDefault="003D2AF9" w:rsidP="003D2AF9">
      <w:p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Az elsődleges végpont eredményei a következők voltak: </w:t>
      </w:r>
    </w:p>
    <w:p w14:paraId="2F3ADECC" w14:textId="77777777" w:rsidR="007D4E67" w:rsidRPr="00300950" w:rsidRDefault="003D2AF9" w:rsidP="00FC74EA">
      <w:pPr>
        <w:pStyle w:val="Listaszerbekezds"/>
        <w:numPr>
          <w:ilvl w:val="0"/>
          <w:numId w:val="42"/>
        </w:numPr>
        <w:rPr>
          <w:rFonts w:ascii="Times New Roman" w:eastAsia="Times New Roman" w:hAnsi="Times New Roman" w:cs="Times New Roman"/>
          <w:lang w:val="hu-HU"/>
        </w:rPr>
      </w:pPr>
      <w:r w:rsidRPr="00300950">
        <w:rPr>
          <w:rFonts w:ascii="Times New Roman" w:eastAsia="Times New Roman" w:hAnsi="Times New Roman" w:cs="Times New Roman"/>
          <w:b/>
          <w:bCs/>
          <w:lang w:val="hu-HU"/>
        </w:rPr>
        <w:t xml:space="preserve">Nintedanib-expozíció: </w:t>
      </w:r>
    </w:p>
    <w:p w14:paraId="0E690209" w14:textId="73F677FF" w:rsidR="003D2AF9" w:rsidRPr="00300950" w:rsidRDefault="003D2AF9" w:rsidP="00300950">
      <w:pPr>
        <w:pStyle w:val="Listaszerbekezds"/>
        <w:numPr>
          <w:ilvl w:val="1"/>
          <w:numId w:val="42"/>
        </w:numPr>
        <w:ind w:left="714" w:hanging="357"/>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A nintedanibnak – az egyensúlyi állapotban végzett mintavétel alapján – az AUCτ,ss-értékkel jellemzett expozíciója közel hasonló volt gyermekeknél és serdülőknél, mint a felnőttek esetében megfigyelt értékek (lásd 5.2 pont). </w:t>
      </w:r>
    </w:p>
    <w:p w14:paraId="11AAC365" w14:textId="227F5283" w:rsidR="009B0DF6" w:rsidRPr="00300950" w:rsidRDefault="003D2AF9" w:rsidP="00300950">
      <w:pPr>
        <w:pStyle w:val="Listaszerbekezds"/>
        <w:numPr>
          <w:ilvl w:val="0"/>
          <w:numId w:val="42"/>
        </w:numPr>
        <w:rPr>
          <w:rFonts w:ascii="Times New Roman" w:eastAsia="Times New Roman" w:hAnsi="Times New Roman" w:cs="Times New Roman"/>
          <w:b/>
          <w:bCs/>
          <w:lang w:val="hu-HU"/>
        </w:rPr>
      </w:pPr>
      <w:r w:rsidRPr="00300950">
        <w:rPr>
          <w:rFonts w:ascii="Times New Roman" w:eastAsia="Times New Roman" w:hAnsi="Times New Roman" w:cs="Times New Roman"/>
          <w:b/>
          <w:bCs/>
          <w:lang w:val="hu-HU"/>
        </w:rPr>
        <w:t xml:space="preserve">A kezeléssel kapcsolatos nemkívánatos események (24. hét): </w:t>
      </w:r>
    </w:p>
    <w:p w14:paraId="5ACD157D" w14:textId="0495012C" w:rsidR="003D2AF9" w:rsidRPr="00300950" w:rsidRDefault="003D2AF9" w:rsidP="00300950">
      <w:pPr>
        <w:pStyle w:val="Listaszerbekezds"/>
        <w:numPr>
          <w:ilvl w:val="1"/>
          <w:numId w:val="42"/>
        </w:numPr>
        <w:ind w:left="714" w:hanging="357"/>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Nintedanib-csoport: a betegek 84,6%-a (6. és betöltött 12. életév között: 75,0%, 12. és betöltött 18. életév között: 88,9%). </w:t>
      </w:r>
    </w:p>
    <w:p w14:paraId="38032C54" w14:textId="7C68A6A2" w:rsidR="003D2AF9" w:rsidRPr="00300950" w:rsidRDefault="003D2AF9" w:rsidP="00300950">
      <w:pPr>
        <w:pStyle w:val="Listaszerbekezds"/>
        <w:numPr>
          <w:ilvl w:val="1"/>
          <w:numId w:val="42"/>
        </w:numPr>
        <w:ind w:left="714" w:hanging="357"/>
        <w:rPr>
          <w:rFonts w:ascii="Times New Roman" w:eastAsia="Times New Roman" w:hAnsi="Times New Roman" w:cs="Times New Roman"/>
          <w:lang w:val="hu-HU"/>
        </w:rPr>
      </w:pPr>
      <w:r w:rsidRPr="00300950">
        <w:rPr>
          <w:rFonts w:ascii="Times New Roman" w:eastAsia="Times New Roman" w:hAnsi="Times New Roman" w:cs="Times New Roman"/>
          <w:lang w:val="hu-HU"/>
        </w:rPr>
        <w:lastRenderedPageBreak/>
        <w:t xml:space="preserve">Placebocsoport: a betegek 84,6%-a (6. és betöltött 12. életév között: 100%, 12. és betöltött 18. életév között: 77,8%). </w:t>
      </w:r>
    </w:p>
    <w:p w14:paraId="5F595795" w14:textId="77777777" w:rsidR="003D2AF9" w:rsidRPr="00300950" w:rsidRDefault="003D2AF9" w:rsidP="003D2AF9">
      <w:pPr>
        <w:rPr>
          <w:rFonts w:ascii="Times New Roman" w:eastAsia="Times New Roman" w:hAnsi="Times New Roman" w:cs="Times New Roman"/>
          <w:lang w:val="hu-HU"/>
        </w:rPr>
      </w:pPr>
    </w:p>
    <w:p w14:paraId="0181E332" w14:textId="77777777" w:rsidR="003D2AF9" w:rsidRPr="00300950" w:rsidRDefault="003D2AF9" w:rsidP="003D2AF9">
      <w:pPr>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Az erőltetett vitálkapacitás (FVC) várt %-os értékének a kiindulási értékhez viszonyított változását vizsgálták másodlagos hatásossági végpontként. Eredmények (6. ábra): </w:t>
      </w:r>
    </w:p>
    <w:p w14:paraId="1D9B9788" w14:textId="183F645A" w:rsidR="00C962D3" w:rsidRPr="00300950" w:rsidRDefault="003D2AF9" w:rsidP="00C962D3">
      <w:pPr>
        <w:pStyle w:val="Listaszerbekezds"/>
        <w:numPr>
          <w:ilvl w:val="0"/>
          <w:numId w:val="42"/>
        </w:numPr>
        <w:rPr>
          <w:rFonts w:ascii="Times New Roman" w:eastAsia="Times New Roman" w:hAnsi="Times New Roman" w:cs="Times New Roman"/>
          <w:b/>
          <w:bCs/>
          <w:lang w:val="hu-HU"/>
        </w:rPr>
      </w:pPr>
      <w:r w:rsidRPr="00300950">
        <w:rPr>
          <w:rFonts w:ascii="Times New Roman" w:eastAsia="Times New Roman" w:hAnsi="Times New Roman" w:cs="Times New Roman"/>
          <w:b/>
          <w:bCs/>
          <w:lang w:val="hu-HU"/>
        </w:rPr>
        <w:t xml:space="preserve">A 24. héten: </w:t>
      </w:r>
    </w:p>
    <w:p w14:paraId="6EF5B680" w14:textId="2E4A1850" w:rsidR="003D2AF9" w:rsidRPr="00300950" w:rsidRDefault="003D2AF9" w:rsidP="00300950">
      <w:pPr>
        <w:pStyle w:val="Listaszerbekezds"/>
        <w:numPr>
          <w:ilvl w:val="1"/>
          <w:numId w:val="42"/>
        </w:numPr>
        <w:ind w:left="714" w:hanging="357"/>
        <w:rPr>
          <w:rFonts w:ascii="Times New Roman" w:eastAsia="Times New Roman" w:hAnsi="Times New Roman" w:cs="Times New Roman"/>
          <w:b/>
          <w:bCs/>
          <w:lang w:val="hu-HU"/>
        </w:rPr>
      </w:pPr>
      <w:r w:rsidRPr="00300950">
        <w:rPr>
          <w:rFonts w:ascii="Times New Roman" w:eastAsia="Times New Roman" w:hAnsi="Times New Roman" w:cs="Times New Roman"/>
          <w:lang w:val="hu-HU"/>
        </w:rPr>
        <w:t xml:space="preserve">Nintedanib-csoport: korrigált átlagos változás = 0,31 (95%-os CI: –2,36; 2,98) </w:t>
      </w:r>
    </w:p>
    <w:p w14:paraId="63673553" w14:textId="4F18CCBC" w:rsidR="003D2AF9" w:rsidRPr="00300950" w:rsidRDefault="003D2AF9" w:rsidP="00300950">
      <w:pPr>
        <w:pStyle w:val="Listaszerbekezds"/>
        <w:numPr>
          <w:ilvl w:val="1"/>
          <w:numId w:val="42"/>
        </w:numPr>
        <w:ind w:left="714" w:hanging="357"/>
        <w:rPr>
          <w:rFonts w:ascii="Times New Roman" w:eastAsia="Times New Roman" w:hAnsi="Times New Roman" w:cs="Times New Roman"/>
          <w:b/>
          <w:bCs/>
          <w:lang w:val="hu-HU"/>
        </w:rPr>
      </w:pPr>
      <w:r w:rsidRPr="00300950">
        <w:rPr>
          <w:rFonts w:ascii="Times New Roman" w:eastAsia="Times New Roman" w:hAnsi="Times New Roman" w:cs="Times New Roman"/>
          <w:lang w:val="hu-HU"/>
        </w:rPr>
        <w:t xml:space="preserve">Placebocsoport: korrigált átlagos változás = –0,89 (95%-os CI: –4,61; 2,82) </w:t>
      </w:r>
    </w:p>
    <w:p w14:paraId="09759B08" w14:textId="06CC38DF" w:rsidR="003D2AF9" w:rsidRPr="00300950" w:rsidRDefault="003D2AF9" w:rsidP="00300950">
      <w:pPr>
        <w:pStyle w:val="Listaszerbekezds"/>
        <w:numPr>
          <w:ilvl w:val="1"/>
          <w:numId w:val="42"/>
        </w:numPr>
        <w:ind w:left="714" w:hanging="357"/>
        <w:rPr>
          <w:rFonts w:ascii="Times New Roman" w:eastAsia="Times New Roman" w:hAnsi="Times New Roman" w:cs="Times New Roman"/>
          <w:b/>
          <w:bCs/>
          <w:lang w:val="hu-HU"/>
        </w:rPr>
      </w:pPr>
      <w:r w:rsidRPr="00300950">
        <w:rPr>
          <w:rFonts w:ascii="Times New Roman" w:eastAsia="Times New Roman" w:hAnsi="Times New Roman" w:cs="Times New Roman"/>
          <w:lang w:val="hu-HU"/>
        </w:rPr>
        <w:t xml:space="preserve">Az FVC várt %-os értékében bekövetkező változás = 1,21 (95%-os CI: –3,40; 5,81) a nintedanib javára. </w:t>
      </w:r>
    </w:p>
    <w:p w14:paraId="7FC92844" w14:textId="77777777" w:rsidR="003D2AF9" w:rsidRPr="00300950" w:rsidRDefault="003D2AF9" w:rsidP="00300950">
      <w:pPr>
        <w:rPr>
          <w:rFonts w:ascii="Times New Roman" w:eastAsia="Times New Roman" w:hAnsi="Times New Roman" w:cs="Times New Roman"/>
          <w:lang w:val="hu-HU"/>
        </w:rPr>
      </w:pPr>
    </w:p>
    <w:p w14:paraId="5D61443F" w14:textId="77777777" w:rsidR="00C962D3" w:rsidRPr="00300950" w:rsidRDefault="003D2AF9" w:rsidP="00C962D3">
      <w:pPr>
        <w:pStyle w:val="Listaszerbekezds"/>
        <w:numPr>
          <w:ilvl w:val="0"/>
          <w:numId w:val="42"/>
        </w:numPr>
        <w:rPr>
          <w:rFonts w:ascii="Times New Roman" w:eastAsia="Times New Roman" w:hAnsi="Times New Roman" w:cs="Times New Roman"/>
          <w:lang w:val="hu-HU"/>
        </w:rPr>
      </w:pPr>
      <w:r w:rsidRPr="00300950">
        <w:rPr>
          <w:rFonts w:ascii="Times New Roman" w:eastAsia="Times New Roman" w:hAnsi="Times New Roman" w:cs="Times New Roman"/>
          <w:b/>
          <w:bCs/>
          <w:lang w:val="hu-HU"/>
        </w:rPr>
        <w:t xml:space="preserve">Az 52. héten: </w:t>
      </w:r>
    </w:p>
    <w:p w14:paraId="2E6F98FD" w14:textId="55A69340" w:rsidR="00697FCA" w:rsidRPr="00300950" w:rsidRDefault="003D2AF9" w:rsidP="00300950">
      <w:pPr>
        <w:pStyle w:val="Listaszerbekezds"/>
        <w:numPr>
          <w:ilvl w:val="1"/>
          <w:numId w:val="42"/>
        </w:numPr>
        <w:ind w:left="714" w:hanging="357"/>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Randomizált nintedanib-csoport: korrigált átlagos változás = 0,79 (95%-os CI: –2,95; 4,53) </w:t>
      </w:r>
    </w:p>
    <w:p w14:paraId="5D6DE2E6" w14:textId="273B7120" w:rsidR="003D2AF9" w:rsidRPr="00300950" w:rsidRDefault="003D2AF9" w:rsidP="00300950">
      <w:pPr>
        <w:pStyle w:val="Listaszerbekezds"/>
        <w:numPr>
          <w:ilvl w:val="1"/>
          <w:numId w:val="42"/>
        </w:numPr>
        <w:ind w:left="714" w:hanging="357"/>
        <w:rPr>
          <w:rFonts w:ascii="Times New Roman" w:eastAsia="Times New Roman" w:hAnsi="Times New Roman" w:cs="Times New Roman"/>
          <w:lang w:val="hu-HU"/>
        </w:rPr>
      </w:pPr>
      <w:r w:rsidRPr="00300950">
        <w:rPr>
          <w:rFonts w:ascii="Times New Roman" w:eastAsia="Times New Roman" w:hAnsi="Times New Roman" w:cs="Times New Roman"/>
          <w:lang w:val="hu-HU"/>
        </w:rPr>
        <w:t xml:space="preserve">Randomizált placebocsoport: korrigált átlagos változás = –0,98 (95%-os CI: –6,26; 4,30) </w:t>
      </w:r>
    </w:p>
    <w:p w14:paraId="5BA68205" w14:textId="77777777" w:rsidR="003D2AF9" w:rsidRPr="00300950" w:rsidRDefault="003D2AF9" w:rsidP="003D2AF9">
      <w:pPr>
        <w:rPr>
          <w:rFonts w:ascii="Times New Roman" w:eastAsia="Times New Roman" w:hAnsi="Times New Roman" w:cs="Times New Roman"/>
          <w:lang w:val="hu-HU"/>
        </w:rPr>
      </w:pPr>
    </w:p>
    <w:p w14:paraId="2545E470" w14:textId="1DD6EC4F" w:rsidR="003D2AF9" w:rsidRPr="00300950" w:rsidRDefault="003D2AF9" w:rsidP="003D2AF9">
      <w:pPr>
        <w:rPr>
          <w:rFonts w:ascii="Times New Roman" w:eastAsia="Times New Roman" w:hAnsi="Times New Roman" w:cs="Times New Roman"/>
          <w:lang w:val="hu-HU"/>
        </w:rPr>
      </w:pPr>
      <w:r w:rsidRPr="00300950">
        <w:rPr>
          <w:rFonts w:ascii="Times New Roman" w:eastAsia="Times New Roman" w:hAnsi="Times New Roman" w:cs="Times New Roman"/>
          <w:lang w:val="hu-HU"/>
        </w:rPr>
        <w:t>Az FVC várt %-os értéke, mint végpont és számos más feltáró hatásossági végpont esetében a nintedanib-kezelésre adott válasz nagyfokú változatosságát figyelték meg a gyermek- és serdülőkorú betegek körében a kis mintaméret miatt (n = 39).</w:t>
      </w:r>
    </w:p>
    <w:p w14:paraId="4C30EEBC" w14:textId="77777777" w:rsidR="00C16443" w:rsidRDefault="00C16443" w:rsidP="003D2AF9">
      <w:pPr>
        <w:rPr>
          <w:rFonts w:ascii="Times New Roman" w:eastAsia="Times New Roman" w:hAnsi="Times New Roman" w:cs="Times New Roman"/>
          <w:u w:val="single"/>
          <w:lang w:val="hu-HU"/>
        </w:rPr>
      </w:pPr>
    </w:p>
    <w:p w14:paraId="73A09F90" w14:textId="25749C9D" w:rsidR="00C16443" w:rsidRDefault="00C16443" w:rsidP="00C16443">
      <w:pPr>
        <w:rPr>
          <w:rFonts w:ascii="Times New Roman" w:eastAsia="Times New Roman" w:hAnsi="Times New Roman" w:cs="Times New Roman"/>
          <w:u w:val="single"/>
          <w:lang w:val="hu-HU"/>
        </w:rPr>
      </w:pPr>
      <w:r w:rsidRPr="00C16443">
        <w:rPr>
          <w:rFonts w:ascii="Times New Roman" w:eastAsia="Times New Roman" w:hAnsi="Times New Roman" w:cs="Times New Roman"/>
          <w:b/>
          <w:bCs/>
          <w:u w:val="single"/>
          <w:lang w:val="hu-HU"/>
        </w:rPr>
        <w:t>6. ábra Az FVC várt %-os értékében bekövetkező, a kiindulási értékhez viszonyított abszolút változás korrigált átlaga (SE) az 52 hét alatt – kezelt halmaz</w:t>
      </w:r>
      <w:r w:rsidR="00EA2251" w:rsidRPr="00EA2251">
        <w:t xml:space="preserve"> </w:t>
      </w:r>
      <w:r w:rsidR="00EA2251" w:rsidRPr="00EA2251">
        <w:rPr>
          <w:rFonts w:ascii="Times New Roman" w:eastAsia="Times New Roman" w:hAnsi="Times New Roman" w:cs="Times New Roman"/>
          <w:b/>
          <w:bCs/>
          <w:u w:val="single"/>
          <w:lang w:val="hu-HU"/>
        </w:rPr>
        <w:t>*</w:t>
      </w:r>
    </w:p>
    <w:p w14:paraId="4848FDB7" w14:textId="77777777" w:rsidR="003D2AF9" w:rsidRDefault="003D2AF9" w:rsidP="003D2AF9">
      <w:pPr>
        <w:rPr>
          <w:rFonts w:ascii="Times New Roman" w:eastAsia="Times New Roman" w:hAnsi="Times New Roman" w:cs="Times New Roman"/>
          <w:u w:val="single"/>
        </w:rPr>
      </w:pPr>
    </w:p>
    <w:p w14:paraId="42AA29E2" w14:textId="1A99C511" w:rsidR="003D6FAF" w:rsidRDefault="003D6FAF" w:rsidP="003D2AF9">
      <w:pPr>
        <w:rPr>
          <w:rFonts w:ascii="Times New Roman" w:eastAsia="Times New Roman" w:hAnsi="Times New Roman" w:cs="Times New Roman"/>
          <w:u w:val="single"/>
        </w:rPr>
      </w:pPr>
      <w:r w:rsidRPr="003D6FAF">
        <w:rPr>
          <w:rFonts w:ascii="Times New Roman" w:eastAsia="Times New Roman" w:hAnsi="Times New Roman" w:cs="Times New Roman"/>
          <w:noProof/>
          <w:u w:val="single"/>
        </w:rPr>
        <w:drawing>
          <wp:inline distT="0" distB="0" distL="0" distR="0" wp14:anchorId="4AC6A589" wp14:editId="1A8E9B2E">
            <wp:extent cx="5760085" cy="3979545"/>
            <wp:effectExtent l="0" t="0" r="0" b="1905"/>
            <wp:docPr id="34208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085" cy="3979545"/>
                    </a:xfrm>
                    <a:prstGeom prst="rect">
                      <a:avLst/>
                    </a:prstGeom>
                    <a:noFill/>
                    <a:ln>
                      <a:noFill/>
                    </a:ln>
                  </pic:spPr>
                </pic:pic>
              </a:graphicData>
            </a:graphic>
          </wp:inline>
        </w:drawing>
      </w:r>
    </w:p>
    <w:p w14:paraId="5E5B5147" w14:textId="3C6CEEA0" w:rsidR="009B0DF6" w:rsidRPr="00300950" w:rsidRDefault="00947B65" w:rsidP="00947B65">
      <w:pPr>
        <w:rPr>
          <w:rFonts w:ascii="Times New Roman" w:eastAsia="Times New Roman" w:hAnsi="Times New Roman" w:cs="Times New Roman"/>
          <w:sz w:val="18"/>
          <w:szCs w:val="18"/>
          <w:lang w:val="hu-HU"/>
        </w:rPr>
      </w:pPr>
      <w:r w:rsidRPr="00300950">
        <w:rPr>
          <w:rFonts w:ascii="Times New Roman" w:eastAsia="Times New Roman" w:hAnsi="Times New Roman" w:cs="Times New Roman"/>
          <w:sz w:val="18"/>
          <w:szCs w:val="18"/>
          <w:lang w:val="hu-HU"/>
        </w:rPr>
        <w:t>* A kezelés 24 hete után minden beteget átállítottak nintedanib-kezelésre a klinikai vizsgálat nyílt elrendezésű szakaszában.</w:t>
      </w:r>
    </w:p>
    <w:p w14:paraId="0FFF8F82" w14:textId="77777777" w:rsidR="00947B65" w:rsidRDefault="00947B65" w:rsidP="00947B65">
      <w:pPr>
        <w:rPr>
          <w:rFonts w:ascii="Times New Roman" w:eastAsia="Times New Roman" w:hAnsi="Times New Roman" w:cs="Times New Roman"/>
          <w:u w:val="single"/>
        </w:rPr>
      </w:pPr>
    </w:p>
    <w:p w14:paraId="1CDB1C10" w14:textId="77777777" w:rsidR="00E24C04" w:rsidRDefault="00BD6ED2" w:rsidP="005753FD">
      <w:pPr>
        <w:rPr>
          <w:rFonts w:ascii="Times New Roman" w:eastAsia="Times New Roman" w:hAnsi="Times New Roman" w:cs="Times New Roman"/>
        </w:rPr>
      </w:pPr>
      <w:r w:rsidRPr="00BD6ED2">
        <w:rPr>
          <w:rFonts w:ascii="Times New Roman" w:eastAsia="Times New Roman" w:hAnsi="Times New Roman" w:cs="Times New Roman"/>
        </w:rPr>
        <w:t>Az Európai Gyógyszerügynökség a gyermekek és serdülők esetén minden korosztálynál eltekint a</w:t>
      </w:r>
      <w:r w:rsidR="00301BF4">
        <w:rPr>
          <w:rFonts w:ascii="Times New Roman" w:eastAsia="Times New Roman" w:hAnsi="Times New Roman" w:cs="Times New Roman"/>
        </w:rPr>
        <w:t xml:space="preserve"> </w:t>
      </w:r>
      <w:r>
        <w:rPr>
          <w:rFonts w:ascii="Times New Roman" w:eastAsia="Times New Roman" w:hAnsi="Times New Roman" w:cs="Times New Roman"/>
        </w:rPr>
        <w:t>nintedanib</w:t>
      </w:r>
      <w:r w:rsidRPr="00BD6ED2">
        <w:rPr>
          <w:rFonts w:ascii="Times New Roman" w:eastAsia="Times New Roman" w:hAnsi="Times New Roman" w:cs="Times New Roman"/>
        </w:rPr>
        <w:t xml:space="preserve"> vizsgálati eredményeinek benyújtási kötelezettségétől IPF-ben</w:t>
      </w:r>
      <w:r w:rsidR="00E24C04">
        <w:rPr>
          <w:rFonts w:ascii="Times New Roman" w:eastAsia="Times New Roman" w:hAnsi="Times New Roman" w:cs="Times New Roman"/>
        </w:rPr>
        <w:t>.</w:t>
      </w:r>
    </w:p>
    <w:p w14:paraId="78103F84" w14:textId="0642CBA1" w:rsidR="00994293" w:rsidRDefault="00E24C04" w:rsidP="00300950">
      <w:pPr>
        <w:rPr>
          <w:rFonts w:cs="Times New Roman"/>
          <w:spacing w:val="-1"/>
        </w:rPr>
      </w:pPr>
      <w:r w:rsidRPr="00E24C04">
        <w:rPr>
          <w:rFonts w:ascii="Times New Roman" w:eastAsia="Times New Roman" w:hAnsi="Times New Roman" w:cs="Times New Roman"/>
          <w:lang w:val="hu-HU"/>
        </w:rPr>
        <w:t xml:space="preserve">Az Európai Gyógyszerügynökség a fibrotizáló ILD-ben szenvedő gyermekek esetén a 6 éves kor alatti korosztálynál eltekint </w:t>
      </w:r>
      <w:r w:rsidR="00D36E7F">
        <w:rPr>
          <w:rFonts w:ascii="Times New Roman" w:eastAsia="Times New Roman" w:hAnsi="Times New Roman" w:cs="Times New Roman"/>
          <w:lang w:val="hu-HU"/>
        </w:rPr>
        <w:t>a</w:t>
      </w:r>
      <w:r w:rsidRPr="00E24C04">
        <w:rPr>
          <w:rFonts w:ascii="Times New Roman" w:eastAsia="Times New Roman" w:hAnsi="Times New Roman" w:cs="Times New Roman"/>
          <w:lang w:val="hu-HU"/>
        </w:rPr>
        <w:t xml:space="preserve"> </w:t>
      </w:r>
      <w:r w:rsidR="00D36E7F">
        <w:rPr>
          <w:rFonts w:ascii="Times New Roman" w:eastAsia="Times New Roman" w:hAnsi="Times New Roman" w:cs="Times New Roman"/>
          <w:lang w:val="hu-HU"/>
        </w:rPr>
        <w:t>nintedanib</w:t>
      </w:r>
      <w:r w:rsidRPr="00E24C04">
        <w:rPr>
          <w:rFonts w:ascii="Times New Roman" w:eastAsia="Times New Roman" w:hAnsi="Times New Roman" w:cs="Times New Roman"/>
          <w:lang w:val="hu-HU"/>
        </w:rPr>
        <w:t xml:space="preserve"> vizsgálati eredményeinek benyújtási kötelezettségétől</w:t>
      </w:r>
      <w:r w:rsidR="00BD6ED2" w:rsidRPr="00BD6ED2">
        <w:rPr>
          <w:rFonts w:ascii="Times New Roman" w:eastAsia="Times New Roman" w:hAnsi="Times New Roman" w:cs="Times New Roman"/>
        </w:rPr>
        <w:t xml:space="preserve"> (lásd 4.2</w:t>
      </w:r>
      <w:r w:rsidR="00D27878">
        <w:rPr>
          <w:rFonts w:ascii="Times New Roman" w:eastAsia="Times New Roman" w:hAnsi="Times New Roman" w:cs="Times New Roman"/>
        </w:rPr>
        <w:t> </w:t>
      </w:r>
      <w:r w:rsidR="00BD6ED2" w:rsidRPr="00BD6ED2">
        <w:rPr>
          <w:rFonts w:ascii="Times New Roman" w:eastAsia="Times New Roman" w:hAnsi="Times New Roman" w:cs="Times New Roman"/>
        </w:rPr>
        <w:t>pont,</w:t>
      </w:r>
      <w:r w:rsidR="00301BF4">
        <w:rPr>
          <w:rFonts w:ascii="Times New Roman" w:eastAsia="Times New Roman" w:hAnsi="Times New Roman" w:cs="Times New Roman"/>
        </w:rPr>
        <w:t xml:space="preserve"> </w:t>
      </w:r>
      <w:r w:rsidR="00BD6ED2" w:rsidRPr="00BD6ED2">
        <w:rPr>
          <w:rFonts w:ascii="Times New Roman" w:eastAsia="Times New Roman" w:hAnsi="Times New Roman" w:cs="Times New Roman"/>
        </w:rPr>
        <w:t>gyermekgyógyászati alkalmazásra vonatkozó információk).</w:t>
      </w:r>
    </w:p>
    <w:p w14:paraId="1515D021" w14:textId="77777777" w:rsidR="00994293" w:rsidRDefault="00994293" w:rsidP="009106D9">
      <w:pPr>
        <w:pStyle w:val="Szvegtrzs"/>
        <w:ind w:left="0"/>
        <w:rPr>
          <w:rFonts w:cs="Times New Roman"/>
          <w:spacing w:val="-1"/>
        </w:rPr>
      </w:pPr>
    </w:p>
    <w:p w14:paraId="00DE46ED" w14:textId="46E23C23" w:rsidR="00F5603F" w:rsidRPr="00EF71F8" w:rsidRDefault="00E02F4E" w:rsidP="00B13B43">
      <w:pPr>
        <w:pStyle w:val="Cmsor1"/>
        <w:keepNext/>
        <w:rPr>
          <w:bCs/>
        </w:rPr>
      </w:pPr>
      <w:r>
        <w:lastRenderedPageBreak/>
        <w:t>5.2</w:t>
      </w:r>
      <w:r>
        <w:tab/>
      </w:r>
      <w:r w:rsidR="00612B56" w:rsidRPr="00EF71F8">
        <w:t>Farmakokinetikai</w:t>
      </w:r>
      <w:r w:rsidR="00612B56" w:rsidRPr="00EF71F8">
        <w:rPr>
          <w:spacing w:val="-2"/>
        </w:rPr>
        <w:t xml:space="preserve"> </w:t>
      </w:r>
      <w:r w:rsidR="00612B56" w:rsidRPr="00EF71F8">
        <w:t>tulajdonságok</w:t>
      </w:r>
    </w:p>
    <w:p w14:paraId="6A53A9C4" w14:textId="77777777" w:rsidR="00F5603F" w:rsidRPr="00EF71F8" w:rsidRDefault="00F5603F" w:rsidP="00B13B43">
      <w:pPr>
        <w:keepNext/>
        <w:rPr>
          <w:rFonts w:ascii="Times New Roman" w:eastAsia="Times New Roman" w:hAnsi="Times New Roman" w:cs="Times New Roman"/>
          <w:b/>
          <w:bCs/>
        </w:rPr>
      </w:pPr>
    </w:p>
    <w:p w14:paraId="583ACC9E" w14:textId="77777777" w:rsidR="00BD6ED2" w:rsidRPr="00D93CB7" w:rsidRDefault="00BD6ED2" w:rsidP="00B13B43">
      <w:pPr>
        <w:pStyle w:val="Szvegtrzs"/>
        <w:keepNext/>
        <w:ind w:left="0"/>
        <w:rPr>
          <w:rFonts w:cs="Times New Roman"/>
          <w:spacing w:val="-1"/>
          <w:u w:val="single"/>
        </w:rPr>
      </w:pPr>
      <w:r w:rsidRPr="00D93CB7">
        <w:rPr>
          <w:rFonts w:cs="Times New Roman"/>
          <w:spacing w:val="-1"/>
          <w:u w:val="single"/>
        </w:rPr>
        <w:t>Felszívódás</w:t>
      </w:r>
    </w:p>
    <w:p w14:paraId="3BC6CEB0" w14:textId="7A1C2F7D" w:rsidR="00BD6ED2" w:rsidRPr="00BD6ED2" w:rsidRDefault="00BD6ED2" w:rsidP="00D36BCE">
      <w:pPr>
        <w:pStyle w:val="Szvegtrzs"/>
        <w:ind w:left="0"/>
        <w:rPr>
          <w:rFonts w:cs="Times New Roman"/>
          <w:spacing w:val="-1"/>
        </w:rPr>
      </w:pPr>
      <w:r w:rsidRPr="00BD6ED2">
        <w:rPr>
          <w:rFonts w:cs="Times New Roman"/>
          <w:spacing w:val="-1"/>
        </w:rPr>
        <w:t>A nintedanib lágy zselatin kapszula formájában, étkezés után, szájon át bevéve körülbelül 2-4</w:t>
      </w:r>
      <w:r w:rsidR="00A834A3">
        <w:rPr>
          <w:rFonts w:cs="Times New Roman"/>
          <w:spacing w:val="-1"/>
        </w:rPr>
        <w:t> </w:t>
      </w:r>
      <w:r w:rsidRPr="00BD6ED2">
        <w:rPr>
          <w:rFonts w:cs="Times New Roman"/>
          <w:spacing w:val="-1"/>
        </w:rPr>
        <w:t>óra</w:t>
      </w:r>
      <w:r w:rsidR="00301BF4">
        <w:rPr>
          <w:rFonts w:cs="Times New Roman"/>
          <w:spacing w:val="-1"/>
        </w:rPr>
        <w:t xml:space="preserve"> </w:t>
      </w:r>
      <w:r w:rsidRPr="00BD6ED2">
        <w:rPr>
          <w:rFonts w:cs="Times New Roman"/>
          <w:spacing w:val="-1"/>
        </w:rPr>
        <w:t>elteltével érte el maximális plazmakoncentrációját (tartomány: 0,5-8</w:t>
      </w:r>
      <w:r w:rsidR="00A834A3">
        <w:rPr>
          <w:rFonts w:cs="Times New Roman"/>
          <w:spacing w:val="-1"/>
        </w:rPr>
        <w:t> </w:t>
      </w:r>
      <w:r w:rsidRPr="00BD6ED2">
        <w:rPr>
          <w:rFonts w:cs="Times New Roman"/>
          <w:spacing w:val="-1"/>
        </w:rPr>
        <w:t>óra). Egészséges önkénteseknél a</w:t>
      </w:r>
      <w:r w:rsidR="00301BF4">
        <w:rPr>
          <w:rFonts w:cs="Times New Roman"/>
          <w:spacing w:val="-1"/>
        </w:rPr>
        <w:t xml:space="preserve"> </w:t>
      </w:r>
      <w:r w:rsidRPr="00BD6ED2">
        <w:rPr>
          <w:rFonts w:cs="Times New Roman"/>
          <w:spacing w:val="-1"/>
        </w:rPr>
        <w:t>100</w:t>
      </w:r>
      <w:r w:rsidR="0076116E">
        <w:rPr>
          <w:rFonts w:cs="Times New Roman"/>
          <w:spacing w:val="-1"/>
        </w:rPr>
        <w:t> </w:t>
      </w:r>
      <w:r w:rsidRPr="00BD6ED2">
        <w:rPr>
          <w:rFonts w:cs="Times New Roman"/>
          <w:spacing w:val="-1"/>
        </w:rPr>
        <w:t>mg-os adag abszolút biohasznosulása 4,69% volt (90%-os CI: 3,615-6,078). A felszívódást és a</w:t>
      </w:r>
      <w:r w:rsidR="00301BF4">
        <w:rPr>
          <w:rFonts w:cs="Times New Roman"/>
          <w:spacing w:val="-1"/>
        </w:rPr>
        <w:t xml:space="preserve"> </w:t>
      </w:r>
      <w:r w:rsidRPr="00BD6ED2">
        <w:rPr>
          <w:rFonts w:cs="Times New Roman"/>
          <w:spacing w:val="-1"/>
        </w:rPr>
        <w:t>biohasznosulást transzporter hatások és jelentős first-pass metabolizmus csökkenti. A nintedanib</w:t>
      </w:r>
      <w:r w:rsidR="00D93CB7">
        <w:rPr>
          <w:rFonts w:cs="Times New Roman"/>
          <w:spacing w:val="-1"/>
        </w:rPr>
        <w:t>-</w:t>
      </w:r>
      <w:r w:rsidRPr="00BD6ED2">
        <w:rPr>
          <w:rFonts w:cs="Times New Roman"/>
          <w:spacing w:val="-1"/>
        </w:rPr>
        <w:t>expozíció a dózissal arányosan növekedett a napi egyszeri 50–450</w:t>
      </w:r>
      <w:r w:rsidR="0076116E">
        <w:rPr>
          <w:rFonts w:cs="Times New Roman"/>
          <w:spacing w:val="-1"/>
        </w:rPr>
        <w:t> </w:t>
      </w:r>
      <w:r w:rsidRPr="00BD6ED2">
        <w:rPr>
          <w:rFonts w:cs="Times New Roman"/>
          <w:spacing w:val="-1"/>
        </w:rPr>
        <w:t>mg és a napi kétszeri 150–300</w:t>
      </w:r>
      <w:r w:rsidR="0076116E">
        <w:rPr>
          <w:rFonts w:cs="Times New Roman"/>
          <w:spacing w:val="-1"/>
        </w:rPr>
        <w:t> </w:t>
      </w:r>
      <w:r w:rsidRPr="00BD6ED2">
        <w:rPr>
          <w:rFonts w:cs="Times New Roman"/>
          <w:spacing w:val="-1"/>
        </w:rPr>
        <w:t>mg</w:t>
      </w:r>
      <w:r w:rsidR="001A5F52">
        <w:rPr>
          <w:rFonts w:cs="Times New Roman"/>
          <w:spacing w:val="-1"/>
        </w:rPr>
        <w:t xml:space="preserve"> </w:t>
      </w:r>
      <w:r w:rsidRPr="00BD6ED2">
        <w:rPr>
          <w:rFonts w:cs="Times New Roman"/>
          <w:spacing w:val="-1"/>
        </w:rPr>
        <w:t>dózistartományban. A dinamikus egyensúlyi plazmakoncentráció legkésőbb az adagolástól számított</w:t>
      </w:r>
      <w:r w:rsidR="00301BF4">
        <w:rPr>
          <w:rFonts w:cs="Times New Roman"/>
          <w:spacing w:val="-1"/>
        </w:rPr>
        <w:t xml:space="preserve"> </w:t>
      </w:r>
      <w:r w:rsidRPr="00BD6ED2">
        <w:rPr>
          <w:rFonts w:cs="Times New Roman"/>
          <w:spacing w:val="-1"/>
        </w:rPr>
        <w:t>egy héten belül kialakult.</w:t>
      </w:r>
    </w:p>
    <w:p w14:paraId="766A5404" w14:textId="77777777" w:rsidR="00D93CB7" w:rsidRDefault="00D93CB7" w:rsidP="00D36BCE">
      <w:pPr>
        <w:pStyle w:val="Szvegtrzs"/>
        <w:ind w:left="0"/>
        <w:rPr>
          <w:rFonts w:cs="Times New Roman"/>
          <w:spacing w:val="-1"/>
        </w:rPr>
      </w:pPr>
    </w:p>
    <w:p w14:paraId="7A9ACC86" w14:textId="6BF366C3" w:rsidR="00BD6ED2" w:rsidRDefault="00BD6ED2" w:rsidP="00D36BCE">
      <w:pPr>
        <w:pStyle w:val="Szvegtrzs"/>
        <w:ind w:left="0"/>
        <w:rPr>
          <w:rFonts w:cs="Times New Roman"/>
          <w:spacing w:val="-1"/>
        </w:rPr>
      </w:pPr>
      <w:r w:rsidRPr="00BD6ED2">
        <w:rPr>
          <w:rFonts w:cs="Times New Roman"/>
          <w:spacing w:val="-1"/>
        </w:rPr>
        <w:t>Táplálékbevitelt követően a nintedanib expozíciója körülbelül 20%-kal nőtt az éhgyomri állapotban</w:t>
      </w:r>
      <w:r w:rsidR="00301BF4">
        <w:rPr>
          <w:rFonts w:cs="Times New Roman"/>
          <w:spacing w:val="-1"/>
        </w:rPr>
        <w:t xml:space="preserve"> </w:t>
      </w:r>
      <w:r w:rsidRPr="00BD6ED2">
        <w:rPr>
          <w:rFonts w:cs="Times New Roman"/>
          <w:spacing w:val="-1"/>
        </w:rPr>
        <w:t>történő alkalmazáshoz képest (CI: 95,3-152,5%), és a felszívódás elhúzódott (medián t</w:t>
      </w:r>
      <w:r w:rsidRPr="00D93CB7">
        <w:rPr>
          <w:rFonts w:cs="Times New Roman"/>
          <w:spacing w:val="-1"/>
          <w:vertAlign w:val="subscript"/>
        </w:rPr>
        <w:t>max</w:t>
      </w:r>
      <w:r w:rsidRPr="00BD6ED2">
        <w:rPr>
          <w:rFonts w:cs="Times New Roman"/>
          <w:spacing w:val="-1"/>
        </w:rPr>
        <w:t xml:space="preserve"> éhgyomri</w:t>
      </w:r>
      <w:r w:rsidR="00301BF4">
        <w:rPr>
          <w:rFonts w:cs="Times New Roman"/>
          <w:spacing w:val="-1"/>
        </w:rPr>
        <w:t xml:space="preserve"> </w:t>
      </w:r>
      <w:r w:rsidRPr="00BD6ED2">
        <w:rPr>
          <w:rFonts w:cs="Times New Roman"/>
          <w:spacing w:val="-1"/>
        </w:rPr>
        <w:t>állapotban: 2,00</w:t>
      </w:r>
      <w:r w:rsidR="0076116E">
        <w:rPr>
          <w:rFonts w:cs="Times New Roman"/>
          <w:spacing w:val="-1"/>
        </w:rPr>
        <w:t> </w:t>
      </w:r>
      <w:r w:rsidRPr="00BD6ED2">
        <w:rPr>
          <w:rFonts w:cs="Times New Roman"/>
          <w:spacing w:val="-1"/>
        </w:rPr>
        <w:t>óra; étkezés után: 3,98</w:t>
      </w:r>
      <w:r w:rsidR="0076116E">
        <w:rPr>
          <w:rFonts w:cs="Times New Roman"/>
          <w:spacing w:val="-1"/>
        </w:rPr>
        <w:t> </w:t>
      </w:r>
      <w:r w:rsidRPr="00BD6ED2">
        <w:rPr>
          <w:rFonts w:cs="Times New Roman"/>
          <w:spacing w:val="-1"/>
        </w:rPr>
        <w:t>óra).</w:t>
      </w:r>
    </w:p>
    <w:p w14:paraId="541D0991" w14:textId="77777777" w:rsidR="00616C67" w:rsidRDefault="00616C67" w:rsidP="00D36BCE">
      <w:pPr>
        <w:pStyle w:val="Szvegtrzs"/>
        <w:ind w:left="0"/>
        <w:rPr>
          <w:rFonts w:cs="Times New Roman"/>
          <w:spacing w:val="-1"/>
        </w:rPr>
      </w:pPr>
    </w:p>
    <w:p w14:paraId="00EE6796" w14:textId="77777777" w:rsidR="00616C67" w:rsidRDefault="00616C67" w:rsidP="00616C67">
      <w:pPr>
        <w:pStyle w:val="Szvegtrzs"/>
        <w:ind w:left="0"/>
        <w:rPr>
          <w:rFonts w:cs="Times New Roman"/>
          <w:spacing w:val="-1"/>
          <w:lang w:val="hu-HU"/>
        </w:rPr>
      </w:pPr>
      <w:r w:rsidRPr="00616C67">
        <w:rPr>
          <w:rFonts w:cs="Times New Roman"/>
          <w:spacing w:val="-1"/>
          <w:lang w:val="hu-HU"/>
        </w:rPr>
        <w:t xml:space="preserve">Egy </w:t>
      </w:r>
      <w:r w:rsidRPr="00616C67">
        <w:rPr>
          <w:rFonts w:cs="Times New Roman"/>
          <w:i/>
          <w:iCs/>
          <w:spacing w:val="-1"/>
          <w:lang w:val="hu-HU"/>
        </w:rPr>
        <w:t xml:space="preserve">in vitro </w:t>
      </w:r>
      <w:r w:rsidRPr="00616C67">
        <w:rPr>
          <w:rFonts w:cs="Times New Roman"/>
          <w:spacing w:val="-1"/>
          <w:lang w:val="hu-HU"/>
        </w:rPr>
        <w:t xml:space="preserve">vizsgálatban, a nintedanib kapszulák kis mennyiségű almaszósszal vagy csokoládépudinggal való összekeverése 15 percen belül nem befolyásolta a gyógyszer minőségét. A kapszula csak abban az esetben duzzadt meg, illetve derformálódott el, amikor ennél hosszabb ideig érintkezett a pépes étellel, mivel a zselatinkapszula héja magába szívta a vizet. Éppen ezért a kapszula pépes étellel történő bevétele várhatóan nem változtatja meg a klinikai hatást, amennyiben a bevétel azonnal megtörténik. </w:t>
      </w:r>
    </w:p>
    <w:p w14:paraId="37A384E9" w14:textId="77777777" w:rsidR="00616C67" w:rsidRPr="00616C67" w:rsidRDefault="00616C67" w:rsidP="00300950">
      <w:pPr>
        <w:pStyle w:val="Szvegtrzs"/>
        <w:ind w:left="0"/>
        <w:rPr>
          <w:rFonts w:cs="Times New Roman"/>
          <w:spacing w:val="-1"/>
          <w:lang w:val="hu-HU"/>
        </w:rPr>
      </w:pPr>
    </w:p>
    <w:p w14:paraId="213BCA74" w14:textId="55088988" w:rsidR="00616C67" w:rsidRPr="00BD6ED2" w:rsidRDefault="00616C67" w:rsidP="00616C67">
      <w:pPr>
        <w:pStyle w:val="Szvegtrzs"/>
        <w:ind w:left="0"/>
        <w:rPr>
          <w:rFonts w:cs="Times New Roman"/>
          <w:spacing w:val="-1"/>
        </w:rPr>
      </w:pPr>
      <w:r w:rsidRPr="00616C67">
        <w:rPr>
          <w:rFonts w:cs="Times New Roman"/>
          <w:spacing w:val="-1"/>
          <w:lang w:val="hu-HU"/>
        </w:rPr>
        <w:t>A nintedanib egészséges felnőtt férfi alanyok körében végzett, egyszeri adagolású, relatív biohasznosulási vizsgálata során vagy egy 100 mg-os lágy zselatin kapszulát, vagy négy 25 mg-os lágy zselatin kapszulát alkalmaztak, és a biohasznosulás mindkét kezelés esetében azonos volt.</w:t>
      </w:r>
    </w:p>
    <w:p w14:paraId="1FA52EA3" w14:textId="1732FFE4" w:rsidR="00BD6ED2" w:rsidRPr="00BD6ED2" w:rsidRDefault="00BD6ED2" w:rsidP="00D36BCE">
      <w:pPr>
        <w:pStyle w:val="Szvegtrzs"/>
        <w:ind w:left="0"/>
        <w:rPr>
          <w:rFonts w:cs="Times New Roman"/>
          <w:spacing w:val="-1"/>
        </w:rPr>
      </w:pPr>
    </w:p>
    <w:p w14:paraId="1B5E3E31" w14:textId="77777777" w:rsidR="00BD6ED2" w:rsidRPr="00D93CB7" w:rsidRDefault="00BD6ED2" w:rsidP="00D36BCE">
      <w:pPr>
        <w:pStyle w:val="Szvegtrzs"/>
        <w:ind w:left="0"/>
        <w:rPr>
          <w:rFonts w:cs="Times New Roman"/>
          <w:spacing w:val="-1"/>
          <w:u w:val="single"/>
        </w:rPr>
      </w:pPr>
      <w:r w:rsidRPr="00D93CB7">
        <w:rPr>
          <w:rFonts w:cs="Times New Roman"/>
          <w:spacing w:val="-1"/>
          <w:u w:val="single"/>
        </w:rPr>
        <w:t>Eloszlás</w:t>
      </w:r>
    </w:p>
    <w:p w14:paraId="3DE0014D" w14:textId="73BA343B" w:rsidR="00BD6ED2" w:rsidRPr="00BD6ED2" w:rsidRDefault="00BD6ED2" w:rsidP="00D36BCE">
      <w:pPr>
        <w:pStyle w:val="Szvegtrzs"/>
        <w:ind w:left="0"/>
        <w:rPr>
          <w:rFonts w:cs="Times New Roman"/>
          <w:spacing w:val="-1"/>
        </w:rPr>
      </w:pPr>
      <w:r w:rsidRPr="00BD6ED2">
        <w:rPr>
          <w:rFonts w:cs="Times New Roman"/>
          <w:spacing w:val="-1"/>
        </w:rPr>
        <w:t>A nintedanib legalább bifázisos diszpozíciós kinetikát követ. Intravénás infúzió után magas eloszlási</w:t>
      </w:r>
      <w:r w:rsidR="00301BF4">
        <w:rPr>
          <w:rFonts w:cs="Times New Roman"/>
          <w:spacing w:val="-1"/>
        </w:rPr>
        <w:t xml:space="preserve"> </w:t>
      </w:r>
      <w:r w:rsidRPr="00BD6ED2">
        <w:rPr>
          <w:rFonts w:cs="Times New Roman"/>
          <w:spacing w:val="-1"/>
        </w:rPr>
        <w:t>térfogatot (Vss: 1050</w:t>
      </w:r>
      <w:r w:rsidR="00A834A3">
        <w:rPr>
          <w:rFonts w:cs="Times New Roman"/>
          <w:spacing w:val="-1"/>
        </w:rPr>
        <w:t> </w:t>
      </w:r>
      <w:r w:rsidRPr="00BD6ED2">
        <w:rPr>
          <w:rFonts w:cs="Times New Roman"/>
          <w:spacing w:val="-1"/>
        </w:rPr>
        <w:t>l, 45,0% gCV) figyeltek meg.</w:t>
      </w:r>
    </w:p>
    <w:p w14:paraId="0FD4F969" w14:textId="77777777" w:rsidR="00D93CB7" w:rsidRDefault="00D93CB7" w:rsidP="00D36BCE">
      <w:pPr>
        <w:pStyle w:val="Szvegtrzs"/>
        <w:ind w:left="0"/>
        <w:rPr>
          <w:rFonts w:cs="Times New Roman"/>
          <w:spacing w:val="-1"/>
        </w:rPr>
      </w:pPr>
    </w:p>
    <w:p w14:paraId="6C0A0CFB" w14:textId="5716951A" w:rsidR="00BD6ED2" w:rsidRPr="00BD6ED2" w:rsidRDefault="00BD6ED2" w:rsidP="00D36BCE">
      <w:pPr>
        <w:pStyle w:val="Szvegtrzs"/>
        <w:ind w:left="0"/>
        <w:rPr>
          <w:rFonts w:cs="Times New Roman"/>
          <w:spacing w:val="-1"/>
        </w:rPr>
      </w:pPr>
      <w:r w:rsidRPr="00BD6ED2">
        <w:rPr>
          <w:rFonts w:cs="Times New Roman"/>
          <w:spacing w:val="-1"/>
        </w:rPr>
        <w:t xml:space="preserve">A nintedanib </w:t>
      </w:r>
      <w:r w:rsidRPr="00D93CB7">
        <w:rPr>
          <w:rFonts w:cs="Times New Roman"/>
          <w:i/>
          <w:iCs/>
          <w:spacing w:val="-1"/>
        </w:rPr>
        <w:t>in vitro</w:t>
      </w:r>
      <w:r w:rsidRPr="00BD6ED2">
        <w:rPr>
          <w:rFonts w:cs="Times New Roman"/>
          <w:spacing w:val="-1"/>
        </w:rPr>
        <w:t xml:space="preserve"> fehérjekötődése humán plazmában magas volt, 97,8%-os kötött frakcióval. A</w:t>
      </w:r>
      <w:r w:rsidR="00301BF4">
        <w:rPr>
          <w:rFonts w:cs="Times New Roman"/>
          <w:spacing w:val="-1"/>
        </w:rPr>
        <w:t xml:space="preserve"> </w:t>
      </w:r>
      <w:r w:rsidRPr="00BD6ED2">
        <w:rPr>
          <w:rFonts w:cs="Times New Roman"/>
          <w:spacing w:val="-1"/>
        </w:rPr>
        <w:t>szérum albumin tekinthető a legfőbb kötőfehérjének. A nintedanib inkább a plazmában oszlik el, a</w:t>
      </w:r>
      <w:r w:rsidR="00301BF4">
        <w:rPr>
          <w:rFonts w:cs="Times New Roman"/>
          <w:spacing w:val="-1"/>
        </w:rPr>
        <w:t xml:space="preserve"> </w:t>
      </w:r>
      <w:r w:rsidRPr="00BD6ED2">
        <w:rPr>
          <w:rFonts w:cs="Times New Roman"/>
          <w:spacing w:val="-1"/>
        </w:rPr>
        <w:t>vér-plazma eloszlási arány 0,869.</w:t>
      </w:r>
    </w:p>
    <w:p w14:paraId="2035BFF5" w14:textId="77777777" w:rsidR="00D93CB7" w:rsidRDefault="00D93CB7" w:rsidP="00D36BCE">
      <w:pPr>
        <w:pStyle w:val="Szvegtrzs"/>
        <w:ind w:left="0"/>
        <w:rPr>
          <w:rFonts w:cs="Times New Roman"/>
          <w:spacing w:val="-1"/>
        </w:rPr>
      </w:pPr>
    </w:p>
    <w:p w14:paraId="58A0F1E4" w14:textId="7870F361" w:rsidR="00BD6ED2" w:rsidRPr="00D93CB7" w:rsidRDefault="00BD6ED2" w:rsidP="00D36BCE">
      <w:pPr>
        <w:pStyle w:val="Szvegtrzs"/>
        <w:ind w:left="0"/>
        <w:rPr>
          <w:rFonts w:cs="Times New Roman"/>
          <w:spacing w:val="-1"/>
          <w:u w:val="single"/>
        </w:rPr>
      </w:pPr>
      <w:r w:rsidRPr="00D93CB7">
        <w:rPr>
          <w:rFonts w:cs="Times New Roman"/>
          <w:spacing w:val="-1"/>
          <w:u w:val="single"/>
        </w:rPr>
        <w:t>Biotranszformáció</w:t>
      </w:r>
    </w:p>
    <w:p w14:paraId="526EECD3" w14:textId="0933F281" w:rsidR="00BD6ED2" w:rsidRPr="00BD6ED2" w:rsidRDefault="00BD6ED2" w:rsidP="00D36BCE">
      <w:pPr>
        <w:pStyle w:val="Szvegtrzs"/>
        <w:ind w:left="0"/>
        <w:rPr>
          <w:rFonts w:cs="Times New Roman"/>
          <w:spacing w:val="-1"/>
        </w:rPr>
      </w:pPr>
      <w:r w:rsidRPr="00BD6ED2">
        <w:rPr>
          <w:rFonts w:cs="Times New Roman"/>
          <w:spacing w:val="-1"/>
        </w:rPr>
        <w:t>A nintedanib esetében a fő metabolikus reakció az észterázok általi hidrolítikus hasítás, amely a BIBF</w:t>
      </w:r>
      <w:r w:rsidR="00301BF4">
        <w:rPr>
          <w:rFonts w:cs="Times New Roman"/>
          <w:spacing w:val="-1"/>
        </w:rPr>
        <w:t xml:space="preserve"> </w:t>
      </w:r>
      <w:r w:rsidRPr="00BD6ED2">
        <w:rPr>
          <w:rFonts w:cs="Times New Roman"/>
          <w:spacing w:val="-1"/>
        </w:rPr>
        <w:t>1202 szabad sav molekularészt eredményezi. A BIBF 1202-t ezt követően az uridin</w:t>
      </w:r>
      <w:r w:rsidR="00301BF4">
        <w:rPr>
          <w:rFonts w:cs="Times New Roman"/>
          <w:spacing w:val="-1"/>
        </w:rPr>
        <w:t xml:space="preserve"> </w:t>
      </w:r>
      <w:r w:rsidRPr="00BD6ED2">
        <w:rPr>
          <w:rFonts w:cs="Times New Roman"/>
          <w:spacing w:val="-1"/>
        </w:rPr>
        <w:t>5'-difoszfo-glükuronozil</w:t>
      </w:r>
      <w:r w:rsidR="009F2667">
        <w:rPr>
          <w:rFonts w:cs="Times New Roman"/>
          <w:spacing w:val="-1"/>
        </w:rPr>
        <w:t>-</w:t>
      </w:r>
      <w:r w:rsidRPr="00BD6ED2">
        <w:rPr>
          <w:rFonts w:cs="Times New Roman"/>
          <w:spacing w:val="-1"/>
        </w:rPr>
        <w:t>transzferáz enzimek (UGT-enzimek) – vagyis az UGT 1A1, UGT 1A7, UGT</w:t>
      </w:r>
      <w:r w:rsidR="00301BF4">
        <w:rPr>
          <w:rFonts w:cs="Times New Roman"/>
          <w:spacing w:val="-1"/>
        </w:rPr>
        <w:t xml:space="preserve"> </w:t>
      </w:r>
      <w:r w:rsidRPr="00BD6ED2">
        <w:rPr>
          <w:rFonts w:cs="Times New Roman"/>
          <w:spacing w:val="-1"/>
        </w:rPr>
        <w:t>1A8 és UGT 1A10 – BIBF 1202 glükuroniddá alakítják át.</w:t>
      </w:r>
    </w:p>
    <w:p w14:paraId="4FC78285" w14:textId="77777777" w:rsidR="00D93CB7" w:rsidRDefault="00D93CB7" w:rsidP="00D36BCE">
      <w:pPr>
        <w:pStyle w:val="Szvegtrzs"/>
        <w:ind w:left="0"/>
        <w:rPr>
          <w:rFonts w:cs="Times New Roman"/>
          <w:spacing w:val="-1"/>
        </w:rPr>
      </w:pPr>
    </w:p>
    <w:p w14:paraId="2E618484" w14:textId="6B70FBF3" w:rsidR="00BD6ED2" w:rsidRPr="00BD6ED2" w:rsidRDefault="00BD6ED2" w:rsidP="00D36BCE">
      <w:pPr>
        <w:pStyle w:val="Szvegtrzs"/>
        <w:ind w:left="0"/>
        <w:rPr>
          <w:rFonts w:cs="Times New Roman"/>
          <w:spacing w:val="-1"/>
        </w:rPr>
      </w:pPr>
      <w:r w:rsidRPr="00BD6ED2">
        <w:rPr>
          <w:rFonts w:cs="Times New Roman"/>
          <w:spacing w:val="-1"/>
        </w:rPr>
        <w:t>A nintedanib biotranszformációjáért csak kis mértékben felelősek a CYP-enzimek, közülük elsősorban</w:t>
      </w:r>
      <w:r w:rsidR="00301BF4">
        <w:rPr>
          <w:rFonts w:cs="Times New Roman"/>
          <w:spacing w:val="-1"/>
        </w:rPr>
        <w:t xml:space="preserve"> </w:t>
      </w:r>
      <w:r w:rsidRPr="00301BF4">
        <w:rPr>
          <w:rFonts w:cs="Times New Roman"/>
          <w:spacing w:val="-1"/>
        </w:rPr>
        <w:t xml:space="preserve">a CYP 3A4 enzim vesz részt a biotranszformációban. </w:t>
      </w:r>
      <w:r w:rsidRPr="00BD6ED2">
        <w:rPr>
          <w:rFonts w:cs="Times New Roman"/>
          <w:spacing w:val="-1"/>
        </w:rPr>
        <w:t>A fő CYP-függő metabolitot humán ADME</w:t>
      </w:r>
      <w:r w:rsidR="00301BF4">
        <w:rPr>
          <w:rFonts w:cs="Times New Roman"/>
          <w:spacing w:val="-1"/>
        </w:rPr>
        <w:t xml:space="preserve"> </w:t>
      </w:r>
      <w:r w:rsidRPr="00BD6ED2">
        <w:rPr>
          <w:rFonts w:cs="Times New Roman"/>
          <w:spacing w:val="-1"/>
        </w:rPr>
        <w:t>(felszívódás, eloszlás, biotranszformáció, elimináció)-vizsgálatban nem lehetett kimutatni a</w:t>
      </w:r>
      <w:r w:rsidR="00301BF4">
        <w:rPr>
          <w:rFonts w:cs="Times New Roman"/>
          <w:spacing w:val="-1"/>
        </w:rPr>
        <w:t xml:space="preserve"> </w:t>
      </w:r>
      <w:r w:rsidRPr="00BD6ED2">
        <w:rPr>
          <w:rFonts w:cs="Times New Roman"/>
          <w:spacing w:val="-1"/>
        </w:rPr>
        <w:t xml:space="preserve">plazmában. </w:t>
      </w:r>
      <w:r w:rsidRPr="00A5740F">
        <w:rPr>
          <w:rFonts w:cs="Times New Roman"/>
          <w:i/>
          <w:iCs/>
          <w:spacing w:val="-1"/>
        </w:rPr>
        <w:t>In vitro</w:t>
      </w:r>
      <w:r w:rsidRPr="00BD6ED2">
        <w:rPr>
          <w:rFonts w:cs="Times New Roman"/>
          <w:spacing w:val="-1"/>
        </w:rPr>
        <w:t xml:space="preserve"> a CYP-függő metabolizmus 5%-ot, ezzel szemben az észterek általi hasítás</w:t>
      </w:r>
      <w:r w:rsidR="00301BF4">
        <w:rPr>
          <w:rFonts w:cs="Times New Roman"/>
          <w:spacing w:val="-1"/>
        </w:rPr>
        <w:t xml:space="preserve"> </w:t>
      </w:r>
      <w:r w:rsidRPr="00BD6ED2">
        <w:rPr>
          <w:rFonts w:cs="Times New Roman"/>
          <w:spacing w:val="-1"/>
        </w:rPr>
        <w:t>körülbelül 25%-ot tett ki. Preklinikai vizsgálatokban a nintedanib, a BIBF 1202 és a</w:t>
      </w:r>
      <w:r w:rsidR="00301BF4">
        <w:rPr>
          <w:rFonts w:cs="Times New Roman"/>
          <w:spacing w:val="-1"/>
        </w:rPr>
        <w:t xml:space="preserve"> </w:t>
      </w:r>
      <w:r w:rsidRPr="00BD6ED2">
        <w:rPr>
          <w:rFonts w:cs="Times New Roman"/>
          <w:spacing w:val="-1"/>
        </w:rPr>
        <w:t xml:space="preserve">BIBF 1202 glükuronid nem gátolta, </w:t>
      </w:r>
      <w:r w:rsidR="00580B0B" w:rsidRPr="00580B0B">
        <w:rPr>
          <w:rFonts w:cs="Times New Roman"/>
          <w:spacing w:val="-1"/>
        </w:rPr>
        <w:t>ill</w:t>
      </w:r>
      <w:r w:rsidR="00A834A3">
        <w:rPr>
          <w:rFonts w:cs="Times New Roman"/>
          <w:spacing w:val="-1"/>
        </w:rPr>
        <w:t>.</w:t>
      </w:r>
      <w:r w:rsidRPr="00BD6ED2">
        <w:rPr>
          <w:rFonts w:cs="Times New Roman"/>
          <w:spacing w:val="-1"/>
        </w:rPr>
        <w:t xml:space="preserve"> nem is indukálta a CYP-enzimeket. A nintedanib és a</w:t>
      </w:r>
      <w:r w:rsidR="00301BF4">
        <w:rPr>
          <w:rFonts w:cs="Times New Roman"/>
          <w:spacing w:val="-1"/>
        </w:rPr>
        <w:t xml:space="preserve"> </w:t>
      </w:r>
      <w:r w:rsidRPr="00BD6ED2">
        <w:rPr>
          <w:rFonts w:cs="Times New Roman"/>
          <w:spacing w:val="-1"/>
        </w:rPr>
        <w:t xml:space="preserve">CYP-szubsztrátok, CYP-inhibitorok, </w:t>
      </w:r>
      <w:r w:rsidR="00580B0B" w:rsidRPr="00A15F63">
        <w:rPr>
          <w:rFonts w:cs="Times New Roman"/>
          <w:spacing w:val="-1"/>
          <w:lang w:val="hu-HU"/>
        </w:rPr>
        <w:t>ill</w:t>
      </w:r>
      <w:r w:rsidR="00A834A3">
        <w:rPr>
          <w:rFonts w:cs="Times New Roman"/>
          <w:spacing w:val="-1"/>
          <w:lang w:val="hu-HU"/>
        </w:rPr>
        <w:t>.</w:t>
      </w:r>
      <w:r w:rsidR="009F2667">
        <w:rPr>
          <w:rFonts w:cs="Times New Roman"/>
          <w:spacing w:val="-1"/>
          <w:lang w:val="hu-HU"/>
        </w:rPr>
        <w:t xml:space="preserve"> </w:t>
      </w:r>
      <w:r w:rsidRPr="00BD6ED2">
        <w:rPr>
          <w:rFonts w:cs="Times New Roman"/>
          <w:spacing w:val="-1"/>
        </w:rPr>
        <w:t>CYP-induktorok között ezért nem várhatók</w:t>
      </w:r>
      <w:r w:rsidR="00301BF4">
        <w:rPr>
          <w:rFonts w:cs="Times New Roman"/>
          <w:spacing w:val="-1"/>
        </w:rPr>
        <w:t xml:space="preserve"> </w:t>
      </w:r>
      <w:r w:rsidRPr="00BD6ED2">
        <w:rPr>
          <w:rFonts w:cs="Times New Roman"/>
          <w:spacing w:val="-1"/>
        </w:rPr>
        <w:t>gyógyszerkölcsönhatások.</w:t>
      </w:r>
    </w:p>
    <w:p w14:paraId="42D42CFA" w14:textId="77777777" w:rsidR="00D93CB7" w:rsidRDefault="00D93CB7" w:rsidP="00D36BCE">
      <w:pPr>
        <w:pStyle w:val="Szvegtrzs"/>
        <w:ind w:left="0"/>
        <w:rPr>
          <w:rFonts w:cs="Times New Roman"/>
          <w:spacing w:val="-1"/>
        </w:rPr>
      </w:pPr>
    </w:p>
    <w:p w14:paraId="6E258E4C" w14:textId="33E71317" w:rsidR="00BD6ED2" w:rsidRPr="00D93CB7" w:rsidRDefault="00BD6ED2" w:rsidP="00D36BCE">
      <w:pPr>
        <w:pStyle w:val="Szvegtrzs"/>
        <w:ind w:left="0"/>
        <w:rPr>
          <w:rFonts w:cs="Times New Roman"/>
          <w:spacing w:val="-1"/>
          <w:u w:val="single"/>
        </w:rPr>
      </w:pPr>
      <w:r w:rsidRPr="00D93CB7">
        <w:rPr>
          <w:rFonts w:cs="Times New Roman"/>
          <w:spacing w:val="-1"/>
          <w:u w:val="single"/>
        </w:rPr>
        <w:t>Elimináció</w:t>
      </w:r>
    </w:p>
    <w:p w14:paraId="56A57B1A" w14:textId="3F75E637" w:rsidR="00BD6ED2" w:rsidRPr="00BD6ED2" w:rsidRDefault="00BD6ED2" w:rsidP="00D36BCE">
      <w:pPr>
        <w:pStyle w:val="Szvegtrzs"/>
        <w:ind w:left="0"/>
        <w:rPr>
          <w:rFonts w:cs="Times New Roman"/>
          <w:spacing w:val="-1"/>
        </w:rPr>
      </w:pPr>
      <w:r w:rsidRPr="00BD6ED2">
        <w:rPr>
          <w:rFonts w:cs="Times New Roman"/>
          <w:spacing w:val="-1"/>
        </w:rPr>
        <w:t>Intravénás infúziót követően a teljes plazma clearance magas volt (CL: 1390</w:t>
      </w:r>
      <w:r w:rsidR="00A834A3">
        <w:rPr>
          <w:rFonts w:cs="Times New Roman"/>
          <w:spacing w:val="-1"/>
        </w:rPr>
        <w:t> </w:t>
      </w:r>
      <w:r w:rsidRPr="00BD6ED2">
        <w:rPr>
          <w:rFonts w:cs="Times New Roman"/>
          <w:spacing w:val="-1"/>
        </w:rPr>
        <w:t>ml/perc; 28,8% gCV). A</w:t>
      </w:r>
      <w:r w:rsidR="00301BF4">
        <w:rPr>
          <w:rFonts w:cs="Times New Roman"/>
          <w:spacing w:val="-1"/>
        </w:rPr>
        <w:t xml:space="preserve"> </w:t>
      </w:r>
      <w:r w:rsidRPr="00BD6ED2">
        <w:rPr>
          <w:rFonts w:cs="Times New Roman"/>
          <w:spacing w:val="-1"/>
        </w:rPr>
        <w:t>gyógyszer változatlan hatóanyagának 48 órán belüli, vizelettel történő kiválasztódása az adag kb.</w:t>
      </w:r>
      <w:r w:rsidR="00301BF4">
        <w:rPr>
          <w:rFonts w:cs="Times New Roman"/>
          <w:spacing w:val="-1"/>
        </w:rPr>
        <w:t xml:space="preserve"> </w:t>
      </w:r>
      <w:r w:rsidRPr="00BD6ED2">
        <w:rPr>
          <w:rFonts w:cs="Times New Roman"/>
          <w:spacing w:val="-1"/>
        </w:rPr>
        <w:t xml:space="preserve">0,05%-a (31,5% gCV) volt </w:t>
      </w:r>
      <w:r w:rsidR="009F2667" w:rsidRPr="00A5740F">
        <w:rPr>
          <w:rFonts w:cs="Times New Roman"/>
          <w:i/>
          <w:iCs/>
          <w:spacing w:val="-1"/>
        </w:rPr>
        <w:t>per os</w:t>
      </w:r>
      <w:r w:rsidRPr="00BD6ED2">
        <w:rPr>
          <w:rFonts w:cs="Times New Roman"/>
          <w:spacing w:val="-1"/>
        </w:rPr>
        <w:t>, és az adag kb. 1,4%-a (24,2% gCV) intravénás beadást követően; a</w:t>
      </w:r>
      <w:r w:rsidR="00301BF4">
        <w:rPr>
          <w:rFonts w:cs="Times New Roman"/>
          <w:spacing w:val="-1"/>
        </w:rPr>
        <w:t xml:space="preserve"> </w:t>
      </w:r>
      <w:r w:rsidRPr="00BD6ED2">
        <w:rPr>
          <w:rFonts w:cs="Times New Roman"/>
          <w:spacing w:val="-1"/>
        </w:rPr>
        <w:t>renalis clearance 20</w:t>
      </w:r>
      <w:r w:rsidR="00A834A3">
        <w:rPr>
          <w:rFonts w:cs="Times New Roman"/>
          <w:spacing w:val="-1"/>
        </w:rPr>
        <w:t> </w:t>
      </w:r>
      <w:r w:rsidRPr="00BD6ED2">
        <w:rPr>
          <w:rFonts w:cs="Times New Roman"/>
          <w:spacing w:val="-1"/>
        </w:rPr>
        <w:t xml:space="preserve">ml/perc (32,6% gCV) volt. [14C] nintedanib </w:t>
      </w:r>
      <w:r w:rsidR="009F2667" w:rsidRPr="00A5740F">
        <w:rPr>
          <w:rFonts w:cs="Times New Roman"/>
          <w:i/>
          <w:iCs/>
          <w:spacing w:val="-1"/>
        </w:rPr>
        <w:t>per os</w:t>
      </w:r>
      <w:r w:rsidR="009F2667" w:rsidRPr="00BD6ED2">
        <w:rPr>
          <w:rFonts w:cs="Times New Roman"/>
          <w:spacing w:val="-1"/>
        </w:rPr>
        <w:t xml:space="preserve"> </w:t>
      </w:r>
      <w:r w:rsidRPr="00BD6ED2">
        <w:rPr>
          <w:rFonts w:cs="Times New Roman"/>
          <w:spacing w:val="-1"/>
        </w:rPr>
        <w:t>alkalmazását követően a</w:t>
      </w:r>
      <w:r w:rsidR="00301BF4">
        <w:rPr>
          <w:rFonts w:cs="Times New Roman"/>
          <w:spacing w:val="-1"/>
        </w:rPr>
        <w:t xml:space="preserve"> </w:t>
      </w:r>
      <w:r w:rsidRPr="00BD6ED2">
        <w:rPr>
          <w:rFonts w:cs="Times New Roman"/>
          <w:spacing w:val="-1"/>
        </w:rPr>
        <w:t>gyógyszerrel összefüggő radioaktivitás kiválasztódásának fő útja a széklettel/epével történő</w:t>
      </w:r>
      <w:r w:rsidR="00301BF4">
        <w:rPr>
          <w:rFonts w:cs="Times New Roman"/>
          <w:spacing w:val="-1"/>
        </w:rPr>
        <w:t xml:space="preserve"> </w:t>
      </w:r>
      <w:r w:rsidRPr="00BD6ED2">
        <w:rPr>
          <w:rFonts w:cs="Times New Roman"/>
          <w:spacing w:val="-1"/>
        </w:rPr>
        <w:t>kiválasztódás volt (az adag 93,4%-a; 2,61% gCV). A renalis excretio kis mértékben (az adag</w:t>
      </w:r>
      <w:r w:rsidR="00301BF4">
        <w:rPr>
          <w:rFonts w:cs="Times New Roman"/>
          <w:spacing w:val="-1"/>
        </w:rPr>
        <w:t xml:space="preserve"> </w:t>
      </w:r>
      <w:r w:rsidRPr="00BD6ED2">
        <w:rPr>
          <w:rFonts w:cs="Times New Roman"/>
          <w:spacing w:val="-1"/>
        </w:rPr>
        <w:t>0,649%-a, 26,3% gCV) járult hozzá a teljes clearance-hez. A teljes visszanyerési folyamat az adag</w:t>
      </w:r>
      <w:r w:rsidR="00301BF4">
        <w:rPr>
          <w:rFonts w:cs="Times New Roman"/>
          <w:spacing w:val="-1"/>
        </w:rPr>
        <w:t xml:space="preserve"> </w:t>
      </w:r>
      <w:r w:rsidRPr="00BD6ED2">
        <w:rPr>
          <w:rFonts w:cs="Times New Roman"/>
          <w:spacing w:val="-1"/>
        </w:rPr>
        <w:t>beadásától számított 4 napon belül volt befejezettnek (90% felettinek) tekinthető. A nintedanib</w:t>
      </w:r>
      <w:r w:rsidR="00301BF4">
        <w:rPr>
          <w:rFonts w:cs="Times New Roman"/>
          <w:spacing w:val="-1"/>
        </w:rPr>
        <w:t xml:space="preserve"> </w:t>
      </w:r>
      <w:r w:rsidRPr="00BD6ED2">
        <w:rPr>
          <w:rFonts w:cs="Times New Roman"/>
          <w:spacing w:val="-1"/>
        </w:rPr>
        <w:t xml:space="preserve">terminális felezési </w:t>
      </w:r>
      <w:r w:rsidRPr="00BD6ED2">
        <w:rPr>
          <w:rFonts w:cs="Times New Roman"/>
          <w:spacing w:val="-1"/>
        </w:rPr>
        <w:lastRenderedPageBreak/>
        <w:t>ideje 10 és 15 óra között volt (gCV</w:t>
      </w:r>
      <w:r w:rsidR="00A834A3">
        <w:rPr>
          <w:rFonts w:cs="Times New Roman"/>
          <w:spacing w:val="-1"/>
        </w:rPr>
        <w:t> </w:t>
      </w:r>
      <w:r w:rsidRPr="00BD6ED2">
        <w:rPr>
          <w:rFonts w:cs="Times New Roman"/>
          <w:spacing w:val="-1"/>
        </w:rPr>
        <w:t>% kb. 50%).</w:t>
      </w:r>
    </w:p>
    <w:p w14:paraId="63B65434" w14:textId="77777777" w:rsidR="00D93CB7" w:rsidRDefault="00D93CB7" w:rsidP="00D36BCE">
      <w:pPr>
        <w:pStyle w:val="Szvegtrzs"/>
        <w:ind w:left="0"/>
        <w:rPr>
          <w:rFonts w:cs="Times New Roman"/>
          <w:spacing w:val="-1"/>
        </w:rPr>
      </w:pPr>
    </w:p>
    <w:p w14:paraId="25707315" w14:textId="60CE4191" w:rsidR="00BD6ED2" w:rsidRPr="00D93CB7" w:rsidRDefault="00BD6ED2" w:rsidP="00D36BCE">
      <w:pPr>
        <w:pStyle w:val="Szvegtrzs"/>
        <w:ind w:left="0"/>
        <w:rPr>
          <w:rFonts w:cs="Times New Roman"/>
          <w:spacing w:val="-1"/>
          <w:u w:val="single"/>
        </w:rPr>
      </w:pPr>
      <w:r w:rsidRPr="00D93CB7">
        <w:rPr>
          <w:rFonts w:cs="Times New Roman"/>
          <w:spacing w:val="-1"/>
          <w:u w:val="single"/>
        </w:rPr>
        <w:t>Linearitás/nonlinearitás</w:t>
      </w:r>
    </w:p>
    <w:p w14:paraId="5B538EE9" w14:textId="72D3660C" w:rsidR="00BD6ED2" w:rsidRPr="00BD6ED2" w:rsidRDefault="00BD6ED2" w:rsidP="00D36BCE">
      <w:pPr>
        <w:pStyle w:val="Szvegtrzs"/>
        <w:ind w:left="0"/>
        <w:rPr>
          <w:rFonts w:cs="Times New Roman"/>
          <w:spacing w:val="-1"/>
        </w:rPr>
      </w:pPr>
      <w:r w:rsidRPr="00BD6ED2">
        <w:rPr>
          <w:rFonts w:cs="Times New Roman"/>
          <w:spacing w:val="-1"/>
        </w:rPr>
        <w:t>A nintedanib farmakokinetikája (PK) az idő függvényében lineárisnak tekinthető (vagyis az egyszeri</w:t>
      </w:r>
      <w:r w:rsidR="00301BF4">
        <w:rPr>
          <w:rFonts w:cs="Times New Roman"/>
          <w:spacing w:val="-1"/>
        </w:rPr>
        <w:t xml:space="preserve"> </w:t>
      </w:r>
      <w:r w:rsidRPr="00BD6ED2">
        <w:rPr>
          <w:rFonts w:cs="Times New Roman"/>
          <w:spacing w:val="-1"/>
        </w:rPr>
        <w:t>adagra vonatkozó adatok az ismételt adagokra vonatkozó adatokból extrapolálhatóak). Ismételt</w:t>
      </w:r>
      <w:r w:rsidR="00301BF4">
        <w:rPr>
          <w:rFonts w:cs="Times New Roman"/>
          <w:spacing w:val="-1"/>
        </w:rPr>
        <w:t xml:space="preserve"> </w:t>
      </w:r>
      <w:r w:rsidRPr="00BD6ED2">
        <w:rPr>
          <w:rFonts w:cs="Times New Roman"/>
          <w:spacing w:val="-1"/>
        </w:rPr>
        <w:t>alkalmazáskor a C</w:t>
      </w:r>
      <w:r w:rsidRPr="00D93CB7">
        <w:rPr>
          <w:rFonts w:cs="Times New Roman"/>
          <w:spacing w:val="-1"/>
          <w:vertAlign w:val="subscript"/>
        </w:rPr>
        <w:t>max</w:t>
      </w:r>
      <w:r w:rsidRPr="00BD6ED2">
        <w:rPr>
          <w:rFonts w:cs="Times New Roman"/>
          <w:spacing w:val="-1"/>
        </w:rPr>
        <w:t xml:space="preserve"> esetében 1,04-szoros, az AUCτ esetében pedig 1,38-szoros volt az akkumuláció.</w:t>
      </w:r>
      <w:r w:rsidR="00301BF4">
        <w:rPr>
          <w:rFonts w:cs="Times New Roman"/>
          <w:spacing w:val="-1"/>
        </w:rPr>
        <w:t xml:space="preserve"> </w:t>
      </w:r>
      <w:r w:rsidRPr="00BD6ED2">
        <w:rPr>
          <w:rFonts w:cs="Times New Roman"/>
          <w:spacing w:val="-1"/>
        </w:rPr>
        <w:t>A nintedanib mélyponti koncentrációi több mint egy éven át állandóak maradtak.</w:t>
      </w:r>
    </w:p>
    <w:p w14:paraId="25645B4F" w14:textId="77777777" w:rsidR="00D93CB7" w:rsidRDefault="00D93CB7" w:rsidP="00D36BCE">
      <w:pPr>
        <w:pStyle w:val="Szvegtrzs"/>
        <w:ind w:left="0"/>
        <w:rPr>
          <w:rFonts w:cs="Times New Roman"/>
          <w:spacing w:val="-1"/>
        </w:rPr>
      </w:pPr>
    </w:p>
    <w:p w14:paraId="2F9E649A" w14:textId="163C6110" w:rsidR="00BD6ED2" w:rsidRPr="00A15F63" w:rsidRDefault="00BD6ED2" w:rsidP="00D36BCE">
      <w:pPr>
        <w:pStyle w:val="Szvegtrzs"/>
        <w:ind w:left="0"/>
        <w:rPr>
          <w:rFonts w:cs="Times New Roman"/>
          <w:spacing w:val="-1"/>
          <w:u w:val="single"/>
          <w:lang w:val="pl-PL"/>
        </w:rPr>
      </w:pPr>
      <w:r w:rsidRPr="00A15F63">
        <w:rPr>
          <w:rFonts w:cs="Times New Roman"/>
          <w:spacing w:val="-1"/>
          <w:u w:val="single"/>
          <w:lang w:val="pl-PL"/>
        </w:rPr>
        <w:t>Transzport</w:t>
      </w:r>
    </w:p>
    <w:p w14:paraId="362BF335" w14:textId="6F0A3880" w:rsidR="00BD6ED2" w:rsidRPr="00BD6ED2" w:rsidRDefault="00BD6ED2" w:rsidP="00D36BCE">
      <w:pPr>
        <w:pStyle w:val="Szvegtrzs"/>
        <w:ind w:left="0"/>
        <w:rPr>
          <w:rFonts w:cs="Times New Roman"/>
          <w:spacing w:val="-1"/>
        </w:rPr>
      </w:pPr>
      <w:r w:rsidRPr="00A15F63">
        <w:rPr>
          <w:rFonts w:cs="Times New Roman"/>
          <w:spacing w:val="-1"/>
          <w:lang w:val="pl-PL"/>
        </w:rPr>
        <w:t xml:space="preserve">A nintedanib a P-gp szubsztrátja. </w:t>
      </w:r>
      <w:r w:rsidRPr="00BD6ED2">
        <w:rPr>
          <w:rFonts w:cs="Times New Roman"/>
          <w:spacing w:val="-1"/>
        </w:rPr>
        <w:t>A nintedanib ezen transzporterrel mutatott interakciós potenciálját</w:t>
      </w:r>
      <w:r w:rsidR="00301BF4">
        <w:rPr>
          <w:rFonts w:cs="Times New Roman"/>
          <w:spacing w:val="-1"/>
        </w:rPr>
        <w:t xml:space="preserve"> </w:t>
      </w:r>
      <w:r w:rsidRPr="00BD6ED2">
        <w:rPr>
          <w:rFonts w:cs="Times New Roman"/>
          <w:spacing w:val="-1"/>
        </w:rPr>
        <w:t>illetően lásd a 4.5</w:t>
      </w:r>
      <w:r w:rsidR="00A834A3">
        <w:rPr>
          <w:rFonts w:cs="Times New Roman"/>
          <w:spacing w:val="-1"/>
        </w:rPr>
        <w:t> </w:t>
      </w:r>
      <w:r w:rsidRPr="00BD6ED2">
        <w:rPr>
          <w:rFonts w:cs="Times New Roman"/>
          <w:spacing w:val="-1"/>
        </w:rPr>
        <w:t xml:space="preserve">pontot. A nintedanibról </w:t>
      </w:r>
      <w:r w:rsidRPr="00A5740F">
        <w:rPr>
          <w:rFonts w:cs="Times New Roman"/>
          <w:i/>
          <w:iCs/>
          <w:spacing w:val="-1"/>
        </w:rPr>
        <w:t>in vitro</w:t>
      </w:r>
      <w:r w:rsidRPr="00BD6ED2">
        <w:rPr>
          <w:rFonts w:cs="Times New Roman"/>
          <w:spacing w:val="-1"/>
        </w:rPr>
        <w:t xml:space="preserve"> kimutatták, hogy nem szubsztrátja, </w:t>
      </w:r>
      <w:r w:rsidR="00580B0B" w:rsidRPr="00A15F63">
        <w:rPr>
          <w:rFonts w:cs="Times New Roman"/>
          <w:spacing w:val="-1"/>
          <w:lang w:val="hu-HU"/>
        </w:rPr>
        <w:t>ill</w:t>
      </w:r>
      <w:r w:rsidR="00A834A3">
        <w:rPr>
          <w:rFonts w:cs="Times New Roman"/>
          <w:spacing w:val="-1"/>
          <w:lang w:val="hu-HU"/>
        </w:rPr>
        <w:t>.</w:t>
      </w:r>
      <w:r w:rsidRPr="00BD6ED2">
        <w:rPr>
          <w:rFonts w:cs="Times New Roman"/>
          <w:spacing w:val="-1"/>
        </w:rPr>
        <w:t xml:space="preserve"> nem</w:t>
      </w:r>
      <w:r w:rsidR="00301BF4">
        <w:rPr>
          <w:rFonts w:cs="Times New Roman"/>
          <w:spacing w:val="-1"/>
        </w:rPr>
        <w:t xml:space="preserve"> </w:t>
      </w:r>
      <w:r w:rsidRPr="00BD6ED2">
        <w:rPr>
          <w:rFonts w:cs="Times New Roman"/>
          <w:spacing w:val="-1"/>
        </w:rPr>
        <w:t>inhibitora az OATP-1B1, OATP-1B3, OATP-2B1, OCT-2 vagy MRP-2 transzportereknek. A</w:t>
      </w:r>
      <w:r w:rsidR="00301BF4">
        <w:rPr>
          <w:rFonts w:cs="Times New Roman"/>
          <w:spacing w:val="-1"/>
        </w:rPr>
        <w:t xml:space="preserve"> </w:t>
      </w:r>
      <w:r w:rsidRPr="00BD6ED2">
        <w:rPr>
          <w:rFonts w:cs="Times New Roman"/>
          <w:spacing w:val="-1"/>
        </w:rPr>
        <w:t xml:space="preserve">nintedanib a BCRP-nek sem szubsztrátja. </w:t>
      </w:r>
      <w:r w:rsidRPr="00D93CB7">
        <w:rPr>
          <w:rFonts w:cs="Times New Roman"/>
          <w:i/>
          <w:iCs/>
          <w:spacing w:val="-1"/>
        </w:rPr>
        <w:t>In vitro</w:t>
      </w:r>
      <w:r w:rsidRPr="00BD6ED2">
        <w:rPr>
          <w:rFonts w:cs="Times New Roman"/>
          <w:spacing w:val="-1"/>
        </w:rPr>
        <w:t xml:space="preserve"> csak az OCT-1-re, BCRP-re, és P-gp-re gyakorolt</w:t>
      </w:r>
      <w:r w:rsidR="00301BF4">
        <w:rPr>
          <w:rFonts w:cs="Times New Roman"/>
          <w:spacing w:val="-1"/>
        </w:rPr>
        <w:t xml:space="preserve"> </w:t>
      </w:r>
      <w:r w:rsidRPr="00BD6ED2">
        <w:rPr>
          <w:rFonts w:cs="Times New Roman"/>
          <w:spacing w:val="-1"/>
        </w:rPr>
        <w:t>gyenge gátló hatást figyeltek meg, amelynek klinikai jelentősége vélhetően csekély. Ugyanez</w:t>
      </w:r>
      <w:r w:rsidR="00301BF4">
        <w:rPr>
          <w:rFonts w:cs="Times New Roman"/>
          <w:spacing w:val="-1"/>
        </w:rPr>
        <w:t xml:space="preserve"> </w:t>
      </w:r>
      <w:r w:rsidRPr="00BD6ED2">
        <w:rPr>
          <w:rFonts w:cs="Times New Roman"/>
          <w:spacing w:val="-1"/>
        </w:rPr>
        <w:t>vonatkozik a nintedanib OCT-1 szubsztrátként való viselkedésére.</w:t>
      </w:r>
    </w:p>
    <w:p w14:paraId="74F4A5A6" w14:textId="77777777" w:rsidR="00D93CB7" w:rsidRDefault="00D93CB7" w:rsidP="00D36BCE">
      <w:pPr>
        <w:pStyle w:val="Szvegtrzs"/>
        <w:ind w:left="0"/>
        <w:rPr>
          <w:rFonts w:cs="Times New Roman"/>
          <w:spacing w:val="-1"/>
        </w:rPr>
      </w:pPr>
    </w:p>
    <w:p w14:paraId="4F1E0E32" w14:textId="160FBDE5" w:rsidR="00BD6ED2" w:rsidRPr="00D93CB7" w:rsidRDefault="00BD6ED2" w:rsidP="00D36BCE">
      <w:pPr>
        <w:pStyle w:val="Szvegtrzs"/>
        <w:ind w:left="0"/>
        <w:rPr>
          <w:rFonts w:cs="Times New Roman"/>
          <w:spacing w:val="-1"/>
          <w:u w:val="single"/>
        </w:rPr>
      </w:pPr>
      <w:r w:rsidRPr="00D93CB7">
        <w:rPr>
          <w:rFonts w:cs="Times New Roman"/>
          <w:spacing w:val="-1"/>
          <w:u w:val="single"/>
        </w:rPr>
        <w:t>Különleges betegcsoportokban végzett populációs farmakokinetikai elemzés</w:t>
      </w:r>
    </w:p>
    <w:p w14:paraId="4EB1B808" w14:textId="602A7A47" w:rsidR="00BD6ED2" w:rsidRPr="00BD6ED2" w:rsidRDefault="00BD6ED2" w:rsidP="00D36BCE">
      <w:pPr>
        <w:pStyle w:val="Szvegtrzs"/>
        <w:ind w:left="0"/>
        <w:rPr>
          <w:rFonts w:cs="Times New Roman"/>
          <w:spacing w:val="-1"/>
        </w:rPr>
      </w:pPr>
      <w:r w:rsidRPr="00BD6ED2">
        <w:rPr>
          <w:rFonts w:cs="Times New Roman"/>
          <w:spacing w:val="-1"/>
        </w:rPr>
        <w:t>A nintedanib farmakokinetikai tulajdonságai hasonlóak voltak egészséges önkénteseknél, IPF-ban,</w:t>
      </w:r>
      <w:r w:rsidR="00301BF4">
        <w:rPr>
          <w:rFonts w:cs="Times New Roman"/>
          <w:spacing w:val="-1"/>
        </w:rPr>
        <w:t xml:space="preserve"> </w:t>
      </w:r>
      <w:r w:rsidRPr="00BD6ED2">
        <w:rPr>
          <w:rFonts w:cs="Times New Roman"/>
          <w:spacing w:val="-1"/>
        </w:rPr>
        <w:t>egyéb, progresszív fenotípusú, krónikus fibroticus ILD-kben, SSc-ILD-ben szenvedő betegeknél és</w:t>
      </w:r>
      <w:r w:rsidR="00301BF4">
        <w:rPr>
          <w:rFonts w:cs="Times New Roman"/>
          <w:spacing w:val="-1"/>
        </w:rPr>
        <w:t xml:space="preserve"> </w:t>
      </w:r>
      <w:r w:rsidRPr="00BD6ED2">
        <w:rPr>
          <w:rFonts w:cs="Times New Roman"/>
          <w:spacing w:val="-1"/>
        </w:rPr>
        <w:t>rákos betegeknél. Egy IPF-ban és nem kissejtes tüdőcarcinomában (non small cell lung cancer,</w:t>
      </w:r>
      <w:r w:rsidR="00301BF4">
        <w:rPr>
          <w:rFonts w:cs="Times New Roman"/>
          <w:spacing w:val="-1"/>
        </w:rPr>
        <w:t xml:space="preserve"> </w:t>
      </w:r>
      <w:r w:rsidRPr="00BD6ED2">
        <w:rPr>
          <w:rFonts w:cs="Times New Roman"/>
          <w:spacing w:val="-1"/>
        </w:rPr>
        <w:t>NSCLC) szenvedő betegek bevonásával (N=1191) végzett populációs farmakokinetikai elemzés és</w:t>
      </w:r>
      <w:r w:rsidR="00301BF4">
        <w:rPr>
          <w:rFonts w:cs="Times New Roman"/>
          <w:spacing w:val="-1"/>
        </w:rPr>
        <w:t xml:space="preserve"> </w:t>
      </w:r>
      <w:r w:rsidRPr="00BD6ED2">
        <w:rPr>
          <w:rFonts w:cs="Times New Roman"/>
          <w:spacing w:val="-1"/>
        </w:rPr>
        <w:t>leíró jellegű vizsgálatok eredményei alapján a nintedanib-expozíciót nem befolyásolta a nem</w:t>
      </w:r>
      <w:r w:rsidR="00301BF4">
        <w:rPr>
          <w:rFonts w:cs="Times New Roman"/>
          <w:spacing w:val="-1"/>
        </w:rPr>
        <w:t xml:space="preserve"> </w:t>
      </w:r>
      <w:r w:rsidRPr="00BD6ED2">
        <w:rPr>
          <w:rFonts w:cs="Times New Roman"/>
          <w:spacing w:val="-1"/>
        </w:rPr>
        <w:t>(testtömegre korrigálva), az enyhe és közepes fokú veseműködési zavar (a kreatinin-clearance alapján</w:t>
      </w:r>
      <w:r w:rsidR="00301BF4">
        <w:rPr>
          <w:rFonts w:cs="Times New Roman"/>
          <w:spacing w:val="-1"/>
        </w:rPr>
        <w:t xml:space="preserve"> </w:t>
      </w:r>
      <w:r w:rsidRPr="00BD6ED2">
        <w:rPr>
          <w:rFonts w:cs="Times New Roman"/>
          <w:spacing w:val="-1"/>
        </w:rPr>
        <w:t>meghatározva), az alkoholfogyasztás és a P-gp genotípus.</w:t>
      </w:r>
    </w:p>
    <w:p w14:paraId="14F32D92" w14:textId="77777777" w:rsidR="00D93CB7" w:rsidRDefault="00D93CB7" w:rsidP="00D36BCE">
      <w:pPr>
        <w:pStyle w:val="Szvegtrzs"/>
        <w:ind w:left="0"/>
        <w:rPr>
          <w:rFonts w:cs="Times New Roman"/>
          <w:spacing w:val="-1"/>
        </w:rPr>
      </w:pPr>
    </w:p>
    <w:p w14:paraId="05BC1305" w14:textId="76266B80" w:rsidR="00BD6ED2" w:rsidRPr="00BD6ED2" w:rsidRDefault="00BD6ED2" w:rsidP="00D36BCE">
      <w:pPr>
        <w:pStyle w:val="Szvegtrzs"/>
        <w:ind w:left="0"/>
        <w:rPr>
          <w:rFonts w:cs="Times New Roman"/>
          <w:spacing w:val="-1"/>
        </w:rPr>
      </w:pPr>
      <w:r w:rsidRPr="00BD6ED2">
        <w:rPr>
          <w:rFonts w:cs="Times New Roman"/>
          <w:spacing w:val="-1"/>
        </w:rPr>
        <w:t>Populációs farmakokinetikai elemzések a nintedanib-expozícióra gyakorolt közepes mértékű hatásokat</w:t>
      </w:r>
      <w:r w:rsidR="00D93CB7">
        <w:rPr>
          <w:rFonts w:cs="Times New Roman"/>
          <w:spacing w:val="-1"/>
        </w:rPr>
        <w:t xml:space="preserve"> </w:t>
      </w:r>
      <w:r w:rsidRPr="00BD6ED2">
        <w:rPr>
          <w:rFonts w:cs="Times New Roman"/>
          <w:spacing w:val="-1"/>
        </w:rPr>
        <w:t>mutattak az életkortól, a testtömegtől és az etnikai hovatartozástól függően (lásd alább). Az</w:t>
      </w:r>
      <w:r w:rsidR="00301BF4">
        <w:rPr>
          <w:rFonts w:cs="Times New Roman"/>
          <w:spacing w:val="-1"/>
        </w:rPr>
        <w:t xml:space="preserve"> </w:t>
      </w:r>
      <w:r w:rsidRPr="00BD6ED2">
        <w:rPr>
          <w:rFonts w:cs="Times New Roman"/>
          <w:spacing w:val="-1"/>
        </w:rPr>
        <w:t>expozícióban megfigyelt nagymértékű egyének közötti változatosság alapján ezek a hatások nem</w:t>
      </w:r>
      <w:r w:rsidR="00301BF4">
        <w:rPr>
          <w:rFonts w:cs="Times New Roman"/>
          <w:spacing w:val="-1"/>
        </w:rPr>
        <w:t xml:space="preserve"> </w:t>
      </w:r>
      <w:r w:rsidRPr="00BD6ED2">
        <w:rPr>
          <w:rFonts w:cs="Times New Roman"/>
          <w:spacing w:val="-1"/>
        </w:rPr>
        <w:t>tekinthetők klinikailag jelentősnek (lásd 4.4</w:t>
      </w:r>
      <w:r w:rsidR="00A40888">
        <w:rPr>
          <w:rFonts w:cs="Times New Roman"/>
          <w:spacing w:val="-1"/>
        </w:rPr>
        <w:t> </w:t>
      </w:r>
      <w:r w:rsidRPr="00BD6ED2">
        <w:rPr>
          <w:rFonts w:cs="Times New Roman"/>
          <w:spacing w:val="-1"/>
        </w:rPr>
        <w:t>pont).</w:t>
      </w:r>
    </w:p>
    <w:p w14:paraId="552F98FC" w14:textId="77777777" w:rsidR="00D93CB7" w:rsidRDefault="00D93CB7" w:rsidP="00D36BCE">
      <w:pPr>
        <w:pStyle w:val="Szvegtrzs"/>
        <w:ind w:left="0"/>
        <w:rPr>
          <w:rFonts w:cs="Times New Roman"/>
          <w:spacing w:val="-1"/>
        </w:rPr>
      </w:pPr>
    </w:p>
    <w:p w14:paraId="1B326981" w14:textId="637D338D" w:rsidR="00BD6ED2" w:rsidRPr="00D93CB7" w:rsidRDefault="00BD6ED2" w:rsidP="00D36BCE">
      <w:pPr>
        <w:pStyle w:val="Szvegtrzs"/>
        <w:ind w:left="0"/>
        <w:rPr>
          <w:rFonts w:cs="Times New Roman"/>
          <w:i/>
          <w:iCs/>
          <w:spacing w:val="-1"/>
        </w:rPr>
      </w:pPr>
      <w:r w:rsidRPr="00D93CB7">
        <w:rPr>
          <w:rFonts w:cs="Times New Roman"/>
          <w:i/>
          <w:iCs/>
          <w:spacing w:val="-1"/>
        </w:rPr>
        <w:t>Életkor</w:t>
      </w:r>
    </w:p>
    <w:p w14:paraId="038628EE" w14:textId="75D6D5FD" w:rsidR="00BD6ED2" w:rsidRPr="00BD6ED2" w:rsidRDefault="00BD6ED2" w:rsidP="00D36BCE">
      <w:pPr>
        <w:pStyle w:val="Szvegtrzs"/>
        <w:ind w:left="0"/>
        <w:rPr>
          <w:rFonts w:cs="Times New Roman"/>
          <w:spacing w:val="-1"/>
        </w:rPr>
      </w:pPr>
      <w:r w:rsidRPr="00BD6ED2">
        <w:rPr>
          <w:rFonts w:cs="Times New Roman"/>
          <w:spacing w:val="-1"/>
        </w:rPr>
        <w:t>A nintedanib-expozíció az életkorral lineárisan növekedett. Az AUCτ,ss 45</w:t>
      </w:r>
      <w:r w:rsidR="002E6A1B">
        <w:rPr>
          <w:rFonts w:cs="Times New Roman"/>
          <w:spacing w:val="-1"/>
        </w:rPr>
        <w:t> </w:t>
      </w:r>
      <w:r w:rsidRPr="00BD6ED2">
        <w:rPr>
          <w:rFonts w:cs="Times New Roman"/>
          <w:spacing w:val="-1"/>
        </w:rPr>
        <w:t>éves betegek esetében</w:t>
      </w:r>
      <w:r w:rsidR="00301BF4">
        <w:rPr>
          <w:rFonts w:cs="Times New Roman"/>
          <w:spacing w:val="-1"/>
        </w:rPr>
        <w:t xml:space="preserve"> </w:t>
      </w:r>
      <w:r w:rsidRPr="00BD6ED2">
        <w:rPr>
          <w:rFonts w:cs="Times New Roman"/>
          <w:spacing w:val="-1"/>
        </w:rPr>
        <w:t>16%-kal csökkent, míg 76</w:t>
      </w:r>
      <w:r w:rsidR="002E6A1B">
        <w:rPr>
          <w:rFonts w:cs="Times New Roman"/>
          <w:spacing w:val="-1"/>
        </w:rPr>
        <w:t> </w:t>
      </w:r>
      <w:r w:rsidRPr="00BD6ED2">
        <w:rPr>
          <w:rFonts w:cs="Times New Roman"/>
          <w:spacing w:val="-1"/>
        </w:rPr>
        <w:t>éves betegek esetében 13%-kal nőtt a 62</w:t>
      </w:r>
      <w:r w:rsidR="002E6A1B">
        <w:rPr>
          <w:rFonts w:cs="Times New Roman"/>
          <w:spacing w:val="-1"/>
        </w:rPr>
        <w:t> </w:t>
      </w:r>
      <w:r w:rsidRPr="00BD6ED2">
        <w:rPr>
          <w:rFonts w:cs="Times New Roman"/>
          <w:spacing w:val="-1"/>
        </w:rPr>
        <w:t>éves medián életkorú betegekhez</w:t>
      </w:r>
      <w:r w:rsidR="00301BF4">
        <w:rPr>
          <w:rFonts w:cs="Times New Roman"/>
          <w:spacing w:val="-1"/>
        </w:rPr>
        <w:t xml:space="preserve"> </w:t>
      </w:r>
      <w:r w:rsidRPr="00BD6ED2">
        <w:rPr>
          <w:rFonts w:cs="Times New Roman"/>
          <w:spacing w:val="-1"/>
        </w:rPr>
        <w:t>képest. Az elemzés által lefedett életkortartomány 29-től 85</w:t>
      </w:r>
      <w:r w:rsidR="00A40888">
        <w:rPr>
          <w:rFonts w:cs="Times New Roman"/>
          <w:spacing w:val="-1"/>
        </w:rPr>
        <w:t> </w:t>
      </w:r>
      <w:r w:rsidRPr="00BD6ED2">
        <w:rPr>
          <w:rFonts w:cs="Times New Roman"/>
          <w:spacing w:val="-1"/>
        </w:rPr>
        <w:t>évig terjedt. A populációnak körülbelül</w:t>
      </w:r>
      <w:r w:rsidR="00301BF4">
        <w:rPr>
          <w:rFonts w:cs="Times New Roman"/>
          <w:spacing w:val="-1"/>
        </w:rPr>
        <w:t xml:space="preserve"> </w:t>
      </w:r>
      <w:r w:rsidRPr="00BD6ED2">
        <w:rPr>
          <w:rFonts w:cs="Times New Roman"/>
          <w:spacing w:val="-1"/>
        </w:rPr>
        <w:t>5%-a volt 75</w:t>
      </w:r>
      <w:r w:rsidR="002E6A1B">
        <w:rPr>
          <w:rFonts w:cs="Times New Roman"/>
          <w:spacing w:val="-1"/>
        </w:rPr>
        <w:t> </w:t>
      </w:r>
      <w:r w:rsidRPr="00BD6ED2">
        <w:rPr>
          <w:rFonts w:cs="Times New Roman"/>
          <w:spacing w:val="-1"/>
        </w:rPr>
        <w:t>évesnél idősebb. Egy populációs farmakokinetikai modell alapján 75</w:t>
      </w:r>
      <w:r w:rsidR="00A40888">
        <w:rPr>
          <w:rFonts w:cs="Times New Roman"/>
          <w:spacing w:val="-1"/>
        </w:rPr>
        <w:t> </w:t>
      </w:r>
      <w:r w:rsidRPr="00BD6ED2">
        <w:rPr>
          <w:rFonts w:cs="Times New Roman"/>
          <w:spacing w:val="-1"/>
        </w:rPr>
        <w:t>éves és idősebb</w:t>
      </w:r>
      <w:r w:rsidR="00301BF4">
        <w:rPr>
          <w:rFonts w:cs="Times New Roman"/>
          <w:spacing w:val="-1"/>
        </w:rPr>
        <w:t xml:space="preserve"> </w:t>
      </w:r>
      <w:r w:rsidRPr="00BD6ED2">
        <w:rPr>
          <w:rFonts w:cs="Times New Roman"/>
          <w:spacing w:val="-1"/>
        </w:rPr>
        <w:t>betegeknél a nintedanib-expozíció körülbelül 20 - 25%-os növekedését figyelték meg a 65</w:t>
      </w:r>
      <w:r w:rsidR="002E6A1B">
        <w:rPr>
          <w:rFonts w:cs="Times New Roman"/>
          <w:spacing w:val="-1"/>
        </w:rPr>
        <w:t> </w:t>
      </w:r>
      <w:r w:rsidRPr="00BD6ED2">
        <w:rPr>
          <w:rFonts w:cs="Times New Roman"/>
          <w:spacing w:val="-1"/>
        </w:rPr>
        <w:t>év alatti</w:t>
      </w:r>
      <w:r w:rsidR="00301BF4">
        <w:rPr>
          <w:rFonts w:cs="Times New Roman"/>
          <w:spacing w:val="-1"/>
        </w:rPr>
        <w:t xml:space="preserve"> </w:t>
      </w:r>
      <w:r w:rsidRPr="00BD6ED2">
        <w:rPr>
          <w:rFonts w:cs="Times New Roman"/>
          <w:spacing w:val="-1"/>
        </w:rPr>
        <w:t>betegekhez képest.</w:t>
      </w:r>
    </w:p>
    <w:p w14:paraId="0C255FBA" w14:textId="77777777" w:rsidR="00D93CB7" w:rsidRDefault="00D93CB7" w:rsidP="00D36BCE">
      <w:pPr>
        <w:pStyle w:val="Szvegtrzs"/>
        <w:ind w:left="0"/>
        <w:rPr>
          <w:rFonts w:cs="Times New Roman"/>
          <w:spacing w:val="-1"/>
        </w:rPr>
      </w:pPr>
    </w:p>
    <w:p w14:paraId="28E8E273" w14:textId="77777777" w:rsidR="009E52B3" w:rsidRPr="009E52B3" w:rsidRDefault="009E52B3" w:rsidP="00300950">
      <w:pPr>
        <w:pStyle w:val="Szvegtrzs"/>
        <w:ind w:left="0"/>
        <w:rPr>
          <w:rFonts w:cs="Times New Roman"/>
          <w:spacing w:val="-1"/>
          <w:lang w:val="hu-HU"/>
        </w:rPr>
      </w:pPr>
      <w:r w:rsidRPr="009E52B3">
        <w:rPr>
          <w:rFonts w:cs="Times New Roman"/>
          <w:i/>
          <w:iCs/>
          <w:spacing w:val="-1"/>
          <w:lang w:val="hu-HU"/>
        </w:rPr>
        <w:t xml:space="preserve">Gyermekek és serdülők </w:t>
      </w:r>
    </w:p>
    <w:p w14:paraId="094419D1" w14:textId="31A1BBAF" w:rsidR="009E52B3" w:rsidRPr="009E52B3" w:rsidRDefault="009E52B3" w:rsidP="00300950">
      <w:pPr>
        <w:pStyle w:val="Szvegtrzs"/>
        <w:ind w:left="0"/>
        <w:rPr>
          <w:rFonts w:cs="Times New Roman"/>
          <w:spacing w:val="-1"/>
          <w:lang w:val="hu-HU"/>
        </w:rPr>
      </w:pPr>
      <w:r w:rsidRPr="009E52B3">
        <w:rPr>
          <w:rFonts w:cs="Times New Roman"/>
          <w:spacing w:val="-1"/>
          <w:lang w:val="hu-HU"/>
        </w:rPr>
        <w:t>Az InPedILD (1199.337) vizsgálat farmakokinetikai adatainak értékelése alapján</w:t>
      </w:r>
      <w:r w:rsidR="00EA2251">
        <w:rPr>
          <w:rFonts w:cs="Times New Roman"/>
          <w:spacing w:val="-1"/>
          <w:lang w:val="hu-HU"/>
        </w:rPr>
        <w:t>,</w:t>
      </w:r>
      <w:r w:rsidRPr="009E52B3">
        <w:rPr>
          <w:rFonts w:cs="Times New Roman"/>
          <w:spacing w:val="-1"/>
          <w:lang w:val="hu-HU"/>
        </w:rPr>
        <w:t xml:space="preserve"> a nintedanib testtömeg szerinti adagolási algoritmus alapján történő oralis adagolása a felnőtt betegeknél megfigyelt tartományon belüli expozíciót eredményezett. Az AUCτ,ss-értékek mértani középértéke (mértani variációs együttható) alapján megfigyelt expozíció 175 ng/ml×óra (85,1%) volt 10 fő 6. és betöltött 12. életév közötti betegnél és 167 ng/ml×óra (83,6%) volt 23 fő 12. és betöltött 18. életév közötti betegnél. </w:t>
      </w:r>
    </w:p>
    <w:p w14:paraId="149F17B5" w14:textId="77777777" w:rsidR="009E52B3" w:rsidRPr="009E52B3" w:rsidRDefault="009E52B3" w:rsidP="00300950">
      <w:pPr>
        <w:pStyle w:val="Szvegtrzs"/>
        <w:ind w:left="0"/>
        <w:rPr>
          <w:rFonts w:cs="Times New Roman"/>
          <w:spacing w:val="-1"/>
          <w:lang w:val="hu-HU"/>
        </w:rPr>
      </w:pPr>
      <w:r w:rsidRPr="009E52B3">
        <w:rPr>
          <w:rFonts w:cs="Times New Roman"/>
          <w:spacing w:val="-1"/>
          <w:lang w:val="hu-HU"/>
        </w:rPr>
        <w:t>Az InPedILD vizsgálat adatainak expozíció–válasz-elemzései az expozíció és az FVC várt %-os értéke, illetve az FVC Z-értéke közötti E</w:t>
      </w:r>
      <w:r w:rsidRPr="00300950">
        <w:rPr>
          <w:rFonts w:cs="Times New Roman"/>
          <w:spacing w:val="-1"/>
          <w:vertAlign w:val="subscript"/>
          <w:lang w:val="hu-HU"/>
        </w:rPr>
        <w:t>max</w:t>
      </w:r>
      <w:r w:rsidRPr="009E52B3">
        <w:rPr>
          <w:rFonts w:cs="Times New Roman"/>
          <w:spacing w:val="-1"/>
          <w:lang w:val="hu-HU"/>
        </w:rPr>
        <w:t xml:space="preserve">-szerű kapcsolatot mutattak, hasonlóan a felnőttektől származó adatokhoz. Az FVC várt %-os értékére vonatkozóan az EC50 4,4 ng/ml (relatív standard hiba: 28,6%) volt, míg az FVC Z-értékére vonatkozóan az EC50 5,0 ng/ml (relatív standard hiba: 75,3%) volt. </w:t>
      </w:r>
    </w:p>
    <w:p w14:paraId="04FE6259" w14:textId="77777777" w:rsidR="00964C7D" w:rsidRDefault="00964C7D" w:rsidP="009E52B3">
      <w:pPr>
        <w:pStyle w:val="Szvegtrzs"/>
        <w:ind w:left="0"/>
        <w:rPr>
          <w:rFonts w:cs="Times New Roman"/>
          <w:spacing w:val="-1"/>
          <w:lang w:val="hu-HU"/>
        </w:rPr>
      </w:pPr>
    </w:p>
    <w:p w14:paraId="365D37BF" w14:textId="20D77709" w:rsidR="009E52B3" w:rsidRDefault="009E52B3" w:rsidP="009E52B3">
      <w:pPr>
        <w:pStyle w:val="Szvegtrzs"/>
        <w:ind w:left="0"/>
        <w:rPr>
          <w:rFonts w:cs="Times New Roman"/>
          <w:spacing w:val="-1"/>
          <w:lang w:val="hu-HU"/>
        </w:rPr>
      </w:pPr>
      <w:r w:rsidRPr="009E52B3">
        <w:rPr>
          <w:rFonts w:cs="Times New Roman"/>
          <w:spacing w:val="-1"/>
          <w:lang w:val="hu-HU"/>
        </w:rPr>
        <w:t xml:space="preserve">A nintedanibot nem vizsgálták májkárosodásban szenvedő gyermekek és serdülők esetében. </w:t>
      </w:r>
    </w:p>
    <w:p w14:paraId="196686FE" w14:textId="699D83AD" w:rsidR="009E52B3" w:rsidRDefault="009E52B3" w:rsidP="009E52B3">
      <w:pPr>
        <w:pStyle w:val="Szvegtrzs"/>
        <w:ind w:left="0"/>
        <w:rPr>
          <w:rFonts w:cs="Times New Roman"/>
          <w:spacing w:val="-1"/>
        </w:rPr>
      </w:pPr>
      <w:r w:rsidRPr="009E52B3">
        <w:rPr>
          <w:rFonts w:cs="Times New Roman"/>
          <w:spacing w:val="-1"/>
          <w:lang w:val="hu-HU"/>
        </w:rPr>
        <w:t>Fibrotizáló interstitialis tüdőbetegségben (ILD) és enyhe májkárosodásban (Child–Pugh A stádium) szenvedő gyermekeknél és serdülőknél a populációs farmakokinetikai modellezés azt mutatja, hogy a javasolt dóziscsökkentés (lásd 4.2</w:t>
      </w:r>
      <w:r w:rsidR="005950F4">
        <w:rPr>
          <w:rFonts w:cs="Times New Roman"/>
          <w:spacing w:val="-1"/>
          <w:lang w:val="hu-HU"/>
        </w:rPr>
        <w:t> </w:t>
      </w:r>
      <w:r w:rsidRPr="009E52B3">
        <w:rPr>
          <w:rFonts w:cs="Times New Roman"/>
          <w:spacing w:val="-1"/>
          <w:lang w:val="hu-HU"/>
        </w:rPr>
        <w:t xml:space="preserve">pont) a nintedanib enyhe májkárosodásban szenvedő (Child–Pugh A stádium) felnőttek esetében javasolt csökkentett dózis expozíciójának megfelelő expozíciókat eredményezne. </w:t>
      </w:r>
    </w:p>
    <w:p w14:paraId="34FF7C92" w14:textId="77777777" w:rsidR="00D93CB7" w:rsidRDefault="00D93CB7" w:rsidP="009E52B3">
      <w:pPr>
        <w:pStyle w:val="Szvegtrzs"/>
        <w:ind w:left="0"/>
        <w:rPr>
          <w:rFonts w:cs="Times New Roman"/>
          <w:spacing w:val="-1"/>
        </w:rPr>
      </w:pPr>
    </w:p>
    <w:p w14:paraId="51380665" w14:textId="77777777" w:rsidR="00BD6ED2" w:rsidRPr="00D93CB7" w:rsidRDefault="00BD6ED2" w:rsidP="00300950">
      <w:pPr>
        <w:pStyle w:val="Szvegtrzs"/>
        <w:keepNext/>
        <w:widowControl/>
        <w:ind w:left="0"/>
        <w:rPr>
          <w:rFonts w:cs="Times New Roman"/>
          <w:i/>
          <w:iCs/>
          <w:spacing w:val="-1"/>
        </w:rPr>
      </w:pPr>
      <w:r w:rsidRPr="00D93CB7">
        <w:rPr>
          <w:rFonts w:cs="Times New Roman"/>
          <w:i/>
          <w:iCs/>
          <w:spacing w:val="-1"/>
        </w:rPr>
        <w:lastRenderedPageBreak/>
        <w:t>Testtömeg</w:t>
      </w:r>
    </w:p>
    <w:p w14:paraId="27E8C971" w14:textId="4F7B1E33" w:rsidR="00BD6ED2" w:rsidRPr="00BD6ED2" w:rsidRDefault="00BD6ED2" w:rsidP="00300950">
      <w:pPr>
        <w:pStyle w:val="Szvegtrzs"/>
        <w:keepNext/>
        <w:widowControl/>
        <w:ind w:left="0"/>
        <w:rPr>
          <w:rFonts w:cs="Times New Roman"/>
          <w:spacing w:val="-1"/>
        </w:rPr>
      </w:pPr>
      <w:r w:rsidRPr="00BD6ED2">
        <w:rPr>
          <w:rFonts w:cs="Times New Roman"/>
          <w:spacing w:val="-1"/>
        </w:rPr>
        <w:t>A testtömeg és a nintedanib-expozíció között fordított arányosságot figyeltek meg. Az AUC</w:t>
      </w:r>
      <w:r w:rsidRPr="00D93CB7">
        <w:rPr>
          <w:rFonts w:cs="Times New Roman"/>
          <w:spacing w:val="-1"/>
          <w:vertAlign w:val="subscript"/>
        </w:rPr>
        <w:t>τ,ss</w:t>
      </w:r>
      <w:r w:rsidR="00301BF4">
        <w:rPr>
          <w:rFonts w:cs="Times New Roman"/>
          <w:spacing w:val="-1"/>
        </w:rPr>
        <w:t xml:space="preserve"> </w:t>
      </w:r>
      <w:r w:rsidRPr="00BD6ED2">
        <w:rPr>
          <w:rFonts w:cs="Times New Roman"/>
          <w:spacing w:val="-1"/>
        </w:rPr>
        <w:t>50</w:t>
      </w:r>
      <w:r w:rsidR="002E6A1B">
        <w:rPr>
          <w:rFonts w:cs="Times New Roman"/>
          <w:spacing w:val="-1"/>
        </w:rPr>
        <w:t> </w:t>
      </w:r>
      <w:r w:rsidRPr="00BD6ED2">
        <w:rPr>
          <w:rFonts w:cs="Times New Roman"/>
          <w:spacing w:val="-1"/>
        </w:rPr>
        <w:t>kg-os betegek (5.</w:t>
      </w:r>
      <w:r w:rsidR="00770958">
        <w:rPr>
          <w:rFonts w:cs="Times New Roman"/>
          <w:spacing w:val="-1"/>
        </w:rPr>
        <w:t> </w:t>
      </w:r>
      <w:r w:rsidRPr="00BD6ED2">
        <w:rPr>
          <w:rFonts w:cs="Times New Roman"/>
          <w:spacing w:val="-1"/>
        </w:rPr>
        <w:t>percentilis) esetében 25%-kal nőtt, míg 100</w:t>
      </w:r>
      <w:r w:rsidR="002E6A1B">
        <w:rPr>
          <w:rFonts w:cs="Times New Roman"/>
          <w:spacing w:val="-1"/>
        </w:rPr>
        <w:t> </w:t>
      </w:r>
      <w:r w:rsidRPr="00BD6ED2">
        <w:rPr>
          <w:rFonts w:cs="Times New Roman"/>
          <w:spacing w:val="-1"/>
        </w:rPr>
        <w:t>kg-os betegek esetében (95.</w:t>
      </w:r>
      <w:r w:rsidR="00A40888">
        <w:rPr>
          <w:rFonts w:cs="Times New Roman"/>
          <w:spacing w:val="-1"/>
        </w:rPr>
        <w:t> </w:t>
      </w:r>
      <w:r w:rsidRPr="00BD6ED2">
        <w:rPr>
          <w:rFonts w:cs="Times New Roman"/>
          <w:spacing w:val="-1"/>
        </w:rPr>
        <w:t>percentilis) 19%-kal csökkent a 71,5</w:t>
      </w:r>
      <w:r w:rsidR="002E6A1B">
        <w:rPr>
          <w:rFonts w:cs="Times New Roman"/>
          <w:spacing w:val="-1"/>
        </w:rPr>
        <w:t> </w:t>
      </w:r>
      <w:r w:rsidRPr="00BD6ED2">
        <w:rPr>
          <w:rFonts w:cs="Times New Roman"/>
          <w:spacing w:val="-1"/>
        </w:rPr>
        <w:t>kg-os medián testtömegű betegekhez képest.</w:t>
      </w:r>
    </w:p>
    <w:p w14:paraId="6743A356" w14:textId="77777777" w:rsidR="00D93CB7" w:rsidRDefault="00D93CB7" w:rsidP="00D36BCE">
      <w:pPr>
        <w:pStyle w:val="Szvegtrzs"/>
        <w:ind w:left="0"/>
        <w:rPr>
          <w:rFonts w:cs="Times New Roman"/>
          <w:spacing w:val="-1"/>
        </w:rPr>
      </w:pPr>
    </w:p>
    <w:p w14:paraId="2884CC05" w14:textId="3E1C85BE" w:rsidR="00BD6ED2" w:rsidRPr="00D93CB7" w:rsidRDefault="00BD6ED2" w:rsidP="00D36BCE">
      <w:pPr>
        <w:pStyle w:val="Szvegtrzs"/>
        <w:ind w:left="0"/>
        <w:rPr>
          <w:rFonts w:cs="Times New Roman"/>
          <w:i/>
          <w:iCs/>
          <w:spacing w:val="-1"/>
        </w:rPr>
      </w:pPr>
      <w:r w:rsidRPr="00D93CB7">
        <w:rPr>
          <w:rFonts w:cs="Times New Roman"/>
          <w:i/>
          <w:iCs/>
          <w:spacing w:val="-1"/>
        </w:rPr>
        <w:t>Etnikai csoportok</w:t>
      </w:r>
    </w:p>
    <w:p w14:paraId="0C6219B1" w14:textId="414273F4" w:rsidR="00BD6ED2" w:rsidRPr="00BD6ED2" w:rsidRDefault="00BD6ED2" w:rsidP="00D36BCE">
      <w:pPr>
        <w:pStyle w:val="Szvegtrzs"/>
        <w:ind w:left="0"/>
        <w:rPr>
          <w:rFonts w:cs="Times New Roman"/>
          <w:spacing w:val="-1"/>
        </w:rPr>
      </w:pPr>
      <w:r w:rsidRPr="00BD6ED2">
        <w:rPr>
          <w:rFonts w:cs="Times New Roman"/>
          <w:spacing w:val="-1"/>
        </w:rPr>
        <w:t>A nintedanib-expozíció középértéke kínai, tajvani és indiai betegek esetében 33-50%-kal, japán</w:t>
      </w:r>
      <w:r w:rsidR="00640300">
        <w:rPr>
          <w:rFonts w:cs="Times New Roman"/>
          <w:spacing w:val="-1"/>
        </w:rPr>
        <w:t xml:space="preserve"> </w:t>
      </w:r>
      <w:r w:rsidRPr="00BD6ED2">
        <w:rPr>
          <w:rFonts w:cs="Times New Roman"/>
          <w:spacing w:val="-1"/>
        </w:rPr>
        <w:t>betegek esetén 16%-kal magasabb volt, míg koreaiaknál 16-22%-kal alacsonyabb volt a fehér bőrű</w:t>
      </w:r>
      <w:r w:rsidR="00640300">
        <w:rPr>
          <w:rFonts w:cs="Times New Roman"/>
          <w:spacing w:val="-1"/>
        </w:rPr>
        <w:t xml:space="preserve"> </w:t>
      </w:r>
      <w:r w:rsidRPr="00BD6ED2">
        <w:rPr>
          <w:rFonts w:cs="Times New Roman"/>
          <w:spacing w:val="-1"/>
        </w:rPr>
        <w:t>betegekhez képest (testtömegre korrigálva). A fekete bőrű egyénektől származó adatok nagyon</w:t>
      </w:r>
      <w:r w:rsidR="00640300">
        <w:rPr>
          <w:rFonts w:cs="Times New Roman"/>
          <w:spacing w:val="-1"/>
        </w:rPr>
        <w:t xml:space="preserve"> </w:t>
      </w:r>
      <w:r w:rsidRPr="00BD6ED2">
        <w:rPr>
          <w:rFonts w:cs="Times New Roman"/>
          <w:spacing w:val="-1"/>
        </w:rPr>
        <w:t>korlátozottak, de ugyanabba a tartományba esnek, mint a fehér bőrű betegek</w:t>
      </w:r>
      <w:r w:rsidR="0030269D">
        <w:rPr>
          <w:rFonts w:cs="Times New Roman"/>
          <w:spacing w:val="-1"/>
        </w:rPr>
        <w:t xml:space="preserve"> adatai</w:t>
      </w:r>
      <w:r w:rsidRPr="00BD6ED2">
        <w:rPr>
          <w:rFonts w:cs="Times New Roman"/>
          <w:spacing w:val="-1"/>
        </w:rPr>
        <w:t>.</w:t>
      </w:r>
    </w:p>
    <w:p w14:paraId="68E07928" w14:textId="77777777" w:rsidR="00D93CB7" w:rsidRDefault="00D93CB7" w:rsidP="00D36BCE">
      <w:pPr>
        <w:pStyle w:val="Szvegtrzs"/>
        <w:ind w:left="0"/>
        <w:rPr>
          <w:rFonts w:cs="Times New Roman"/>
          <w:spacing w:val="-1"/>
        </w:rPr>
      </w:pPr>
    </w:p>
    <w:p w14:paraId="2A80585E" w14:textId="28DE07DD" w:rsidR="00BD6ED2" w:rsidRPr="00D93CB7" w:rsidRDefault="00BD6ED2" w:rsidP="00D36BCE">
      <w:pPr>
        <w:pStyle w:val="Szvegtrzs"/>
        <w:ind w:left="0"/>
        <w:rPr>
          <w:rFonts w:cs="Times New Roman"/>
          <w:i/>
          <w:iCs/>
          <w:spacing w:val="-1"/>
        </w:rPr>
      </w:pPr>
      <w:r w:rsidRPr="00D93CB7">
        <w:rPr>
          <w:rFonts w:cs="Times New Roman"/>
          <w:i/>
          <w:iCs/>
          <w:spacing w:val="-1"/>
        </w:rPr>
        <w:t>Májkárosodás</w:t>
      </w:r>
    </w:p>
    <w:p w14:paraId="15D61DB4" w14:textId="374330C3" w:rsidR="00BD6ED2" w:rsidRPr="00BD6ED2" w:rsidRDefault="00BD6ED2" w:rsidP="00D36BCE">
      <w:pPr>
        <w:pStyle w:val="Szvegtrzs"/>
        <w:ind w:left="0"/>
        <w:rPr>
          <w:rFonts w:cs="Times New Roman"/>
          <w:spacing w:val="-1"/>
        </w:rPr>
      </w:pPr>
      <w:r w:rsidRPr="00BD6ED2">
        <w:rPr>
          <w:rFonts w:cs="Times New Roman"/>
          <w:spacing w:val="-1"/>
        </w:rPr>
        <w:t>Egy erre a célra kialakított, egyszeri adaggal végzett I. fázisú vizsgálatban egészséges önkéntesekkel</w:t>
      </w:r>
      <w:r w:rsidR="00640300">
        <w:rPr>
          <w:rFonts w:cs="Times New Roman"/>
          <w:spacing w:val="-1"/>
        </w:rPr>
        <w:t xml:space="preserve"> </w:t>
      </w:r>
      <w:r w:rsidRPr="00BD6ED2">
        <w:rPr>
          <w:rFonts w:cs="Times New Roman"/>
          <w:spacing w:val="-1"/>
        </w:rPr>
        <w:t>összehasonlítva a nintedanib C</w:t>
      </w:r>
      <w:r w:rsidRPr="00D93CB7">
        <w:rPr>
          <w:rFonts w:cs="Times New Roman"/>
          <w:spacing w:val="-1"/>
          <w:vertAlign w:val="subscript"/>
        </w:rPr>
        <w:t>max</w:t>
      </w:r>
      <w:r w:rsidRPr="00BD6ED2">
        <w:rPr>
          <w:rFonts w:cs="Times New Roman"/>
          <w:spacing w:val="-1"/>
        </w:rPr>
        <w:t xml:space="preserve"> és AUC-értékeken alapuló expozíciója 2,2-szer nagyobb volt az</w:t>
      </w:r>
      <w:r w:rsidR="00640300">
        <w:rPr>
          <w:rFonts w:cs="Times New Roman"/>
          <w:spacing w:val="-1"/>
        </w:rPr>
        <w:t xml:space="preserve"> </w:t>
      </w:r>
      <w:r w:rsidRPr="00BD6ED2">
        <w:rPr>
          <w:rFonts w:cs="Times New Roman"/>
          <w:spacing w:val="-1"/>
        </w:rPr>
        <w:t>enyhe májkárosodásban szenvedő önkénteseknél (Child-Pugh A stádium; 90%-os</w:t>
      </w:r>
      <w:r w:rsidR="00640300">
        <w:rPr>
          <w:rFonts w:cs="Times New Roman"/>
          <w:spacing w:val="-1"/>
        </w:rPr>
        <w:t xml:space="preserve"> </w:t>
      </w:r>
      <w:r w:rsidRPr="00BD6ED2">
        <w:rPr>
          <w:rFonts w:cs="Times New Roman"/>
          <w:spacing w:val="-1"/>
        </w:rPr>
        <w:t>konfidenciaintervallum 1,3–3,7 a C</w:t>
      </w:r>
      <w:r w:rsidRPr="00D93CB7">
        <w:rPr>
          <w:rFonts w:cs="Times New Roman"/>
          <w:spacing w:val="-1"/>
          <w:vertAlign w:val="subscript"/>
        </w:rPr>
        <w:t>max</w:t>
      </w:r>
      <w:r w:rsidRPr="00BD6ED2">
        <w:rPr>
          <w:rFonts w:cs="Times New Roman"/>
          <w:spacing w:val="-1"/>
        </w:rPr>
        <w:t xml:space="preserve"> esetén míg 1,2–3,8 az AUC esetén). Egészséges önkéntesekkel</w:t>
      </w:r>
      <w:r w:rsidR="00640300">
        <w:rPr>
          <w:rFonts w:cs="Times New Roman"/>
          <w:spacing w:val="-1"/>
        </w:rPr>
        <w:t xml:space="preserve"> </w:t>
      </w:r>
      <w:r w:rsidRPr="00BD6ED2">
        <w:rPr>
          <w:rFonts w:cs="Times New Roman"/>
          <w:spacing w:val="-1"/>
        </w:rPr>
        <w:t>összehasonlítva a közepes mértékű (Child-Pugh B stádiumú) májkárosodásban szenvedő</w:t>
      </w:r>
      <w:r w:rsidR="00640300">
        <w:rPr>
          <w:rFonts w:cs="Times New Roman"/>
          <w:spacing w:val="-1"/>
        </w:rPr>
        <w:t xml:space="preserve"> </w:t>
      </w:r>
      <w:r w:rsidRPr="00BD6ED2">
        <w:rPr>
          <w:rFonts w:cs="Times New Roman"/>
          <w:spacing w:val="-1"/>
        </w:rPr>
        <w:t>önkénteseknél a C</w:t>
      </w:r>
      <w:r w:rsidRPr="00D93CB7">
        <w:rPr>
          <w:rFonts w:cs="Times New Roman"/>
          <w:spacing w:val="-1"/>
          <w:vertAlign w:val="subscript"/>
        </w:rPr>
        <w:t>max</w:t>
      </w:r>
      <w:r w:rsidRPr="00BD6ED2">
        <w:rPr>
          <w:rFonts w:cs="Times New Roman"/>
          <w:spacing w:val="-1"/>
        </w:rPr>
        <w:t xml:space="preserve"> AUC-értékeken alapuló expozíció 7,6-szor (90%-os konfidenciaintervallum 4,4–13,2 a C</w:t>
      </w:r>
      <w:r w:rsidRPr="00D93CB7">
        <w:rPr>
          <w:rFonts w:cs="Times New Roman"/>
          <w:spacing w:val="-1"/>
          <w:vertAlign w:val="subscript"/>
        </w:rPr>
        <w:t>max</w:t>
      </w:r>
      <w:r w:rsidRPr="00BD6ED2">
        <w:rPr>
          <w:rFonts w:cs="Times New Roman"/>
          <w:spacing w:val="-1"/>
        </w:rPr>
        <w:t xml:space="preserve"> esetén) és 8,7-szer nagyobb volt</w:t>
      </w:r>
      <w:r w:rsidR="00F4006F">
        <w:rPr>
          <w:rFonts w:cs="Times New Roman"/>
          <w:spacing w:val="-1"/>
        </w:rPr>
        <w:t xml:space="preserve"> </w:t>
      </w:r>
      <w:r w:rsidRPr="00BD6ED2">
        <w:rPr>
          <w:rFonts w:cs="Times New Roman"/>
          <w:spacing w:val="-1"/>
        </w:rPr>
        <w:t>(90%-os konfidenciaintervallum 5,7–13,1 az AUC esetén).</w:t>
      </w:r>
      <w:r w:rsidR="00640300">
        <w:rPr>
          <w:rFonts w:cs="Times New Roman"/>
          <w:spacing w:val="-1"/>
        </w:rPr>
        <w:t xml:space="preserve"> </w:t>
      </w:r>
      <w:r w:rsidRPr="00BD6ED2">
        <w:rPr>
          <w:rFonts w:cs="Times New Roman"/>
          <w:spacing w:val="-1"/>
        </w:rPr>
        <w:t>Súlyos (Child-Pugh C stádium) májkárosodásban szenvedő betegeket nem vizsgáltak.</w:t>
      </w:r>
    </w:p>
    <w:p w14:paraId="78201712" w14:textId="77777777" w:rsidR="00D93CB7" w:rsidRDefault="00D93CB7" w:rsidP="00D36BCE">
      <w:pPr>
        <w:pStyle w:val="Szvegtrzs"/>
        <w:ind w:left="0"/>
        <w:rPr>
          <w:rFonts w:cs="Times New Roman"/>
          <w:spacing w:val="-1"/>
        </w:rPr>
      </w:pPr>
    </w:p>
    <w:p w14:paraId="523E30B2" w14:textId="75359F42" w:rsidR="00BD6ED2" w:rsidRPr="00D93CB7" w:rsidRDefault="00BD6ED2" w:rsidP="00D36BCE">
      <w:pPr>
        <w:pStyle w:val="Szvegtrzs"/>
        <w:ind w:left="0"/>
        <w:rPr>
          <w:rFonts w:cs="Times New Roman"/>
          <w:i/>
          <w:iCs/>
          <w:spacing w:val="-1"/>
        </w:rPr>
      </w:pPr>
      <w:r w:rsidRPr="00D93CB7">
        <w:rPr>
          <w:rFonts w:cs="Times New Roman"/>
          <w:i/>
          <w:iCs/>
          <w:spacing w:val="-1"/>
        </w:rPr>
        <w:t>Együttes kezelés pi</w:t>
      </w:r>
      <w:r w:rsidR="0030269D">
        <w:rPr>
          <w:rFonts w:cs="Times New Roman"/>
          <w:i/>
          <w:iCs/>
          <w:spacing w:val="-1"/>
        </w:rPr>
        <w:t>r</w:t>
      </w:r>
      <w:r w:rsidRPr="00D93CB7">
        <w:rPr>
          <w:rFonts w:cs="Times New Roman"/>
          <w:i/>
          <w:iCs/>
          <w:spacing w:val="-1"/>
        </w:rPr>
        <w:t>fenidonnal</w:t>
      </w:r>
    </w:p>
    <w:p w14:paraId="1D438AFB" w14:textId="4CF850DF" w:rsidR="00BD6ED2" w:rsidRPr="00110009" w:rsidRDefault="00BD6ED2" w:rsidP="00D36BCE">
      <w:pPr>
        <w:pStyle w:val="Szvegtrzs"/>
        <w:ind w:left="0"/>
        <w:rPr>
          <w:rFonts w:cs="Times New Roman"/>
          <w:spacing w:val="-1"/>
        </w:rPr>
      </w:pPr>
      <w:r w:rsidRPr="00BD6ED2">
        <w:rPr>
          <w:rFonts w:cs="Times New Roman"/>
          <w:spacing w:val="-1"/>
        </w:rPr>
        <w:t>Egy dedikált farmakokinetikai vizsgálatban a nintedanib és a pirfenidon egyidejű alkalmazását</w:t>
      </w:r>
      <w:r w:rsidR="00640300">
        <w:rPr>
          <w:rFonts w:cs="Times New Roman"/>
          <w:spacing w:val="-1"/>
        </w:rPr>
        <w:t xml:space="preserve"> </w:t>
      </w:r>
      <w:r w:rsidRPr="00640300">
        <w:rPr>
          <w:rFonts w:cs="Times New Roman"/>
          <w:spacing w:val="-1"/>
        </w:rPr>
        <w:t>értékelték IPF-es betegek körében. Az 1. csoportban 1</w:t>
      </w:r>
      <w:r w:rsidR="0030269D">
        <w:rPr>
          <w:rFonts w:cs="Times New Roman"/>
          <w:spacing w:val="-1"/>
        </w:rPr>
        <w:t>×</w:t>
      </w:r>
      <w:r w:rsidRPr="00640300">
        <w:rPr>
          <w:rFonts w:cs="Times New Roman"/>
          <w:spacing w:val="-1"/>
        </w:rPr>
        <w:t>150</w:t>
      </w:r>
      <w:r w:rsidR="00EE26E4">
        <w:rPr>
          <w:rFonts w:cs="Times New Roman"/>
          <w:spacing w:val="-1"/>
        </w:rPr>
        <w:t> </w:t>
      </w:r>
      <w:r w:rsidRPr="00640300">
        <w:rPr>
          <w:rFonts w:cs="Times New Roman"/>
          <w:spacing w:val="-1"/>
        </w:rPr>
        <w:t>mg nintedanibot kaptak a betegek a</w:t>
      </w:r>
      <w:r w:rsidR="00640300" w:rsidRPr="00640300">
        <w:rPr>
          <w:rFonts w:cs="Times New Roman"/>
          <w:spacing w:val="-1"/>
        </w:rPr>
        <w:t xml:space="preserve"> </w:t>
      </w:r>
      <w:r w:rsidRPr="00640300">
        <w:rPr>
          <w:rFonts w:cs="Times New Roman"/>
          <w:spacing w:val="-1"/>
        </w:rPr>
        <w:t>pirfenidon dózisának napi 3</w:t>
      </w:r>
      <w:r w:rsidR="0030269D">
        <w:rPr>
          <w:rFonts w:cs="Times New Roman"/>
          <w:spacing w:val="-1"/>
        </w:rPr>
        <w:t>×</w:t>
      </w:r>
      <w:r w:rsidRPr="00640300">
        <w:rPr>
          <w:rFonts w:cs="Times New Roman"/>
          <w:spacing w:val="-1"/>
        </w:rPr>
        <w:t>801</w:t>
      </w:r>
      <w:r w:rsidR="00EE26E4">
        <w:rPr>
          <w:rFonts w:cs="Times New Roman"/>
          <w:spacing w:val="-1"/>
        </w:rPr>
        <w:t> </w:t>
      </w:r>
      <w:r w:rsidRPr="00640300">
        <w:rPr>
          <w:rFonts w:cs="Times New Roman"/>
          <w:spacing w:val="-1"/>
        </w:rPr>
        <w:t>mg-ra, dinamikusegyensúlyi állapotra történő emelése előtt és után</w:t>
      </w:r>
      <w:r w:rsidR="00640300" w:rsidRPr="00640300">
        <w:rPr>
          <w:rFonts w:cs="Times New Roman"/>
          <w:spacing w:val="-1"/>
        </w:rPr>
        <w:t xml:space="preserve"> </w:t>
      </w:r>
      <w:r w:rsidRPr="00640300">
        <w:rPr>
          <w:rFonts w:cs="Times New Roman"/>
          <w:spacing w:val="-1"/>
        </w:rPr>
        <w:t>(N=20 kezelt beteg). A 2.</w:t>
      </w:r>
      <w:r w:rsidR="00770958">
        <w:rPr>
          <w:rFonts w:cs="Times New Roman"/>
          <w:spacing w:val="-1"/>
        </w:rPr>
        <w:t> </w:t>
      </w:r>
      <w:r w:rsidRPr="00640300">
        <w:rPr>
          <w:rFonts w:cs="Times New Roman"/>
          <w:spacing w:val="-1"/>
        </w:rPr>
        <w:t>csoportban napi 3</w:t>
      </w:r>
      <w:r w:rsidR="0030269D">
        <w:rPr>
          <w:rFonts w:cs="Times New Roman"/>
          <w:spacing w:val="-1"/>
        </w:rPr>
        <w:t>×</w:t>
      </w:r>
      <w:r w:rsidRPr="00640300">
        <w:rPr>
          <w:rFonts w:cs="Times New Roman"/>
          <w:spacing w:val="-1"/>
        </w:rPr>
        <w:t>801</w:t>
      </w:r>
      <w:r w:rsidR="00BB31E8">
        <w:rPr>
          <w:rFonts w:cs="Times New Roman"/>
          <w:spacing w:val="-1"/>
        </w:rPr>
        <w:t> </w:t>
      </w:r>
      <w:r w:rsidRPr="00640300">
        <w:rPr>
          <w:rFonts w:cs="Times New Roman"/>
          <w:spacing w:val="-1"/>
        </w:rPr>
        <w:t>mg, dinamikus egyensúlyi állapotnak megfelelő</w:t>
      </w:r>
      <w:r w:rsidR="00640300" w:rsidRPr="00640300">
        <w:rPr>
          <w:rFonts w:cs="Times New Roman"/>
          <w:spacing w:val="-1"/>
        </w:rPr>
        <w:t xml:space="preserve"> </w:t>
      </w:r>
      <w:r w:rsidRPr="00640300">
        <w:rPr>
          <w:rFonts w:cs="Times New Roman"/>
          <w:spacing w:val="-1"/>
        </w:rPr>
        <w:t>pirfenidon kezelést kaptak és farmakokinetikai elemzésen estek át legalább 7</w:t>
      </w:r>
      <w:r w:rsidR="00F757F8">
        <w:rPr>
          <w:rFonts w:cs="Times New Roman"/>
          <w:spacing w:val="-1"/>
        </w:rPr>
        <w:t> </w:t>
      </w:r>
      <w:r w:rsidRPr="00640300">
        <w:rPr>
          <w:rFonts w:cs="Times New Roman"/>
          <w:spacing w:val="-1"/>
        </w:rPr>
        <w:t>nappal a napi 2×150</w:t>
      </w:r>
      <w:r w:rsidR="00EE26E4">
        <w:rPr>
          <w:rFonts w:cs="Times New Roman"/>
          <w:spacing w:val="-1"/>
        </w:rPr>
        <w:t> </w:t>
      </w:r>
      <w:r w:rsidRPr="00640300">
        <w:rPr>
          <w:rFonts w:cs="Times New Roman"/>
          <w:spacing w:val="-1"/>
        </w:rPr>
        <w:t>mg</w:t>
      </w:r>
      <w:r w:rsidR="00640300" w:rsidRPr="00640300">
        <w:rPr>
          <w:rFonts w:cs="Times New Roman"/>
          <w:spacing w:val="-1"/>
        </w:rPr>
        <w:t xml:space="preserve"> </w:t>
      </w:r>
      <w:r w:rsidRPr="00640300">
        <w:rPr>
          <w:rFonts w:cs="Times New Roman"/>
          <w:spacing w:val="-1"/>
        </w:rPr>
        <w:t xml:space="preserve">nintedanibbal történő egyidejű kezelés (N=17 kezelt beteg) előtt és után. </w:t>
      </w:r>
      <w:r w:rsidRPr="00110009">
        <w:rPr>
          <w:rFonts w:cs="Times New Roman"/>
          <w:spacing w:val="-1"/>
        </w:rPr>
        <w:t>Az 1.</w:t>
      </w:r>
      <w:r w:rsidR="00F757F8">
        <w:rPr>
          <w:rFonts w:cs="Times New Roman"/>
          <w:spacing w:val="-1"/>
        </w:rPr>
        <w:t> </w:t>
      </w:r>
      <w:r w:rsidRPr="00110009">
        <w:rPr>
          <w:rFonts w:cs="Times New Roman"/>
          <w:spacing w:val="-1"/>
        </w:rPr>
        <w:t>csoportban a nintedanib</w:t>
      </w:r>
      <w:r w:rsidR="00D93CB7" w:rsidRPr="00110009">
        <w:rPr>
          <w:rFonts w:cs="Times New Roman"/>
          <w:spacing w:val="-1"/>
        </w:rPr>
        <w:t xml:space="preserve"> </w:t>
      </w:r>
      <w:r w:rsidRPr="00110009">
        <w:rPr>
          <w:rFonts w:cs="Times New Roman"/>
          <w:spacing w:val="-1"/>
        </w:rPr>
        <w:t>C</w:t>
      </w:r>
      <w:r w:rsidRPr="00110009">
        <w:rPr>
          <w:rFonts w:cs="Times New Roman"/>
          <w:spacing w:val="-1"/>
          <w:vertAlign w:val="subscript"/>
        </w:rPr>
        <w:t>max</w:t>
      </w:r>
      <w:r w:rsidRPr="00110009">
        <w:rPr>
          <w:rFonts w:cs="Times New Roman"/>
          <w:spacing w:val="-1"/>
        </w:rPr>
        <w:t>– értékek arányainak korrigált mértani középértéke (90% konfidenciaintervallummal [CI]) 93%</w:t>
      </w:r>
      <w:r w:rsidR="00D93CB7" w:rsidRPr="00110009">
        <w:rPr>
          <w:rFonts w:cs="Times New Roman"/>
          <w:spacing w:val="-1"/>
        </w:rPr>
        <w:t xml:space="preserve"> </w:t>
      </w:r>
      <w:r w:rsidRPr="00110009">
        <w:rPr>
          <w:rFonts w:cs="Times New Roman"/>
          <w:spacing w:val="-1"/>
        </w:rPr>
        <w:t>(57% - 151%) volt, a nintedanib AUC</w:t>
      </w:r>
      <w:r w:rsidRPr="00110009">
        <w:rPr>
          <w:rFonts w:cs="Times New Roman"/>
          <w:spacing w:val="-1"/>
          <w:vertAlign w:val="subscript"/>
        </w:rPr>
        <w:t xml:space="preserve">0-tz </w:t>
      </w:r>
      <w:r w:rsidRPr="00110009">
        <w:rPr>
          <w:rFonts w:cs="Times New Roman"/>
          <w:spacing w:val="-1"/>
        </w:rPr>
        <w:t>értékeinek esetében pedig 96% (70% - 131%) (n=12 az</w:t>
      </w:r>
      <w:r w:rsidR="00D93CB7" w:rsidRPr="00110009">
        <w:rPr>
          <w:rFonts w:cs="Times New Roman"/>
          <w:spacing w:val="-1"/>
        </w:rPr>
        <w:t xml:space="preserve"> </w:t>
      </w:r>
      <w:r w:rsidRPr="00110009">
        <w:rPr>
          <w:rFonts w:cs="Times New Roman"/>
          <w:spacing w:val="-1"/>
        </w:rPr>
        <w:t>intraindividuális összehasonlításban). A 2. csoportban a pirfenidon C</w:t>
      </w:r>
      <w:r w:rsidRPr="00110009">
        <w:rPr>
          <w:rFonts w:cs="Times New Roman"/>
          <w:spacing w:val="-1"/>
          <w:vertAlign w:val="subscript"/>
        </w:rPr>
        <w:t>max,ss</w:t>
      </w:r>
      <w:r w:rsidRPr="00110009">
        <w:rPr>
          <w:rFonts w:cs="Times New Roman"/>
          <w:spacing w:val="-1"/>
        </w:rPr>
        <w:t>– értékek arányainak</w:t>
      </w:r>
      <w:r w:rsidR="00D93CB7" w:rsidRPr="00110009">
        <w:rPr>
          <w:rFonts w:cs="Times New Roman"/>
          <w:spacing w:val="-1"/>
        </w:rPr>
        <w:t xml:space="preserve"> </w:t>
      </w:r>
      <w:r w:rsidRPr="00110009">
        <w:rPr>
          <w:rFonts w:cs="Times New Roman"/>
          <w:spacing w:val="-1"/>
        </w:rPr>
        <w:t>korrigált mértani középértéke (90%-os CI) 97% (86% - 110%), a pirfenidon AUC</w:t>
      </w:r>
      <w:r w:rsidRPr="00D93CB7">
        <w:rPr>
          <w:rFonts w:cs="Times New Roman"/>
          <w:spacing w:val="-1"/>
          <w:vertAlign w:val="subscript"/>
        </w:rPr>
        <w:t>τ</w:t>
      </w:r>
      <w:r w:rsidRPr="00110009">
        <w:rPr>
          <w:rFonts w:cs="Times New Roman"/>
          <w:spacing w:val="-1"/>
          <w:vertAlign w:val="subscript"/>
        </w:rPr>
        <w:t>,ss</w:t>
      </w:r>
      <w:r w:rsidRPr="00A5740F">
        <w:rPr>
          <w:rFonts w:cs="Times New Roman"/>
          <w:spacing w:val="-1"/>
        </w:rPr>
        <w:t xml:space="preserve">– </w:t>
      </w:r>
      <w:r w:rsidRPr="00110009">
        <w:rPr>
          <w:rFonts w:cs="Times New Roman"/>
          <w:spacing w:val="-1"/>
        </w:rPr>
        <w:t>értékeinek</w:t>
      </w:r>
      <w:r w:rsidR="00D93CB7" w:rsidRPr="00110009">
        <w:rPr>
          <w:rFonts w:cs="Times New Roman"/>
          <w:spacing w:val="-1"/>
        </w:rPr>
        <w:t xml:space="preserve"> </w:t>
      </w:r>
      <w:r w:rsidRPr="00110009">
        <w:rPr>
          <w:rFonts w:cs="Times New Roman"/>
          <w:spacing w:val="-1"/>
        </w:rPr>
        <w:t>esetében pedig 95% (86% - 106%) (n=12 az intraindividuális összehasonlításban).</w:t>
      </w:r>
    </w:p>
    <w:p w14:paraId="446F89F3" w14:textId="4B9F3AEB" w:rsidR="00BD6ED2" w:rsidRPr="00A5740F" w:rsidRDefault="00BD6ED2" w:rsidP="00D36BCE">
      <w:pPr>
        <w:pStyle w:val="Szvegtrzs"/>
        <w:ind w:left="0"/>
        <w:rPr>
          <w:rFonts w:cs="Times New Roman"/>
          <w:spacing w:val="-1"/>
        </w:rPr>
      </w:pPr>
      <w:r w:rsidRPr="00A5740F">
        <w:rPr>
          <w:rFonts w:cs="Times New Roman"/>
          <w:spacing w:val="-1"/>
        </w:rPr>
        <w:t>Ezen eredmények alapján nincs bizonyíték számottevő farmakokinetikai gyógyszer–kölcsönhatásra a</w:t>
      </w:r>
      <w:r w:rsidR="00640300" w:rsidRPr="00A5740F">
        <w:rPr>
          <w:rFonts w:cs="Times New Roman"/>
          <w:spacing w:val="-1"/>
        </w:rPr>
        <w:t xml:space="preserve"> </w:t>
      </w:r>
      <w:r w:rsidRPr="00A5740F">
        <w:rPr>
          <w:rFonts w:cs="Times New Roman"/>
          <w:spacing w:val="-1"/>
        </w:rPr>
        <w:t>kombinációban alkalmazott nintedanib és pirfenidon között (lásd 4.4</w:t>
      </w:r>
      <w:r w:rsidR="00EE26E4">
        <w:rPr>
          <w:rFonts w:cs="Times New Roman"/>
          <w:spacing w:val="-1"/>
        </w:rPr>
        <w:t> </w:t>
      </w:r>
      <w:r w:rsidRPr="00A5740F">
        <w:rPr>
          <w:rFonts w:cs="Times New Roman"/>
          <w:spacing w:val="-1"/>
        </w:rPr>
        <w:t>pont).</w:t>
      </w:r>
    </w:p>
    <w:p w14:paraId="36898AC8" w14:textId="77777777" w:rsidR="00D93CB7" w:rsidRPr="00A5740F" w:rsidRDefault="00D93CB7" w:rsidP="00D36BCE">
      <w:pPr>
        <w:pStyle w:val="Szvegtrzs"/>
        <w:ind w:left="0"/>
        <w:rPr>
          <w:rFonts w:cs="Times New Roman"/>
          <w:spacing w:val="-1"/>
        </w:rPr>
      </w:pPr>
    </w:p>
    <w:p w14:paraId="060C0F30" w14:textId="3BCCB005" w:rsidR="00BD6ED2" w:rsidRPr="00A5740F" w:rsidRDefault="00BD6ED2" w:rsidP="00A5740F">
      <w:pPr>
        <w:pStyle w:val="Szvegtrzs"/>
        <w:keepNext/>
        <w:widowControl/>
        <w:ind w:left="0"/>
        <w:rPr>
          <w:rFonts w:cs="Times New Roman"/>
          <w:i/>
          <w:iCs/>
          <w:spacing w:val="-1"/>
        </w:rPr>
      </w:pPr>
      <w:r w:rsidRPr="00A5740F">
        <w:rPr>
          <w:rFonts w:cs="Times New Roman"/>
          <w:i/>
          <w:iCs/>
          <w:spacing w:val="-1"/>
        </w:rPr>
        <w:t>Együttes alkalmazás bozentánnal</w:t>
      </w:r>
    </w:p>
    <w:p w14:paraId="2CB2E5A4" w14:textId="522C9D2F" w:rsidR="00BD6ED2" w:rsidRPr="00A5740F" w:rsidRDefault="00BD6ED2" w:rsidP="00A5740F">
      <w:pPr>
        <w:pStyle w:val="Szvegtrzs"/>
        <w:keepNext/>
        <w:widowControl/>
        <w:ind w:left="0"/>
        <w:rPr>
          <w:rFonts w:cs="Times New Roman"/>
          <w:spacing w:val="-1"/>
        </w:rPr>
      </w:pPr>
      <w:r w:rsidRPr="00A5740F">
        <w:rPr>
          <w:rFonts w:cs="Times New Roman"/>
          <w:spacing w:val="-1"/>
        </w:rPr>
        <w:t>Egy célzott farmakokinetikai vizsgálaban egészséges önkénteseknél vizsgálták a</w:t>
      </w:r>
      <w:r w:rsidR="00D93CB7" w:rsidRPr="00A5740F">
        <w:rPr>
          <w:rFonts w:cs="Times New Roman"/>
          <w:spacing w:val="-1"/>
        </w:rPr>
        <w:t xml:space="preserve"> nintedanib</w:t>
      </w:r>
      <w:r w:rsidRPr="00A5740F">
        <w:rPr>
          <w:rFonts w:cs="Times New Roman"/>
          <w:spacing w:val="-1"/>
        </w:rPr>
        <w:t xml:space="preserve"> bozentánnal</w:t>
      </w:r>
      <w:r w:rsidR="00D93CB7" w:rsidRPr="00A5740F">
        <w:rPr>
          <w:rFonts w:cs="Times New Roman"/>
          <w:spacing w:val="-1"/>
        </w:rPr>
        <w:t xml:space="preserve"> </w:t>
      </w:r>
      <w:r w:rsidRPr="00A5740F">
        <w:rPr>
          <w:rFonts w:cs="Times New Roman"/>
          <w:spacing w:val="-1"/>
        </w:rPr>
        <w:t>történő együttes alkalmazását. Az önkéntesek a</w:t>
      </w:r>
      <w:r w:rsidR="00D93CB7" w:rsidRPr="00A5740F">
        <w:rPr>
          <w:rFonts w:cs="Times New Roman"/>
          <w:spacing w:val="-1"/>
        </w:rPr>
        <w:t xml:space="preserve"> nintedanib</w:t>
      </w:r>
      <w:r w:rsidRPr="00A5740F">
        <w:rPr>
          <w:rFonts w:cs="Times New Roman"/>
          <w:spacing w:val="-1"/>
        </w:rPr>
        <w:t xml:space="preserve"> egyszeri, 150</w:t>
      </w:r>
      <w:r w:rsidR="00EE26E4">
        <w:rPr>
          <w:rFonts w:cs="Times New Roman"/>
          <w:spacing w:val="-1"/>
        </w:rPr>
        <w:t> </w:t>
      </w:r>
      <w:r w:rsidRPr="00A5740F">
        <w:rPr>
          <w:rFonts w:cs="Times New Roman"/>
          <w:spacing w:val="-1"/>
        </w:rPr>
        <w:t>mg-os adagját kapták a bozentán</w:t>
      </w:r>
      <w:r w:rsidR="00D93CB7" w:rsidRPr="00A5740F">
        <w:rPr>
          <w:rFonts w:cs="Times New Roman"/>
          <w:spacing w:val="-1"/>
        </w:rPr>
        <w:t xml:space="preserve"> </w:t>
      </w:r>
      <w:r w:rsidRPr="00A5740F">
        <w:rPr>
          <w:rFonts w:cs="Times New Roman"/>
          <w:spacing w:val="-1"/>
        </w:rPr>
        <w:t>125</w:t>
      </w:r>
      <w:r w:rsidR="00EE26E4">
        <w:rPr>
          <w:rFonts w:cs="Times New Roman"/>
          <w:spacing w:val="-1"/>
        </w:rPr>
        <w:t> </w:t>
      </w:r>
      <w:r w:rsidRPr="00A5740F">
        <w:rPr>
          <w:rFonts w:cs="Times New Roman"/>
          <w:spacing w:val="-1"/>
        </w:rPr>
        <w:t>mg-os többszöri, napi kétszeri dózisát megelőzően és azt követően, dinamikus egyensúlyi</w:t>
      </w:r>
      <w:r w:rsidR="00D93CB7" w:rsidRPr="00A5740F">
        <w:rPr>
          <w:rFonts w:cs="Times New Roman"/>
          <w:spacing w:val="-1"/>
        </w:rPr>
        <w:t xml:space="preserve"> </w:t>
      </w:r>
      <w:r w:rsidRPr="00A5740F">
        <w:rPr>
          <w:rFonts w:cs="Times New Roman"/>
          <w:spacing w:val="-1"/>
        </w:rPr>
        <w:t>állapotban. A nintedanib C</w:t>
      </w:r>
      <w:r w:rsidRPr="00A5740F">
        <w:rPr>
          <w:rFonts w:cs="Times New Roman"/>
          <w:spacing w:val="-1"/>
          <w:vertAlign w:val="subscript"/>
        </w:rPr>
        <w:t>max</w:t>
      </w:r>
      <w:r w:rsidRPr="00A5740F">
        <w:rPr>
          <w:rFonts w:cs="Times New Roman"/>
          <w:spacing w:val="-1"/>
        </w:rPr>
        <w:t>-értékek arányainak korrigált mértani középértéke (90%-os</w:t>
      </w:r>
      <w:r w:rsidR="00640300" w:rsidRPr="00A5740F">
        <w:rPr>
          <w:rFonts w:cs="Times New Roman"/>
          <w:spacing w:val="-1"/>
        </w:rPr>
        <w:t xml:space="preserve"> </w:t>
      </w:r>
      <w:r w:rsidRPr="00A5740F">
        <w:rPr>
          <w:rFonts w:cs="Times New Roman"/>
          <w:spacing w:val="-1"/>
        </w:rPr>
        <w:t>konfidenciaintervallummal [CI]) 103% (86% - 124%) volt, a nintedanib AUC</w:t>
      </w:r>
      <w:r w:rsidRPr="00A5740F">
        <w:rPr>
          <w:rFonts w:cs="Times New Roman"/>
          <w:spacing w:val="-1"/>
          <w:vertAlign w:val="subscript"/>
        </w:rPr>
        <w:t>0-tz</w:t>
      </w:r>
      <w:r w:rsidRPr="00A5740F">
        <w:rPr>
          <w:rFonts w:cs="Times New Roman"/>
          <w:spacing w:val="-1"/>
        </w:rPr>
        <w:t>-értékeinek esetében</w:t>
      </w:r>
      <w:r w:rsidR="00640300" w:rsidRPr="00A5740F">
        <w:rPr>
          <w:rFonts w:cs="Times New Roman"/>
          <w:spacing w:val="-1"/>
        </w:rPr>
        <w:t xml:space="preserve"> </w:t>
      </w:r>
      <w:r w:rsidRPr="00A5740F">
        <w:rPr>
          <w:rFonts w:cs="Times New Roman"/>
          <w:spacing w:val="-1"/>
        </w:rPr>
        <w:t>pedig 99% (91% - 107%) (n = 13), ami arra utal, hogy a nintedanib és a bozentán együttes</w:t>
      </w:r>
      <w:r w:rsidR="00640300" w:rsidRPr="00A5740F">
        <w:rPr>
          <w:rFonts w:cs="Times New Roman"/>
          <w:spacing w:val="-1"/>
        </w:rPr>
        <w:t xml:space="preserve"> </w:t>
      </w:r>
      <w:r w:rsidRPr="00A5740F">
        <w:rPr>
          <w:rFonts w:cs="Times New Roman"/>
          <w:spacing w:val="-1"/>
        </w:rPr>
        <w:t>alkalmazása nem okoz változást a nintedanib farmakokinetikájában.</w:t>
      </w:r>
    </w:p>
    <w:p w14:paraId="4240454E" w14:textId="77777777" w:rsidR="00D93CB7" w:rsidRPr="00A5740F" w:rsidRDefault="00D93CB7" w:rsidP="00D36BCE">
      <w:pPr>
        <w:pStyle w:val="Szvegtrzs"/>
        <w:ind w:left="0"/>
        <w:rPr>
          <w:rFonts w:cs="Times New Roman"/>
          <w:spacing w:val="-1"/>
        </w:rPr>
      </w:pPr>
    </w:p>
    <w:p w14:paraId="662085EA" w14:textId="6956CE96" w:rsidR="00BD6ED2" w:rsidRPr="00A5740F" w:rsidRDefault="00BD6ED2" w:rsidP="00D36BCE">
      <w:pPr>
        <w:pStyle w:val="Szvegtrzs"/>
        <w:ind w:left="0"/>
        <w:rPr>
          <w:rFonts w:cs="Times New Roman"/>
          <w:i/>
          <w:iCs/>
          <w:spacing w:val="-1"/>
        </w:rPr>
      </w:pPr>
      <w:r w:rsidRPr="00A5740F">
        <w:rPr>
          <w:rFonts w:cs="Times New Roman"/>
          <w:i/>
          <w:iCs/>
          <w:spacing w:val="-1"/>
        </w:rPr>
        <w:t>Együttes alkalmazás orális hormonális fogamzásgátlókkal</w:t>
      </w:r>
    </w:p>
    <w:p w14:paraId="17C225E8" w14:textId="7F8DA085" w:rsidR="00BD6ED2" w:rsidRPr="00A5740F" w:rsidRDefault="00BD6ED2" w:rsidP="00D36BCE">
      <w:pPr>
        <w:pStyle w:val="Szvegtrzs"/>
        <w:ind w:left="0"/>
        <w:rPr>
          <w:rFonts w:cs="Times New Roman"/>
          <w:spacing w:val="-1"/>
        </w:rPr>
      </w:pPr>
      <w:r w:rsidRPr="00A5740F">
        <w:rPr>
          <w:rFonts w:cs="Times New Roman"/>
          <w:spacing w:val="-1"/>
        </w:rPr>
        <w:t>Egy célzott farmakokinetikai vizsgálatban az SSc-ILD-ben szenvedő nőbetegek egyszeri dózisban</w:t>
      </w:r>
      <w:r w:rsidR="00640300" w:rsidRPr="00A5740F">
        <w:rPr>
          <w:rFonts w:cs="Times New Roman"/>
          <w:spacing w:val="-1"/>
        </w:rPr>
        <w:t xml:space="preserve"> </w:t>
      </w:r>
      <w:r w:rsidRPr="00A5740F">
        <w:rPr>
          <w:rFonts w:cs="Times New Roman"/>
          <w:spacing w:val="-1"/>
        </w:rPr>
        <w:t>30</w:t>
      </w:r>
      <w:r w:rsidR="0030269D" w:rsidRPr="00A5740F">
        <w:rPr>
          <w:rFonts w:cs="Times New Roman"/>
          <w:spacing w:val="-1"/>
        </w:rPr>
        <w:t> </w:t>
      </w:r>
      <w:r w:rsidRPr="00A5740F">
        <w:rPr>
          <w:rFonts w:cs="Times New Roman"/>
          <w:spacing w:val="-1"/>
        </w:rPr>
        <w:t>mikrogramm etinilösztradiol és 150 mikrogramm levonorgesztrel kombinációját kapták a napi</w:t>
      </w:r>
      <w:r w:rsidR="00640300" w:rsidRPr="00A5740F">
        <w:rPr>
          <w:rFonts w:cs="Times New Roman"/>
          <w:spacing w:val="-1"/>
        </w:rPr>
        <w:t xml:space="preserve"> </w:t>
      </w:r>
      <w:r w:rsidRPr="00A5740F">
        <w:rPr>
          <w:rFonts w:cs="Times New Roman"/>
          <w:spacing w:val="-1"/>
        </w:rPr>
        <w:t>kétszeri 150</w:t>
      </w:r>
      <w:r w:rsidR="00BB31E8">
        <w:rPr>
          <w:rFonts w:cs="Times New Roman"/>
          <w:spacing w:val="-1"/>
        </w:rPr>
        <w:t> </w:t>
      </w:r>
      <w:r w:rsidRPr="00A5740F">
        <w:rPr>
          <w:rFonts w:cs="Times New Roman"/>
          <w:spacing w:val="-1"/>
        </w:rPr>
        <w:t>mg nintedanib legalább 10 napig tartó adagolása előtt és után. A C</w:t>
      </w:r>
      <w:r w:rsidRPr="00A5740F">
        <w:rPr>
          <w:rFonts w:cs="Times New Roman"/>
          <w:spacing w:val="-1"/>
          <w:vertAlign w:val="subscript"/>
        </w:rPr>
        <w:t>max</w:t>
      </w:r>
      <w:r w:rsidRPr="00A5740F">
        <w:rPr>
          <w:rFonts w:cs="Times New Roman"/>
          <w:spacing w:val="-1"/>
        </w:rPr>
        <w:t>-értékek arányainak</w:t>
      </w:r>
      <w:r w:rsidR="00640300" w:rsidRPr="00A5740F">
        <w:rPr>
          <w:rFonts w:cs="Times New Roman"/>
          <w:spacing w:val="-1"/>
        </w:rPr>
        <w:t xml:space="preserve"> </w:t>
      </w:r>
      <w:r w:rsidRPr="00A5740F">
        <w:rPr>
          <w:rFonts w:cs="Times New Roman"/>
          <w:spacing w:val="-1"/>
        </w:rPr>
        <w:t>korrigált mértani középértéke (90% konfidencia intervallummal [CI]) etinilösztradiol esetében 117%</w:t>
      </w:r>
      <w:r w:rsidR="00640300" w:rsidRPr="00A5740F">
        <w:rPr>
          <w:rFonts w:cs="Times New Roman"/>
          <w:spacing w:val="-1"/>
        </w:rPr>
        <w:t xml:space="preserve"> </w:t>
      </w:r>
      <w:r w:rsidRPr="00A5740F">
        <w:rPr>
          <w:rFonts w:cs="Times New Roman"/>
          <w:spacing w:val="-1"/>
        </w:rPr>
        <w:t>(108% – 127%; C</w:t>
      </w:r>
      <w:r w:rsidRPr="00A5740F">
        <w:rPr>
          <w:rFonts w:cs="Times New Roman"/>
          <w:spacing w:val="-1"/>
          <w:vertAlign w:val="subscript"/>
        </w:rPr>
        <w:t>max</w:t>
      </w:r>
      <w:r w:rsidRPr="00A5740F">
        <w:rPr>
          <w:rFonts w:cs="Times New Roman"/>
          <w:spacing w:val="-1"/>
        </w:rPr>
        <w:t>) és 101% (93% – 111%; AUC</w:t>
      </w:r>
      <w:r w:rsidRPr="00A5740F">
        <w:rPr>
          <w:rFonts w:cs="Times New Roman"/>
          <w:spacing w:val="-1"/>
          <w:vertAlign w:val="subscript"/>
        </w:rPr>
        <w:t>0–tz</w:t>
      </w:r>
      <w:r w:rsidRPr="00A5740F">
        <w:rPr>
          <w:rFonts w:cs="Times New Roman"/>
          <w:spacing w:val="-1"/>
        </w:rPr>
        <w:t>), levonorgesztrel esetében pedig 101%</w:t>
      </w:r>
      <w:r w:rsidR="00236B48" w:rsidRPr="00A5740F">
        <w:rPr>
          <w:rFonts w:cs="Times New Roman"/>
          <w:spacing w:val="-1"/>
        </w:rPr>
        <w:t xml:space="preserve"> </w:t>
      </w:r>
      <w:r w:rsidRPr="00A5740F">
        <w:rPr>
          <w:rFonts w:cs="Times New Roman"/>
          <w:spacing w:val="-1"/>
        </w:rPr>
        <w:t>(90% – 113) %; C</w:t>
      </w:r>
      <w:r w:rsidRPr="00A5740F">
        <w:rPr>
          <w:rFonts w:cs="Times New Roman"/>
          <w:spacing w:val="-1"/>
          <w:vertAlign w:val="subscript"/>
        </w:rPr>
        <w:t>max</w:t>
      </w:r>
      <w:r w:rsidRPr="00A5740F">
        <w:rPr>
          <w:rFonts w:cs="Times New Roman"/>
          <w:spacing w:val="-1"/>
        </w:rPr>
        <w:t xml:space="preserve">), </w:t>
      </w:r>
      <w:r w:rsidR="00580B0B" w:rsidRPr="00A15F63">
        <w:rPr>
          <w:rFonts w:cs="Times New Roman"/>
          <w:spacing w:val="-1"/>
          <w:lang w:val="hu-HU"/>
        </w:rPr>
        <w:t>ill</w:t>
      </w:r>
      <w:r w:rsidR="00580B0B">
        <w:rPr>
          <w:rFonts w:cs="Times New Roman"/>
          <w:spacing w:val="-1"/>
          <w:lang w:val="hu-HU"/>
        </w:rPr>
        <w:t>.</w:t>
      </w:r>
      <w:r w:rsidRPr="00A5740F">
        <w:rPr>
          <w:rFonts w:cs="Times New Roman"/>
          <w:spacing w:val="-1"/>
        </w:rPr>
        <w:t xml:space="preserve"> 96% (91% – 102%; AUC</w:t>
      </w:r>
      <w:r w:rsidRPr="00A5740F">
        <w:rPr>
          <w:rFonts w:cs="Times New Roman"/>
          <w:spacing w:val="-1"/>
          <w:vertAlign w:val="subscript"/>
        </w:rPr>
        <w:t>0–tz</w:t>
      </w:r>
      <w:r w:rsidRPr="00A5740F">
        <w:rPr>
          <w:rFonts w:cs="Times New Roman"/>
          <w:spacing w:val="-1"/>
        </w:rPr>
        <w:t>) volt (n = 15), ami azt jelzi, hogy a</w:t>
      </w:r>
      <w:r w:rsidR="00640300" w:rsidRPr="00A5740F">
        <w:rPr>
          <w:rFonts w:cs="Times New Roman"/>
          <w:spacing w:val="-1"/>
        </w:rPr>
        <w:t xml:space="preserve"> </w:t>
      </w:r>
      <w:r w:rsidRPr="00A5740F">
        <w:rPr>
          <w:rFonts w:cs="Times New Roman"/>
          <w:spacing w:val="-1"/>
        </w:rPr>
        <w:t>nintedanib egyidejű alkalmazása nincs jelentős hatással az etinilösztradiol és a levonorgesztrel</w:t>
      </w:r>
      <w:r w:rsidR="00640300" w:rsidRPr="00A5740F">
        <w:rPr>
          <w:rFonts w:cs="Times New Roman"/>
          <w:spacing w:val="-1"/>
        </w:rPr>
        <w:t xml:space="preserve"> </w:t>
      </w:r>
      <w:r w:rsidRPr="00A5740F">
        <w:rPr>
          <w:rFonts w:cs="Times New Roman"/>
          <w:spacing w:val="-1"/>
        </w:rPr>
        <w:t>plazmaexpozíciójára.</w:t>
      </w:r>
    </w:p>
    <w:p w14:paraId="7A5A6D37" w14:textId="77777777" w:rsidR="00D36BCE" w:rsidRPr="00A5740F" w:rsidRDefault="00D36BCE" w:rsidP="00D36BCE">
      <w:pPr>
        <w:pStyle w:val="Szvegtrzs"/>
        <w:ind w:left="0"/>
        <w:rPr>
          <w:rFonts w:cs="Times New Roman"/>
          <w:spacing w:val="-1"/>
        </w:rPr>
      </w:pPr>
    </w:p>
    <w:p w14:paraId="0E34E756" w14:textId="015022F9" w:rsidR="00BD6ED2" w:rsidRPr="00A5740F" w:rsidRDefault="00BD6ED2" w:rsidP="00D36BCE">
      <w:pPr>
        <w:pStyle w:val="Szvegtrzs"/>
        <w:ind w:left="0"/>
        <w:rPr>
          <w:rFonts w:cs="Times New Roman"/>
          <w:i/>
          <w:iCs/>
          <w:spacing w:val="-1"/>
        </w:rPr>
      </w:pPr>
      <w:r w:rsidRPr="00A5740F">
        <w:rPr>
          <w:rFonts w:cs="Times New Roman"/>
          <w:i/>
          <w:iCs/>
          <w:spacing w:val="-1"/>
        </w:rPr>
        <w:t>Expozíció-válasz összefüggés</w:t>
      </w:r>
    </w:p>
    <w:p w14:paraId="1145C28D" w14:textId="35063AD4" w:rsidR="00BD6ED2" w:rsidRDefault="00BD6ED2" w:rsidP="00D36BCE">
      <w:pPr>
        <w:pStyle w:val="Szvegtrzs"/>
        <w:ind w:left="0"/>
        <w:rPr>
          <w:rFonts w:cs="Times New Roman"/>
          <w:spacing w:val="-1"/>
        </w:rPr>
      </w:pPr>
      <w:r w:rsidRPr="00A5740F">
        <w:rPr>
          <w:rFonts w:cs="Times New Roman"/>
          <w:spacing w:val="-1"/>
        </w:rPr>
        <w:t>Az IPF-ben és egyéb, progresszív fenotípusú, krónikus, fibroticus ILD-kben szenvedő betegeknél</w:t>
      </w:r>
      <w:r w:rsidR="00640300" w:rsidRPr="00A5740F">
        <w:rPr>
          <w:rFonts w:cs="Times New Roman"/>
          <w:spacing w:val="-1"/>
        </w:rPr>
        <w:t xml:space="preserve"> </w:t>
      </w:r>
      <w:r w:rsidRPr="00A5740F">
        <w:rPr>
          <w:rFonts w:cs="Times New Roman"/>
          <w:spacing w:val="-1"/>
        </w:rPr>
        <w:t>végzett expozíció-válasz elemzések gyenge összefüggést mutattak a nintedanib plazmaexpozíciója,</w:t>
      </w:r>
      <w:r w:rsidR="00640300" w:rsidRPr="00A5740F">
        <w:rPr>
          <w:rFonts w:cs="Times New Roman"/>
          <w:spacing w:val="-1"/>
        </w:rPr>
        <w:t xml:space="preserve"> </w:t>
      </w:r>
      <w:r w:rsidR="00580B0B" w:rsidRPr="00A15F63">
        <w:rPr>
          <w:rFonts w:cs="Times New Roman"/>
          <w:spacing w:val="-1"/>
          <w:lang w:val="hu-HU"/>
        </w:rPr>
        <w:t>ill</w:t>
      </w:r>
      <w:r w:rsidR="00F757F8">
        <w:rPr>
          <w:rFonts w:cs="Times New Roman"/>
          <w:spacing w:val="-1"/>
          <w:lang w:val="hu-HU"/>
        </w:rPr>
        <w:t>.</w:t>
      </w:r>
      <w:r w:rsidR="0030269D">
        <w:rPr>
          <w:rFonts w:cs="Times New Roman"/>
          <w:spacing w:val="-1"/>
          <w:lang w:val="hu-HU"/>
        </w:rPr>
        <w:t xml:space="preserve"> </w:t>
      </w:r>
      <w:r w:rsidRPr="00A5740F">
        <w:rPr>
          <w:rFonts w:cs="Times New Roman"/>
          <w:spacing w:val="-1"/>
        </w:rPr>
        <w:lastRenderedPageBreak/>
        <w:t>az emelkedett G</w:t>
      </w:r>
      <w:r w:rsidR="0030269D" w:rsidRPr="00A5740F">
        <w:rPr>
          <w:rFonts w:cs="Times New Roman"/>
          <w:spacing w:val="-1"/>
        </w:rPr>
        <w:t>PT</w:t>
      </w:r>
      <w:r w:rsidRPr="00A5740F">
        <w:rPr>
          <w:rFonts w:cs="Times New Roman"/>
          <w:spacing w:val="-1"/>
        </w:rPr>
        <w:t>- és/vagy GOT-szint között. A tényleges beadott dózis pontosabb jelzője</w:t>
      </w:r>
      <w:r w:rsidR="00640300" w:rsidRPr="00A5740F">
        <w:rPr>
          <w:rFonts w:cs="Times New Roman"/>
          <w:spacing w:val="-1"/>
        </w:rPr>
        <w:t xml:space="preserve"> </w:t>
      </w:r>
      <w:r w:rsidRPr="00A5740F">
        <w:rPr>
          <w:rFonts w:cs="Times New Roman"/>
          <w:spacing w:val="-1"/>
        </w:rPr>
        <w:t>lehet a bármilyen fokú hasmenés kialakulási kockázatának még akkor is, ha a plazmaexpozíció, mint</w:t>
      </w:r>
      <w:r w:rsidR="00640300" w:rsidRPr="00A5740F">
        <w:rPr>
          <w:rFonts w:cs="Times New Roman"/>
          <w:spacing w:val="-1"/>
        </w:rPr>
        <w:t xml:space="preserve"> </w:t>
      </w:r>
      <w:r w:rsidRPr="00A5740F">
        <w:rPr>
          <w:rFonts w:cs="Times New Roman"/>
          <w:spacing w:val="-1"/>
        </w:rPr>
        <w:t>kockázatmeghatározó tényező nem zárható ki (lásd 4.4</w:t>
      </w:r>
      <w:r w:rsidR="00EE26E4">
        <w:rPr>
          <w:rFonts w:cs="Times New Roman"/>
          <w:spacing w:val="-1"/>
        </w:rPr>
        <w:t> </w:t>
      </w:r>
      <w:r w:rsidRPr="00A5740F">
        <w:rPr>
          <w:rFonts w:cs="Times New Roman"/>
          <w:spacing w:val="-1"/>
        </w:rPr>
        <w:t>pont).</w:t>
      </w:r>
    </w:p>
    <w:p w14:paraId="729D4B24" w14:textId="57020A59" w:rsidR="00F90DA0" w:rsidRPr="00A5740F" w:rsidRDefault="00F90DA0" w:rsidP="00D36BCE">
      <w:pPr>
        <w:pStyle w:val="Szvegtrzs"/>
        <w:ind w:left="0"/>
        <w:rPr>
          <w:rFonts w:cs="Times New Roman"/>
          <w:spacing w:val="-1"/>
        </w:rPr>
      </w:pPr>
      <w:r w:rsidRPr="00F90DA0">
        <w:rPr>
          <w:rFonts w:cs="Times New Roman"/>
          <w:spacing w:val="-1"/>
        </w:rPr>
        <w:t>A gyermekgyógyászati populáció expozíció–válasz elemzéseit lásd a Gyermekek és serdülők című alpontban.</w:t>
      </w:r>
    </w:p>
    <w:p w14:paraId="24D00F84" w14:textId="77777777" w:rsidR="00CA4A2F" w:rsidRPr="00A5740F" w:rsidRDefault="00CA4A2F" w:rsidP="009106D9">
      <w:pPr>
        <w:pStyle w:val="Szvegtrzs"/>
        <w:ind w:left="0"/>
        <w:rPr>
          <w:rFonts w:cs="Times New Roman"/>
        </w:rPr>
      </w:pPr>
    </w:p>
    <w:p w14:paraId="5CF00C66" w14:textId="77777777" w:rsidR="00F5603F" w:rsidRPr="00A5740F" w:rsidRDefault="00612B56" w:rsidP="00E86C85">
      <w:pPr>
        <w:pStyle w:val="Cmsor1"/>
        <w:rPr>
          <w:bCs/>
        </w:rPr>
      </w:pPr>
      <w:r w:rsidRPr="00A5740F">
        <w:t>5.3</w:t>
      </w:r>
      <w:r w:rsidRPr="00A5740F">
        <w:tab/>
        <w:t>A preklinikai</w:t>
      </w:r>
      <w:r w:rsidRPr="00A5740F">
        <w:rPr>
          <w:spacing w:val="1"/>
        </w:rPr>
        <w:t xml:space="preserve"> </w:t>
      </w:r>
      <w:r w:rsidRPr="00A5740F">
        <w:t>biztonságossági</w:t>
      </w:r>
      <w:r w:rsidRPr="00A5740F">
        <w:rPr>
          <w:spacing w:val="1"/>
        </w:rPr>
        <w:t xml:space="preserve"> </w:t>
      </w:r>
      <w:r w:rsidRPr="00A5740F">
        <w:t>vizsgálatok</w:t>
      </w:r>
      <w:r w:rsidRPr="00A5740F">
        <w:rPr>
          <w:spacing w:val="-3"/>
        </w:rPr>
        <w:t xml:space="preserve"> </w:t>
      </w:r>
      <w:r w:rsidRPr="00A5740F">
        <w:t>eredményei</w:t>
      </w:r>
    </w:p>
    <w:p w14:paraId="00188FE8" w14:textId="77777777" w:rsidR="00F5603F" w:rsidRPr="00A5740F" w:rsidRDefault="00F5603F" w:rsidP="009106D9">
      <w:pPr>
        <w:rPr>
          <w:rFonts w:ascii="Times New Roman" w:eastAsia="Times New Roman" w:hAnsi="Times New Roman" w:cs="Times New Roman"/>
          <w:b/>
          <w:bCs/>
        </w:rPr>
      </w:pPr>
    </w:p>
    <w:p w14:paraId="67EFFE1E" w14:textId="77777777" w:rsidR="00D36BCE" w:rsidRPr="00A5740F" w:rsidRDefault="00D36BCE" w:rsidP="00D36BCE">
      <w:pPr>
        <w:pStyle w:val="Szvegtrzs"/>
        <w:ind w:left="0"/>
        <w:rPr>
          <w:rFonts w:cs="Times New Roman"/>
          <w:u w:val="single"/>
        </w:rPr>
      </w:pPr>
      <w:r w:rsidRPr="00A5740F">
        <w:rPr>
          <w:rFonts w:cs="Times New Roman"/>
          <w:u w:val="single"/>
        </w:rPr>
        <w:t>Általános toxikológia</w:t>
      </w:r>
    </w:p>
    <w:p w14:paraId="614302C0" w14:textId="32BB18C9" w:rsidR="00D36BCE" w:rsidRPr="00A5740F" w:rsidRDefault="00D36BCE" w:rsidP="00495BAE">
      <w:pPr>
        <w:pStyle w:val="Szvegtrzs"/>
        <w:ind w:left="0"/>
        <w:rPr>
          <w:rFonts w:cs="Times New Roman"/>
        </w:rPr>
      </w:pPr>
      <w:r w:rsidRPr="00A5740F">
        <w:rPr>
          <w:rFonts w:cs="Times New Roman"/>
        </w:rPr>
        <w:t>Patkányoknál és egereknél egyszeri adaggal végzett toxicitási vizsgálatok azt mutatták, hogy a</w:t>
      </w:r>
      <w:r w:rsidR="00640300" w:rsidRPr="00A5740F">
        <w:rPr>
          <w:rFonts w:cs="Times New Roman"/>
        </w:rPr>
        <w:t xml:space="preserve"> </w:t>
      </w:r>
      <w:r w:rsidRPr="00A5740F">
        <w:rPr>
          <w:rFonts w:cs="Times New Roman"/>
        </w:rPr>
        <w:t xml:space="preserve">nintedanib akut toxicitási potenciálja alacsony. </w:t>
      </w:r>
      <w:r w:rsidR="00D1509E">
        <w:rPr>
          <w:rFonts w:cs="Times New Roman"/>
        </w:rPr>
        <w:t>Fiatal p</w:t>
      </w:r>
      <w:r w:rsidRPr="00A5740F">
        <w:rPr>
          <w:rFonts w:cs="Times New Roman"/>
        </w:rPr>
        <w:t>atkányokkal végzett ismételt adagolású</w:t>
      </w:r>
      <w:r w:rsidR="00640300" w:rsidRPr="00A5740F">
        <w:rPr>
          <w:rFonts w:cs="Times New Roman"/>
        </w:rPr>
        <w:t xml:space="preserve"> </w:t>
      </w:r>
      <w:r w:rsidRPr="00A5740F">
        <w:rPr>
          <w:rFonts w:cs="Times New Roman"/>
        </w:rPr>
        <w:t xml:space="preserve">toxicitási vizsgálatok során </w:t>
      </w:r>
      <w:r w:rsidR="00B008B7">
        <w:rPr>
          <w:rFonts w:cs="Times New Roman"/>
        </w:rPr>
        <w:t xml:space="preserve">a </w:t>
      </w:r>
      <w:r w:rsidR="008265A4">
        <w:rPr>
          <w:rFonts w:cs="Times New Roman"/>
        </w:rPr>
        <w:t>fog</w:t>
      </w:r>
      <w:r w:rsidR="00FA05BD" w:rsidRPr="00FA05BD">
        <w:rPr>
          <w:rFonts w:cs="Times New Roman"/>
        </w:rPr>
        <w:t>zománc és a dentin irreverzibilis elváltozásait figyelték meg a folyamatosan gyorsan növekvő metszőfogaknál, a kisőrlőknél és a nagyőrlőknél azonban nem. Ezenkívül az epiphysis fugák megvastagodását figyelték meg a csont növekedési fázisai során, amely a kezelés abbahagyása után reverzibilisnek bizonyult.</w:t>
      </w:r>
      <w:r w:rsidR="00495BAE">
        <w:rPr>
          <w:rFonts w:cs="Times New Roman"/>
        </w:rPr>
        <w:t xml:space="preserve"> </w:t>
      </w:r>
      <w:r w:rsidRPr="00A5740F">
        <w:rPr>
          <w:rFonts w:cs="Times New Roman"/>
        </w:rPr>
        <w:t>Ezek az elváltozások más VEGFR-2 gátlók alkalmazása kapcsán is ismertek, és a gyógyszercsoportra jellemző hatásoknak tekinthetők.</w:t>
      </w:r>
    </w:p>
    <w:p w14:paraId="526FDB21" w14:textId="77777777" w:rsidR="00D36BCE" w:rsidRPr="00A5740F" w:rsidRDefault="00D36BCE" w:rsidP="00D36BCE">
      <w:pPr>
        <w:pStyle w:val="Szvegtrzs"/>
        <w:ind w:left="0"/>
        <w:rPr>
          <w:rFonts w:cs="Times New Roman"/>
        </w:rPr>
      </w:pPr>
    </w:p>
    <w:p w14:paraId="7E0943F6" w14:textId="63372D18" w:rsidR="00D36BCE" w:rsidRPr="00A5740F" w:rsidRDefault="00D36BCE" w:rsidP="00D36BCE">
      <w:pPr>
        <w:pStyle w:val="Szvegtrzs"/>
        <w:ind w:left="0"/>
        <w:rPr>
          <w:rFonts w:cs="Times New Roman"/>
        </w:rPr>
      </w:pPr>
      <w:r w:rsidRPr="00A5740F">
        <w:rPr>
          <w:rFonts w:cs="Times New Roman"/>
        </w:rPr>
        <w:t>A hasmenést és hányást csökkent táplálékbevitel kísérte, és nem rágcsálókkal végzett toxicitási</w:t>
      </w:r>
      <w:r w:rsidR="00640300" w:rsidRPr="00A5740F">
        <w:rPr>
          <w:rFonts w:cs="Times New Roman"/>
        </w:rPr>
        <w:t xml:space="preserve"> </w:t>
      </w:r>
      <w:r w:rsidRPr="00A5740F">
        <w:rPr>
          <w:rFonts w:cs="Times New Roman"/>
        </w:rPr>
        <w:t>vizsgálatokban a testtömeg csökkenését figyelték meg.</w:t>
      </w:r>
    </w:p>
    <w:p w14:paraId="5D400405" w14:textId="77777777" w:rsidR="00D36BCE" w:rsidRPr="00A5740F" w:rsidRDefault="00D36BCE" w:rsidP="00D36BCE">
      <w:pPr>
        <w:pStyle w:val="Szvegtrzs"/>
        <w:ind w:left="0"/>
        <w:rPr>
          <w:rFonts w:cs="Times New Roman"/>
        </w:rPr>
      </w:pPr>
    </w:p>
    <w:p w14:paraId="289D1B50" w14:textId="7DAFF21A" w:rsidR="00D36BCE" w:rsidRPr="00A5740F" w:rsidRDefault="00D36BCE" w:rsidP="00D36BCE">
      <w:pPr>
        <w:pStyle w:val="Szvegtrzs"/>
        <w:ind w:left="0"/>
        <w:rPr>
          <w:rFonts w:cs="Times New Roman"/>
        </w:rPr>
      </w:pPr>
      <w:r w:rsidRPr="00A5740F">
        <w:rPr>
          <w:rFonts w:cs="Times New Roman"/>
        </w:rPr>
        <w:t>Patkányoknál, kutyáknál és cynomolgus majmoknál májenzimszint-emelkedés nem volt igazolható.</w:t>
      </w:r>
      <w:r w:rsidR="00640300" w:rsidRPr="00A5740F">
        <w:rPr>
          <w:rFonts w:cs="Times New Roman"/>
        </w:rPr>
        <w:t xml:space="preserve"> </w:t>
      </w:r>
      <w:r w:rsidRPr="00A5740F">
        <w:rPr>
          <w:rFonts w:cs="Times New Roman"/>
        </w:rPr>
        <w:t xml:space="preserve">Nem súlyos mellékhatás, </w:t>
      </w:r>
      <w:r w:rsidR="00942BAD" w:rsidRPr="00A5740F">
        <w:rPr>
          <w:rFonts w:cs="Times New Roman"/>
        </w:rPr>
        <w:t>pl.</w:t>
      </w:r>
      <w:r w:rsidRPr="00A5740F">
        <w:rPr>
          <w:rFonts w:cs="Times New Roman"/>
        </w:rPr>
        <w:t xml:space="preserve"> hasmenés következményeként fellépő enyhe fokú májenzimszint</w:t>
      </w:r>
      <w:r w:rsidR="00CE3877" w:rsidRPr="00A5740F">
        <w:rPr>
          <w:rFonts w:cs="Times New Roman"/>
        </w:rPr>
        <w:t>-</w:t>
      </w:r>
      <w:r w:rsidRPr="00A5740F">
        <w:rPr>
          <w:rFonts w:cs="Times New Roman"/>
        </w:rPr>
        <w:t>emelkedést csak rhesus majmoknál figyeltek meg.</w:t>
      </w:r>
    </w:p>
    <w:p w14:paraId="6EDA9FF6" w14:textId="77777777" w:rsidR="00D36BCE" w:rsidRPr="00A5740F" w:rsidRDefault="00D36BCE" w:rsidP="00D36BCE">
      <w:pPr>
        <w:pStyle w:val="Szvegtrzs"/>
        <w:ind w:left="0"/>
        <w:rPr>
          <w:rFonts w:cs="Times New Roman"/>
        </w:rPr>
      </w:pPr>
    </w:p>
    <w:p w14:paraId="2E2D8E73" w14:textId="7BE72DF2" w:rsidR="00D36BCE" w:rsidRPr="00A5740F" w:rsidRDefault="00D36BCE" w:rsidP="00D36BCE">
      <w:pPr>
        <w:pStyle w:val="Szvegtrzs"/>
        <w:ind w:left="0"/>
        <w:rPr>
          <w:rFonts w:cs="Times New Roman"/>
          <w:u w:val="single"/>
        </w:rPr>
      </w:pPr>
      <w:r w:rsidRPr="00A5740F">
        <w:rPr>
          <w:rFonts w:cs="Times New Roman"/>
          <w:u w:val="single"/>
        </w:rPr>
        <w:t>Reprodukciós toxicitás</w:t>
      </w:r>
    </w:p>
    <w:p w14:paraId="6F115ECA" w14:textId="4B0B9E7F" w:rsidR="00D36BCE" w:rsidRPr="00A5740F" w:rsidRDefault="00D36BCE" w:rsidP="00D36BCE">
      <w:pPr>
        <w:pStyle w:val="Szvegtrzs"/>
        <w:ind w:left="0"/>
        <w:rPr>
          <w:rFonts w:cs="Times New Roman"/>
        </w:rPr>
      </w:pPr>
      <w:r w:rsidRPr="00A5740F">
        <w:rPr>
          <w:rFonts w:cs="Times New Roman"/>
        </w:rPr>
        <w:t>Patkányoknál embriofötális letalitást és teratogén hatásokat figyeltek meg a naponta kétszer 150</w:t>
      </w:r>
      <w:r w:rsidR="00BB31E8">
        <w:rPr>
          <w:rFonts w:cs="Times New Roman"/>
        </w:rPr>
        <w:t> </w:t>
      </w:r>
      <w:r w:rsidRPr="00A5740F">
        <w:rPr>
          <w:rFonts w:cs="Times New Roman"/>
        </w:rPr>
        <w:t>mg-os</w:t>
      </w:r>
      <w:r w:rsidR="001E6F12" w:rsidRPr="00A5740F">
        <w:rPr>
          <w:rFonts w:cs="Times New Roman"/>
        </w:rPr>
        <w:t xml:space="preserve"> </w:t>
      </w:r>
      <w:r w:rsidRPr="00A5740F">
        <w:rPr>
          <w:rFonts w:cs="Times New Roman"/>
        </w:rPr>
        <w:t>maximálisan ajánlott humán dózis (MRHD) melletti humán expozíciónál alacsonyabb expozíciós</w:t>
      </w:r>
      <w:r w:rsidR="001E6F12" w:rsidRPr="00A5740F">
        <w:rPr>
          <w:rFonts w:cs="Times New Roman"/>
        </w:rPr>
        <w:t xml:space="preserve"> </w:t>
      </w:r>
      <w:r w:rsidRPr="00A5740F">
        <w:rPr>
          <w:rFonts w:cs="Times New Roman"/>
        </w:rPr>
        <w:t>szintek mellett. Az axialis vázrendszer fejlődésére és a nagy artériák fejlődésére gyakorolt hatásokat</w:t>
      </w:r>
      <w:r w:rsidR="001E6F12" w:rsidRPr="00A5740F">
        <w:rPr>
          <w:rFonts w:cs="Times New Roman"/>
        </w:rPr>
        <w:t xml:space="preserve"> </w:t>
      </w:r>
      <w:r w:rsidRPr="00A5740F">
        <w:rPr>
          <w:rFonts w:cs="Times New Roman"/>
        </w:rPr>
        <w:t>szintén észleltek szubterápiás expozíciós szintek mellett.</w:t>
      </w:r>
    </w:p>
    <w:p w14:paraId="086E624C" w14:textId="7351A737" w:rsidR="00D36BCE" w:rsidRPr="00A5740F" w:rsidRDefault="00D36BCE" w:rsidP="00D36BCE">
      <w:pPr>
        <w:pStyle w:val="Szvegtrzs"/>
        <w:ind w:left="0"/>
        <w:rPr>
          <w:rFonts w:cs="Times New Roman"/>
        </w:rPr>
      </w:pPr>
    </w:p>
    <w:p w14:paraId="0AE77C9C" w14:textId="17CC52EB" w:rsidR="00D36BCE" w:rsidRPr="00A5740F" w:rsidRDefault="00D36BCE" w:rsidP="00D36BCE">
      <w:pPr>
        <w:pStyle w:val="Szvegtrzs"/>
        <w:ind w:left="0"/>
        <w:rPr>
          <w:rFonts w:cs="Times New Roman"/>
        </w:rPr>
      </w:pPr>
      <w:r w:rsidRPr="00A5740F">
        <w:rPr>
          <w:rFonts w:cs="Times New Roman"/>
        </w:rPr>
        <w:t>Nyulaknál az MRHD mellett létrejövőnél körülbelül 3-szor magasabb expozíció mellett embriofötális</w:t>
      </w:r>
      <w:r w:rsidR="001E6F12" w:rsidRPr="00A5740F">
        <w:rPr>
          <w:rFonts w:cs="Times New Roman"/>
        </w:rPr>
        <w:t xml:space="preserve"> </w:t>
      </w:r>
      <w:r w:rsidRPr="00A5740F">
        <w:rPr>
          <w:rFonts w:cs="Times New Roman"/>
        </w:rPr>
        <w:t>letalitást és teratogén hatásokat figyeltek meg, de a napi kétszer 150</w:t>
      </w:r>
      <w:r w:rsidR="007B52C3">
        <w:rPr>
          <w:rFonts w:cs="Times New Roman"/>
        </w:rPr>
        <w:t> </w:t>
      </w:r>
      <w:r w:rsidRPr="00A5740F">
        <w:rPr>
          <w:rFonts w:cs="Times New Roman"/>
        </w:rPr>
        <w:t>mg-os MRHD mellett</w:t>
      </w:r>
      <w:r w:rsidR="001E6F12" w:rsidRPr="00A5740F">
        <w:rPr>
          <w:rFonts w:cs="Times New Roman"/>
        </w:rPr>
        <w:t xml:space="preserve"> </w:t>
      </w:r>
      <w:r w:rsidRPr="00A5740F">
        <w:rPr>
          <w:rFonts w:cs="Times New Roman"/>
        </w:rPr>
        <w:t>létrejövőnél alacsonyabb expozíció mellett az axiális vázrendszer és a szív embriofötális fejlődésére</w:t>
      </w:r>
      <w:r w:rsidR="001E6F12" w:rsidRPr="00A5740F">
        <w:rPr>
          <w:rFonts w:cs="Times New Roman"/>
        </w:rPr>
        <w:t xml:space="preserve"> </w:t>
      </w:r>
      <w:r w:rsidRPr="00A5740F">
        <w:rPr>
          <w:rFonts w:cs="Times New Roman"/>
        </w:rPr>
        <w:t>gyakorolt nem egyértelmű hatásokat észleltek.</w:t>
      </w:r>
    </w:p>
    <w:p w14:paraId="0638584F" w14:textId="77777777" w:rsidR="00D36BCE" w:rsidRPr="00A5740F" w:rsidRDefault="00D36BCE" w:rsidP="00D36BCE">
      <w:pPr>
        <w:pStyle w:val="Szvegtrzs"/>
        <w:ind w:left="0"/>
        <w:rPr>
          <w:rFonts w:cs="Times New Roman"/>
        </w:rPr>
      </w:pPr>
    </w:p>
    <w:p w14:paraId="4D4C99A6" w14:textId="602C6782" w:rsidR="00D36BCE" w:rsidRPr="00A5740F" w:rsidRDefault="00D36BCE" w:rsidP="00D36BCE">
      <w:pPr>
        <w:pStyle w:val="Szvegtrzs"/>
        <w:ind w:left="0"/>
        <w:rPr>
          <w:rFonts w:cs="Times New Roman"/>
        </w:rPr>
      </w:pPr>
      <w:r w:rsidRPr="00A5740F">
        <w:rPr>
          <w:rFonts w:cs="Times New Roman"/>
        </w:rPr>
        <w:t>Egy patkányoknál végzett pre- és postnatalis fejlődési vizsgálatban az MRHD mellett létrejövőnél</w:t>
      </w:r>
      <w:r w:rsidR="001E6F12" w:rsidRPr="00A5740F">
        <w:rPr>
          <w:rFonts w:cs="Times New Roman"/>
        </w:rPr>
        <w:t xml:space="preserve"> </w:t>
      </w:r>
      <w:r w:rsidRPr="00A5740F">
        <w:rPr>
          <w:rFonts w:cs="Times New Roman"/>
        </w:rPr>
        <w:t>alacsonyabb expozíció mellett a pre- és postnatalis fejlődésére gyakorolt hatásokat figyeltek meg.</w:t>
      </w:r>
    </w:p>
    <w:p w14:paraId="3B866052" w14:textId="77777777" w:rsidR="00D36BCE" w:rsidRPr="00A5740F" w:rsidRDefault="00D36BCE" w:rsidP="00D36BCE">
      <w:pPr>
        <w:pStyle w:val="Szvegtrzs"/>
        <w:ind w:left="0"/>
        <w:rPr>
          <w:rFonts w:cs="Times New Roman"/>
        </w:rPr>
      </w:pPr>
    </w:p>
    <w:p w14:paraId="284E9B8C" w14:textId="48FB938F" w:rsidR="00D36BCE" w:rsidRPr="00A5740F" w:rsidRDefault="00D36BCE" w:rsidP="00D36BCE">
      <w:pPr>
        <w:pStyle w:val="Szvegtrzs"/>
        <w:ind w:left="0"/>
        <w:rPr>
          <w:rFonts w:cs="Times New Roman"/>
        </w:rPr>
      </w:pPr>
      <w:r w:rsidRPr="00A5740F">
        <w:rPr>
          <w:rFonts w:cs="Times New Roman"/>
        </w:rPr>
        <w:t>Patkányoknál a hímek nemzőképességének, valamint a korai embrionális fejlődésnek az implantációig</w:t>
      </w:r>
      <w:r w:rsidR="001E6F12" w:rsidRPr="00A5740F">
        <w:rPr>
          <w:rFonts w:cs="Times New Roman"/>
        </w:rPr>
        <w:t xml:space="preserve"> </w:t>
      </w:r>
      <w:r w:rsidRPr="00A5740F">
        <w:rPr>
          <w:rFonts w:cs="Times New Roman"/>
        </w:rPr>
        <w:t>terjedő vizsgálata nem tárt fel a hímek genitális traktusára és a hímek nemzőképességére gyakorolt</w:t>
      </w:r>
      <w:r w:rsidR="001E6F12" w:rsidRPr="00A5740F">
        <w:rPr>
          <w:rFonts w:cs="Times New Roman"/>
        </w:rPr>
        <w:t xml:space="preserve"> </w:t>
      </w:r>
      <w:r w:rsidRPr="00A5740F">
        <w:rPr>
          <w:rFonts w:cs="Times New Roman"/>
        </w:rPr>
        <w:t>hatást.</w:t>
      </w:r>
    </w:p>
    <w:p w14:paraId="3F756DB0" w14:textId="77777777" w:rsidR="00D36BCE" w:rsidRPr="00A5740F" w:rsidRDefault="00D36BCE" w:rsidP="00D36BCE">
      <w:pPr>
        <w:pStyle w:val="Szvegtrzs"/>
        <w:ind w:left="0"/>
        <w:rPr>
          <w:rFonts w:cs="Times New Roman"/>
        </w:rPr>
      </w:pPr>
    </w:p>
    <w:p w14:paraId="4E24A64E" w14:textId="23E62850" w:rsidR="00D36BCE" w:rsidRPr="00A5740F" w:rsidRDefault="00D36BCE" w:rsidP="00D36BCE">
      <w:pPr>
        <w:pStyle w:val="Szvegtrzs"/>
        <w:ind w:left="0"/>
        <w:rPr>
          <w:rFonts w:cs="Times New Roman"/>
        </w:rPr>
      </w:pPr>
      <w:r w:rsidRPr="00A5740F">
        <w:rPr>
          <w:rFonts w:cs="Times New Roman"/>
        </w:rPr>
        <w:t>Patkányoknál az izotóppal jelölt nintedanib és/vagy metabolitjai kis mennyiségben kiválasztódtak az</w:t>
      </w:r>
      <w:r w:rsidR="001E6F12" w:rsidRPr="00A5740F">
        <w:rPr>
          <w:rFonts w:cs="Times New Roman"/>
        </w:rPr>
        <w:t xml:space="preserve"> </w:t>
      </w:r>
      <w:r w:rsidRPr="00A5740F">
        <w:rPr>
          <w:rFonts w:cs="Times New Roman"/>
        </w:rPr>
        <w:t>állat anyatejébe (a beadott dózis ≤ 0,5%-a).</w:t>
      </w:r>
    </w:p>
    <w:p w14:paraId="21191EA6" w14:textId="77777777" w:rsidR="00D36BCE" w:rsidRPr="00A5740F" w:rsidRDefault="00D36BCE" w:rsidP="00D36BCE">
      <w:pPr>
        <w:pStyle w:val="Szvegtrzs"/>
        <w:ind w:left="0"/>
        <w:rPr>
          <w:rFonts w:cs="Times New Roman"/>
        </w:rPr>
      </w:pPr>
    </w:p>
    <w:p w14:paraId="59A31578" w14:textId="1495C09D" w:rsidR="00D36BCE" w:rsidRPr="00A5740F" w:rsidRDefault="00D36BCE" w:rsidP="00D36BCE">
      <w:pPr>
        <w:pStyle w:val="Szvegtrzs"/>
        <w:ind w:left="0"/>
        <w:rPr>
          <w:rFonts w:cs="Times New Roman"/>
        </w:rPr>
      </w:pPr>
      <w:r w:rsidRPr="00A5740F">
        <w:rPr>
          <w:rFonts w:cs="Times New Roman"/>
        </w:rPr>
        <w:t>Egereken és patkányokon végzett 2</w:t>
      </w:r>
      <w:r w:rsidR="007B52C3">
        <w:rPr>
          <w:rFonts w:cs="Times New Roman"/>
        </w:rPr>
        <w:t> </w:t>
      </w:r>
      <w:r w:rsidRPr="00A5740F">
        <w:rPr>
          <w:rFonts w:cs="Times New Roman"/>
        </w:rPr>
        <w:t>éves karcinogenitási vizsgálatok alapján nincs bizonyíték a</w:t>
      </w:r>
      <w:r w:rsidR="001E6F12" w:rsidRPr="00A5740F">
        <w:rPr>
          <w:rFonts w:cs="Times New Roman"/>
        </w:rPr>
        <w:t xml:space="preserve"> </w:t>
      </w:r>
      <w:r w:rsidRPr="00A5740F">
        <w:rPr>
          <w:rFonts w:cs="Times New Roman"/>
        </w:rPr>
        <w:t>nintedanib karcinogén potenciáljára.</w:t>
      </w:r>
    </w:p>
    <w:p w14:paraId="7A5E6754" w14:textId="77777777" w:rsidR="00D36BCE" w:rsidRPr="00A5740F" w:rsidRDefault="00D36BCE" w:rsidP="00D36BCE">
      <w:pPr>
        <w:pStyle w:val="Szvegtrzs"/>
        <w:ind w:left="0"/>
        <w:rPr>
          <w:rFonts w:cs="Times New Roman"/>
        </w:rPr>
      </w:pPr>
    </w:p>
    <w:p w14:paraId="7EC3382E" w14:textId="5BB99A39" w:rsidR="00D36BCE" w:rsidRDefault="00D36BCE" w:rsidP="00D36BCE">
      <w:pPr>
        <w:pStyle w:val="Szvegtrzs"/>
        <w:ind w:left="0"/>
        <w:rPr>
          <w:rFonts w:cs="Times New Roman"/>
        </w:rPr>
      </w:pPr>
      <w:r w:rsidRPr="00D36BCE">
        <w:rPr>
          <w:rFonts w:cs="Times New Roman"/>
        </w:rPr>
        <w:t>Genotoxicitási vizsgálatok a nintedanib esetében nem jeleztek mutagén potenciált.</w:t>
      </w:r>
    </w:p>
    <w:p w14:paraId="0BBC494D" w14:textId="77777777" w:rsidR="00CA4A2F" w:rsidRDefault="00CA4A2F" w:rsidP="009106D9">
      <w:pPr>
        <w:pStyle w:val="Szvegtrzs"/>
        <w:ind w:left="0"/>
        <w:rPr>
          <w:rFonts w:cs="Times New Roman"/>
          <w:spacing w:val="-1"/>
        </w:rPr>
      </w:pPr>
    </w:p>
    <w:p w14:paraId="5154B4E3" w14:textId="77777777" w:rsidR="00CA4A2F" w:rsidRPr="00EF71F8" w:rsidRDefault="00CA4A2F" w:rsidP="009106D9">
      <w:pPr>
        <w:pStyle w:val="Szvegtrzs"/>
        <w:ind w:left="0"/>
        <w:rPr>
          <w:rFonts w:cs="Times New Roman"/>
        </w:rPr>
      </w:pPr>
    </w:p>
    <w:p w14:paraId="39AC3EDC" w14:textId="0111E317" w:rsidR="00F5603F" w:rsidRPr="00EF71F8" w:rsidRDefault="00E02F4E" w:rsidP="00AB381E">
      <w:pPr>
        <w:pStyle w:val="Cmsor1"/>
        <w:keepNext/>
        <w:widowControl/>
        <w:rPr>
          <w:bCs/>
        </w:rPr>
      </w:pPr>
      <w:r w:rsidRPr="00D95854">
        <w:t>6.</w:t>
      </w:r>
      <w:r w:rsidRPr="00D95854">
        <w:tab/>
      </w:r>
      <w:r w:rsidR="00612B56" w:rsidRPr="00D95854">
        <w:t xml:space="preserve">GYÓGYSZERÉSZETI </w:t>
      </w:r>
      <w:r w:rsidR="00612B56" w:rsidRPr="00D95854">
        <w:rPr>
          <w:spacing w:val="-1"/>
        </w:rPr>
        <w:t>JELLEMZŐK</w:t>
      </w:r>
    </w:p>
    <w:p w14:paraId="1FF441F6" w14:textId="77777777" w:rsidR="00F5603F" w:rsidRPr="00EF71F8" w:rsidRDefault="00F5603F" w:rsidP="00AB381E">
      <w:pPr>
        <w:keepNext/>
        <w:widowControl/>
        <w:rPr>
          <w:rFonts w:ascii="Times New Roman" w:eastAsia="Times New Roman" w:hAnsi="Times New Roman" w:cs="Times New Roman"/>
          <w:b/>
          <w:bCs/>
        </w:rPr>
      </w:pPr>
    </w:p>
    <w:p w14:paraId="78932B24" w14:textId="7BF1EA8B" w:rsidR="00F5603F" w:rsidRPr="00EF71F8" w:rsidRDefault="00E02F4E" w:rsidP="00AB381E">
      <w:pPr>
        <w:keepNext/>
        <w:widowControl/>
        <w:tabs>
          <w:tab w:val="left" w:pos="686"/>
        </w:tabs>
        <w:rPr>
          <w:rFonts w:ascii="Times New Roman" w:eastAsia="Times New Roman" w:hAnsi="Times New Roman" w:cs="Times New Roman"/>
        </w:rPr>
      </w:pPr>
      <w:r>
        <w:rPr>
          <w:rFonts w:ascii="Times New Roman" w:hAnsi="Times New Roman" w:cs="Times New Roman"/>
          <w:b/>
          <w:spacing w:val="-1"/>
        </w:rPr>
        <w:t>6.1</w:t>
      </w:r>
      <w:r>
        <w:rPr>
          <w:rFonts w:ascii="Times New Roman" w:hAnsi="Times New Roman" w:cs="Times New Roman"/>
          <w:b/>
          <w:spacing w:val="-1"/>
        </w:rPr>
        <w:tab/>
      </w:r>
      <w:r w:rsidR="00612B56" w:rsidRPr="00EF71F8">
        <w:rPr>
          <w:rFonts w:ascii="Times New Roman" w:hAnsi="Times New Roman" w:cs="Times New Roman"/>
          <w:b/>
          <w:spacing w:val="-1"/>
        </w:rPr>
        <w:t>Segédanyagok</w:t>
      </w:r>
      <w:r w:rsidR="00612B56" w:rsidRPr="00EF71F8">
        <w:rPr>
          <w:rFonts w:ascii="Times New Roman" w:hAnsi="Times New Roman" w:cs="Times New Roman"/>
          <w:b/>
        </w:rPr>
        <w:t xml:space="preserve"> </w:t>
      </w:r>
      <w:r w:rsidR="00612B56" w:rsidRPr="00EF71F8">
        <w:rPr>
          <w:rFonts w:ascii="Times New Roman" w:hAnsi="Times New Roman" w:cs="Times New Roman"/>
          <w:b/>
          <w:spacing w:val="-1"/>
        </w:rPr>
        <w:t>felsorolása</w:t>
      </w:r>
    </w:p>
    <w:p w14:paraId="40EB0DCC" w14:textId="77777777" w:rsidR="00F5603F" w:rsidRPr="00EF71F8" w:rsidRDefault="00F5603F" w:rsidP="00AB381E">
      <w:pPr>
        <w:keepNext/>
        <w:widowControl/>
        <w:rPr>
          <w:rFonts w:ascii="Times New Roman" w:eastAsia="Times New Roman" w:hAnsi="Times New Roman" w:cs="Times New Roman"/>
          <w:b/>
          <w:bCs/>
        </w:rPr>
      </w:pPr>
    </w:p>
    <w:p w14:paraId="69038D6C" w14:textId="5D1AD906" w:rsidR="00D36BCE" w:rsidRPr="00D36BCE" w:rsidRDefault="009F44A5" w:rsidP="00D36BCE">
      <w:pPr>
        <w:pStyle w:val="Szvegtrzs"/>
        <w:keepNext/>
        <w:widowControl/>
        <w:ind w:left="0"/>
        <w:rPr>
          <w:rFonts w:eastAsia="TimesNewRomanPSMT" w:cs="Times New Roman"/>
          <w:u w:val="single"/>
          <w:lang w:val="hu-HU"/>
        </w:rPr>
      </w:pPr>
      <w:r>
        <w:rPr>
          <w:rFonts w:eastAsia="TimesNewRomanPSMT" w:cs="Times New Roman"/>
          <w:u w:val="single"/>
          <w:lang w:val="hu-HU"/>
        </w:rPr>
        <w:t>K</w:t>
      </w:r>
      <w:r w:rsidR="00D36BCE" w:rsidRPr="00D36BCE">
        <w:rPr>
          <w:rFonts w:eastAsia="TimesNewRomanPSMT" w:cs="Times New Roman"/>
          <w:u w:val="single"/>
          <w:lang w:val="hu-HU"/>
        </w:rPr>
        <w:t>apszula</w:t>
      </w:r>
      <w:r>
        <w:rPr>
          <w:rFonts w:eastAsia="TimesNewRomanPSMT" w:cs="Times New Roman"/>
          <w:u w:val="single"/>
          <w:lang w:val="hu-HU"/>
        </w:rPr>
        <w:t>töltet</w:t>
      </w:r>
      <w:r w:rsidR="00D36BCE" w:rsidRPr="00B6450A">
        <w:rPr>
          <w:rFonts w:eastAsia="TimesNewRomanPSMT" w:cs="Times New Roman"/>
          <w:lang w:val="hu-HU"/>
        </w:rPr>
        <w:t>:</w:t>
      </w:r>
    </w:p>
    <w:p w14:paraId="30C7AA6E" w14:textId="77777777" w:rsidR="00D36BCE" w:rsidRDefault="00D36BCE" w:rsidP="00D36BCE">
      <w:pPr>
        <w:pStyle w:val="Szvegtrzs"/>
        <w:keepNext/>
        <w:widowControl/>
        <w:ind w:left="0"/>
        <w:rPr>
          <w:rFonts w:eastAsia="TimesNewRomanPSMT" w:cs="Times New Roman"/>
          <w:lang w:val="hu-HU"/>
        </w:rPr>
      </w:pPr>
      <w:r>
        <w:rPr>
          <w:rFonts w:eastAsia="TimesNewRomanPSMT" w:cs="Times New Roman"/>
          <w:lang w:val="hu-HU"/>
        </w:rPr>
        <w:t>makrogol 400</w:t>
      </w:r>
    </w:p>
    <w:p w14:paraId="583F8198" w14:textId="77777777" w:rsidR="00D36BCE" w:rsidRDefault="00D36BCE" w:rsidP="00D36BCE">
      <w:pPr>
        <w:pStyle w:val="Szvegtrzs"/>
        <w:keepNext/>
        <w:widowControl/>
        <w:ind w:left="0"/>
        <w:rPr>
          <w:rFonts w:eastAsia="TimesNewRomanPSMT" w:cs="Times New Roman"/>
          <w:lang w:val="hu-HU"/>
        </w:rPr>
      </w:pPr>
    </w:p>
    <w:p w14:paraId="63208825" w14:textId="551C5F1C" w:rsidR="00D36BCE" w:rsidRPr="00D36BCE" w:rsidRDefault="00D36BCE" w:rsidP="00D36BCE">
      <w:pPr>
        <w:pStyle w:val="Szvegtrzs"/>
        <w:keepNext/>
        <w:widowControl/>
        <w:ind w:left="0"/>
        <w:rPr>
          <w:rFonts w:eastAsia="TimesNewRomanPSMT" w:cs="Times New Roman"/>
          <w:u w:val="single"/>
          <w:lang w:val="hu-HU"/>
        </w:rPr>
      </w:pPr>
      <w:r w:rsidRPr="00D36BCE">
        <w:rPr>
          <w:rFonts w:eastAsia="TimesNewRomanPSMT" w:cs="Times New Roman"/>
          <w:u w:val="single"/>
          <w:lang w:val="hu-HU"/>
        </w:rPr>
        <w:t>Kapszulahéj</w:t>
      </w:r>
      <w:r w:rsidR="00B6450A" w:rsidRPr="00B6450A">
        <w:rPr>
          <w:rFonts w:eastAsia="TimesNewRomanPSMT" w:cs="Times New Roman"/>
          <w:lang w:val="hu-HU"/>
        </w:rPr>
        <w:t>:</w:t>
      </w:r>
    </w:p>
    <w:p w14:paraId="7213E1F5" w14:textId="2AF0983B" w:rsidR="00D36BCE" w:rsidRPr="00D36BCE" w:rsidRDefault="00D36BCE" w:rsidP="00D36BCE">
      <w:pPr>
        <w:pStyle w:val="Szvegtrzs"/>
        <w:keepNext/>
        <w:widowControl/>
        <w:ind w:left="0"/>
        <w:rPr>
          <w:rFonts w:eastAsia="TimesNewRomanPSMT" w:cs="Times New Roman"/>
          <w:lang w:val="hu-HU"/>
        </w:rPr>
      </w:pPr>
      <w:r w:rsidRPr="00D36BCE">
        <w:rPr>
          <w:rFonts w:eastAsia="TimesNewRomanPSMT" w:cs="Times New Roman"/>
          <w:lang w:val="hu-HU"/>
        </w:rPr>
        <w:t>zselatin</w:t>
      </w:r>
      <w:r>
        <w:rPr>
          <w:rFonts w:eastAsia="TimesNewRomanPSMT" w:cs="Times New Roman"/>
          <w:lang w:val="hu-HU"/>
        </w:rPr>
        <w:t xml:space="preserve"> </w:t>
      </w:r>
      <w:r w:rsidRPr="00D36BCE">
        <w:rPr>
          <w:rFonts w:eastAsia="TimesNewRomanPSMT" w:cs="Times New Roman"/>
          <w:lang w:val="hu-HU"/>
        </w:rPr>
        <w:t>(E441)</w:t>
      </w:r>
    </w:p>
    <w:p w14:paraId="5F2EE461" w14:textId="77777777" w:rsidR="00D36BCE" w:rsidRDefault="00D36BCE" w:rsidP="00D36BCE">
      <w:pPr>
        <w:pStyle w:val="Szvegtrzs"/>
        <w:keepNext/>
        <w:widowControl/>
        <w:ind w:left="0"/>
        <w:rPr>
          <w:rFonts w:eastAsia="TimesNewRomanPSMT" w:cs="Times New Roman"/>
          <w:lang w:val="hu-HU"/>
        </w:rPr>
      </w:pPr>
      <w:r w:rsidRPr="00D36BCE">
        <w:rPr>
          <w:rFonts w:eastAsia="TimesNewRomanPSMT" w:cs="Times New Roman"/>
          <w:lang w:val="hu-HU"/>
        </w:rPr>
        <w:t xml:space="preserve">szorbit (szirup, részlegesen dehidratált) (E420), </w:t>
      </w:r>
    </w:p>
    <w:p w14:paraId="7FD07121" w14:textId="521B04D9" w:rsidR="00D36BCE" w:rsidRPr="00D36BCE" w:rsidRDefault="00D36BCE" w:rsidP="00D36BCE">
      <w:pPr>
        <w:pStyle w:val="Szvegtrzs"/>
        <w:keepNext/>
        <w:widowControl/>
        <w:ind w:left="0"/>
        <w:rPr>
          <w:rFonts w:eastAsia="TimesNewRomanPSMT" w:cs="Times New Roman"/>
          <w:lang w:val="hu-HU"/>
        </w:rPr>
      </w:pPr>
      <w:r w:rsidRPr="00D36BCE">
        <w:rPr>
          <w:rFonts w:eastAsia="TimesNewRomanPSMT" w:cs="Times New Roman"/>
          <w:lang w:val="hu-HU"/>
        </w:rPr>
        <w:t>glicerin (</w:t>
      </w:r>
      <w:r>
        <w:rPr>
          <w:rFonts w:eastAsia="TimesNewRomanPSMT" w:cs="Times New Roman"/>
          <w:lang w:val="hu-HU"/>
        </w:rPr>
        <w:t>E422</w:t>
      </w:r>
      <w:r w:rsidRPr="00D36BCE">
        <w:rPr>
          <w:rFonts w:eastAsia="TimesNewRomanPSMT" w:cs="Times New Roman"/>
          <w:lang w:val="hu-HU"/>
        </w:rPr>
        <w:t>)</w:t>
      </w:r>
    </w:p>
    <w:p w14:paraId="7A910C60" w14:textId="77777777" w:rsidR="00D36BCE" w:rsidRPr="00D36BCE" w:rsidRDefault="00D36BCE" w:rsidP="00D36BCE">
      <w:pPr>
        <w:pStyle w:val="Szvegtrzs"/>
        <w:keepNext/>
        <w:widowControl/>
        <w:ind w:left="0"/>
        <w:rPr>
          <w:rFonts w:eastAsia="TimesNewRomanPSMT" w:cs="Times New Roman"/>
          <w:lang w:val="hu-HU"/>
        </w:rPr>
      </w:pPr>
      <w:r w:rsidRPr="00D36BCE">
        <w:rPr>
          <w:rFonts w:eastAsia="TimesNewRomanPSMT" w:cs="Times New Roman"/>
          <w:lang w:val="hu-HU"/>
        </w:rPr>
        <w:t>titán-dioxid (E171)</w:t>
      </w:r>
    </w:p>
    <w:p w14:paraId="2994B5CA" w14:textId="77777777" w:rsidR="00D36BCE" w:rsidRPr="00D36BCE" w:rsidRDefault="00D36BCE" w:rsidP="00D36BCE">
      <w:pPr>
        <w:pStyle w:val="Szvegtrzs"/>
        <w:keepNext/>
        <w:widowControl/>
        <w:ind w:left="0"/>
        <w:rPr>
          <w:rFonts w:eastAsia="TimesNewRomanPSMT" w:cs="Times New Roman"/>
          <w:lang w:val="hu-HU"/>
        </w:rPr>
      </w:pPr>
      <w:r w:rsidRPr="00D36BCE">
        <w:rPr>
          <w:rFonts w:eastAsia="TimesNewRomanPSMT" w:cs="Times New Roman"/>
          <w:lang w:val="hu-HU"/>
        </w:rPr>
        <w:t>vörös vas-oxid (E172)</w:t>
      </w:r>
    </w:p>
    <w:p w14:paraId="20117AC1" w14:textId="490EC40C" w:rsidR="00D36BCE" w:rsidRDefault="00D36BCE" w:rsidP="00D36BCE">
      <w:pPr>
        <w:pStyle w:val="Szvegtrzs"/>
        <w:keepNext/>
        <w:widowControl/>
        <w:ind w:left="0"/>
        <w:rPr>
          <w:rFonts w:eastAsia="TimesNewRomanPSMT" w:cs="Times New Roman"/>
          <w:lang w:val="hu-HU"/>
        </w:rPr>
      </w:pPr>
      <w:r w:rsidRPr="00D36BCE">
        <w:rPr>
          <w:rFonts w:eastAsia="TimesNewRomanPSMT" w:cs="Times New Roman"/>
          <w:lang w:val="hu-HU"/>
        </w:rPr>
        <w:t>sárga vas-oxid (E172)</w:t>
      </w:r>
    </w:p>
    <w:p w14:paraId="6D6C7603" w14:textId="77777777" w:rsidR="00F5603F" w:rsidRPr="00A15F63" w:rsidRDefault="00F5603F" w:rsidP="009106D9">
      <w:pPr>
        <w:rPr>
          <w:rFonts w:ascii="Times New Roman" w:eastAsia="Times New Roman" w:hAnsi="Times New Roman" w:cs="Times New Roman"/>
          <w:lang w:val="hu-HU"/>
        </w:rPr>
      </w:pPr>
    </w:p>
    <w:p w14:paraId="74F833C4" w14:textId="6F41AAED" w:rsidR="00F5603F" w:rsidRPr="00A15F63" w:rsidRDefault="00E02F4E" w:rsidP="009106D9">
      <w:pPr>
        <w:pStyle w:val="Cmsor1"/>
        <w:rPr>
          <w:bCs/>
          <w:lang w:val="hu-HU"/>
        </w:rPr>
      </w:pPr>
      <w:r w:rsidRPr="00A15F63">
        <w:rPr>
          <w:lang w:val="hu-HU"/>
        </w:rPr>
        <w:t>6.2</w:t>
      </w:r>
      <w:r w:rsidRPr="00A15F63">
        <w:rPr>
          <w:lang w:val="hu-HU"/>
        </w:rPr>
        <w:tab/>
      </w:r>
      <w:r w:rsidR="00612B56" w:rsidRPr="00A15F63">
        <w:rPr>
          <w:lang w:val="hu-HU"/>
        </w:rPr>
        <w:t>Inkompatibilitások</w:t>
      </w:r>
    </w:p>
    <w:p w14:paraId="70E6EEF2" w14:textId="77777777" w:rsidR="00F5603F" w:rsidRPr="00A15F63" w:rsidRDefault="00F5603F" w:rsidP="009106D9">
      <w:pPr>
        <w:rPr>
          <w:rFonts w:ascii="Times New Roman" w:eastAsia="Times New Roman" w:hAnsi="Times New Roman" w:cs="Times New Roman"/>
          <w:b/>
          <w:bCs/>
          <w:lang w:val="hu-HU"/>
        </w:rPr>
      </w:pPr>
    </w:p>
    <w:p w14:paraId="6669A6C8" w14:textId="77777777" w:rsidR="00F5603F" w:rsidRPr="00A15F63" w:rsidRDefault="00612B56" w:rsidP="009106D9">
      <w:pPr>
        <w:pStyle w:val="Szvegtrzs"/>
        <w:ind w:left="0"/>
        <w:rPr>
          <w:rFonts w:cs="Times New Roman"/>
          <w:lang w:val="hu-HU"/>
        </w:rPr>
      </w:pPr>
      <w:r w:rsidRPr="00A15F63">
        <w:rPr>
          <w:rFonts w:cs="Times New Roman"/>
          <w:spacing w:val="-1"/>
          <w:lang w:val="hu-HU"/>
        </w:rPr>
        <w:t>Nem</w:t>
      </w:r>
      <w:r w:rsidRPr="00A15F63">
        <w:rPr>
          <w:rFonts w:cs="Times New Roman"/>
          <w:spacing w:val="1"/>
          <w:lang w:val="hu-HU"/>
        </w:rPr>
        <w:t xml:space="preserve"> </w:t>
      </w:r>
      <w:r w:rsidRPr="00A15F63">
        <w:rPr>
          <w:rFonts w:cs="Times New Roman"/>
          <w:spacing w:val="-1"/>
          <w:lang w:val="hu-HU"/>
        </w:rPr>
        <w:t>értelmezhető.</w:t>
      </w:r>
    </w:p>
    <w:p w14:paraId="7E304402" w14:textId="77777777" w:rsidR="00F5603F" w:rsidRPr="00A15F63" w:rsidRDefault="00F5603F" w:rsidP="009106D9">
      <w:pPr>
        <w:rPr>
          <w:rFonts w:ascii="Times New Roman" w:eastAsia="Times New Roman" w:hAnsi="Times New Roman" w:cs="Times New Roman"/>
          <w:lang w:val="hu-HU"/>
        </w:rPr>
      </w:pPr>
    </w:p>
    <w:p w14:paraId="1CADFC83" w14:textId="0D73AB81" w:rsidR="00F5603F" w:rsidRPr="00A15F63" w:rsidRDefault="00E02F4E" w:rsidP="009106D9">
      <w:pPr>
        <w:pStyle w:val="Cmsor1"/>
        <w:rPr>
          <w:bCs/>
          <w:lang w:val="hu-HU"/>
        </w:rPr>
      </w:pPr>
      <w:r w:rsidRPr="00A15F63">
        <w:rPr>
          <w:lang w:val="hu-HU"/>
        </w:rPr>
        <w:t>6.3</w:t>
      </w:r>
      <w:r w:rsidRPr="00A15F63">
        <w:rPr>
          <w:lang w:val="hu-HU"/>
        </w:rPr>
        <w:tab/>
      </w:r>
      <w:r w:rsidR="00612B56" w:rsidRPr="00A15F63">
        <w:rPr>
          <w:lang w:val="hu-HU"/>
        </w:rPr>
        <w:t>Felhasználhatósági időtartam</w:t>
      </w:r>
    </w:p>
    <w:p w14:paraId="59BCE3C3" w14:textId="77777777" w:rsidR="00F5603F" w:rsidRPr="00A15F63" w:rsidRDefault="00F5603F" w:rsidP="009106D9">
      <w:pPr>
        <w:rPr>
          <w:rFonts w:ascii="Times New Roman" w:eastAsia="Times New Roman" w:hAnsi="Times New Roman" w:cs="Times New Roman"/>
          <w:b/>
          <w:bCs/>
          <w:lang w:val="hu-HU"/>
        </w:rPr>
      </w:pPr>
    </w:p>
    <w:p w14:paraId="3E7A9631" w14:textId="51F9B116" w:rsidR="00F5603F" w:rsidRPr="00A15F63" w:rsidRDefault="00BD3EDE" w:rsidP="009106D9">
      <w:pPr>
        <w:pStyle w:val="Szvegtrzs"/>
        <w:ind w:left="0"/>
        <w:rPr>
          <w:rFonts w:cs="Times New Roman"/>
          <w:lang w:val="hu-HU"/>
        </w:rPr>
      </w:pPr>
      <w:r>
        <w:rPr>
          <w:rFonts w:cs="Times New Roman"/>
          <w:lang w:val="hu-HU"/>
        </w:rPr>
        <w:t>3</w:t>
      </w:r>
      <w:r w:rsidRPr="00A15F63">
        <w:rPr>
          <w:rFonts w:cs="Times New Roman"/>
          <w:lang w:val="hu-HU"/>
        </w:rPr>
        <w:t> </w:t>
      </w:r>
      <w:r w:rsidR="00612B56" w:rsidRPr="00A15F63">
        <w:rPr>
          <w:rFonts w:cs="Times New Roman"/>
          <w:lang w:val="hu-HU"/>
        </w:rPr>
        <w:t>év.</w:t>
      </w:r>
    </w:p>
    <w:p w14:paraId="7FE0B448" w14:textId="77777777" w:rsidR="00F5603F" w:rsidRPr="00A15F63" w:rsidRDefault="00F5603F" w:rsidP="009106D9">
      <w:pPr>
        <w:rPr>
          <w:rFonts w:ascii="Times New Roman" w:eastAsia="Times New Roman" w:hAnsi="Times New Roman" w:cs="Times New Roman"/>
          <w:lang w:val="hu-HU"/>
        </w:rPr>
      </w:pPr>
    </w:p>
    <w:p w14:paraId="6A71303B" w14:textId="32547E55" w:rsidR="00F5603F" w:rsidRPr="00A15F63" w:rsidRDefault="00E02F4E" w:rsidP="009106D9">
      <w:pPr>
        <w:pStyle w:val="Cmsor1"/>
        <w:rPr>
          <w:bCs/>
          <w:lang w:val="hu-HU"/>
        </w:rPr>
      </w:pPr>
      <w:r w:rsidRPr="00A15F63">
        <w:rPr>
          <w:lang w:val="hu-HU"/>
        </w:rPr>
        <w:t>6.4</w:t>
      </w:r>
      <w:r w:rsidRPr="00A15F63">
        <w:rPr>
          <w:lang w:val="hu-HU"/>
        </w:rPr>
        <w:tab/>
      </w:r>
      <w:r w:rsidR="00612B56" w:rsidRPr="00A15F63">
        <w:rPr>
          <w:lang w:val="hu-HU"/>
        </w:rPr>
        <w:t>Különleges</w:t>
      </w:r>
      <w:r w:rsidR="00612B56" w:rsidRPr="00A15F63">
        <w:rPr>
          <w:spacing w:val="-2"/>
          <w:lang w:val="hu-HU"/>
        </w:rPr>
        <w:t xml:space="preserve"> </w:t>
      </w:r>
      <w:r w:rsidR="00612B56" w:rsidRPr="00A15F63">
        <w:rPr>
          <w:lang w:val="hu-HU"/>
        </w:rPr>
        <w:t>tárolási</w:t>
      </w:r>
      <w:r w:rsidR="00612B56" w:rsidRPr="00A15F63">
        <w:rPr>
          <w:spacing w:val="1"/>
          <w:lang w:val="hu-HU"/>
        </w:rPr>
        <w:t xml:space="preserve"> </w:t>
      </w:r>
      <w:r w:rsidR="00612B56" w:rsidRPr="00A15F63">
        <w:rPr>
          <w:lang w:val="hu-HU"/>
        </w:rPr>
        <w:t>előírások</w:t>
      </w:r>
    </w:p>
    <w:p w14:paraId="13542DDD" w14:textId="77777777" w:rsidR="00F5603F" w:rsidRPr="00A15F63" w:rsidRDefault="00F5603F" w:rsidP="009106D9">
      <w:pPr>
        <w:rPr>
          <w:rFonts w:ascii="Times New Roman" w:eastAsia="Times New Roman" w:hAnsi="Times New Roman" w:cs="Times New Roman"/>
          <w:b/>
          <w:bCs/>
          <w:lang w:val="hu-HU"/>
        </w:rPr>
      </w:pPr>
    </w:p>
    <w:p w14:paraId="60E4941A" w14:textId="77777777" w:rsidR="00CE3877" w:rsidRDefault="00D36BCE" w:rsidP="009106D9">
      <w:pPr>
        <w:pStyle w:val="Szvegtrzs"/>
        <w:ind w:left="0"/>
        <w:rPr>
          <w:rFonts w:cs="Times New Roman"/>
          <w:lang w:val="hu-HU"/>
        </w:rPr>
      </w:pPr>
      <w:r w:rsidRPr="00A15F63">
        <w:rPr>
          <w:rFonts w:cs="Times New Roman"/>
          <w:lang w:val="hu-HU"/>
        </w:rPr>
        <w:t xml:space="preserve">Legfeljebb 25°C-on tárolandó. </w:t>
      </w:r>
    </w:p>
    <w:p w14:paraId="133868BF" w14:textId="3917CB72" w:rsidR="00464FC8" w:rsidRPr="00A15F63" w:rsidRDefault="00D36BCE" w:rsidP="009106D9">
      <w:pPr>
        <w:pStyle w:val="Szvegtrzs"/>
        <w:ind w:left="0"/>
        <w:rPr>
          <w:rFonts w:cs="Times New Roman"/>
          <w:lang w:val="hu-HU"/>
        </w:rPr>
      </w:pPr>
      <w:r w:rsidRPr="00A15F63">
        <w:rPr>
          <w:rFonts w:cs="Times New Roman"/>
          <w:lang w:val="hu-HU"/>
        </w:rPr>
        <w:t>A nedvességtől való védelem érdekében az eredeti csomagolásban tárolandó</w:t>
      </w:r>
      <w:r w:rsidR="00464FC8" w:rsidRPr="00A15F63">
        <w:rPr>
          <w:rFonts w:cs="Times New Roman"/>
          <w:lang w:val="hu-HU"/>
        </w:rPr>
        <w:t>.</w:t>
      </w:r>
    </w:p>
    <w:p w14:paraId="2EE2D878" w14:textId="77777777" w:rsidR="00F5603F" w:rsidRPr="00A15F63" w:rsidRDefault="00F5603F" w:rsidP="009106D9">
      <w:pPr>
        <w:rPr>
          <w:rFonts w:ascii="Times New Roman" w:eastAsia="Times New Roman" w:hAnsi="Times New Roman" w:cs="Times New Roman"/>
          <w:lang w:val="hu-HU"/>
        </w:rPr>
      </w:pPr>
    </w:p>
    <w:p w14:paraId="4F973408" w14:textId="57953BF3" w:rsidR="00F5603F" w:rsidRPr="00A15F63" w:rsidRDefault="00E02F4E" w:rsidP="009106D9">
      <w:pPr>
        <w:pStyle w:val="Cmsor1"/>
        <w:rPr>
          <w:bCs/>
          <w:lang w:val="hu-HU"/>
        </w:rPr>
      </w:pPr>
      <w:r w:rsidRPr="00A15F63">
        <w:rPr>
          <w:lang w:val="hu-HU"/>
        </w:rPr>
        <w:t>6.5</w:t>
      </w:r>
      <w:r w:rsidRPr="00A15F63">
        <w:rPr>
          <w:lang w:val="hu-HU"/>
        </w:rPr>
        <w:tab/>
      </w:r>
      <w:r w:rsidR="00612B56" w:rsidRPr="00A15F63">
        <w:rPr>
          <w:lang w:val="hu-HU"/>
        </w:rPr>
        <w:t>Csomagolás</w:t>
      </w:r>
      <w:r w:rsidR="00612B56" w:rsidRPr="00A15F63">
        <w:rPr>
          <w:spacing w:val="-2"/>
          <w:lang w:val="hu-HU"/>
        </w:rPr>
        <w:t xml:space="preserve"> </w:t>
      </w:r>
      <w:r w:rsidR="00612B56" w:rsidRPr="00A15F63">
        <w:rPr>
          <w:lang w:val="hu-HU"/>
        </w:rPr>
        <w:t>típusa és kiszerelése</w:t>
      </w:r>
    </w:p>
    <w:p w14:paraId="76B3F8D6" w14:textId="77777777" w:rsidR="00F5603F" w:rsidRPr="00A15F63" w:rsidRDefault="00F5603F" w:rsidP="009106D9">
      <w:pPr>
        <w:rPr>
          <w:rFonts w:ascii="Times New Roman" w:eastAsia="Times New Roman" w:hAnsi="Times New Roman" w:cs="Times New Roman"/>
          <w:b/>
          <w:bCs/>
          <w:lang w:val="hu-HU"/>
        </w:rPr>
      </w:pPr>
    </w:p>
    <w:p w14:paraId="6F74F6D2" w14:textId="5630B58F" w:rsidR="003B0251" w:rsidRPr="0078451C" w:rsidRDefault="00464FC8" w:rsidP="0078451C">
      <w:pPr>
        <w:pStyle w:val="Szvegtrzs"/>
        <w:ind w:left="709" w:hanging="709"/>
        <w:rPr>
          <w:rFonts w:cs="Times New Roman"/>
          <w:spacing w:val="-1"/>
          <w:lang w:val="hu-HU"/>
        </w:rPr>
      </w:pPr>
      <w:r w:rsidRPr="00A15F63">
        <w:rPr>
          <w:rFonts w:cs="Times New Roman"/>
          <w:spacing w:val="-1"/>
          <w:lang w:val="hu-HU"/>
        </w:rPr>
        <w:t>-</w:t>
      </w:r>
      <w:r w:rsidRPr="00A15F63">
        <w:rPr>
          <w:rFonts w:cs="Times New Roman"/>
          <w:spacing w:val="-1"/>
          <w:lang w:val="hu-HU"/>
        </w:rPr>
        <w:tab/>
        <w:t>30</w:t>
      </w:r>
      <w:r w:rsidR="00A342A8">
        <w:rPr>
          <w:rFonts w:cs="Times New Roman"/>
          <w:spacing w:val="-1"/>
          <w:lang w:val="hu-HU"/>
        </w:rPr>
        <w:t xml:space="preserve"> db</w:t>
      </w:r>
      <w:r w:rsidRPr="00A15F63">
        <w:rPr>
          <w:rFonts w:cs="Times New Roman"/>
          <w:spacing w:val="-1"/>
          <w:lang w:val="hu-HU"/>
        </w:rPr>
        <w:t xml:space="preserve"> lágy </w:t>
      </w:r>
      <w:r w:rsidR="003B0251">
        <w:rPr>
          <w:rFonts w:cs="Times New Roman"/>
          <w:spacing w:val="-1"/>
          <w:lang w:val="hu-HU"/>
        </w:rPr>
        <w:t xml:space="preserve">kapszula </w:t>
      </w:r>
      <w:r w:rsidR="003B0251" w:rsidRPr="0078451C">
        <w:rPr>
          <w:rFonts w:cs="Times New Roman"/>
          <w:spacing w:val="-1"/>
          <w:lang w:val="hu-HU"/>
        </w:rPr>
        <w:t>PA/Al/PVC//Al/PET adagonként perforált buborékcsomagolásban vagy PA/Al/PVC//Al/PET buborékcsomagolásban</w:t>
      </w:r>
      <w:r w:rsidR="003B0251">
        <w:rPr>
          <w:rFonts w:cs="Times New Roman"/>
          <w:spacing w:val="-1"/>
          <w:lang w:val="hu-HU"/>
        </w:rPr>
        <w:t>.</w:t>
      </w:r>
    </w:p>
    <w:p w14:paraId="2CAB3B33" w14:textId="5A2DE0D1" w:rsidR="00464FC8" w:rsidRPr="00A15F63" w:rsidRDefault="00464FC8" w:rsidP="00464FC8">
      <w:pPr>
        <w:pStyle w:val="Szvegtrzs"/>
        <w:ind w:left="0"/>
        <w:rPr>
          <w:rFonts w:cs="Times New Roman"/>
          <w:spacing w:val="-1"/>
          <w:lang w:val="hu-HU"/>
        </w:rPr>
      </w:pPr>
    </w:p>
    <w:p w14:paraId="01F35E1B" w14:textId="25B20352" w:rsidR="003B0251" w:rsidRPr="00F073B2" w:rsidRDefault="003B0251" w:rsidP="003B0251">
      <w:pPr>
        <w:pStyle w:val="Szvegtrzs"/>
        <w:ind w:left="709" w:hanging="709"/>
        <w:rPr>
          <w:rFonts w:cs="Times New Roman"/>
          <w:spacing w:val="-1"/>
          <w:lang w:val="hu-HU"/>
        </w:rPr>
      </w:pPr>
      <w:r w:rsidRPr="00A15F63">
        <w:rPr>
          <w:rFonts w:cs="Times New Roman"/>
          <w:spacing w:val="-1"/>
          <w:lang w:val="hu-HU"/>
        </w:rPr>
        <w:t>-</w:t>
      </w:r>
      <w:r w:rsidRPr="00A15F63">
        <w:rPr>
          <w:rFonts w:cs="Times New Roman"/>
          <w:spacing w:val="-1"/>
          <w:lang w:val="hu-HU"/>
        </w:rPr>
        <w:tab/>
      </w:r>
      <w:r>
        <w:rPr>
          <w:rFonts w:cs="Times New Roman"/>
          <w:spacing w:val="-1"/>
          <w:lang w:val="hu-HU"/>
        </w:rPr>
        <w:t>6</w:t>
      </w:r>
      <w:r w:rsidRPr="00A15F63">
        <w:rPr>
          <w:rFonts w:cs="Times New Roman"/>
          <w:spacing w:val="-1"/>
          <w:lang w:val="hu-HU"/>
        </w:rPr>
        <w:t>0</w:t>
      </w:r>
      <w:r>
        <w:rPr>
          <w:rFonts w:cs="Times New Roman"/>
          <w:spacing w:val="-1"/>
          <w:lang w:val="hu-HU"/>
        </w:rPr>
        <w:t xml:space="preserve"> db</w:t>
      </w:r>
      <w:r w:rsidRPr="00A15F63">
        <w:rPr>
          <w:rFonts w:cs="Times New Roman"/>
          <w:spacing w:val="-1"/>
          <w:lang w:val="hu-HU"/>
        </w:rPr>
        <w:t xml:space="preserve"> lágy </w:t>
      </w:r>
      <w:r>
        <w:rPr>
          <w:rFonts w:cs="Times New Roman"/>
          <w:spacing w:val="-1"/>
          <w:lang w:val="hu-HU"/>
        </w:rPr>
        <w:t xml:space="preserve">kapszula </w:t>
      </w:r>
      <w:r w:rsidRPr="00F073B2">
        <w:rPr>
          <w:rFonts w:cs="Times New Roman"/>
          <w:spacing w:val="-1"/>
          <w:lang w:val="hu-HU"/>
        </w:rPr>
        <w:t>PA/Al/PVC//Al/PET adagonként perforált buborékcsomagolásban vagy PA/Al/PVC//Al/PET buborékcsomagolásban</w:t>
      </w:r>
      <w:r>
        <w:rPr>
          <w:rFonts w:cs="Times New Roman"/>
          <w:spacing w:val="-1"/>
          <w:lang w:val="hu-HU"/>
        </w:rPr>
        <w:t>.</w:t>
      </w:r>
    </w:p>
    <w:p w14:paraId="6FE4063B" w14:textId="77777777" w:rsidR="00464FC8" w:rsidRPr="00A15F63" w:rsidRDefault="00464FC8" w:rsidP="00464FC8">
      <w:pPr>
        <w:pStyle w:val="Szvegtrzs"/>
        <w:ind w:left="720" w:hanging="720"/>
        <w:rPr>
          <w:rFonts w:cs="Times New Roman"/>
          <w:spacing w:val="-1"/>
          <w:lang w:val="hu-HU"/>
        </w:rPr>
      </w:pPr>
    </w:p>
    <w:p w14:paraId="4143898E" w14:textId="77777777" w:rsidR="00F5603F" w:rsidRPr="00A15F63" w:rsidRDefault="00612B56" w:rsidP="009106D9">
      <w:pPr>
        <w:pStyle w:val="Szvegtrzs"/>
        <w:ind w:left="0"/>
        <w:rPr>
          <w:rFonts w:cs="Times New Roman"/>
          <w:spacing w:val="-1"/>
          <w:lang w:val="hu-HU"/>
        </w:rPr>
      </w:pPr>
      <w:r w:rsidRPr="00A15F63">
        <w:rPr>
          <w:rFonts w:cs="Times New Roman"/>
          <w:spacing w:val="-1"/>
          <w:lang w:val="hu-HU"/>
        </w:rPr>
        <w:t>Nem</w:t>
      </w:r>
      <w:r w:rsidRPr="00A15F63">
        <w:rPr>
          <w:rFonts w:cs="Times New Roman"/>
          <w:spacing w:val="1"/>
          <w:lang w:val="hu-HU"/>
        </w:rPr>
        <w:t xml:space="preserve"> </w:t>
      </w:r>
      <w:r w:rsidRPr="00A15F63">
        <w:rPr>
          <w:rFonts w:cs="Times New Roman"/>
          <w:spacing w:val="-1"/>
          <w:lang w:val="hu-HU"/>
        </w:rPr>
        <w:t>feltétlenül</w:t>
      </w:r>
      <w:r w:rsidRPr="00A15F63">
        <w:rPr>
          <w:rFonts w:cs="Times New Roman"/>
          <w:spacing w:val="-2"/>
          <w:lang w:val="hu-HU"/>
        </w:rPr>
        <w:t xml:space="preserve"> </w:t>
      </w:r>
      <w:r w:rsidRPr="00A15F63">
        <w:rPr>
          <w:rFonts w:cs="Times New Roman"/>
          <w:spacing w:val="-1"/>
          <w:lang w:val="hu-HU"/>
        </w:rPr>
        <w:t>mindegyik</w:t>
      </w:r>
      <w:r w:rsidRPr="00A15F63">
        <w:rPr>
          <w:rFonts w:cs="Times New Roman"/>
          <w:spacing w:val="-3"/>
          <w:lang w:val="hu-HU"/>
        </w:rPr>
        <w:t xml:space="preserve"> </w:t>
      </w:r>
      <w:r w:rsidRPr="00A15F63">
        <w:rPr>
          <w:rFonts w:cs="Times New Roman"/>
          <w:spacing w:val="-1"/>
          <w:lang w:val="hu-HU"/>
        </w:rPr>
        <w:t>kiszerelés</w:t>
      </w:r>
      <w:r w:rsidRPr="00A15F63">
        <w:rPr>
          <w:rFonts w:cs="Times New Roman"/>
          <w:lang w:val="hu-HU"/>
        </w:rPr>
        <w:t xml:space="preserve"> </w:t>
      </w:r>
      <w:r w:rsidRPr="00A15F63">
        <w:rPr>
          <w:rFonts w:cs="Times New Roman"/>
          <w:spacing w:val="-1"/>
          <w:lang w:val="hu-HU"/>
        </w:rPr>
        <w:t>kerül</w:t>
      </w:r>
      <w:r w:rsidRPr="00A15F63">
        <w:rPr>
          <w:rFonts w:cs="Times New Roman"/>
          <w:spacing w:val="-2"/>
          <w:lang w:val="hu-HU"/>
        </w:rPr>
        <w:t xml:space="preserve"> </w:t>
      </w:r>
      <w:r w:rsidRPr="00A15F63">
        <w:rPr>
          <w:rFonts w:cs="Times New Roman"/>
          <w:spacing w:val="-1"/>
          <w:lang w:val="hu-HU"/>
        </w:rPr>
        <w:t>kereskedelmi</w:t>
      </w:r>
      <w:r w:rsidRPr="00A15F63">
        <w:rPr>
          <w:rFonts w:cs="Times New Roman"/>
          <w:spacing w:val="-2"/>
          <w:lang w:val="hu-HU"/>
        </w:rPr>
        <w:t xml:space="preserve"> </w:t>
      </w:r>
      <w:r w:rsidRPr="00A15F63">
        <w:rPr>
          <w:rFonts w:cs="Times New Roman"/>
          <w:spacing w:val="-1"/>
          <w:lang w:val="hu-HU"/>
        </w:rPr>
        <w:t>forgalomba.</w:t>
      </w:r>
    </w:p>
    <w:p w14:paraId="5700DD95" w14:textId="77777777" w:rsidR="0023578C" w:rsidRPr="00A15F63" w:rsidRDefault="0023578C" w:rsidP="009106D9">
      <w:pPr>
        <w:pStyle w:val="Szvegtrzs"/>
        <w:ind w:left="0"/>
        <w:rPr>
          <w:rFonts w:cs="Times New Roman"/>
          <w:lang w:val="hu-HU"/>
        </w:rPr>
      </w:pPr>
    </w:p>
    <w:p w14:paraId="57418487" w14:textId="6D1203B2" w:rsidR="00F5603F" w:rsidRPr="00A15F63" w:rsidRDefault="00E02F4E" w:rsidP="009106D9">
      <w:pPr>
        <w:pStyle w:val="Cmsor1"/>
        <w:rPr>
          <w:bCs/>
          <w:lang w:val="hu-HU"/>
        </w:rPr>
      </w:pPr>
      <w:r w:rsidRPr="00A15F63">
        <w:rPr>
          <w:lang w:val="hu-HU"/>
        </w:rPr>
        <w:t>6.6</w:t>
      </w:r>
      <w:r w:rsidRPr="00A15F63">
        <w:rPr>
          <w:lang w:val="hu-HU"/>
        </w:rPr>
        <w:tab/>
      </w:r>
      <w:r w:rsidR="00612B56" w:rsidRPr="00A15F63">
        <w:rPr>
          <w:lang w:val="hu-HU"/>
        </w:rPr>
        <w:t>A megsemmisítésre vonatkozó különleges óvintézkedések</w:t>
      </w:r>
      <w:r w:rsidR="00E154DD">
        <w:rPr>
          <w:lang w:val="hu-HU"/>
        </w:rPr>
        <w:t xml:space="preserve"> </w:t>
      </w:r>
      <w:r w:rsidR="00E154DD" w:rsidRPr="00E154DD">
        <w:rPr>
          <w:lang w:val="hu-HU"/>
        </w:rPr>
        <w:t>és egyéb, a készítmény kezelésével kapcsolatos információk</w:t>
      </w:r>
    </w:p>
    <w:p w14:paraId="0786225D" w14:textId="77777777" w:rsidR="00F5603F" w:rsidRPr="00A15F63" w:rsidRDefault="00F5603F" w:rsidP="009106D9">
      <w:pPr>
        <w:rPr>
          <w:rFonts w:ascii="Times New Roman" w:eastAsia="Times New Roman" w:hAnsi="Times New Roman" w:cs="Times New Roman"/>
          <w:b/>
          <w:bCs/>
          <w:lang w:val="hu-HU"/>
        </w:rPr>
      </w:pPr>
    </w:p>
    <w:p w14:paraId="1FFE52A1" w14:textId="73240722" w:rsidR="00464FC8" w:rsidRPr="00A15F63" w:rsidRDefault="00464FC8" w:rsidP="00464FC8">
      <w:pPr>
        <w:pStyle w:val="Szvegtrzs"/>
        <w:ind w:left="0"/>
        <w:rPr>
          <w:rFonts w:cs="Times New Roman"/>
          <w:spacing w:val="-1"/>
          <w:lang w:val="hu-HU"/>
        </w:rPr>
      </w:pPr>
      <w:r w:rsidRPr="00A15F63">
        <w:rPr>
          <w:rFonts w:cs="Times New Roman"/>
          <w:spacing w:val="-1"/>
          <w:lang w:val="hu-HU"/>
        </w:rPr>
        <w:t xml:space="preserve">Abban az esetben, ha </w:t>
      </w:r>
      <w:r w:rsidR="00775708">
        <w:rPr>
          <w:rFonts w:cs="Times New Roman"/>
          <w:spacing w:val="-1"/>
          <w:lang w:val="hu-HU"/>
        </w:rPr>
        <w:t xml:space="preserve">a felhasználó </w:t>
      </w:r>
      <w:r w:rsidRPr="00A15F63">
        <w:rPr>
          <w:rFonts w:cs="Times New Roman"/>
          <w:spacing w:val="-1"/>
          <w:lang w:val="hu-HU"/>
        </w:rPr>
        <w:t>érintkezésbe kerül a kapszula tartalmával, azonnal bő vízzel kezet kell mosni</w:t>
      </w:r>
      <w:r w:rsidR="00A342A8">
        <w:rPr>
          <w:rFonts w:cs="Times New Roman"/>
          <w:spacing w:val="-1"/>
          <w:lang w:val="hu-HU"/>
        </w:rPr>
        <w:t xml:space="preserve"> </w:t>
      </w:r>
      <w:r w:rsidRPr="00A15F63">
        <w:rPr>
          <w:rFonts w:cs="Times New Roman"/>
          <w:spacing w:val="-1"/>
          <w:lang w:val="hu-HU"/>
        </w:rPr>
        <w:t>(lásd 4.2</w:t>
      </w:r>
      <w:r w:rsidR="007B52C3">
        <w:rPr>
          <w:rFonts w:cs="Times New Roman"/>
          <w:spacing w:val="-1"/>
          <w:lang w:val="hu-HU"/>
        </w:rPr>
        <w:t> </w:t>
      </w:r>
      <w:r w:rsidRPr="00A15F63">
        <w:rPr>
          <w:rFonts w:cs="Times New Roman"/>
          <w:spacing w:val="-1"/>
          <w:lang w:val="hu-HU"/>
        </w:rPr>
        <w:t>pont).</w:t>
      </w:r>
    </w:p>
    <w:p w14:paraId="4311D2AE" w14:textId="5577E145" w:rsidR="00464FC8" w:rsidRPr="00A15F63" w:rsidRDefault="00464FC8" w:rsidP="00464FC8">
      <w:pPr>
        <w:pStyle w:val="Szvegtrzs"/>
        <w:ind w:left="0"/>
        <w:rPr>
          <w:rFonts w:cs="Times New Roman"/>
          <w:spacing w:val="-1"/>
          <w:lang w:val="hu-HU"/>
        </w:rPr>
      </w:pPr>
      <w:r w:rsidRPr="00A15F63">
        <w:rPr>
          <w:rFonts w:cs="Times New Roman"/>
          <w:spacing w:val="-1"/>
          <w:lang w:val="hu-HU"/>
        </w:rPr>
        <w:t xml:space="preserve">Bármilyen fel nem használt gyógyszer, </w:t>
      </w:r>
      <w:bookmarkStart w:id="3" w:name="_Hlk179236551"/>
      <w:r w:rsidRPr="00A15F63">
        <w:rPr>
          <w:rFonts w:cs="Times New Roman"/>
          <w:spacing w:val="-1"/>
          <w:lang w:val="hu-HU"/>
        </w:rPr>
        <w:t>ill</w:t>
      </w:r>
      <w:r w:rsidR="00AF5E9E">
        <w:rPr>
          <w:rFonts w:cs="Times New Roman"/>
          <w:spacing w:val="-1"/>
          <w:lang w:val="hu-HU"/>
        </w:rPr>
        <w:t>.</w:t>
      </w:r>
      <w:bookmarkEnd w:id="3"/>
      <w:r w:rsidRPr="00A15F63">
        <w:rPr>
          <w:rFonts w:cs="Times New Roman"/>
          <w:spacing w:val="-1"/>
          <w:lang w:val="hu-HU"/>
        </w:rPr>
        <w:t xml:space="preserve"> hulladékanyag megsemmisítését a gyógyszerekre</w:t>
      </w:r>
      <w:r w:rsidR="00A342A8">
        <w:rPr>
          <w:rFonts w:cs="Times New Roman"/>
          <w:spacing w:val="-1"/>
          <w:lang w:val="hu-HU"/>
        </w:rPr>
        <w:t xml:space="preserve"> </w:t>
      </w:r>
      <w:r w:rsidRPr="00A15F63">
        <w:rPr>
          <w:rFonts w:cs="Times New Roman"/>
          <w:spacing w:val="-1"/>
          <w:lang w:val="hu-HU"/>
        </w:rPr>
        <w:t>vonatkozó előírások szerint kell végrehajtani.</w:t>
      </w:r>
    </w:p>
    <w:p w14:paraId="32C30325" w14:textId="4033C341" w:rsidR="00F5603F" w:rsidRPr="00A15F63" w:rsidRDefault="00F5603F" w:rsidP="009106D9">
      <w:pPr>
        <w:rPr>
          <w:rFonts w:ascii="Times New Roman" w:eastAsia="Times New Roman" w:hAnsi="Times New Roman" w:cs="Times New Roman"/>
          <w:lang w:val="hu-HU"/>
        </w:rPr>
      </w:pPr>
    </w:p>
    <w:p w14:paraId="55584E4D" w14:textId="77777777" w:rsidR="00E3058E" w:rsidRPr="00A15F63" w:rsidRDefault="00E3058E" w:rsidP="00A5740F">
      <w:pPr>
        <w:keepNext/>
        <w:suppressAutoHyphens/>
        <w:rPr>
          <w:rFonts w:ascii="Times New Roman" w:hAnsi="Times New Roman"/>
          <w:lang w:val="hu-HU" w:eastAsia="ar-SA"/>
        </w:rPr>
      </w:pPr>
      <w:r w:rsidRPr="00A15F63">
        <w:rPr>
          <w:rFonts w:ascii="Times New Roman" w:hAnsi="Times New Roman"/>
          <w:b/>
          <w:lang w:val="hu-HU" w:eastAsia="ar-SA"/>
        </w:rPr>
        <w:t>Megjegyzés:</w:t>
      </w:r>
      <w:r w:rsidRPr="00A15F63">
        <w:rPr>
          <w:rFonts w:ascii="Times New Roman" w:hAnsi="Times New Roman"/>
          <w:lang w:val="hu-HU" w:eastAsia="ar-SA"/>
        </w:rPr>
        <w:t xml:space="preserve"> </w:t>
      </w:r>
      <w:r w:rsidRPr="00E32305">
        <w:rPr>
          <w:rFonts w:ascii="Times New Roman" w:hAnsi="Times New Roman"/>
        </w:rPr>
        <w:sym w:font="Wingdings" w:char="F058"/>
      </w:r>
      <w:r w:rsidRPr="00E32305">
        <w:rPr>
          <w:rFonts w:ascii="Times New Roman" w:hAnsi="Times New Roman"/>
        </w:rPr>
        <w:sym w:font="Wingdings" w:char="F058"/>
      </w:r>
      <w:r w:rsidRPr="00A15F63">
        <w:rPr>
          <w:rFonts w:ascii="Times New Roman" w:hAnsi="Times New Roman"/>
          <w:lang w:val="hu-HU" w:eastAsia="ar-SA"/>
        </w:rPr>
        <w:t xml:space="preserve"> (két keresztes)</w:t>
      </w:r>
    </w:p>
    <w:p w14:paraId="37C0CF3E" w14:textId="77777777" w:rsidR="00E3058E" w:rsidRPr="00A15F63" w:rsidRDefault="00E3058E" w:rsidP="00E3058E">
      <w:pPr>
        <w:suppressAutoHyphens/>
        <w:rPr>
          <w:rFonts w:ascii="Times New Roman" w:hAnsi="Times New Roman"/>
          <w:b/>
          <w:lang w:val="hu-HU" w:eastAsia="ar-SA"/>
        </w:rPr>
      </w:pPr>
      <w:r w:rsidRPr="00A15F63">
        <w:rPr>
          <w:rFonts w:ascii="Times New Roman" w:hAnsi="Times New Roman"/>
          <w:lang w:val="hu-HU" w:eastAsia="ar-SA"/>
        </w:rPr>
        <w:t xml:space="preserve">Osztályozás: </w:t>
      </w:r>
      <w:r w:rsidRPr="00A15F63">
        <w:rPr>
          <w:rFonts w:ascii="Times New Roman" w:hAnsi="Times New Roman"/>
          <w:b/>
          <w:lang w:val="hu-HU" w:eastAsia="ar-SA"/>
        </w:rPr>
        <w:t>II/2. csoport</w:t>
      </w:r>
    </w:p>
    <w:p w14:paraId="7ADB4D3E" w14:textId="77777777" w:rsidR="00E3058E" w:rsidRPr="00A15F63" w:rsidRDefault="00E3058E" w:rsidP="00E3058E">
      <w:pPr>
        <w:suppressAutoHyphens/>
        <w:autoSpaceDE w:val="0"/>
        <w:autoSpaceDN w:val="0"/>
        <w:adjustRightInd w:val="0"/>
        <w:rPr>
          <w:rFonts w:ascii="Times New Roman" w:hAnsi="Times New Roman"/>
          <w:bCs/>
          <w:color w:val="000000"/>
          <w:lang w:val="hu-HU"/>
        </w:rPr>
      </w:pPr>
      <w:r w:rsidRPr="00A15F63">
        <w:rPr>
          <w:rFonts w:ascii="Times New Roman" w:hAnsi="Times New Roman"/>
          <w:color w:val="000000"/>
          <w:lang w:val="hu-HU"/>
        </w:rPr>
        <w:t>Korlátozott érvényű orvosi rendelvényhez kötött, szakorvosi/kórházi diagnózist követően folyamatos szakorvosi ellenőrzés mellett alkalmazható gyógyszer (Sz).</w:t>
      </w:r>
    </w:p>
    <w:p w14:paraId="122085EB" w14:textId="77777777" w:rsidR="00E3058E" w:rsidRPr="00A15F63" w:rsidRDefault="00E3058E" w:rsidP="009106D9">
      <w:pPr>
        <w:rPr>
          <w:rFonts w:ascii="Times New Roman" w:eastAsia="Times New Roman" w:hAnsi="Times New Roman" w:cs="Times New Roman"/>
          <w:lang w:val="hu-HU"/>
        </w:rPr>
      </w:pPr>
    </w:p>
    <w:p w14:paraId="7E5C7CF4" w14:textId="77777777" w:rsidR="00F5603F" w:rsidRPr="00A15F63" w:rsidRDefault="00F5603F" w:rsidP="009106D9">
      <w:pPr>
        <w:rPr>
          <w:rFonts w:ascii="Times New Roman" w:eastAsia="Times New Roman" w:hAnsi="Times New Roman" w:cs="Times New Roman"/>
          <w:lang w:val="hu-HU"/>
        </w:rPr>
      </w:pPr>
    </w:p>
    <w:p w14:paraId="3D3286AA" w14:textId="0DAA5553" w:rsidR="00F5603F" w:rsidRPr="00A15F63" w:rsidRDefault="00E02F4E" w:rsidP="009106D9">
      <w:pPr>
        <w:pStyle w:val="Cmsor1"/>
        <w:rPr>
          <w:bCs/>
          <w:lang w:val="hu-HU"/>
        </w:rPr>
      </w:pPr>
      <w:r w:rsidRPr="00A15F63">
        <w:rPr>
          <w:lang w:val="hu-HU"/>
        </w:rPr>
        <w:t>7.</w:t>
      </w:r>
      <w:r w:rsidRPr="00A15F63">
        <w:rPr>
          <w:lang w:val="hu-HU"/>
        </w:rPr>
        <w:tab/>
      </w:r>
      <w:r w:rsidR="00612B56" w:rsidRPr="00A15F63">
        <w:rPr>
          <w:lang w:val="hu-HU"/>
        </w:rPr>
        <w:t>A FORGALOMBA</w:t>
      </w:r>
      <w:r w:rsidR="00612B56" w:rsidRPr="00A15F63">
        <w:rPr>
          <w:spacing w:val="-2"/>
          <w:lang w:val="hu-HU"/>
        </w:rPr>
        <w:t xml:space="preserve"> HOZATALI</w:t>
      </w:r>
      <w:r w:rsidR="00612B56" w:rsidRPr="00A15F63">
        <w:rPr>
          <w:lang w:val="hu-HU"/>
        </w:rPr>
        <w:t xml:space="preserve"> ENGEDÉLY JOGOSULTJA</w:t>
      </w:r>
    </w:p>
    <w:p w14:paraId="5665027F" w14:textId="77777777" w:rsidR="00F5603F" w:rsidRPr="00A15F63" w:rsidRDefault="00F5603F" w:rsidP="009106D9">
      <w:pPr>
        <w:rPr>
          <w:rFonts w:ascii="Times New Roman" w:eastAsia="Times New Roman" w:hAnsi="Times New Roman" w:cs="Times New Roman"/>
          <w:b/>
          <w:bCs/>
          <w:lang w:val="hu-HU"/>
        </w:rPr>
      </w:pPr>
    </w:p>
    <w:p w14:paraId="4DA2DBB1" w14:textId="77777777" w:rsidR="00464FC8" w:rsidRPr="00A15F63" w:rsidRDefault="00464FC8" w:rsidP="00464FC8">
      <w:pPr>
        <w:rPr>
          <w:rFonts w:ascii="Times New Roman" w:eastAsia="Times New Roman" w:hAnsi="Times New Roman" w:cs="Times New Roman"/>
          <w:lang w:val="hu-HU"/>
        </w:rPr>
      </w:pPr>
      <w:r w:rsidRPr="00A15F63">
        <w:rPr>
          <w:rFonts w:ascii="Times New Roman" w:eastAsia="Times New Roman" w:hAnsi="Times New Roman" w:cs="Times New Roman"/>
          <w:lang w:val="hu-HU"/>
        </w:rPr>
        <w:t>Onkogen Kft.</w:t>
      </w:r>
    </w:p>
    <w:p w14:paraId="7BD2F86D" w14:textId="77777777" w:rsidR="00464FC8" w:rsidRPr="00A15F63" w:rsidRDefault="00464FC8" w:rsidP="00464FC8">
      <w:pPr>
        <w:rPr>
          <w:rFonts w:ascii="Times New Roman" w:eastAsia="Times New Roman" w:hAnsi="Times New Roman" w:cs="Times New Roman"/>
          <w:lang w:val="hu-HU"/>
        </w:rPr>
      </w:pPr>
      <w:r w:rsidRPr="00A15F63">
        <w:rPr>
          <w:rFonts w:ascii="Times New Roman" w:eastAsia="Times New Roman" w:hAnsi="Times New Roman" w:cs="Times New Roman"/>
          <w:lang w:val="hu-HU"/>
        </w:rPr>
        <w:t>1037 Budapest, Bécsi út 77-79.</w:t>
      </w:r>
    </w:p>
    <w:p w14:paraId="47506D5D" w14:textId="679179B6" w:rsidR="003907C6" w:rsidRPr="00A15F63" w:rsidRDefault="00464FC8" w:rsidP="00464FC8">
      <w:pPr>
        <w:rPr>
          <w:rFonts w:ascii="Times New Roman" w:eastAsia="Times New Roman" w:hAnsi="Times New Roman" w:cs="Times New Roman"/>
          <w:lang w:val="hu-HU"/>
        </w:rPr>
      </w:pPr>
      <w:r w:rsidRPr="00A15F63">
        <w:rPr>
          <w:rFonts w:ascii="Times New Roman" w:eastAsia="Times New Roman" w:hAnsi="Times New Roman" w:cs="Times New Roman"/>
          <w:lang w:val="hu-HU"/>
        </w:rPr>
        <w:t>Magyarország</w:t>
      </w:r>
    </w:p>
    <w:p w14:paraId="14D811E9" w14:textId="77777777" w:rsidR="00E3058E" w:rsidRDefault="00E3058E" w:rsidP="009106D9">
      <w:pPr>
        <w:rPr>
          <w:rFonts w:ascii="Times New Roman" w:eastAsia="Times New Roman" w:hAnsi="Times New Roman" w:cs="Times New Roman"/>
          <w:lang w:val="hu-HU"/>
        </w:rPr>
      </w:pPr>
    </w:p>
    <w:p w14:paraId="303FC44B" w14:textId="77777777" w:rsidR="001038E2" w:rsidRPr="00A15F63" w:rsidRDefault="001038E2" w:rsidP="009106D9">
      <w:pPr>
        <w:rPr>
          <w:rFonts w:ascii="Times New Roman" w:eastAsia="Times New Roman" w:hAnsi="Times New Roman" w:cs="Times New Roman"/>
          <w:lang w:val="hu-HU"/>
        </w:rPr>
      </w:pPr>
    </w:p>
    <w:p w14:paraId="739C23E7" w14:textId="7C73604B" w:rsidR="00F5603F" w:rsidRPr="00A15F63" w:rsidRDefault="00C56C95" w:rsidP="009106D9">
      <w:pPr>
        <w:pStyle w:val="Cmsor1"/>
        <w:rPr>
          <w:bCs/>
          <w:lang w:val="hu-HU"/>
        </w:rPr>
      </w:pPr>
      <w:r w:rsidRPr="00A15F63">
        <w:rPr>
          <w:lang w:val="hu-HU"/>
        </w:rPr>
        <w:t>8.</w:t>
      </w:r>
      <w:r w:rsidRPr="00A15F63">
        <w:rPr>
          <w:lang w:val="hu-HU"/>
        </w:rPr>
        <w:tab/>
      </w:r>
      <w:r w:rsidR="00612B56" w:rsidRPr="00A15F63">
        <w:rPr>
          <w:lang w:val="hu-HU"/>
        </w:rPr>
        <w:t>A FORGALOMBA</w:t>
      </w:r>
      <w:r w:rsidR="00612B56" w:rsidRPr="00A15F63">
        <w:rPr>
          <w:spacing w:val="-2"/>
          <w:lang w:val="hu-HU"/>
        </w:rPr>
        <w:t xml:space="preserve"> HOZATALI</w:t>
      </w:r>
      <w:r w:rsidR="00612B56" w:rsidRPr="00A15F63">
        <w:rPr>
          <w:lang w:val="hu-HU"/>
        </w:rPr>
        <w:t xml:space="preserve"> ENGEDÉLY SZÁMA(I)</w:t>
      </w:r>
    </w:p>
    <w:p w14:paraId="481A586B" w14:textId="77777777" w:rsidR="00F5603F" w:rsidRPr="00A15F63" w:rsidRDefault="00F5603F" w:rsidP="009106D9">
      <w:pPr>
        <w:rPr>
          <w:rFonts w:ascii="Times New Roman" w:eastAsia="Times New Roman" w:hAnsi="Times New Roman" w:cs="Times New Roman"/>
          <w:b/>
          <w:bCs/>
          <w:lang w:val="hu-HU"/>
        </w:rPr>
      </w:pPr>
    </w:p>
    <w:p w14:paraId="42E5B100" w14:textId="730A08CD" w:rsidR="00464FC8" w:rsidRPr="00A15F63" w:rsidRDefault="00464FC8" w:rsidP="00464FC8">
      <w:pPr>
        <w:rPr>
          <w:rFonts w:ascii="Times New Roman" w:eastAsia="Times New Roman" w:hAnsi="Times New Roman" w:cs="Times New Roman"/>
          <w:u w:val="single"/>
          <w:lang w:val="hu-HU"/>
        </w:rPr>
      </w:pPr>
      <w:r w:rsidRPr="00A15F63">
        <w:rPr>
          <w:rFonts w:ascii="Times New Roman" w:eastAsia="Times New Roman" w:hAnsi="Times New Roman" w:cs="Times New Roman"/>
          <w:u w:val="single"/>
          <w:lang w:val="hu-HU"/>
        </w:rPr>
        <w:t>Nintedanib Onkogen 100</w:t>
      </w:r>
      <w:r w:rsidR="00BE07A5">
        <w:rPr>
          <w:rFonts w:ascii="Times New Roman" w:eastAsia="Times New Roman" w:hAnsi="Times New Roman" w:cs="Times New Roman"/>
          <w:u w:val="single"/>
          <w:lang w:val="hu-HU"/>
        </w:rPr>
        <w:t> </w:t>
      </w:r>
      <w:r w:rsidRPr="00A15F63">
        <w:rPr>
          <w:rFonts w:ascii="Times New Roman" w:eastAsia="Times New Roman" w:hAnsi="Times New Roman" w:cs="Times New Roman"/>
          <w:u w:val="single"/>
          <w:lang w:val="hu-HU"/>
        </w:rPr>
        <w:t>mg lágy kapszula</w:t>
      </w:r>
    </w:p>
    <w:p w14:paraId="6EB1F61D" w14:textId="506C7F0D" w:rsidR="001B57D6" w:rsidRPr="0078451C" w:rsidRDefault="001B57D6" w:rsidP="0078451C">
      <w:pPr>
        <w:rPr>
          <w:rFonts w:ascii="Times New Roman" w:hAnsi="Times New Roman" w:cs="Times New Roman"/>
          <w:lang w:eastAsia="hu-HU"/>
        </w:rPr>
      </w:pPr>
      <w:bookmarkStart w:id="4" w:name="_Hlk178256142"/>
      <w:r w:rsidRPr="0078451C">
        <w:rPr>
          <w:rFonts w:ascii="Times New Roman" w:hAnsi="Times New Roman" w:cs="Times New Roman"/>
          <w:lang w:eastAsia="hu-HU"/>
        </w:rPr>
        <w:t xml:space="preserve">OGYI-T-24516/01     60x      PA/Al/PVC//Al/PET adagonként perforált buborékcsomagolásban </w:t>
      </w:r>
    </w:p>
    <w:p w14:paraId="59515B91" w14:textId="42A9437E" w:rsidR="00623279" w:rsidRPr="0078451C" w:rsidRDefault="001B57D6" w:rsidP="0078451C">
      <w:pPr>
        <w:tabs>
          <w:tab w:val="left" w:pos="2694"/>
          <w:tab w:val="left" w:pos="2977"/>
          <w:tab w:val="left" w:pos="4560"/>
          <w:tab w:val="left" w:pos="6946"/>
        </w:tabs>
        <w:autoSpaceDE w:val="0"/>
        <w:autoSpaceDN w:val="0"/>
        <w:adjustRightInd w:val="0"/>
        <w:ind w:left="-360" w:firstLine="360"/>
        <w:rPr>
          <w:rFonts w:ascii="Times New Roman" w:eastAsia="Times New Roman" w:hAnsi="Times New Roman" w:cs="Times New Roman"/>
          <w:bCs/>
          <w:lang w:val="hu-HU"/>
        </w:rPr>
      </w:pPr>
      <w:r w:rsidRPr="0078451C">
        <w:rPr>
          <w:rFonts w:ascii="Times New Roman" w:hAnsi="Times New Roman" w:cs="Times New Roman"/>
          <w:lang w:eastAsia="hu-HU"/>
        </w:rPr>
        <w:t>OGYI-T-24516/02     60x      PA/Al/PVC//Al/PET buborékcsomagolásban                      </w:t>
      </w:r>
    </w:p>
    <w:bookmarkEnd w:id="4"/>
    <w:p w14:paraId="39ADFA8A" w14:textId="77777777" w:rsidR="00464FC8" w:rsidRPr="00A15F63" w:rsidRDefault="00464FC8" w:rsidP="00A5740F">
      <w:pPr>
        <w:tabs>
          <w:tab w:val="left" w:pos="2694"/>
          <w:tab w:val="left" w:pos="2977"/>
          <w:tab w:val="left" w:pos="4560"/>
          <w:tab w:val="left" w:pos="6946"/>
        </w:tabs>
        <w:autoSpaceDE w:val="0"/>
        <w:autoSpaceDN w:val="0"/>
        <w:adjustRightInd w:val="0"/>
        <w:ind w:left="-360" w:firstLine="360"/>
        <w:jc w:val="both"/>
        <w:rPr>
          <w:rFonts w:ascii="Times New Roman" w:eastAsia="Times New Roman" w:hAnsi="Times New Roman" w:cs="Times New Roman"/>
          <w:lang w:val="hu-HU"/>
        </w:rPr>
      </w:pPr>
    </w:p>
    <w:p w14:paraId="4BDA9F77" w14:textId="0C7488D8" w:rsidR="00464FC8" w:rsidRPr="00A15F63" w:rsidRDefault="00464FC8" w:rsidP="00464FC8">
      <w:pPr>
        <w:ind w:left="2160" w:hanging="2160"/>
        <w:rPr>
          <w:rFonts w:ascii="Times New Roman" w:eastAsia="Times New Roman" w:hAnsi="Times New Roman" w:cs="Times New Roman"/>
          <w:u w:val="single"/>
          <w:lang w:val="hu-HU"/>
        </w:rPr>
      </w:pPr>
      <w:r w:rsidRPr="00A15F63">
        <w:rPr>
          <w:rFonts w:ascii="Times New Roman" w:eastAsia="Times New Roman" w:hAnsi="Times New Roman" w:cs="Times New Roman"/>
          <w:u w:val="single"/>
          <w:lang w:val="hu-HU"/>
        </w:rPr>
        <w:t>Nintedanib Onkogen 150</w:t>
      </w:r>
      <w:r w:rsidR="00BE07A5">
        <w:rPr>
          <w:rFonts w:ascii="Times New Roman" w:eastAsia="Times New Roman" w:hAnsi="Times New Roman" w:cs="Times New Roman"/>
          <w:u w:val="single"/>
          <w:lang w:val="hu-HU"/>
        </w:rPr>
        <w:t> </w:t>
      </w:r>
      <w:r w:rsidRPr="00A15F63">
        <w:rPr>
          <w:rFonts w:ascii="Times New Roman" w:eastAsia="Times New Roman" w:hAnsi="Times New Roman" w:cs="Times New Roman"/>
          <w:u w:val="single"/>
          <w:lang w:val="hu-HU"/>
        </w:rPr>
        <w:t>mg lágy kapszula</w:t>
      </w:r>
    </w:p>
    <w:p w14:paraId="4BA28FE4" w14:textId="71AE8D38" w:rsidR="001B57D6" w:rsidRPr="0078451C" w:rsidRDefault="001B57D6" w:rsidP="0078451C">
      <w:pPr>
        <w:rPr>
          <w:rFonts w:ascii="Times New Roman" w:hAnsi="Times New Roman" w:cs="Times New Roman"/>
          <w:lang w:eastAsia="hu-HU"/>
        </w:rPr>
      </w:pPr>
      <w:r w:rsidRPr="0078451C">
        <w:rPr>
          <w:rFonts w:ascii="Times New Roman" w:hAnsi="Times New Roman" w:cs="Times New Roman"/>
          <w:lang w:eastAsia="hu-HU"/>
        </w:rPr>
        <w:t xml:space="preserve">OGYI-T-24516/03     60x      PA/Al/PVC//Al/PET adagonként perforált buborékcsomagolásban </w:t>
      </w:r>
    </w:p>
    <w:p w14:paraId="36770501" w14:textId="77777777" w:rsidR="001B57D6" w:rsidRPr="0078451C" w:rsidRDefault="001B57D6" w:rsidP="0078451C">
      <w:pPr>
        <w:rPr>
          <w:rFonts w:ascii="Times New Roman" w:hAnsi="Times New Roman" w:cs="Times New Roman"/>
          <w:lang w:eastAsia="hu-HU"/>
        </w:rPr>
      </w:pPr>
      <w:r w:rsidRPr="0078451C">
        <w:rPr>
          <w:rFonts w:ascii="Times New Roman" w:hAnsi="Times New Roman" w:cs="Times New Roman"/>
          <w:lang w:eastAsia="hu-HU"/>
        </w:rPr>
        <w:t xml:space="preserve">OGYI-T-24516/04     60x      PA/Al/PVC//Al/PET buborékcsomagolásban           </w:t>
      </w:r>
    </w:p>
    <w:p w14:paraId="646B55D2" w14:textId="77777777" w:rsidR="001038E2" w:rsidRPr="00110009" w:rsidRDefault="001038E2" w:rsidP="00110009">
      <w:pPr>
        <w:tabs>
          <w:tab w:val="left" w:pos="2694"/>
          <w:tab w:val="left" w:pos="2977"/>
          <w:tab w:val="left" w:pos="4560"/>
          <w:tab w:val="left" w:pos="6946"/>
        </w:tabs>
        <w:autoSpaceDE w:val="0"/>
        <w:autoSpaceDN w:val="0"/>
        <w:adjustRightInd w:val="0"/>
        <w:ind w:left="-360" w:firstLine="360"/>
        <w:jc w:val="both"/>
        <w:rPr>
          <w:rFonts w:ascii="Times New Roman" w:eastAsia="Times New Roman" w:hAnsi="Times New Roman" w:cs="Times New Roman"/>
          <w:bCs/>
          <w:lang w:val="hu-HU"/>
        </w:rPr>
      </w:pPr>
    </w:p>
    <w:p w14:paraId="3806AD1A" w14:textId="77777777" w:rsidR="00464FC8" w:rsidRPr="00A15F63" w:rsidRDefault="00464FC8" w:rsidP="00464FC8">
      <w:pPr>
        <w:rPr>
          <w:rFonts w:ascii="Times New Roman" w:eastAsia="Times New Roman" w:hAnsi="Times New Roman" w:cs="Times New Roman"/>
          <w:lang w:val="hu-HU"/>
        </w:rPr>
      </w:pPr>
    </w:p>
    <w:p w14:paraId="2688BDE7" w14:textId="0FD8D8C0" w:rsidR="00F5603F" w:rsidRPr="00A15F63" w:rsidRDefault="00C56C95" w:rsidP="00E86C85">
      <w:pPr>
        <w:pStyle w:val="Cmsor1"/>
        <w:tabs>
          <w:tab w:val="clear" w:pos="686"/>
          <w:tab w:val="left" w:pos="709"/>
        </w:tabs>
        <w:ind w:left="709" w:hanging="709"/>
        <w:rPr>
          <w:bCs/>
          <w:lang w:val="hu-HU"/>
        </w:rPr>
      </w:pPr>
      <w:r w:rsidRPr="00A15F63">
        <w:rPr>
          <w:lang w:val="hu-HU"/>
        </w:rPr>
        <w:t xml:space="preserve">9. </w:t>
      </w:r>
      <w:r w:rsidRPr="00A15F63">
        <w:rPr>
          <w:lang w:val="hu-HU"/>
        </w:rPr>
        <w:tab/>
      </w:r>
      <w:r w:rsidR="00612B56" w:rsidRPr="00A15F63">
        <w:rPr>
          <w:lang w:val="hu-HU"/>
        </w:rPr>
        <w:t>A FORGALOMBA</w:t>
      </w:r>
      <w:r w:rsidR="00612B56" w:rsidRPr="00A15F63">
        <w:rPr>
          <w:spacing w:val="-2"/>
          <w:lang w:val="hu-HU"/>
        </w:rPr>
        <w:t xml:space="preserve"> HOZATALI</w:t>
      </w:r>
      <w:r w:rsidR="00612B56" w:rsidRPr="00A15F63">
        <w:rPr>
          <w:lang w:val="hu-HU"/>
        </w:rPr>
        <w:t xml:space="preserve"> ENGEDÉLY ELSŐ KIADÁSÁNAK/</w:t>
      </w:r>
      <w:r w:rsidR="00612B56" w:rsidRPr="00A15F63">
        <w:rPr>
          <w:spacing w:val="23"/>
          <w:lang w:val="hu-HU"/>
        </w:rPr>
        <w:t xml:space="preserve"> </w:t>
      </w:r>
      <w:r w:rsidR="00612B56" w:rsidRPr="00A15F63">
        <w:rPr>
          <w:lang w:val="hu-HU"/>
        </w:rPr>
        <w:t>MEGÚJÍTÁSÁNAK</w:t>
      </w:r>
      <w:r w:rsidR="00612B56" w:rsidRPr="00A15F63">
        <w:rPr>
          <w:spacing w:val="1"/>
          <w:lang w:val="hu-HU"/>
        </w:rPr>
        <w:t xml:space="preserve"> </w:t>
      </w:r>
      <w:r w:rsidR="00612B56" w:rsidRPr="00A15F63">
        <w:rPr>
          <w:spacing w:val="-2"/>
          <w:lang w:val="hu-HU"/>
        </w:rPr>
        <w:t>DÁTUMA</w:t>
      </w:r>
    </w:p>
    <w:p w14:paraId="66EA1BBC" w14:textId="77777777" w:rsidR="00F5603F" w:rsidRPr="00A15F63" w:rsidRDefault="00F5603F" w:rsidP="009106D9">
      <w:pPr>
        <w:rPr>
          <w:rFonts w:ascii="Times New Roman" w:eastAsia="Times New Roman" w:hAnsi="Times New Roman" w:cs="Times New Roman"/>
          <w:b/>
          <w:bCs/>
          <w:lang w:val="hu-HU"/>
        </w:rPr>
      </w:pPr>
    </w:p>
    <w:p w14:paraId="416F9C58" w14:textId="77777777" w:rsidR="00BD4436" w:rsidRPr="00BD4436" w:rsidRDefault="00C56C95" w:rsidP="00BD4436">
      <w:pPr>
        <w:rPr>
          <w:rFonts w:ascii="Times New Roman" w:eastAsia="Times New Roman" w:hAnsi="Times New Roman" w:cs="Times New Roman"/>
        </w:rPr>
      </w:pPr>
      <w:r w:rsidRPr="00BD4436">
        <w:rPr>
          <w:rFonts w:ascii="Times New Roman" w:hAnsi="Times New Roman" w:cs="Times New Roman"/>
          <w:spacing w:val="-1"/>
          <w:lang w:val="hu-HU"/>
        </w:rPr>
        <w:t>A forgalomba hozatali engedély első kiadásának dátuma:</w:t>
      </w:r>
      <w:r w:rsidRPr="00BD4436" w:rsidDel="00C56C95">
        <w:rPr>
          <w:rFonts w:ascii="Times New Roman" w:hAnsi="Times New Roman" w:cs="Times New Roman"/>
          <w:spacing w:val="-1"/>
          <w:lang w:val="hu-HU"/>
        </w:rPr>
        <w:t xml:space="preserve"> </w:t>
      </w:r>
      <w:r w:rsidR="00BD4436" w:rsidRPr="00BD4436">
        <w:rPr>
          <w:rFonts w:ascii="Times New Roman" w:eastAsia="Times New Roman" w:hAnsi="Times New Roman" w:cs="Times New Roman"/>
        </w:rPr>
        <w:t>2025. január 27.</w:t>
      </w:r>
    </w:p>
    <w:p w14:paraId="5C27C885" w14:textId="77777777" w:rsidR="00F5603F" w:rsidRPr="00110009" w:rsidRDefault="00F5603F" w:rsidP="009106D9">
      <w:pPr>
        <w:rPr>
          <w:rFonts w:ascii="Times New Roman" w:eastAsia="Times New Roman" w:hAnsi="Times New Roman" w:cs="Times New Roman"/>
          <w:lang w:val="hu-HU"/>
        </w:rPr>
      </w:pPr>
    </w:p>
    <w:p w14:paraId="7D4471CD" w14:textId="77777777" w:rsidR="0023578C" w:rsidRPr="00110009" w:rsidRDefault="0023578C" w:rsidP="009106D9">
      <w:pPr>
        <w:rPr>
          <w:rFonts w:ascii="Times New Roman" w:eastAsia="Times New Roman" w:hAnsi="Times New Roman" w:cs="Times New Roman"/>
          <w:lang w:val="hu-HU"/>
        </w:rPr>
      </w:pPr>
    </w:p>
    <w:p w14:paraId="45CEBD5C" w14:textId="2EC03BD1" w:rsidR="00F5603F" w:rsidRPr="00EF71F8" w:rsidRDefault="00C56C95" w:rsidP="009106D9">
      <w:pPr>
        <w:pStyle w:val="Cmsor1"/>
        <w:rPr>
          <w:bCs/>
        </w:rPr>
      </w:pPr>
      <w:r>
        <w:t>10.</w:t>
      </w:r>
      <w:r>
        <w:tab/>
      </w:r>
      <w:r w:rsidR="00612B56" w:rsidRPr="00EF71F8">
        <w:t>A</w:t>
      </w:r>
      <w:r w:rsidR="00612B56" w:rsidRPr="00EF71F8">
        <w:rPr>
          <w:spacing w:val="-1"/>
        </w:rPr>
        <w:t xml:space="preserve"> SZÖVEG</w:t>
      </w:r>
      <w:r w:rsidR="00612B56" w:rsidRPr="00EF71F8">
        <w:rPr>
          <w:spacing w:val="1"/>
        </w:rPr>
        <w:t xml:space="preserve"> </w:t>
      </w:r>
      <w:r w:rsidR="00612B56" w:rsidRPr="00EF71F8">
        <w:t>ELLENŐRZÉSÉNEK</w:t>
      </w:r>
      <w:r w:rsidR="00612B56" w:rsidRPr="00EF71F8">
        <w:rPr>
          <w:spacing w:val="1"/>
        </w:rPr>
        <w:t xml:space="preserve"> </w:t>
      </w:r>
      <w:r w:rsidR="00612B56" w:rsidRPr="00EF71F8">
        <w:t>DÁTUMA</w:t>
      </w:r>
    </w:p>
    <w:p w14:paraId="27433DE0" w14:textId="0EEC630D" w:rsidR="00F5603F" w:rsidRDefault="00F5603F" w:rsidP="009106D9">
      <w:pPr>
        <w:rPr>
          <w:rFonts w:ascii="Times New Roman" w:eastAsia="Times New Roman" w:hAnsi="Times New Roman" w:cs="Times New Roman"/>
          <w:b/>
          <w:bCs/>
        </w:rPr>
      </w:pPr>
    </w:p>
    <w:p w14:paraId="1DA0A239" w14:textId="4B163D0D" w:rsidR="001B57D6" w:rsidRPr="0078451C" w:rsidRDefault="002D71E8" w:rsidP="009106D9">
      <w:pPr>
        <w:rPr>
          <w:rFonts w:ascii="Times New Roman" w:eastAsia="Times New Roman" w:hAnsi="Times New Roman" w:cs="Times New Roman"/>
        </w:rPr>
      </w:pPr>
      <w:r>
        <w:rPr>
          <w:rFonts w:ascii="Times New Roman" w:eastAsia="Times New Roman" w:hAnsi="Times New Roman" w:cs="Times New Roman"/>
        </w:rPr>
        <w:t xml:space="preserve">2026. </w:t>
      </w:r>
      <w:r w:rsidR="0012691B">
        <w:rPr>
          <w:rFonts w:ascii="Times New Roman" w:eastAsia="Times New Roman" w:hAnsi="Times New Roman" w:cs="Times New Roman"/>
        </w:rPr>
        <w:t>március</w:t>
      </w:r>
      <w:r>
        <w:rPr>
          <w:rFonts w:ascii="Times New Roman" w:eastAsia="Times New Roman" w:hAnsi="Times New Roman" w:cs="Times New Roman"/>
        </w:rPr>
        <w:t xml:space="preserve"> </w:t>
      </w:r>
      <w:r w:rsidR="00527237">
        <w:rPr>
          <w:rFonts w:ascii="Times New Roman" w:eastAsia="Times New Roman" w:hAnsi="Times New Roman" w:cs="Times New Roman"/>
        </w:rPr>
        <w:t>11.</w:t>
      </w:r>
    </w:p>
    <w:sectPr w:rsidR="001B57D6" w:rsidRPr="0078451C" w:rsidSect="00A5740F">
      <w:headerReference w:type="default" r:id="rId14"/>
      <w:footerReference w:type="default" r:id="rId15"/>
      <w:footerReference w:type="first" r:id="rId16"/>
      <w:pgSz w:w="11907" w:h="16840" w:code="9"/>
      <w:pgMar w:top="1134" w:right="1418" w:bottom="992"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5817A" w14:textId="77777777" w:rsidR="008A24D6" w:rsidRDefault="008A24D6">
      <w:r>
        <w:separator/>
      </w:r>
    </w:p>
  </w:endnote>
  <w:endnote w:type="continuationSeparator" w:id="0">
    <w:p w14:paraId="6CCC13E0" w14:textId="77777777" w:rsidR="008A24D6" w:rsidRDefault="008A2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4D"/>
    <w:family w:val="roman"/>
    <w:notTrueType/>
    <w:pitch w:val="default"/>
    <w:sig w:usb0="03000001" w:usb1="08070000" w:usb2="00000010" w:usb3="00000000" w:csb0="0002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CC5D2" w14:textId="77777777" w:rsidR="003B0251" w:rsidRDefault="003B0251" w:rsidP="00F947FA"/>
  <w:p w14:paraId="7C66863D" w14:textId="77777777" w:rsidR="003B0251" w:rsidRPr="002D40DB" w:rsidRDefault="003B0251">
    <w:pPr>
      <w:spacing w:line="14" w:lineRule="auto"/>
      <w:rPr>
        <w:sz w:val="18"/>
        <w:szCs w:val="18"/>
        <w:lang w:val="hu-HU"/>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6334C" w14:textId="05A82E37" w:rsidR="00CF793E" w:rsidRDefault="00CF793E">
    <w:pPr>
      <w:pStyle w:val="llb"/>
      <w:rPr>
        <w:rFonts w:ascii="Times New Roman" w:hAnsi="Times New Roman" w:cs="Times New Roman"/>
        <w:sz w:val="18"/>
        <w:szCs w:val="18"/>
      </w:rPr>
    </w:pPr>
    <w:r w:rsidRPr="00CF793E">
      <w:rPr>
        <w:rFonts w:ascii="Times New Roman" w:hAnsi="Times New Roman" w:cs="Times New Roman"/>
        <w:sz w:val="18"/>
        <w:szCs w:val="18"/>
      </w:rPr>
      <w:t>NNGYK/ETGY/30295/2025</w:t>
    </w:r>
  </w:p>
  <w:p w14:paraId="24BCB6FC" w14:textId="3823202B" w:rsidR="00CF793E" w:rsidRPr="00A5740F" w:rsidRDefault="00CF793E">
    <w:pPr>
      <w:pStyle w:val="llb"/>
      <w:rPr>
        <w:rFonts w:ascii="Times New Roman" w:hAnsi="Times New Roman" w:cs="Times New Roman"/>
        <w:sz w:val="18"/>
        <w:szCs w:val="18"/>
      </w:rPr>
    </w:pPr>
    <w:r w:rsidRPr="00CF793E">
      <w:rPr>
        <w:rFonts w:ascii="Times New Roman" w:hAnsi="Times New Roman" w:cs="Times New Roman"/>
        <w:sz w:val="18"/>
        <w:szCs w:val="18"/>
      </w:rPr>
      <w:t>NNGYK/ETGY/3029</w:t>
    </w:r>
    <w:r>
      <w:rPr>
        <w:rFonts w:ascii="Times New Roman" w:hAnsi="Times New Roman" w:cs="Times New Roman"/>
        <w:sz w:val="18"/>
        <w:szCs w:val="18"/>
      </w:rPr>
      <w:t>7</w:t>
    </w:r>
    <w:r w:rsidRPr="00CF793E">
      <w:rPr>
        <w:rFonts w:ascii="Times New Roman" w:hAnsi="Times New Roman" w:cs="Times New Roman"/>
        <w:sz w:val="18"/>
        <w:szCs w:val="18"/>
      </w:rPr>
      <w:t>/2025</w:t>
    </w:r>
  </w:p>
  <w:p w14:paraId="223136B4" w14:textId="200199E5" w:rsidR="003B0251" w:rsidRPr="00A5740F" w:rsidRDefault="003B0251">
    <w:pPr>
      <w:pStyle w:val="llb"/>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3A795" w14:textId="77777777" w:rsidR="008A24D6" w:rsidRDefault="008A24D6">
      <w:r>
        <w:separator/>
      </w:r>
    </w:p>
  </w:footnote>
  <w:footnote w:type="continuationSeparator" w:id="0">
    <w:p w14:paraId="083170C7" w14:textId="77777777" w:rsidR="008A24D6" w:rsidRDefault="008A24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5717785"/>
      <w:docPartObj>
        <w:docPartGallery w:val="Page Numbers (Top of Page)"/>
        <w:docPartUnique/>
      </w:docPartObj>
    </w:sdtPr>
    <w:sdtEndPr>
      <w:rPr>
        <w:rFonts w:ascii="Times New Roman" w:hAnsi="Times New Roman" w:cs="Times New Roman"/>
        <w:sz w:val="18"/>
        <w:szCs w:val="18"/>
      </w:rPr>
    </w:sdtEndPr>
    <w:sdtContent>
      <w:p w14:paraId="3F4A101D" w14:textId="1D6D8C35" w:rsidR="003B0251" w:rsidRPr="00AB381E" w:rsidRDefault="003B0251">
        <w:pPr>
          <w:pStyle w:val="lfej"/>
          <w:jc w:val="center"/>
          <w:rPr>
            <w:rFonts w:ascii="Times New Roman" w:hAnsi="Times New Roman" w:cs="Times New Roman"/>
            <w:sz w:val="18"/>
            <w:szCs w:val="18"/>
          </w:rPr>
        </w:pPr>
        <w:r w:rsidRPr="00AB381E">
          <w:rPr>
            <w:rFonts w:ascii="Times New Roman" w:hAnsi="Times New Roman" w:cs="Times New Roman"/>
            <w:sz w:val="18"/>
            <w:szCs w:val="18"/>
          </w:rPr>
          <w:fldChar w:fldCharType="begin"/>
        </w:r>
        <w:r w:rsidRPr="00AB381E">
          <w:rPr>
            <w:rFonts w:ascii="Times New Roman" w:hAnsi="Times New Roman" w:cs="Times New Roman"/>
            <w:sz w:val="18"/>
            <w:szCs w:val="18"/>
          </w:rPr>
          <w:instrText>PAGE   \* MERGEFORMAT</w:instrText>
        </w:r>
        <w:r w:rsidRPr="00AB381E">
          <w:rPr>
            <w:rFonts w:ascii="Times New Roman" w:hAnsi="Times New Roman" w:cs="Times New Roman"/>
            <w:sz w:val="18"/>
            <w:szCs w:val="18"/>
          </w:rPr>
          <w:fldChar w:fldCharType="separate"/>
        </w:r>
        <w:r w:rsidRPr="009420F0">
          <w:rPr>
            <w:rFonts w:ascii="Times New Roman" w:hAnsi="Times New Roman" w:cs="Times New Roman"/>
            <w:noProof/>
            <w:sz w:val="18"/>
            <w:szCs w:val="18"/>
            <w:lang w:val="hu-HU"/>
          </w:rPr>
          <w:t>33</w:t>
        </w:r>
        <w:r w:rsidRPr="00AB381E">
          <w:rPr>
            <w:rFonts w:ascii="Times New Roman" w:hAnsi="Times New Roman" w:cs="Times New Roman"/>
            <w:sz w:val="18"/>
            <w:szCs w:val="18"/>
          </w:rPr>
          <w:fldChar w:fldCharType="end"/>
        </w:r>
      </w:p>
    </w:sdtContent>
  </w:sdt>
  <w:p w14:paraId="77157F63" w14:textId="33B79548" w:rsidR="003B0251" w:rsidRPr="001353C9" w:rsidRDefault="003B0251" w:rsidP="007F1143">
    <w:pPr>
      <w:widowControl/>
      <w:tabs>
        <w:tab w:val="left" w:pos="0"/>
        <w:tab w:val="center" w:pos="4320"/>
        <w:tab w:val="right" w:pos="8640"/>
      </w:tabs>
      <w:spacing w:line="260" w:lineRule="exact"/>
      <w:jc w:val="both"/>
      <w:rPr>
        <w:rFonts w:ascii="Times New Roman" w:hAnsi="Times New Roman"/>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FC4B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6B5ABB5"/>
    <w:multiLevelType w:val="hybridMultilevel"/>
    <w:tmpl w:val="FFFFFFFF"/>
    <w:lvl w:ilvl="0" w:tplc="FFFFFFFF">
      <w:start w:val="1"/>
      <w:numFmt w:val="bullet"/>
      <w:lvlText w:val="•"/>
      <w:lvlJc w:val="left"/>
    </w:lvl>
    <w:lvl w:ilvl="1" w:tplc="908DABFE">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D05ECB9"/>
    <w:multiLevelType w:val="hybridMultilevel"/>
    <w:tmpl w:val="FFFFFFFF"/>
    <w:lvl w:ilvl="0" w:tplc="FFFFFFFF">
      <w:start w:val="1"/>
      <w:numFmt w:val="bullet"/>
      <w:lvlText w:val="•"/>
      <w:lvlJc w:val="left"/>
    </w:lvl>
    <w:lvl w:ilvl="1" w:tplc="D1A38E3F">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EAE451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E9133D"/>
    <w:multiLevelType w:val="hybridMultilevel"/>
    <w:tmpl w:val="7AE892AE"/>
    <w:lvl w:ilvl="0" w:tplc="98AECCC8">
      <w:start w:val="1"/>
      <w:numFmt w:val="bullet"/>
      <w:lvlText w:val="-"/>
      <w:lvlJc w:val="left"/>
      <w:pPr>
        <w:ind w:left="685" w:hanging="567"/>
      </w:pPr>
      <w:rPr>
        <w:rFonts w:ascii="Times New Roman" w:eastAsia="Times New Roman" w:hAnsi="Times New Roman" w:hint="default"/>
        <w:sz w:val="22"/>
        <w:szCs w:val="22"/>
      </w:rPr>
    </w:lvl>
    <w:lvl w:ilvl="1" w:tplc="CB74D236">
      <w:start w:val="1"/>
      <w:numFmt w:val="bullet"/>
      <w:lvlText w:val="•"/>
      <w:lvlJc w:val="left"/>
      <w:pPr>
        <w:ind w:left="1545" w:hanging="567"/>
      </w:pPr>
      <w:rPr>
        <w:rFonts w:hint="default"/>
      </w:rPr>
    </w:lvl>
    <w:lvl w:ilvl="2" w:tplc="EFFE7642">
      <w:start w:val="1"/>
      <w:numFmt w:val="bullet"/>
      <w:lvlText w:val="•"/>
      <w:lvlJc w:val="left"/>
      <w:pPr>
        <w:ind w:left="2405" w:hanging="567"/>
      </w:pPr>
      <w:rPr>
        <w:rFonts w:hint="default"/>
      </w:rPr>
    </w:lvl>
    <w:lvl w:ilvl="3" w:tplc="3B62672C">
      <w:start w:val="1"/>
      <w:numFmt w:val="bullet"/>
      <w:lvlText w:val="•"/>
      <w:lvlJc w:val="left"/>
      <w:pPr>
        <w:ind w:left="3265" w:hanging="567"/>
      </w:pPr>
      <w:rPr>
        <w:rFonts w:hint="default"/>
      </w:rPr>
    </w:lvl>
    <w:lvl w:ilvl="4" w:tplc="7272EACA">
      <w:start w:val="1"/>
      <w:numFmt w:val="bullet"/>
      <w:lvlText w:val="•"/>
      <w:lvlJc w:val="left"/>
      <w:pPr>
        <w:ind w:left="4125" w:hanging="567"/>
      </w:pPr>
      <w:rPr>
        <w:rFonts w:hint="default"/>
      </w:rPr>
    </w:lvl>
    <w:lvl w:ilvl="5" w:tplc="0FC412AC">
      <w:start w:val="1"/>
      <w:numFmt w:val="bullet"/>
      <w:lvlText w:val="•"/>
      <w:lvlJc w:val="left"/>
      <w:pPr>
        <w:ind w:left="4985" w:hanging="567"/>
      </w:pPr>
      <w:rPr>
        <w:rFonts w:hint="default"/>
      </w:rPr>
    </w:lvl>
    <w:lvl w:ilvl="6" w:tplc="A0F0C9E2">
      <w:start w:val="1"/>
      <w:numFmt w:val="bullet"/>
      <w:lvlText w:val="•"/>
      <w:lvlJc w:val="left"/>
      <w:pPr>
        <w:ind w:left="5845" w:hanging="567"/>
      </w:pPr>
      <w:rPr>
        <w:rFonts w:hint="default"/>
      </w:rPr>
    </w:lvl>
    <w:lvl w:ilvl="7" w:tplc="97FE87F6">
      <w:start w:val="1"/>
      <w:numFmt w:val="bullet"/>
      <w:lvlText w:val="•"/>
      <w:lvlJc w:val="left"/>
      <w:pPr>
        <w:ind w:left="6706" w:hanging="567"/>
      </w:pPr>
      <w:rPr>
        <w:rFonts w:hint="default"/>
      </w:rPr>
    </w:lvl>
    <w:lvl w:ilvl="8" w:tplc="91B20104">
      <w:start w:val="1"/>
      <w:numFmt w:val="bullet"/>
      <w:lvlText w:val="•"/>
      <w:lvlJc w:val="left"/>
      <w:pPr>
        <w:ind w:left="7566" w:hanging="567"/>
      </w:pPr>
      <w:rPr>
        <w:rFonts w:hint="default"/>
      </w:rPr>
    </w:lvl>
  </w:abstractNum>
  <w:abstractNum w:abstractNumId="5" w15:restartNumberingAfterBreak="0">
    <w:nsid w:val="01DA4593"/>
    <w:multiLevelType w:val="hybridMultilevel"/>
    <w:tmpl w:val="DB9A3468"/>
    <w:lvl w:ilvl="0" w:tplc="C93C7C52">
      <w:start w:val="1"/>
      <w:numFmt w:val="decimal"/>
      <w:lvlText w:val="%1."/>
      <w:lvlJc w:val="left"/>
      <w:pPr>
        <w:ind w:left="1251" w:hanging="221"/>
      </w:pPr>
      <w:rPr>
        <w:rFonts w:ascii="Times New Roman" w:eastAsia="Times New Roman" w:hAnsi="Times New Roman" w:hint="default"/>
        <w:b/>
        <w:bCs/>
        <w:sz w:val="22"/>
        <w:szCs w:val="22"/>
      </w:rPr>
    </w:lvl>
    <w:lvl w:ilvl="1" w:tplc="C4C2D26A">
      <w:start w:val="1"/>
      <w:numFmt w:val="bullet"/>
      <w:lvlText w:val="•"/>
      <w:lvlJc w:val="left"/>
      <w:pPr>
        <w:ind w:left="2057" w:hanging="221"/>
      </w:pPr>
      <w:rPr>
        <w:rFonts w:hint="default"/>
      </w:rPr>
    </w:lvl>
    <w:lvl w:ilvl="2" w:tplc="CEECE006">
      <w:start w:val="1"/>
      <w:numFmt w:val="bullet"/>
      <w:lvlText w:val="•"/>
      <w:lvlJc w:val="left"/>
      <w:pPr>
        <w:ind w:left="2862" w:hanging="221"/>
      </w:pPr>
      <w:rPr>
        <w:rFonts w:hint="default"/>
      </w:rPr>
    </w:lvl>
    <w:lvl w:ilvl="3" w:tplc="02EC68D4">
      <w:start w:val="1"/>
      <w:numFmt w:val="bullet"/>
      <w:lvlText w:val="•"/>
      <w:lvlJc w:val="left"/>
      <w:pPr>
        <w:ind w:left="3668" w:hanging="221"/>
      </w:pPr>
      <w:rPr>
        <w:rFonts w:hint="default"/>
      </w:rPr>
    </w:lvl>
    <w:lvl w:ilvl="4" w:tplc="0C3255B2">
      <w:start w:val="1"/>
      <w:numFmt w:val="bullet"/>
      <w:lvlText w:val="•"/>
      <w:lvlJc w:val="left"/>
      <w:pPr>
        <w:ind w:left="4473" w:hanging="221"/>
      </w:pPr>
      <w:rPr>
        <w:rFonts w:hint="default"/>
      </w:rPr>
    </w:lvl>
    <w:lvl w:ilvl="5" w:tplc="114E2770">
      <w:start w:val="1"/>
      <w:numFmt w:val="bullet"/>
      <w:lvlText w:val="•"/>
      <w:lvlJc w:val="left"/>
      <w:pPr>
        <w:ind w:left="5279" w:hanging="221"/>
      </w:pPr>
      <w:rPr>
        <w:rFonts w:hint="default"/>
      </w:rPr>
    </w:lvl>
    <w:lvl w:ilvl="6" w:tplc="44668212">
      <w:start w:val="1"/>
      <w:numFmt w:val="bullet"/>
      <w:lvlText w:val="•"/>
      <w:lvlJc w:val="left"/>
      <w:pPr>
        <w:ind w:left="6084" w:hanging="221"/>
      </w:pPr>
      <w:rPr>
        <w:rFonts w:hint="default"/>
      </w:rPr>
    </w:lvl>
    <w:lvl w:ilvl="7" w:tplc="720A881A">
      <w:start w:val="1"/>
      <w:numFmt w:val="bullet"/>
      <w:lvlText w:val="•"/>
      <w:lvlJc w:val="left"/>
      <w:pPr>
        <w:ind w:left="6889" w:hanging="221"/>
      </w:pPr>
      <w:rPr>
        <w:rFonts w:hint="default"/>
      </w:rPr>
    </w:lvl>
    <w:lvl w:ilvl="8" w:tplc="DCAEB4C0">
      <w:start w:val="1"/>
      <w:numFmt w:val="bullet"/>
      <w:lvlText w:val="•"/>
      <w:lvlJc w:val="left"/>
      <w:pPr>
        <w:ind w:left="7695" w:hanging="221"/>
      </w:pPr>
      <w:rPr>
        <w:rFonts w:hint="default"/>
      </w:rPr>
    </w:lvl>
  </w:abstractNum>
  <w:abstractNum w:abstractNumId="6" w15:restartNumberingAfterBreak="0">
    <w:nsid w:val="06B714B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6DF3CB3"/>
    <w:multiLevelType w:val="hybridMultilevel"/>
    <w:tmpl w:val="6CFC9750"/>
    <w:lvl w:ilvl="0" w:tplc="040E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0C2920B2"/>
    <w:multiLevelType w:val="hybridMultilevel"/>
    <w:tmpl w:val="0DD4BF88"/>
    <w:lvl w:ilvl="0" w:tplc="571051E2">
      <w:start w:val="1"/>
      <w:numFmt w:val="decimal"/>
      <w:lvlText w:val="%1."/>
      <w:lvlJc w:val="left"/>
      <w:pPr>
        <w:ind w:left="1251" w:hanging="221"/>
      </w:pPr>
      <w:rPr>
        <w:rFonts w:ascii="Times New Roman" w:eastAsia="Times New Roman" w:hAnsi="Times New Roman" w:hint="default"/>
        <w:b/>
        <w:bCs/>
        <w:sz w:val="22"/>
        <w:szCs w:val="22"/>
      </w:rPr>
    </w:lvl>
    <w:lvl w:ilvl="1" w:tplc="E236DE38">
      <w:start w:val="1"/>
      <w:numFmt w:val="bullet"/>
      <w:lvlText w:val="•"/>
      <w:lvlJc w:val="left"/>
      <w:pPr>
        <w:ind w:left="2107" w:hanging="221"/>
      </w:pPr>
      <w:rPr>
        <w:rFonts w:hint="default"/>
      </w:rPr>
    </w:lvl>
    <w:lvl w:ilvl="2" w:tplc="97C4A9FA">
      <w:start w:val="1"/>
      <w:numFmt w:val="bullet"/>
      <w:lvlText w:val="•"/>
      <w:lvlJc w:val="left"/>
      <w:pPr>
        <w:ind w:left="2962" w:hanging="221"/>
      </w:pPr>
      <w:rPr>
        <w:rFonts w:hint="default"/>
      </w:rPr>
    </w:lvl>
    <w:lvl w:ilvl="3" w:tplc="7AB8646E">
      <w:start w:val="1"/>
      <w:numFmt w:val="bullet"/>
      <w:lvlText w:val="•"/>
      <w:lvlJc w:val="left"/>
      <w:pPr>
        <w:ind w:left="3818" w:hanging="221"/>
      </w:pPr>
      <w:rPr>
        <w:rFonts w:hint="default"/>
      </w:rPr>
    </w:lvl>
    <w:lvl w:ilvl="4" w:tplc="5930F872">
      <w:start w:val="1"/>
      <w:numFmt w:val="bullet"/>
      <w:lvlText w:val="•"/>
      <w:lvlJc w:val="left"/>
      <w:pPr>
        <w:ind w:left="4673" w:hanging="221"/>
      </w:pPr>
      <w:rPr>
        <w:rFonts w:hint="default"/>
      </w:rPr>
    </w:lvl>
    <w:lvl w:ilvl="5" w:tplc="B41068EA">
      <w:start w:val="1"/>
      <w:numFmt w:val="bullet"/>
      <w:lvlText w:val="•"/>
      <w:lvlJc w:val="left"/>
      <w:pPr>
        <w:ind w:left="5529" w:hanging="221"/>
      </w:pPr>
      <w:rPr>
        <w:rFonts w:hint="default"/>
      </w:rPr>
    </w:lvl>
    <w:lvl w:ilvl="6" w:tplc="77CC46C8">
      <w:start w:val="1"/>
      <w:numFmt w:val="bullet"/>
      <w:lvlText w:val="•"/>
      <w:lvlJc w:val="left"/>
      <w:pPr>
        <w:ind w:left="6384" w:hanging="221"/>
      </w:pPr>
      <w:rPr>
        <w:rFonts w:hint="default"/>
      </w:rPr>
    </w:lvl>
    <w:lvl w:ilvl="7" w:tplc="B9F227AA">
      <w:start w:val="1"/>
      <w:numFmt w:val="bullet"/>
      <w:lvlText w:val="•"/>
      <w:lvlJc w:val="left"/>
      <w:pPr>
        <w:ind w:left="7239" w:hanging="221"/>
      </w:pPr>
      <w:rPr>
        <w:rFonts w:hint="default"/>
      </w:rPr>
    </w:lvl>
    <w:lvl w:ilvl="8" w:tplc="2424F5A6">
      <w:start w:val="1"/>
      <w:numFmt w:val="bullet"/>
      <w:lvlText w:val="•"/>
      <w:lvlJc w:val="left"/>
      <w:pPr>
        <w:ind w:left="8095" w:hanging="221"/>
      </w:pPr>
      <w:rPr>
        <w:rFonts w:hint="default"/>
      </w:rPr>
    </w:lvl>
  </w:abstractNum>
  <w:abstractNum w:abstractNumId="9" w15:restartNumberingAfterBreak="0">
    <w:nsid w:val="0C64097E"/>
    <w:multiLevelType w:val="hybridMultilevel"/>
    <w:tmpl w:val="B53AFF78"/>
    <w:lvl w:ilvl="0" w:tplc="5008B7A8">
      <w:start w:val="1"/>
      <w:numFmt w:val="bullet"/>
      <w:lvlText w:val="-"/>
      <w:lvlJc w:val="left"/>
      <w:pPr>
        <w:ind w:left="685" w:hanging="567"/>
      </w:pPr>
      <w:rPr>
        <w:rFonts w:ascii="Times New Roman" w:eastAsia="Times New Roman" w:hAnsi="Times New Roman" w:hint="default"/>
        <w:sz w:val="22"/>
        <w:szCs w:val="22"/>
      </w:rPr>
    </w:lvl>
    <w:lvl w:ilvl="1" w:tplc="1AC679CA">
      <w:start w:val="1"/>
      <w:numFmt w:val="bullet"/>
      <w:lvlText w:val="•"/>
      <w:lvlJc w:val="left"/>
      <w:pPr>
        <w:ind w:left="1547" w:hanging="567"/>
      </w:pPr>
      <w:rPr>
        <w:rFonts w:hint="default"/>
      </w:rPr>
    </w:lvl>
    <w:lvl w:ilvl="2" w:tplc="CD84ECC8">
      <w:start w:val="1"/>
      <w:numFmt w:val="bullet"/>
      <w:lvlText w:val="•"/>
      <w:lvlJc w:val="left"/>
      <w:pPr>
        <w:ind w:left="2409" w:hanging="567"/>
      </w:pPr>
      <w:rPr>
        <w:rFonts w:hint="default"/>
      </w:rPr>
    </w:lvl>
    <w:lvl w:ilvl="3" w:tplc="45D6A8AA">
      <w:start w:val="1"/>
      <w:numFmt w:val="bullet"/>
      <w:lvlText w:val="•"/>
      <w:lvlJc w:val="left"/>
      <w:pPr>
        <w:ind w:left="3271" w:hanging="567"/>
      </w:pPr>
      <w:rPr>
        <w:rFonts w:hint="default"/>
      </w:rPr>
    </w:lvl>
    <w:lvl w:ilvl="4" w:tplc="1AC69894">
      <w:start w:val="1"/>
      <w:numFmt w:val="bullet"/>
      <w:lvlText w:val="•"/>
      <w:lvlJc w:val="left"/>
      <w:pPr>
        <w:ind w:left="4133" w:hanging="567"/>
      </w:pPr>
      <w:rPr>
        <w:rFonts w:hint="default"/>
      </w:rPr>
    </w:lvl>
    <w:lvl w:ilvl="5" w:tplc="DE8AD56A">
      <w:start w:val="1"/>
      <w:numFmt w:val="bullet"/>
      <w:lvlText w:val="•"/>
      <w:lvlJc w:val="left"/>
      <w:pPr>
        <w:ind w:left="4995" w:hanging="567"/>
      </w:pPr>
      <w:rPr>
        <w:rFonts w:hint="default"/>
      </w:rPr>
    </w:lvl>
    <w:lvl w:ilvl="6" w:tplc="F8624B0E">
      <w:start w:val="1"/>
      <w:numFmt w:val="bullet"/>
      <w:lvlText w:val="•"/>
      <w:lvlJc w:val="left"/>
      <w:pPr>
        <w:ind w:left="5857" w:hanging="567"/>
      </w:pPr>
      <w:rPr>
        <w:rFonts w:hint="default"/>
      </w:rPr>
    </w:lvl>
    <w:lvl w:ilvl="7" w:tplc="E6281D26">
      <w:start w:val="1"/>
      <w:numFmt w:val="bullet"/>
      <w:lvlText w:val="•"/>
      <w:lvlJc w:val="left"/>
      <w:pPr>
        <w:ind w:left="6720" w:hanging="567"/>
      </w:pPr>
      <w:rPr>
        <w:rFonts w:hint="default"/>
      </w:rPr>
    </w:lvl>
    <w:lvl w:ilvl="8" w:tplc="8D3EF0CC">
      <w:start w:val="1"/>
      <w:numFmt w:val="bullet"/>
      <w:lvlText w:val="•"/>
      <w:lvlJc w:val="left"/>
      <w:pPr>
        <w:ind w:left="7582" w:hanging="567"/>
      </w:pPr>
      <w:rPr>
        <w:rFonts w:hint="default"/>
      </w:rPr>
    </w:lvl>
  </w:abstractNum>
  <w:abstractNum w:abstractNumId="10" w15:restartNumberingAfterBreak="0">
    <w:nsid w:val="0EA61D22"/>
    <w:multiLevelType w:val="hybridMultilevel"/>
    <w:tmpl w:val="C89A30B6"/>
    <w:lvl w:ilvl="0" w:tplc="3044FD0E">
      <w:start w:val="2"/>
      <w:numFmt w:val="upperRoman"/>
      <w:lvlText w:val="%1."/>
      <w:lvlJc w:val="left"/>
      <w:pPr>
        <w:ind w:left="2026" w:hanging="284"/>
      </w:pPr>
      <w:rPr>
        <w:rFonts w:ascii="Times New Roman" w:eastAsia="Times New Roman" w:hAnsi="Times New Roman" w:hint="default"/>
        <w:b/>
        <w:bCs/>
        <w:sz w:val="22"/>
        <w:szCs w:val="22"/>
      </w:rPr>
    </w:lvl>
    <w:lvl w:ilvl="1" w:tplc="8B48B0C6">
      <w:start w:val="1"/>
      <w:numFmt w:val="bullet"/>
      <w:lvlText w:val="•"/>
      <w:lvlJc w:val="left"/>
      <w:pPr>
        <w:ind w:left="2678" w:hanging="284"/>
      </w:pPr>
      <w:rPr>
        <w:rFonts w:hint="default"/>
      </w:rPr>
    </w:lvl>
    <w:lvl w:ilvl="2" w:tplc="36C2326C">
      <w:start w:val="1"/>
      <w:numFmt w:val="bullet"/>
      <w:lvlText w:val="•"/>
      <w:lvlJc w:val="left"/>
      <w:pPr>
        <w:ind w:left="3330" w:hanging="284"/>
      </w:pPr>
      <w:rPr>
        <w:rFonts w:hint="default"/>
      </w:rPr>
    </w:lvl>
    <w:lvl w:ilvl="3" w:tplc="A45CDAA8">
      <w:start w:val="1"/>
      <w:numFmt w:val="bullet"/>
      <w:lvlText w:val="•"/>
      <w:lvlJc w:val="left"/>
      <w:pPr>
        <w:ind w:left="3982" w:hanging="284"/>
      </w:pPr>
      <w:rPr>
        <w:rFonts w:hint="default"/>
      </w:rPr>
    </w:lvl>
    <w:lvl w:ilvl="4" w:tplc="1A2C87A2">
      <w:start w:val="1"/>
      <w:numFmt w:val="bullet"/>
      <w:lvlText w:val="•"/>
      <w:lvlJc w:val="left"/>
      <w:pPr>
        <w:ind w:left="4634" w:hanging="284"/>
      </w:pPr>
      <w:rPr>
        <w:rFonts w:hint="default"/>
      </w:rPr>
    </w:lvl>
    <w:lvl w:ilvl="5" w:tplc="E08840C8">
      <w:start w:val="1"/>
      <w:numFmt w:val="bullet"/>
      <w:lvlText w:val="•"/>
      <w:lvlJc w:val="left"/>
      <w:pPr>
        <w:ind w:left="5286" w:hanging="284"/>
      </w:pPr>
      <w:rPr>
        <w:rFonts w:hint="default"/>
      </w:rPr>
    </w:lvl>
    <w:lvl w:ilvl="6" w:tplc="824AC566">
      <w:start w:val="1"/>
      <w:numFmt w:val="bullet"/>
      <w:lvlText w:val="•"/>
      <w:lvlJc w:val="left"/>
      <w:pPr>
        <w:ind w:left="5938" w:hanging="284"/>
      </w:pPr>
      <w:rPr>
        <w:rFonts w:hint="default"/>
      </w:rPr>
    </w:lvl>
    <w:lvl w:ilvl="7" w:tplc="80F6DE28">
      <w:start w:val="1"/>
      <w:numFmt w:val="bullet"/>
      <w:lvlText w:val="•"/>
      <w:lvlJc w:val="left"/>
      <w:pPr>
        <w:ind w:left="6590" w:hanging="284"/>
      </w:pPr>
      <w:rPr>
        <w:rFonts w:hint="default"/>
      </w:rPr>
    </w:lvl>
    <w:lvl w:ilvl="8" w:tplc="3D5082BA">
      <w:start w:val="1"/>
      <w:numFmt w:val="bullet"/>
      <w:lvlText w:val="•"/>
      <w:lvlJc w:val="left"/>
      <w:pPr>
        <w:ind w:left="7242" w:hanging="284"/>
      </w:pPr>
      <w:rPr>
        <w:rFonts w:hint="default"/>
      </w:rPr>
    </w:lvl>
  </w:abstractNum>
  <w:abstractNum w:abstractNumId="11" w15:restartNumberingAfterBreak="0">
    <w:nsid w:val="14047E8A"/>
    <w:multiLevelType w:val="hybridMultilevel"/>
    <w:tmpl w:val="B1A80756"/>
    <w:lvl w:ilvl="0" w:tplc="D160D5C2">
      <w:start w:val="1"/>
      <w:numFmt w:val="decimal"/>
      <w:lvlText w:val="%1."/>
      <w:lvlJc w:val="left"/>
      <w:pPr>
        <w:ind w:left="685" w:hanging="567"/>
      </w:pPr>
      <w:rPr>
        <w:rFonts w:ascii="Times New Roman" w:eastAsia="Times New Roman" w:hAnsi="Times New Roman" w:hint="default"/>
        <w:sz w:val="22"/>
        <w:szCs w:val="22"/>
      </w:rPr>
    </w:lvl>
    <w:lvl w:ilvl="1" w:tplc="34224FBE">
      <w:start w:val="1"/>
      <w:numFmt w:val="bullet"/>
      <w:lvlText w:val="•"/>
      <w:lvlJc w:val="left"/>
      <w:pPr>
        <w:ind w:left="1545" w:hanging="567"/>
      </w:pPr>
      <w:rPr>
        <w:rFonts w:hint="default"/>
      </w:rPr>
    </w:lvl>
    <w:lvl w:ilvl="2" w:tplc="9FA62400">
      <w:start w:val="1"/>
      <w:numFmt w:val="bullet"/>
      <w:lvlText w:val="•"/>
      <w:lvlJc w:val="left"/>
      <w:pPr>
        <w:ind w:left="2405" w:hanging="567"/>
      </w:pPr>
      <w:rPr>
        <w:rFonts w:hint="default"/>
      </w:rPr>
    </w:lvl>
    <w:lvl w:ilvl="3" w:tplc="8B0EFC16">
      <w:start w:val="1"/>
      <w:numFmt w:val="bullet"/>
      <w:lvlText w:val="•"/>
      <w:lvlJc w:val="left"/>
      <w:pPr>
        <w:ind w:left="3265" w:hanging="567"/>
      </w:pPr>
      <w:rPr>
        <w:rFonts w:hint="default"/>
      </w:rPr>
    </w:lvl>
    <w:lvl w:ilvl="4" w:tplc="837C9BA6">
      <w:start w:val="1"/>
      <w:numFmt w:val="bullet"/>
      <w:lvlText w:val="•"/>
      <w:lvlJc w:val="left"/>
      <w:pPr>
        <w:ind w:left="4125" w:hanging="567"/>
      </w:pPr>
      <w:rPr>
        <w:rFonts w:hint="default"/>
      </w:rPr>
    </w:lvl>
    <w:lvl w:ilvl="5" w:tplc="BCCE9FEE">
      <w:start w:val="1"/>
      <w:numFmt w:val="bullet"/>
      <w:lvlText w:val="•"/>
      <w:lvlJc w:val="left"/>
      <w:pPr>
        <w:ind w:left="4985" w:hanging="567"/>
      </w:pPr>
      <w:rPr>
        <w:rFonts w:hint="default"/>
      </w:rPr>
    </w:lvl>
    <w:lvl w:ilvl="6" w:tplc="1F2AE1AA">
      <w:start w:val="1"/>
      <w:numFmt w:val="bullet"/>
      <w:lvlText w:val="•"/>
      <w:lvlJc w:val="left"/>
      <w:pPr>
        <w:ind w:left="5845" w:hanging="567"/>
      </w:pPr>
      <w:rPr>
        <w:rFonts w:hint="default"/>
      </w:rPr>
    </w:lvl>
    <w:lvl w:ilvl="7" w:tplc="FB4AD810">
      <w:start w:val="1"/>
      <w:numFmt w:val="bullet"/>
      <w:lvlText w:val="•"/>
      <w:lvlJc w:val="left"/>
      <w:pPr>
        <w:ind w:left="6706" w:hanging="567"/>
      </w:pPr>
      <w:rPr>
        <w:rFonts w:hint="default"/>
      </w:rPr>
    </w:lvl>
    <w:lvl w:ilvl="8" w:tplc="8A8C9536">
      <w:start w:val="1"/>
      <w:numFmt w:val="bullet"/>
      <w:lvlText w:val="•"/>
      <w:lvlJc w:val="left"/>
      <w:pPr>
        <w:ind w:left="7566" w:hanging="567"/>
      </w:pPr>
      <w:rPr>
        <w:rFonts w:hint="default"/>
      </w:rPr>
    </w:lvl>
  </w:abstractNum>
  <w:abstractNum w:abstractNumId="12" w15:restartNumberingAfterBreak="0">
    <w:nsid w:val="162712A9"/>
    <w:multiLevelType w:val="hybridMultilevel"/>
    <w:tmpl w:val="3B5A73A4"/>
    <w:lvl w:ilvl="0" w:tplc="CED8A8E6">
      <w:start w:val="1"/>
      <w:numFmt w:val="bullet"/>
      <w:lvlText w:val="-"/>
      <w:lvlJc w:val="left"/>
      <w:pPr>
        <w:ind w:left="685" w:hanging="567"/>
      </w:pPr>
      <w:rPr>
        <w:rFonts w:ascii="Times New Roman" w:eastAsia="Times New Roman" w:hAnsi="Times New Roman" w:hint="default"/>
        <w:sz w:val="22"/>
        <w:szCs w:val="22"/>
      </w:rPr>
    </w:lvl>
    <w:lvl w:ilvl="1" w:tplc="EC9480A8">
      <w:start w:val="1"/>
      <w:numFmt w:val="bullet"/>
      <w:lvlText w:val="•"/>
      <w:lvlJc w:val="left"/>
      <w:pPr>
        <w:ind w:left="1545" w:hanging="567"/>
      </w:pPr>
      <w:rPr>
        <w:rFonts w:hint="default"/>
      </w:rPr>
    </w:lvl>
    <w:lvl w:ilvl="2" w:tplc="17F20A4A">
      <w:start w:val="1"/>
      <w:numFmt w:val="bullet"/>
      <w:lvlText w:val="•"/>
      <w:lvlJc w:val="left"/>
      <w:pPr>
        <w:ind w:left="2405" w:hanging="567"/>
      </w:pPr>
      <w:rPr>
        <w:rFonts w:hint="default"/>
      </w:rPr>
    </w:lvl>
    <w:lvl w:ilvl="3" w:tplc="FD4044A4">
      <w:start w:val="1"/>
      <w:numFmt w:val="bullet"/>
      <w:lvlText w:val="•"/>
      <w:lvlJc w:val="left"/>
      <w:pPr>
        <w:ind w:left="3265" w:hanging="567"/>
      </w:pPr>
      <w:rPr>
        <w:rFonts w:hint="default"/>
      </w:rPr>
    </w:lvl>
    <w:lvl w:ilvl="4" w:tplc="C9F8C2B4">
      <w:start w:val="1"/>
      <w:numFmt w:val="bullet"/>
      <w:lvlText w:val="•"/>
      <w:lvlJc w:val="left"/>
      <w:pPr>
        <w:ind w:left="4125" w:hanging="567"/>
      </w:pPr>
      <w:rPr>
        <w:rFonts w:hint="default"/>
      </w:rPr>
    </w:lvl>
    <w:lvl w:ilvl="5" w:tplc="02DE714E">
      <w:start w:val="1"/>
      <w:numFmt w:val="bullet"/>
      <w:lvlText w:val="•"/>
      <w:lvlJc w:val="left"/>
      <w:pPr>
        <w:ind w:left="4985" w:hanging="567"/>
      </w:pPr>
      <w:rPr>
        <w:rFonts w:hint="default"/>
      </w:rPr>
    </w:lvl>
    <w:lvl w:ilvl="6" w:tplc="228E1052">
      <w:start w:val="1"/>
      <w:numFmt w:val="bullet"/>
      <w:lvlText w:val="•"/>
      <w:lvlJc w:val="left"/>
      <w:pPr>
        <w:ind w:left="5845" w:hanging="567"/>
      </w:pPr>
      <w:rPr>
        <w:rFonts w:hint="default"/>
      </w:rPr>
    </w:lvl>
    <w:lvl w:ilvl="7" w:tplc="6F06C938">
      <w:start w:val="1"/>
      <w:numFmt w:val="bullet"/>
      <w:lvlText w:val="•"/>
      <w:lvlJc w:val="left"/>
      <w:pPr>
        <w:ind w:left="6706" w:hanging="567"/>
      </w:pPr>
      <w:rPr>
        <w:rFonts w:hint="default"/>
      </w:rPr>
    </w:lvl>
    <w:lvl w:ilvl="8" w:tplc="F59C1F48">
      <w:start w:val="1"/>
      <w:numFmt w:val="bullet"/>
      <w:lvlText w:val="•"/>
      <w:lvlJc w:val="left"/>
      <w:pPr>
        <w:ind w:left="7566" w:hanging="567"/>
      </w:pPr>
      <w:rPr>
        <w:rFonts w:hint="default"/>
      </w:rPr>
    </w:lvl>
  </w:abstractNum>
  <w:abstractNum w:abstractNumId="13" w15:restartNumberingAfterBreak="0">
    <w:nsid w:val="166F6436"/>
    <w:multiLevelType w:val="hybridMultilevel"/>
    <w:tmpl w:val="6DDC3162"/>
    <w:lvl w:ilvl="0" w:tplc="E656F422">
      <w:start w:val="1"/>
      <w:numFmt w:val="bullet"/>
      <w:lvlText w:val="-"/>
      <w:lvlJc w:val="left"/>
      <w:pPr>
        <w:ind w:left="685" w:hanging="567"/>
      </w:pPr>
      <w:rPr>
        <w:rFonts w:ascii="Times New Roman" w:eastAsia="Times New Roman" w:hAnsi="Times New Roman" w:hint="default"/>
        <w:sz w:val="22"/>
        <w:szCs w:val="22"/>
      </w:rPr>
    </w:lvl>
    <w:lvl w:ilvl="1" w:tplc="719852D2">
      <w:start w:val="1"/>
      <w:numFmt w:val="bullet"/>
      <w:lvlText w:val="•"/>
      <w:lvlJc w:val="left"/>
      <w:pPr>
        <w:ind w:left="1543" w:hanging="567"/>
      </w:pPr>
      <w:rPr>
        <w:rFonts w:hint="default"/>
      </w:rPr>
    </w:lvl>
    <w:lvl w:ilvl="2" w:tplc="A90E1680">
      <w:start w:val="1"/>
      <w:numFmt w:val="bullet"/>
      <w:lvlText w:val="•"/>
      <w:lvlJc w:val="left"/>
      <w:pPr>
        <w:ind w:left="2401" w:hanging="567"/>
      </w:pPr>
      <w:rPr>
        <w:rFonts w:hint="default"/>
      </w:rPr>
    </w:lvl>
    <w:lvl w:ilvl="3" w:tplc="A014A648">
      <w:start w:val="1"/>
      <w:numFmt w:val="bullet"/>
      <w:lvlText w:val="•"/>
      <w:lvlJc w:val="left"/>
      <w:pPr>
        <w:ind w:left="3259" w:hanging="567"/>
      </w:pPr>
      <w:rPr>
        <w:rFonts w:hint="default"/>
      </w:rPr>
    </w:lvl>
    <w:lvl w:ilvl="4" w:tplc="B2CA5C8E">
      <w:start w:val="1"/>
      <w:numFmt w:val="bullet"/>
      <w:lvlText w:val="•"/>
      <w:lvlJc w:val="left"/>
      <w:pPr>
        <w:ind w:left="4117" w:hanging="567"/>
      </w:pPr>
      <w:rPr>
        <w:rFonts w:hint="default"/>
      </w:rPr>
    </w:lvl>
    <w:lvl w:ilvl="5" w:tplc="07B4EC18">
      <w:start w:val="1"/>
      <w:numFmt w:val="bullet"/>
      <w:lvlText w:val="•"/>
      <w:lvlJc w:val="left"/>
      <w:pPr>
        <w:ind w:left="4975" w:hanging="567"/>
      </w:pPr>
      <w:rPr>
        <w:rFonts w:hint="default"/>
      </w:rPr>
    </w:lvl>
    <w:lvl w:ilvl="6" w:tplc="DF0C6EDA">
      <w:start w:val="1"/>
      <w:numFmt w:val="bullet"/>
      <w:lvlText w:val="•"/>
      <w:lvlJc w:val="left"/>
      <w:pPr>
        <w:ind w:left="5833" w:hanging="567"/>
      </w:pPr>
      <w:rPr>
        <w:rFonts w:hint="default"/>
      </w:rPr>
    </w:lvl>
    <w:lvl w:ilvl="7" w:tplc="1D4431F4">
      <w:start w:val="1"/>
      <w:numFmt w:val="bullet"/>
      <w:lvlText w:val="•"/>
      <w:lvlJc w:val="left"/>
      <w:pPr>
        <w:ind w:left="6692" w:hanging="567"/>
      </w:pPr>
      <w:rPr>
        <w:rFonts w:hint="default"/>
      </w:rPr>
    </w:lvl>
    <w:lvl w:ilvl="8" w:tplc="E8F22730">
      <w:start w:val="1"/>
      <w:numFmt w:val="bullet"/>
      <w:lvlText w:val="•"/>
      <w:lvlJc w:val="left"/>
      <w:pPr>
        <w:ind w:left="7550" w:hanging="567"/>
      </w:pPr>
      <w:rPr>
        <w:rFonts w:hint="default"/>
      </w:rPr>
    </w:lvl>
  </w:abstractNum>
  <w:abstractNum w:abstractNumId="14" w15:restartNumberingAfterBreak="0">
    <w:nsid w:val="16915D85"/>
    <w:multiLevelType w:val="hybridMultilevel"/>
    <w:tmpl w:val="05BC623C"/>
    <w:lvl w:ilvl="0" w:tplc="F27057F2">
      <w:start w:val="1"/>
      <w:numFmt w:val="bullet"/>
      <w:lvlText w:val="-"/>
      <w:lvlJc w:val="left"/>
      <w:pPr>
        <w:ind w:left="685" w:hanging="567"/>
      </w:pPr>
      <w:rPr>
        <w:rFonts w:ascii="Times New Roman" w:eastAsia="Times New Roman" w:hAnsi="Times New Roman" w:hint="default"/>
        <w:sz w:val="22"/>
        <w:szCs w:val="22"/>
      </w:rPr>
    </w:lvl>
    <w:lvl w:ilvl="1" w:tplc="2FA423D6">
      <w:start w:val="1"/>
      <w:numFmt w:val="bullet"/>
      <w:lvlText w:val="•"/>
      <w:lvlJc w:val="left"/>
      <w:pPr>
        <w:ind w:left="1529" w:hanging="567"/>
      </w:pPr>
      <w:rPr>
        <w:rFonts w:hint="default"/>
      </w:rPr>
    </w:lvl>
    <w:lvl w:ilvl="2" w:tplc="17661912">
      <w:start w:val="1"/>
      <w:numFmt w:val="bullet"/>
      <w:lvlText w:val="•"/>
      <w:lvlJc w:val="left"/>
      <w:pPr>
        <w:ind w:left="2373" w:hanging="567"/>
      </w:pPr>
      <w:rPr>
        <w:rFonts w:hint="default"/>
      </w:rPr>
    </w:lvl>
    <w:lvl w:ilvl="3" w:tplc="2F10F6B2">
      <w:start w:val="1"/>
      <w:numFmt w:val="bullet"/>
      <w:lvlText w:val="•"/>
      <w:lvlJc w:val="left"/>
      <w:pPr>
        <w:ind w:left="3217" w:hanging="567"/>
      </w:pPr>
      <w:rPr>
        <w:rFonts w:hint="default"/>
      </w:rPr>
    </w:lvl>
    <w:lvl w:ilvl="4" w:tplc="A8741046">
      <w:start w:val="1"/>
      <w:numFmt w:val="bullet"/>
      <w:lvlText w:val="•"/>
      <w:lvlJc w:val="left"/>
      <w:pPr>
        <w:ind w:left="4061" w:hanging="567"/>
      </w:pPr>
      <w:rPr>
        <w:rFonts w:hint="default"/>
      </w:rPr>
    </w:lvl>
    <w:lvl w:ilvl="5" w:tplc="A4C0F6DA">
      <w:start w:val="1"/>
      <w:numFmt w:val="bullet"/>
      <w:lvlText w:val="•"/>
      <w:lvlJc w:val="left"/>
      <w:pPr>
        <w:ind w:left="4905" w:hanging="567"/>
      </w:pPr>
      <w:rPr>
        <w:rFonts w:hint="default"/>
      </w:rPr>
    </w:lvl>
    <w:lvl w:ilvl="6" w:tplc="9E522F00">
      <w:start w:val="1"/>
      <w:numFmt w:val="bullet"/>
      <w:lvlText w:val="•"/>
      <w:lvlJc w:val="left"/>
      <w:pPr>
        <w:ind w:left="5749" w:hanging="567"/>
      </w:pPr>
      <w:rPr>
        <w:rFonts w:hint="default"/>
      </w:rPr>
    </w:lvl>
    <w:lvl w:ilvl="7" w:tplc="61184234">
      <w:start w:val="1"/>
      <w:numFmt w:val="bullet"/>
      <w:lvlText w:val="•"/>
      <w:lvlJc w:val="left"/>
      <w:pPr>
        <w:ind w:left="6594" w:hanging="567"/>
      </w:pPr>
      <w:rPr>
        <w:rFonts w:hint="default"/>
      </w:rPr>
    </w:lvl>
    <w:lvl w:ilvl="8" w:tplc="4664C7CE">
      <w:start w:val="1"/>
      <w:numFmt w:val="bullet"/>
      <w:lvlText w:val="•"/>
      <w:lvlJc w:val="left"/>
      <w:pPr>
        <w:ind w:left="7438" w:hanging="567"/>
      </w:pPr>
      <w:rPr>
        <w:rFonts w:hint="default"/>
      </w:rPr>
    </w:lvl>
  </w:abstractNum>
  <w:abstractNum w:abstractNumId="15" w15:restartNumberingAfterBreak="0">
    <w:nsid w:val="1A0F6BA9"/>
    <w:multiLevelType w:val="hybridMultilevel"/>
    <w:tmpl w:val="E7D0A26A"/>
    <w:lvl w:ilvl="0" w:tplc="2534BAE6">
      <w:start w:val="1"/>
      <w:numFmt w:val="bullet"/>
      <w:lvlText w:val="-"/>
      <w:lvlJc w:val="left"/>
      <w:pPr>
        <w:ind w:left="685" w:hanging="567"/>
      </w:pPr>
      <w:rPr>
        <w:rFonts w:ascii="Times New Roman" w:eastAsia="Times New Roman" w:hAnsi="Times New Roman" w:hint="default"/>
        <w:sz w:val="22"/>
        <w:szCs w:val="22"/>
      </w:rPr>
    </w:lvl>
    <w:lvl w:ilvl="1" w:tplc="86C6E83A">
      <w:start w:val="1"/>
      <w:numFmt w:val="bullet"/>
      <w:lvlText w:val="•"/>
      <w:lvlJc w:val="left"/>
      <w:pPr>
        <w:ind w:left="1543" w:hanging="567"/>
      </w:pPr>
      <w:rPr>
        <w:rFonts w:hint="default"/>
      </w:rPr>
    </w:lvl>
    <w:lvl w:ilvl="2" w:tplc="86E448BA">
      <w:start w:val="1"/>
      <w:numFmt w:val="bullet"/>
      <w:lvlText w:val="•"/>
      <w:lvlJc w:val="left"/>
      <w:pPr>
        <w:ind w:left="2401" w:hanging="567"/>
      </w:pPr>
      <w:rPr>
        <w:rFonts w:hint="default"/>
      </w:rPr>
    </w:lvl>
    <w:lvl w:ilvl="3" w:tplc="7DEC36B0">
      <w:start w:val="1"/>
      <w:numFmt w:val="bullet"/>
      <w:lvlText w:val="•"/>
      <w:lvlJc w:val="left"/>
      <w:pPr>
        <w:ind w:left="3259" w:hanging="567"/>
      </w:pPr>
      <w:rPr>
        <w:rFonts w:hint="default"/>
      </w:rPr>
    </w:lvl>
    <w:lvl w:ilvl="4" w:tplc="75501F80">
      <w:start w:val="1"/>
      <w:numFmt w:val="bullet"/>
      <w:lvlText w:val="•"/>
      <w:lvlJc w:val="left"/>
      <w:pPr>
        <w:ind w:left="4117" w:hanging="567"/>
      </w:pPr>
      <w:rPr>
        <w:rFonts w:hint="default"/>
      </w:rPr>
    </w:lvl>
    <w:lvl w:ilvl="5" w:tplc="C4EE87E4">
      <w:start w:val="1"/>
      <w:numFmt w:val="bullet"/>
      <w:lvlText w:val="•"/>
      <w:lvlJc w:val="left"/>
      <w:pPr>
        <w:ind w:left="4975" w:hanging="567"/>
      </w:pPr>
      <w:rPr>
        <w:rFonts w:hint="default"/>
      </w:rPr>
    </w:lvl>
    <w:lvl w:ilvl="6" w:tplc="CC5C6C20">
      <w:start w:val="1"/>
      <w:numFmt w:val="bullet"/>
      <w:lvlText w:val="•"/>
      <w:lvlJc w:val="left"/>
      <w:pPr>
        <w:ind w:left="5833" w:hanging="567"/>
      </w:pPr>
      <w:rPr>
        <w:rFonts w:hint="default"/>
      </w:rPr>
    </w:lvl>
    <w:lvl w:ilvl="7" w:tplc="9AE499C4">
      <w:start w:val="1"/>
      <w:numFmt w:val="bullet"/>
      <w:lvlText w:val="•"/>
      <w:lvlJc w:val="left"/>
      <w:pPr>
        <w:ind w:left="6692" w:hanging="567"/>
      </w:pPr>
      <w:rPr>
        <w:rFonts w:hint="default"/>
      </w:rPr>
    </w:lvl>
    <w:lvl w:ilvl="8" w:tplc="5C2EDE5C">
      <w:start w:val="1"/>
      <w:numFmt w:val="bullet"/>
      <w:lvlText w:val="•"/>
      <w:lvlJc w:val="left"/>
      <w:pPr>
        <w:ind w:left="7550" w:hanging="567"/>
      </w:pPr>
      <w:rPr>
        <w:rFonts w:hint="default"/>
      </w:rPr>
    </w:lvl>
  </w:abstractNum>
  <w:abstractNum w:abstractNumId="16" w15:restartNumberingAfterBreak="0">
    <w:nsid w:val="1BD619C5"/>
    <w:multiLevelType w:val="hybridMultilevel"/>
    <w:tmpl w:val="7C0A00C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1F0D5C4B"/>
    <w:multiLevelType w:val="hybridMultilevel"/>
    <w:tmpl w:val="E236EED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229B50C6"/>
    <w:multiLevelType w:val="hybridMultilevel"/>
    <w:tmpl w:val="3A369FA8"/>
    <w:lvl w:ilvl="0" w:tplc="B5F6251E">
      <w:start w:val="6"/>
      <w:numFmt w:val="bullet"/>
      <w:lvlText w:val="-"/>
      <w:lvlJc w:val="left"/>
      <w:pPr>
        <w:ind w:left="360" w:hanging="360"/>
      </w:pPr>
      <w:rPr>
        <w:rFonts w:ascii="Times New Roman" w:eastAsia="Times New Roman" w:hAnsi="Times New Roman" w:cs="Times New Roman" w:hint="default"/>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9" w15:restartNumberingAfterBreak="0">
    <w:nsid w:val="23FA557D"/>
    <w:multiLevelType w:val="multilevel"/>
    <w:tmpl w:val="B3E61328"/>
    <w:lvl w:ilvl="0">
      <w:start w:val="4"/>
      <w:numFmt w:val="decimal"/>
      <w:lvlText w:val="%1"/>
      <w:lvlJc w:val="left"/>
      <w:pPr>
        <w:ind w:left="685" w:hanging="567"/>
      </w:pPr>
      <w:rPr>
        <w:rFonts w:hint="default"/>
      </w:rPr>
    </w:lvl>
    <w:lvl w:ilvl="1">
      <w:start w:val="6"/>
      <w:numFmt w:val="decimal"/>
      <w:lvlText w:val="%1.%2"/>
      <w:lvlJc w:val="left"/>
      <w:pPr>
        <w:ind w:left="685" w:hanging="567"/>
      </w:pPr>
      <w:rPr>
        <w:rFonts w:ascii="Times New Roman" w:eastAsia="Times New Roman" w:hAnsi="Times New Roman" w:hint="default"/>
        <w:b/>
        <w:bCs/>
        <w:sz w:val="22"/>
        <w:szCs w:val="22"/>
      </w:rPr>
    </w:lvl>
    <w:lvl w:ilvl="2">
      <w:start w:val="1"/>
      <w:numFmt w:val="bullet"/>
      <w:lvlText w:val="•"/>
      <w:lvlJc w:val="left"/>
      <w:pPr>
        <w:ind w:left="2405" w:hanging="567"/>
      </w:pPr>
      <w:rPr>
        <w:rFonts w:hint="default"/>
      </w:rPr>
    </w:lvl>
    <w:lvl w:ilvl="3">
      <w:start w:val="1"/>
      <w:numFmt w:val="bullet"/>
      <w:lvlText w:val="•"/>
      <w:lvlJc w:val="left"/>
      <w:pPr>
        <w:ind w:left="3265" w:hanging="567"/>
      </w:pPr>
      <w:rPr>
        <w:rFonts w:hint="default"/>
      </w:rPr>
    </w:lvl>
    <w:lvl w:ilvl="4">
      <w:start w:val="1"/>
      <w:numFmt w:val="bullet"/>
      <w:lvlText w:val="•"/>
      <w:lvlJc w:val="left"/>
      <w:pPr>
        <w:ind w:left="4125" w:hanging="567"/>
      </w:pPr>
      <w:rPr>
        <w:rFonts w:hint="default"/>
      </w:rPr>
    </w:lvl>
    <w:lvl w:ilvl="5">
      <w:start w:val="1"/>
      <w:numFmt w:val="bullet"/>
      <w:lvlText w:val="•"/>
      <w:lvlJc w:val="left"/>
      <w:pPr>
        <w:ind w:left="4985" w:hanging="567"/>
      </w:pPr>
      <w:rPr>
        <w:rFonts w:hint="default"/>
      </w:rPr>
    </w:lvl>
    <w:lvl w:ilvl="6">
      <w:start w:val="1"/>
      <w:numFmt w:val="bullet"/>
      <w:lvlText w:val="•"/>
      <w:lvlJc w:val="left"/>
      <w:pPr>
        <w:ind w:left="5845" w:hanging="567"/>
      </w:pPr>
      <w:rPr>
        <w:rFonts w:hint="default"/>
      </w:rPr>
    </w:lvl>
    <w:lvl w:ilvl="7">
      <w:start w:val="1"/>
      <w:numFmt w:val="bullet"/>
      <w:lvlText w:val="•"/>
      <w:lvlJc w:val="left"/>
      <w:pPr>
        <w:ind w:left="6706" w:hanging="567"/>
      </w:pPr>
      <w:rPr>
        <w:rFonts w:hint="default"/>
      </w:rPr>
    </w:lvl>
    <w:lvl w:ilvl="8">
      <w:start w:val="1"/>
      <w:numFmt w:val="bullet"/>
      <w:lvlText w:val="•"/>
      <w:lvlJc w:val="left"/>
      <w:pPr>
        <w:ind w:left="7566" w:hanging="567"/>
      </w:pPr>
      <w:rPr>
        <w:rFonts w:hint="default"/>
      </w:rPr>
    </w:lvl>
  </w:abstractNum>
  <w:abstractNum w:abstractNumId="20" w15:restartNumberingAfterBreak="0">
    <w:nsid w:val="28E47421"/>
    <w:multiLevelType w:val="hybridMultilevel"/>
    <w:tmpl w:val="CD6AF51A"/>
    <w:lvl w:ilvl="0" w:tplc="AB707206">
      <w:start w:val="1"/>
      <w:numFmt w:val="bullet"/>
      <w:lvlText w:val="-"/>
      <w:lvlJc w:val="left"/>
      <w:pPr>
        <w:ind w:left="685" w:hanging="567"/>
      </w:pPr>
      <w:rPr>
        <w:rFonts w:ascii="Times New Roman" w:eastAsia="Times New Roman" w:hAnsi="Times New Roman" w:hint="default"/>
        <w:sz w:val="22"/>
        <w:szCs w:val="22"/>
      </w:rPr>
    </w:lvl>
    <w:lvl w:ilvl="1" w:tplc="DDA0C35E">
      <w:start w:val="1"/>
      <w:numFmt w:val="bullet"/>
      <w:lvlText w:val="•"/>
      <w:lvlJc w:val="left"/>
      <w:pPr>
        <w:ind w:left="1545" w:hanging="567"/>
      </w:pPr>
      <w:rPr>
        <w:rFonts w:hint="default"/>
      </w:rPr>
    </w:lvl>
    <w:lvl w:ilvl="2" w:tplc="6B8A1320">
      <w:start w:val="1"/>
      <w:numFmt w:val="bullet"/>
      <w:lvlText w:val="•"/>
      <w:lvlJc w:val="left"/>
      <w:pPr>
        <w:ind w:left="2405" w:hanging="567"/>
      </w:pPr>
      <w:rPr>
        <w:rFonts w:hint="default"/>
      </w:rPr>
    </w:lvl>
    <w:lvl w:ilvl="3" w:tplc="09CAF766">
      <w:start w:val="1"/>
      <w:numFmt w:val="bullet"/>
      <w:lvlText w:val="•"/>
      <w:lvlJc w:val="left"/>
      <w:pPr>
        <w:ind w:left="3265" w:hanging="567"/>
      </w:pPr>
      <w:rPr>
        <w:rFonts w:hint="default"/>
      </w:rPr>
    </w:lvl>
    <w:lvl w:ilvl="4" w:tplc="D0EC6324">
      <w:start w:val="1"/>
      <w:numFmt w:val="bullet"/>
      <w:lvlText w:val="•"/>
      <w:lvlJc w:val="left"/>
      <w:pPr>
        <w:ind w:left="4125" w:hanging="567"/>
      </w:pPr>
      <w:rPr>
        <w:rFonts w:hint="default"/>
      </w:rPr>
    </w:lvl>
    <w:lvl w:ilvl="5" w:tplc="C674CEE0">
      <w:start w:val="1"/>
      <w:numFmt w:val="bullet"/>
      <w:lvlText w:val="•"/>
      <w:lvlJc w:val="left"/>
      <w:pPr>
        <w:ind w:left="4985" w:hanging="567"/>
      </w:pPr>
      <w:rPr>
        <w:rFonts w:hint="default"/>
      </w:rPr>
    </w:lvl>
    <w:lvl w:ilvl="6" w:tplc="FB00F932">
      <w:start w:val="1"/>
      <w:numFmt w:val="bullet"/>
      <w:lvlText w:val="•"/>
      <w:lvlJc w:val="left"/>
      <w:pPr>
        <w:ind w:left="5845" w:hanging="567"/>
      </w:pPr>
      <w:rPr>
        <w:rFonts w:hint="default"/>
      </w:rPr>
    </w:lvl>
    <w:lvl w:ilvl="7" w:tplc="773EECDA">
      <w:start w:val="1"/>
      <w:numFmt w:val="bullet"/>
      <w:lvlText w:val="•"/>
      <w:lvlJc w:val="left"/>
      <w:pPr>
        <w:ind w:left="6706" w:hanging="567"/>
      </w:pPr>
      <w:rPr>
        <w:rFonts w:hint="default"/>
      </w:rPr>
    </w:lvl>
    <w:lvl w:ilvl="8" w:tplc="17C64590">
      <w:start w:val="1"/>
      <w:numFmt w:val="bullet"/>
      <w:lvlText w:val="•"/>
      <w:lvlJc w:val="left"/>
      <w:pPr>
        <w:ind w:left="7566" w:hanging="567"/>
      </w:pPr>
      <w:rPr>
        <w:rFonts w:hint="default"/>
      </w:rPr>
    </w:lvl>
  </w:abstractNum>
  <w:abstractNum w:abstractNumId="21" w15:restartNumberingAfterBreak="0">
    <w:nsid w:val="299F0244"/>
    <w:multiLevelType w:val="hybridMultilevel"/>
    <w:tmpl w:val="565C6ED4"/>
    <w:lvl w:ilvl="0" w:tplc="207EFB6A">
      <w:start w:val="1"/>
      <w:numFmt w:val="decimal"/>
      <w:lvlText w:val="%1."/>
      <w:lvlJc w:val="left"/>
      <w:pPr>
        <w:ind w:left="118" w:hanging="567"/>
      </w:pPr>
      <w:rPr>
        <w:rFonts w:ascii="Times New Roman" w:eastAsia="Times New Roman" w:hAnsi="Times New Roman" w:hint="default"/>
        <w:b/>
        <w:bCs/>
        <w:sz w:val="22"/>
        <w:szCs w:val="22"/>
      </w:rPr>
    </w:lvl>
    <w:lvl w:ilvl="1" w:tplc="D9F87F4A">
      <w:start w:val="1"/>
      <w:numFmt w:val="bullet"/>
      <w:lvlText w:val="•"/>
      <w:lvlJc w:val="left"/>
      <w:pPr>
        <w:ind w:left="1035" w:hanging="567"/>
      </w:pPr>
      <w:rPr>
        <w:rFonts w:hint="default"/>
      </w:rPr>
    </w:lvl>
    <w:lvl w:ilvl="2" w:tplc="C836323C">
      <w:start w:val="1"/>
      <w:numFmt w:val="bullet"/>
      <w:lvlText w:val="•"/>
      <w:lvlJc w:val="left"/>
      <w:pPr>
        <w:ind w:left="1952" w:hanging="567"/>
      </w:pPr>
      <w:rPr>
        <w:rFonts w:hint="default"/>
      </w:rPr>
    </w:lvl>
    <w:lvl w:ilvl="3" w:tplc="8AE2694E">
      <w:start w:val="1"/>
      <w:numFmt w:val="bullet"/>
      <w:lvlText w:val="•"/>
      <w:lvlJc w:val="left"/>
      <w:pPr>
        <w:ind w:left="2869" w:hanging="567"/>
      </w:pPr>
      <w:rPr>
        <w:rFonts w:hint="default"/>
      </w:rPr>
    </w:lvl>
    <w:lvl w:ilvl="4" w:tplc="52F4C21E">
      <w:start w:val="1"/>
      <w:numFmt w:val="bullet"/>
      <w:lvlText w:val="•"/>
      <w:lvlJc w:val="left"/>
      <w:pPr>
        <w:ind w:left="3785" w:hanging="567"/>
      </w:pPr>
      <w:rPr>
        <w:rFonts w:hint="default"/>
      </w:rPr>
    </w:lvl>
    <w:lvl w:ilvl="5" w:tplc="8E32AE72">
      <w:start w:val="1"/>
      <w:numFmt w:val="bullet"/>
      <w:lvlText w:val="•"/>
      <w:lvlJc w:val="left"/>
      <w:pPr>
        <w:ind w:left="4702" w:hanging="567"/>
      </w:pPr>
      <w:rPr>
        <w:rFonts w:hint="default"/>
      </w:rPr>
    </w:lvl>
    <w:lvl w:ilvl="6" w:tplc="E98EA5D2">
      <w:start w:val="1"/>
      <w:numFmt w:val="bullet"/>
      <w:lvlText w:val="•"/>
      <w:lvlJc w:val="left"/>
      <w:pPr>
        <w:ind w:left="5619" w:hanging="567"/>
      </w:pPr>
      <w:rPr>
        <w:rFonts w:hint="default"/>
      </w:rPr>
    </w:lvl>
    <w:lvl w:ilvl="7" w:tplc="18DACD0E">
      <w:start w:val="1"/>
      <w:numFmt w:val="bullet"/>
      <w:lvlText w:val="•"/>
      <w:lvlJc w:val="left"/>
      <w:pPr>
        <w:ind w:left="6536" w:hanging="567"/>
      </w:pPr>
      <w:rPr>
        <w:rFonts w:hint="default"/>
      </w:rPr>
    </w:lvl>
    <w:lvl w:ilvl="8" w:tplc="0D2EF79E">
      <w:start w:val="1"/>
      <w:numFmt w:val="bullet"/>
      <w:lvlText w:val="•"/>
      <w:lvlJc w:val="left"/>
      <w:pPr>
        <w:ind w:left="7452" w:hanging="567"/>
      </w:pPr>
      <w:rPr>
        <w:rFonts w:hint="default"/>
      </w:rPr>
    </w:lvl>
  </w:abstractNum>
  <w:abstractNum w:abstractNumId="22" w15:restartNumberingAfterBreak="0">
    <w:nsid w:val="2AA07F0E"/>
    <w:multiLevelType w:val="hybridMultilevel"/>
    <w:tmpl w:val="204C7BCE"/>
    <w:lvl w:ilvl="0" w:tplc="2B801F6E">
      <w:start w:val="1"/>
      <w:numFmt w:val="upperLetter"/>
      <w:lvlText w:val="%1."/>
      <w:lvlJc w:val="left"/>
      <w:pPr>
        <w:ind w:left="1440" w:hanging="569"/>
      </w:pPr>
      <w:rPr>
        <w:rFonts w:ascii="Times New Roman" w:eastAsia="Times New Roman" w:hAnsi="Times New Roman" w:hint="default"/>
        <w:b/>
        <w:bCs/>
        <w:spacing w:val="-1"/>
        <w:sz w:val="22"/>
        <w:szCs w:val="22"/>
      </w:rPr>
    </w:lvl>
    <w:lvl w:ilvl="1" w:tplc="33CEE546">
      <w:start w:val="1"/>
      <w:numFmt w:val="bullet"/>
      <w:lvlText w:val="•"/>
      <w:lvlJc w:val="left"/>
      <w:pPr>
        <w:ind w:left="2151" w:hanging="569"/>
      </w:pPr>
      <w:rPr>
        <w:rFonts w:hint="default"/>
      </w:rPr>
    </w:lvl>
    <w:lvl w:ilvl="2" w:tplc="73F624C0">
      <w:start w:val="1"/>
      <w:numFmt w:val="bullet"/>
      <w:lvlText w:val="•"/>
      <w:lvlJc w:val="left"/>
      <w:pPr>
        <w:ind w:left="2861" w:hanging="569"/>
      </w:pPr>
      <w:rPr>
        <w:rFonts w:hint="default"/>
      </w:rPr>
    </w:lvl>
    <w:lvl w:ilvl="3" w:tplc="37B226E0">
      <w:start w:val="1"/>
      <w:numFmt w:val="bullet"/>
      <w:lvlText w:val="•"/>
      <w:lvlJc w:val="left"/>
      <w:pPr>
        <w:ind w:left="3572" w:hanging="569"/>
      </w:pPr>
      <w:rPr>
        <w:rFonts w:hint="default"/>
      </w:rPr>
    </w:lvl>
    <w:lvl w:ilvl="4" w:tplc="E37E14A4">
      <w:start w:val="1"/>
      <w:numFmt w:val="bullet"/>
      <w:lvlText w:val="•"/>
      <w:lvlJc w:val="left"/>
      <w:pPr>
        <w:ind w:left="4282" w:hanging="569"/>
      </w:pPr>
      <w:rPr>
        <w:rFonts w:hint="default"/>
      </w:rPr>
    </w:lvl>
    <w:lvl w:ilvl="5" w:tplc="1C38DD04">
      <w:start w:val="1"/>
      <w:numFmt w:val="bullet"/>
      <w:lvlText w:val="•"/>
      <w:lvlJc w:val="left"/>
      <w:pPr>
        <w:ind w:left="4993" w:hanging="569"/>
      </w:pPr>
      <w:rPr>
        <w:rFonts w:hint="default"/>
      </w:rPr>
    </w:lvl>
    <w:lvl w:ilvl="6" w:tplc="67663BC2">
      <w:start w:val="1"/>
      <w:numFmt w:val="bullet"/>
      <w:lvlText w:val="•"/>
      <w:lvlJc w:val="left"/>
      <w:pPr>
        <w:ind w:left="5704" w:hanging="569"/>
      </w:pPr>
      <w:rPr>
        <w:rFonts w:hint="default"/>
      </w:rPr>
    </w:lvl>
    <w:lvl w:ilvl="7" w:tplc="F39E9CE4">
      <w:start w:val="1"/>
      <w:numFmt w:val="bullet"/>
      <w:lvlText w:val="•"/>
      <w:lvlJc w:val="left"/>
      <w:pPr>
        <w:ind w:left="6414" w:hanging="569"/>
      </w:pPr>
      <w:rPr>
        <w:rFonts w:hint="default"/>
      </w:rPr>
    </w:lvl>
    <w:lvl w:ilvl="8" w:tplc="3E1293CA">
      <w:start w:val="1"/>
      <w:numFmt w:val="bullet"/>
      <w:lvlText w:val="•"/>
      <w:lvlJc w:val="left"/>
      <w:pPr>
        <w:ind w:left="7125" w:hanging="569"/>
      </w:pPr>
      <w:rPr>
        <w:rFonts w:hint="default"/>
      </w:rPr>
    </w:lvl>
  </w:abstractNum>
  <w:abstractNum w:abstractNumId="23" w15:restartNumberingAfterBreak="0">
    <w:nsid w:val="34E72FB5"/>
    <w:multiLevelType w:val="hybridMultilevel"/>
    <w:tmpl w:val="03BC99B0"/>
    <w:lvl w:ilvl="0" w:tplc="86C603EA">
      <w:start w:val="1"/>
      <w:numFmt w:val="bullet"/>
      <w:lvlText w:val="-"/>
      <w:lvlJc w:val="left"/>
      <w:pPr>
        <w:ind w:left="685" w:hanging="428"/>
      </w:pPr>
      <w:rPr>
        <w:rFonts w:ascii="Times New Roman" w:eastAsia="Times New Roman" w:hAnsi="Times New Roman" w:hint="default"/>
        <w:b/>
        <w:bCs/>
        <w:sz w:val="22"/>
        <w:szCs w:val="22"/>
      </w:rPr>
    </w:lvl>
    <w:lvl w:ilvl="1" w:tplc="8AE60C66">
      <w:start w:val="1"/>
      <w:numFmt w:val="bullet"/>
      <w:lvlText w:val="•"/>
      <w:lvlJc w:val="left"/>
      <w:pPr>
        <w:ind w:left="1543" w:hanging="428"/>
      </w:pPr>
      <w:rPr>
        <w:rFonts w:hint="default"/>
      </w:rPr>
    </w:lvl>
    <w:lvl w:ilvl="2" w:tplc="E3FE31A0">
      <w:start w:val="1"/>
      <w:numFmt w:val="bullet"/>
      <w:lvlText w:val="•"/>
      <w:lvlJc w:val="left"/>
      <w:pPr>
        <w:ind w:left="2401" w:hanging="428"/>
      </w:pPr>
      <w:rPr>
        <w:rFonts w:hint="default"/>
      </w:rPr>
    </w:lvl>
    <w:lvl w:ilvl="3" w:tplc="121898C0">
      <w:start w:val="1"/>
      <w:numFmt w:val="bullet"/>
      <w:lvlText w:val="•"/>
      <w:lvlJc w:val="left"/>
      <w:pPr>
        <w:ind w:left="3259" w:hanging="428"/>
      </w:pPr>
      <w:rPr>
        <w:rFonts w:hint="default"/>
      </w:rPr>
    </w:lvl>
    <w:lvl w:ilvl="4" w:tplc="83BADC54">
      <w:start w:val="1"/>
      <w:numFmt w:val="bullet"/>
      <w:lvlText w:val="•"/>
      <w:lvlJc w:val="left"/>
      <w:pPr>
        <w:ind w:left="4117" w:hanging="428"/>
      </w:pPr>
      <w:rPr>
        <w:rFonts w:hint="default"/>
      </w:rPr>
    </w:lvl>
    <w:lvl w:ilvl="5" w:tplc="3C2823B8">
      <w:start w:val="1"/>
      <w:numFmt w:val="bullet"/>
      <w:lvlText w:val="•"/>
      <w:lvlJc w:val="left"/>
      <w:pPr>
        <w:ind w:left="4975" w:hanging="428"/>
      </w:pPr>
      <w:rPr>
        <w:rFonts w:hint="default"/>
      </w:rPr>
    </w:lvl>
    <w:lvl w:ilvl="6" w:tplc="B8C4B18C">
      <w:start w:val="1"/>
      <w:numFmt w:val="bullet"/>
      <w:lvlText w:val="•"/>
      <w:lvlJc w:val="left"/>
      <w:pPr>
        <w:ind w:left="5833" w:hanging="428"/>
      </w:pPr>
      <w:rPr>
        <w:rFonts w:hint="default"/>
      </w:rPr>
    </w:lvl>
    <w:lvl w:ilvl="7" w:tplc="F400316E">
      <w:start w:val="1"/>
      <w:numFmt w:val="bullet"/>
      <w:lvlText w:val="•"/>
      <w:lvlJc w:val="left"/>
      <w:pPr>
        <w:ind w:left="6692" w:hanging="428"/>
      </w:pPr>
      <w:rPr>
        <w:rFonts w:hint="default"/>
      </w:rPr>
    </w:lvl>
    <w:lvl w:ilvl="8" w:tplc="C8B68676">
      <w:start w:val="1"/>
      <w:numFmt w:val="bullet"/>
      <w:lvlText w:val="•"/>
      <w:lvlJc w:val="left"/>
      <w:pPr>
        <w:ind w:left="7550" w:hanging="428"/>
      </w:pPr>
      <w:rPr>
        <w:rFonts w:hint="default"/>
      </w:rPr>
    </w:lvl>
  </w:abstractNum>
  <w:abstractNum w:abstractNumId="24" w15:restartNumberingAfterBreak="0">
    <w:nsid w:val="3E337046"/>
    <w:multiLevelType w:val="multilevel"/>
    <w:tmpl w:val="6DF485D6"/>
    <w:lvl w:ilvl="0">
      <w:start w:val="5"/>
      <w:numFmt w:val="decimal"/>
      <w:lvlText w:val="%1."/>
      <w:lvlJc w:val="left"/>
      <w:pPr>
        <w:ind w:left="685" w:hanging="567"/>
      </w:pPr>
      <w:rPr>
        <w:rFonts w:ascii="Times New Roman" w:eastAsia="Times New Roman" w:hAnsi="Times New Roman" w:hint="default"/>
        <w:b/>
        <w:bCs/>
        <w:sz w:val="22"/>
        <w:szCs w:val="22"/>
      </w:rPr>
    </w:lvl>
    <w:lvl w:ilvl="1">
      <w:start w:val="1"/>
      <w:numFmt w:val="decimal"/>
      <w:lvlText w:val="%1.%2"/>
      <w:lvlJc w:val="left"/>
      <w:pPr>
        <w:ind w:left="685" w:hanging="567"/>
      </w:pPr>
      <w:rPr>
        <w:rFonts w:ascii="Times New Roman" w:eastAsia="Times New Roman" w:hAnsi="Times New Roman" w:hint="default"/>
        <w:b/>
        <w:bCs/>
        <w:sz w:val="22"/>
        <w:szCs w:val="22"/>
      </w:rPr>
    </w:lvl>
    <w:lvl w:ilvl="2">
      <w:start w:val="1"/>
      <w:numFmt w:val="bullet"/>
      <w:lvlText w:val="•"/>
      <w:lvlJc w:val="left"/>
      <w:pPr>
        <w:ind w:left="2405" w:hanging="567"/>
      </w:pPr>
      <w:rPr>
        <w:rFonts w:hint="default"/>
      </w:rPr>
    </w:lvl>
    <w:lvl w:ilvl="3">
      <w:start w:val="1"/>
      <w:numFmt w:val="bullet"/>
      <w:lvlText w:val="•"/>
      <w:lvlJc w:val="left"/>
      <w:pPr>
        <w:ind w:left="3265" w:hanging="567"/>
      </w:pPr>
      <w:rPr>
        <w:rFonts w:hint="default"/>
      </w:rPr>
    </w:lvl>
    <w:lvl w:ilvl="4">
      <w:start w:val="1"/>
      <w:numFmt w:val="bullet"/>
      <w:lvlText w:val="•"/>
      <w:lvlJc w:val="left"/>
      <w:pPr>
        <w:ind w:left="4125" w:hanging="567"/>
      </w:pPr>
      <w:rPr>
        <w:rFonts w:hint="default"/>
      </w:rPr>
    </w:lvl>
    <w:lvl w:ilvl="5">
      <w:start w:val="1"/>
      <w:numFmt w:val="bullet"/>
      <w:lvlText w:val="•"/>
      <w:lvlJc w:val="left"/>
      <w:pPr>
        <w:ind w:left="4985" w:hanging="567"/>
      </w:pPr>
      <w:rPr>
        <w:rFonts w:hint="default"/>
      </w:rPr>
    </w:lvl>
    <w:lvl w:ilvl="6">
      <w:start w:val="1"/>
      <w:numFmt w:val="bullet"/>
      <w:lvlText w:val="•"/>
      <w:lvlJc w:val="left"/>
      <w:pPr>
        <w:ind w:left="5845" w:hanging="567"/>
      </w:pPr>
      <w:rPr>
        <w:rFonts w:hint="default"/>
      </w:rPr>
    </w:lvl>
    <w:lvl w:ilvl="7">
      <w:start w:val="1"/>
      <w:numFmt w:val="bullet"/>
      <w:lvlText w:val="•"/>
      <w:lvlJc w:val="left"/>
      <w:pPr>
        <w:ind w:left="6706" w:hanging="567"/>
      </w:pPr>
      <w:rPr>
        <w:rFonts w:hint="default"/>
      </w:rPr>
    </w:lvl>
    <w:lvl w:ilvl="8">
      <w:start w:val="1"/>
      <w:numFmt w:val="bullet"/>
      <w:lvlText w:val="•"/>
      <w:lvlJc w:val="left"/>
      <w:pPr>
        <w:ind w:left="7566" w:hanging="567"/>
      </w:pPr>
      <w:rPr>
        <w:rFonts w:hint="default"/>
      </w:rPr>
    </w:lvl>
  </w:abstractNum>
  <w:abstractNum w:abstractNumId="25" w15:restartNumberingAfterBreak="0">
    <w:nsid w:val="443B44A1"/>
    <w:multiLevelType w:val="hybridMultilevel"/>
    <w:tmpl w:val="2E24A6C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45935DEB"/>
    <w:multiLevelType w:val="hybridMultilevel"/>
    <w:tmpl w:val="8AB83BF4"/>
    <w:lvl w:ilvl="0" w:tplc="494A07E4">
      <w:start w:val="1"/>
      <w:numFmt w:val="bullet"/>
      <w:lvlText w:val=""/>
      <w:lvlJc w:val="left"/>
      <w:pPr>
        <w:ind w:left="685" w:hanging="567"/>
      </w:pPr>
      <w:rPr>
        <w:rFonts w:ascii="Symbol" w:eastAsia="Symbol" w:hAnsi="Symbol" w:hint="default"/>
        <w:sz w:val="22"/>
        <w:szCs w:val="22"/>
      </w:rPr>
    </w:lvl>
    <w:lvl w:ilvl="1" w:tplc="0F36ECF0">
      <w:start w:val="1"/>
      <w:numFmt w:val="bullet"/>
      <w:lvlText w:val="•"/>
      <w:lvlJc w:val="left"/>
      <w:pPr>
        <w:ind w:left="1541" w:hanging="567"/>
      </w:pPr>
      <w:rPr>
        <w:rFonts w:hint="default"/>
      </w:rPr>
    </w:lvl>
    <w:lvl w:ilvl="2" w:tplc="4AF64E3C">
      <w:start w:val="1"/>
      <w:numFmt w:val="bullet"/>
      <w:lvlText w:val="•"/>
      <w:lvlJc w:val="left"/>
      <w:pPr>
        <w:ind w:left="2397" w:hanging="567"/>
      </w:pPr>
      <w:rPr>
        <w:rFonts w:hint="default"/>
      </w:rPr>
    </w:lvl>
    <w:lvl w:ilvl="3" w:tplc="E7B479EA">
      <w:start w:val="1"/>
      <w:numFmt w:val="bullet"/>
      <w:lvlText w:val="•"/>
      <w:lvlJc w:val="left"/>
      <w:pPr>
        <w:ind w:left="3253" w:hanging="567"/>
      </w:pPr>
      <w:rPr>
        <w:rFonts w:hint="default"/>
      </w:rPr>
    </w:lvl>
    <w:lvl w:ilvl="4" w:tplc="677EAF66">
      <w:start w:val="1"/>
      <w:numFmt w:val="bullet"/>
      <w:lvlText w:val="•"/>
      <w:lvlJc w:val="left"/>
      <w:pPr>
        <w:ind w:left="4109" w:hanging="567"/>
      </w:pPr>
      <w:rPr>
        <w:rFonts w:hint="default"/>
      </w:rPr>
    </w:lvl>
    <w:lvl w:ilvl="5" w:tplc="57E8DFE6">
      <w:start w:val="1"/>
      <w:numFmt w:val="bullet"/>
      <w:lvlText w:val="•"/>
      <w:lvlJc w:val="left"/>
      <w:pPr>
        <w:ind w:left="4965" w:hanging="567"/>
      </w:pPr>
      <w:rPr>
        <w:rFonts w:hint="default"/>
      </w:rPr>
    </w:lvl>
    <w:lvl w:ilvl="6" w:tplc="36EED89E">
      <w:start w:val="1"/>
      <w:numFmt w:val="bullet"/>
      <w:lvlText w:val="•"/>
      <w:lvlJc w:val="left"/>
      <w:pPr>
        <w:ind w:left="5821" w:hanging="567"/>
      </w:pPr>
      <w:rPr>
        <w:rFonts w:hint="default"/>
      </w:rPr>
    </w:lvl>
    <w:lvl w:ilvl="7" w:tplc="B42A244A">
      <w:start w:val="1"/>
      <w:numFmt w:val="bullet"/>
      <w:lvlText w:val="•"/>
      <w:lvlJc w:val="left"/>
      <w:pPr>
        <w:ind w:left="6678" w:hanging="567"/>
      </w:pPr>
      <w:rPr>
        <w:rFonts w:hint="default"/>
      </w:rPr>
    </w:lvl>
    <w:lvl w:ilvl="8" w:tplc="7444C728">
      <w:start w:val="1"/>
      <w:numFmt w:val="bullet"/>
      <w:lvlText w:val="•"/>
      <w:lvlJc w:val="left"/>
      <w:pPr>
        <w:ind w:left="7534" w:hanging="567"/>
      </w:pPr>
      <w:rPr>
        <w:rFonts w:hint="default"/>
      </w:rPr>
    </w:lvl>
  </w:abstractNum>
  <w:abstractNum w:abstractNumId="27" w15:restartNumberingAfterBreak="0">
    <w:nsid w:val="465B576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BFA896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FE13DA2"/>
    <w:multiLevelType w:val="multilevel"/>
    <w:tmpl w:val="07906BF8"/>
    <w:lvl w:ilvl="0">
      <w:start w:val="1"/>
      <w:numFmt w:val="decimal"/>
      <w:lvlText w:val="%1."/>
      <w:lvlJc w:val="left"/>
      <w:pPr>
        <w:ind w:left="851" w:hanging="567"/>
      </w:pPr>
      <w:rPr>
        <w:rFonts w:ascii="Times New Roman" w:eastAsia="Times New Roman" w:hAnsi="Times New Roman" w:hint="default"/>
        <w:b/>
        <w:bCs/>
        <w:sz w:val="22"/>
        <w:szCs w:val="22"/>
      </w:rPr>
    </w:lvl>
    <w:lvl w:ilvl="1">
      <w:start w:val="1"/>
      <w:numFmt w:val="decimal"/>
      <w:lvlText w:val="%1.%2"/>
      <w:lvlJc w:val="left"/>
      <w:pPr>
        <w:ind w:left="851" w:hanging="567"/>
      </w:pPr>
      <w:rPr>
        <w:rFonts w:ascii="Times New Roman" w:eastAsia="Times New Roman" w:hAnsi="Times New Roman" w:hint="default"/>
        <w:b/>
        <w:bCs/>
        <w:sz w:val="22"/>
        <w:szCs w:val="22"/>
      </w:rPr>
    </w:lvl>
    <w:lvl w:ilvl="2">
      <w:start w:val="1"/>
      <w:numFmt w:val="bullet"/>
      <w:lvlText w:val="•"/>
      <w:lvlJc w:val="left"/>
      <w:pPr>
        <w:ind w:left="2555" w:hanging="567"/>
      </w:pPr>
      <w:rPr>
        <w:rFonts w:hint="default"/>
      </w:rPr>
    </w:lvl>
    <w:lvl w:ilvl="3">
      <w:start w:val="1"/>
      <w:numFmt w:val="bullet"/>
      <w:lvlText w:val="•"/>
      <w:lvlJc w:val="left"/>
      <w:pPr>
        <w:ind w:left="3407" w:hanging="567"/>
      </w:pPr>
      <w:rPr>
        <w:rFonts w:hint="default"/>
      </w:rPr>
    </w:lvl>
    <w:lvl w:ilvl="4">
      <w:start w:val="1"/>
      <w:numFmt w:val="bullet"/>
      <w:lvlText w:val="•"/>
      <w:lvlJc w:val="left"/>
      <w:pPr>
        <w:ind w:left="4259" w:hanging="567"/>
      </w:pPr>
      <w:rPr>
        <w:rFonts w:hint="default"/>
      </w:rPr>
    </w:lvl>
    <w:lvl w:ilvl="5">
      <w:start w:val="1"/>
      <w:numFmt w:val="bullet"/>
      <w:lvlText w:val="•"/>
      <w:lvlJc w:val="left"/>
      <w:pPr>
        <w:ind w:left="5111" w:hanging="567"/>
      </w:pPr>
      <w:rPr>
        <w:rFonts w:hint="default"/>
      </w:rPr>
    </w:lvl>
    <w:lvl w:ilvl="6">
      <w:start w:val="1"/>
      <w:numFmt w:val="bullet"/>
      <w:lvlText w:val="•"/>
      <w:lvlJc w:val="left"/>
      <w:pPr>
        <w:ind w:left="5963" w:hanging="567"/>
      </w:pPr>
      <w:rPr>
        <w:rFonts w:hint="default"/>
      </w:rPr>
    </w:lvl>
    <w:lvl w:ilvl="7">
      <w:start w:val="1"/>
      <w:numFmt w:val="bullet"/>
      <w:lvlText w:val="•"/>
      <w:lvlJc w:val="left"/>
      <w:pPr>
        <w:ind w:left="6816" w:hanging="567"/>
      </w:pPr>
      <w:rPr>
        <w:rFonts w:hint="default"/>
      </w:rPr>
    </w:lvl>
    <w:lvl w:ilvl="8">
      <w:start w:val="1"/>
      <w:numFmt w:val="bullet"/>
      <w:lvlText w:val="•"/>
      <w:lvlJc w:val="left"/>
      <w:pPr>
        <w:ind w:left="7668" w:hanging="567"/>
      </w:pPr>
      <w:rPr>
        <w:rFonts w:hint="default"/>
      </w:rPr>
    </w:lvl>
  </w:abstractNum>
  <w:abstractNum w:abstractNumId="30" w15:restartNumberingAfterBreak="0">
    <w:nsid w:val="56E37981"/>
    <w:multiLevelType w:val="hybridMultilevel"/>
    <w:tmpl w:val="1150ABE8"/>
    <w:lvl w:ilvl="0" w:tplc="B8A64FC8">
      <w:start w:val="1"/>
      <w:numFmt w:val="decimal"/>
      <w:lvlText w:val="%1."/>
      <w:lvlJc w:val="left"/>
      <w:pPr>
        <w:ind w:left="478" w:hanging="360"/>
      </w:pPr>
      <w:rPr>
        <w:rFonts w:hint="default"/>
      </w:rPr>
    </w:lvl>
    <w:lvl w:ilvl="1" w:tplc="040E0019" w:tentative="1">
      <w:start w:val="1"/>
      <w:numFmt w:val="lowerLetter"/>
      <w:lvlText w:val="%2."/>
      <w:lvlJc w:val="left"/>
      <w:pPr>
        <w:ind w:left="1198" w:hanging="360"/>
      </w:pPr>
    </w:lvl>
    <w:lvl w:ilvl="2" w:tplc="040E001B" w:tentative="1">
      <w:start w:val="1"/>
      <w:numFmt w:val="lowerRoman"/>
      <w:lvlText w:val="%3."/>
      <w:lvlJc w:val="right"/>
      <w:pPr>
        <w:ind w:left="1918" w:hanging="180"/>
      </w:pPr>
    </w:lvl>
    <w:lvl w:ilvl="3" w:tplc="040E000F" w:tentative="1">
      <w:start w:val="1"/>
      <w:numFmt w:val="decimal"/>
      <w:lvlText w:val="%4."/>
      <w:lvlJc w:val="left"/>
      <w:pPr>
        <w:ind w:left="2638" w:hanging="360"/>
      </w:pPr>
    </w:lvl>
    <w:lvl w:ilvl="4" w:tplc="040E0019" w:tentative="1">
      <w:start w:val="1"/>
      <w:numFmt w:val="lowerLetter"/>
      <w:lvlText w:val="%5."/>
      <w:lvlJc w:val="left"/>
      <w:pPr>
        <w:ind w:left="3358" w:hanging="360"/>
      </w:pPr>
    </w:lvl>
    <w:lvl w:ilvl="5" w:tplc="040E001B" w:tentative="1">
      <w:start w:val="1"/>
      <w:numFmt w:val="lowerRoman"/>
      <w:lvlText w:val="%6."/>
      <w:lvlJc w:val="right"/>
      <w:pPr>
        <w:ind w:left="4078" w:hanging="180"/>
      </w:pPr>
    </w:lvl>
    <w:lvl w:ilvl="6" w:tplc="040E000F" w:tentative="1">
      <w:start w:val="1"/>
      <w:numFmt w:val="decimal"/>
      <w:lvlText w:val="%7."/>
      <w:lvlJc w:val="left"/>
      <w:pPr>
        <w:ind w:left="4798" w:hanging="360"/>
      </w:pPr>
    </w:lvl>
    <w:lvl w:ilvl="7" w:tplc="040E0019" w:tentative="1">
      <w:start w:val="1"/>
      <w:numFmt w:val="lowerLetter"/>
      <w:lvlText w:val="%8."/>
      <w:lvlJc w:val="left"/>
      <w:pPr>
        <w:ind w:left="5518" w:hanging="360"/>
      </w:pPr>
    </w:lvl>
    <w:lvl w:ilvl="8" w:tplc="040E001B" w:tentative="1">
      <w:start w:val="1"/>
      <w:numFmt w:val="lowerRoman"/>
      <w:lvlText w:val="%9."/>
      <w:lvlJc w:val="right"/>
      <w:pPr>
        <w:ind w:left="6238" w:hanging="180"/>
      </w:pPr>
    </w:lvl>
  </w:abstractNum>
  <w:abstractNum w:abstractNumId="31" w15:restartNumberingAfterBreak="0">
    <w:nsid w:val="57243B1F"/>
    <w:multiLevelType w:val="hybridMultilevel"/>
    <w:tmpl w:val="8652597A"/>
    <w:lvl w:ilvl="0" w:tplc="3168CC56">
      <w:start w:val="1"/>
      <w:numFmt w:val="bullet"/>
      <w:lvlText w:val="-"/>
      <w:lvlJc w:val="left"/>
      <w:pPr>
        <w:ind w:left="685" w:hanging="567"/>
      </w:pPr>
      <w:rPr>
        <w:rFonts w:ascii="Times New Roman" w:eastAsia="Times New Roman" w:hAnsi="Times New Roman" w:hint="default"/>
        <w:b/>
        <w:bCs/>
        <w:sz w:val="22"/>
        <w:szCs w:val="22"/>
      </w:rPr>
    </w:lvl>
    <w:lvl w:ilvl="1" w:tplc="7710220A">
      <w:start w:val="1"/>
      <w:numFmt w:val="bullet"/>
      <w:lvlText w:val="•"/>
      <w:lvlJc w:val="left"/>
      <w:pPr>
        <w:ind w:left="1529" w:hanging="567"/>
      </w:pPr>
      <w:rPr>
        <w:rFonts w:hint="default"/>
      </w:rPr>
    </w:lvl>
    <w:lvl w:ilvl="2" w:tplc="475E7290">
      <w:start w:val="1"/>
      <w:numFmt w:val="bullet"/>
      <w:lvlText w:val="•"/>
      <w:lvlJc w:val="left"/>
      <w:pPr>
        <w:ind w:left="2373" w:hanging="567"/>
      </w:pPr>
      <w:rPr>
        <w:rFonts w:hint="default"/>
      </w:rPr>
    </w:lvl>
    <w:lvl w:ilvl="3" w:tplc="9D96318C">
      <w:start w:val="1"/>
      <w:numFmt w:val="bullet"/>
      <w:lvlText w:val="•"/>
      <w:lvlJc w:val="left"/>
      <w:pPr>
        <w:ind w:left="3217" w:hanging="567"/>
      </w:pPr>
      <w:rPr>
        <w:rFonts w:hint="default"/>
      </w:rPr>
    </w:lvl>
    <w:lvl w:ilvl="4" w:tplc="461C0110">
      <w:start w:val="1"/>
      <w:numFmt w:val="bullet"/>
      <w:lvlText w:val="•"/>
      <w:lvlJc w:val="left"/>
      <w:pPr>
        <w:ind w:left="4061" w:hanging="567"/>
      </w:pPr>
      <w:rPr>
        <w:rFonts w:hint="default"/>
      </w:rPr>
    </w:lvl>
    <w:lvl w:ilvl="5" w:tplc="08EA407E">
      <w:start w:val="1"/>
      <w:numFmt w:val="bullet"/>
      <w:lvlText w:val="•"/>
      <w:lvlJc w:val="left"/>
      <w:pPr>
        <w:ind w:left="4905" w:hanging="567"/>
      </w:pPr>
      <w:rPr>
        <w:rFonts w:hint="default"/>
      </w:rPr>
    </w:lvl>
    <w:lvl w:ilvl="6" w:tplc="6BB204AE">
      <w:start w:val="1"/>
      <w:numFmt w:val="bullet"/>
      <w:lvlText w:val="•"/>
      <w:lvlJc w:val="left"/>
      <w:pPr>
        <w:ind w:left="5749" w:hanging="567"/>
      </w:pPr>
      <w:rPr>
        <w:rFonts w:hint="default"/>
      </w:rPr>
    </w:lvl>
    <w:lvl w:ilvl="7" w:tplc="0B32C840">
      <w:start w:val="1"/>
      <w:numFmt w:val="bullet"/>
      <w:lvlText w:val="•"/>
      <w:lvlJc w:val="left"/>
      <w:pPr>
        <w:ind w:left="6594" w:hanging="567"/>
      </w:pPr>
      <w:rPr>
        <w:rFonts w:hint="default"/>
      </w:rPr>
    </w:lvl>
    <w:lvl w:ilvl="8" w:tplc="C750E49C">
      <w:start w:val="1"/>
      <w:numFmt w:val="bullet"/>
      <w:lvlText w:val="•"/>
      <w:lvlJc w:val="left"/>
      <w:pPr>
        <w:ind w:left="7438" w:hanging="567"/>
      </w:pPr>
      <w:rPr>
        <w:rFonts w:hint="default"/>
      </w:rPr>
    </w:lvl>
  </w:abstractNum>
  <w:abstractNum w:abstractNumId="32" w15:restartNumberingAfterBreak="0">
    <w:nsid w:val="57EC2E39"/>
    <w:multiLevelType w:val="hybridMultilevel"/>
    <w:tmpl w:val="EE5CBFC2"/>
    <w:lvl w:ilvl="0" w:tplc="2E6EBF44">
      <w:start w:val="1"/>
      <w:numFmt w:val="bullet"/>
      <w:lvlText w:val="-"/>
      <w:lvlJc w:val="left"/>
      <w:pPr>
        <w:ind w:left="685" w:hanging="567"/>
      </w:pPr>
      <w:rPr>
        <w:rFonts w:ascii="Times New Roman" w:eastAsia="Times New Roman" w:hAnsi="Times New Roman" w:hint="default"/>
        <w:sz w:val="22"/>
        <w:szCs w:val="22"/>
      </w:rPr>
    </w:lvl>
    <w:lvl w:ilvl="1" w:tplc="131C9E36">
      <w:start w:val="1"/>
      <w:numFmt w:val="bullet"/>
      <w:lvlText w:val="•"/>
      <w:lvlJc w:val="left"/>
      <w:pPr>
        <w:ind w:left="1543" w:hanging="567"/>
      </w:pPr>
      <w:rPr>
        <w:rFonts w:hint="default"/>
      </w:rPr>
    </w:lvl>
    <w:lvl w:ilvl="2" w:tplc="2C646D12">
      <w:start w:val="1"/>
      <w:numFmt w:val="bullet"/>
      <w:lvlText w:val="•"/>
      <w:lvlJc w:val="left"/>
      <w:pPr>
        <w:ind w:left="2401" w:hanging="567"/>
      </w:pPr>
      <w:rPr>
        <w:rFonts w:hint="default"/>
      </w:rPr>
    </w:lvl>
    <w:lvl w:ilvl="3" w:tplc="CCD21858">
      <w:start w:val="1"/>
      <w:numFmt w:val="bullet"/>
      <w:lvlText w:val="•"/>
      <w:lvlJc w:val="left"/>
      <w:pPr>
        <w:ind w:left="3259" w:hanging="567"/>
      </w:pPr>
      <w:rPr>
        <w:rFonts w:hint="default"/>
      </w:rPr>
    </w:lvl>
    <w:lvl w:ilvl="4" w:tplc="5FC21A82">
      <w:start w:val="1"/>
      <w:numFmt w:val="bullet"/>
      <w:lvlText w:val="•"/>
      <w:lvlJc w:val="left"/>
      <w:pPr>
        <w:ind w:left="4117" w:hanging="567"/>
      </w:pPr>
      <w:rPr>
        <w:rFonts w:hint="default"/>
      </w:rPr>
    </w:lvl>
    <w:lvl w:ilvl="5" w:tplc="56A08952">
      <w:start w:val="1"/>
      <w:numFmt w:val="bullet"/>
      <w:lvlText w:val="•"/>
      <w:lvlJc w:val="left"/>
      <w:pPr>
        <w:ind w:left="4975" w:hanging="567"/>
      </w:pPr>
      <w:rPr>
        <w:rFonts w:hint="default"/>
      </w:rPr>
    </w:lvl>
    <w:lvl w:ilvl="6" w:tplc="877C0EC4">
      <w:start w:val="1"/>
      <w:numFmt w:val="bullet"/>
      <w:lvlText w:val="•"/>
      <w:lvlJc w:val="left"/>
      <w:pPr>
        <w:ind w:left="5833" w:hanging="567"/>
      </w:pPr>
      <w:rPr>
        <w:rFonts w:hint="default"/>
      </w:rPr>
    </w:lvl>
    <w:lvl w:ilvl="7" w:tplc="CE36A368">
      <w:start w:val="1"/>
      <w:numFmt w:val="bullet"/>
      <w:lvlText w:val="•"/>
      <w:lvlJc w:val="left"/>
      <w:pPr>
        <w:ind w:left="6692" w:hanging="567"/>
      </w:pPr>
      <w:rPr>
        <w:rFonts w:hint="default"/>
      </w:rPr>
    </w:lvl>
    <w:lvl w:ilvl="8" w:tplc="62443490">
      <w:start w:val="1"/>
      <w:numFmt w:val="bullet"/>
      <w:lvlText w:val="•"/>
      <w:lvlJc w:val="left"/>
      <w:pPr>
        <w:ind w:left="7550" w:hanging="567"/>
      </w:pPr>
      <w:rPr>
        <w:rFonts w:hint="default"/>
      </w:rPr>
    </w:lvl>
  </w:abstractNum>
  <w:abstractNum w:abstractNumId="33" w15:restartNumberingAfterBreak="0">
    <w:nsid w:val="59432665"/>
    <w:multiLevelType w:val="hybridMultilevel"/>
    <w:tmpl w:val="58484A2E"/>
    <w:lvl w:ilvl="0" w:tplc="5BECD77C">
      <w:start w:val="1"/>
      <w:numFmt w:val="bullet"/>
      <w:lvlText w:val="-"/>
      <w:lvlJc w:val="left"/>
      <w:pPr>
        <w:ind w:left="685" w:hanging="567"/>
      </w:pPr>
      <w:rPr>
        <w:rFonts w:ascii="Times New Roman" w:eastAsia="Times New Roman" w:hAnsi="Times New Roman" w:hint="default"/>
        <w:b/>
        <w:bCs/>
        <w:sz w:val="22"/>
        <w:szCs w:val="22"/>
      </w:rPr>
    </w:lvl>
    <w:lvl w:ilvl="1" w:tplc="6F324470">
      <w:start w:val="1"/>
      <w:numFmt w:val="bullet"/>
      <w:lvlText w:val="•"/>
      <w:lvlJc w:val="left"/>
      <w:pPr>
        <w:ind w:left="1545" w:hanging="567"/>
      </w:pPr>
      <w:rPr>
        <w:rFonts w:hint="default"/>
      </w:rPr>
    </w:lvl>
    <w:lvl w:ilvl="2" w:tplc="0EFE8260">
      <w:start w:val="1"/>
      <w:numFmt w:val="bullet"/>
      <w:lvlText w:val="•"/>
      <w:lvlJc w:val="left"/>
      <w:pPr>
        <w:ind w:left="2405" w:hanging="567"/>
      </w:pPr>
      <w:rPr>
        <w:rFonts w:hint="default"/>
      </w:rPr>
    </w:lvl>
    <w:lvl w:ilvl="3" w:tplc="07A0DCC4">
      <w:start w:val="1"/>
      <w:numFmt w:val="bullet"/>
      <w:lvlText w:val="•"/>
      <w:lvlJc w:val="left"/>
      <w:pPr>
        <w:ind w:left="3265" w:hanging="567"/>
      </w:pPr>
      <w:rPr>
        <w:rFonts w:hint="default"/>
      </w:rPr>
    </w:lvl>
    <w:lvl w:ilvl="4" w:tplc="E1425DD2">
      <w:start w:val="1"/>
      <w:numFmt w:val="bullet"/>
      <w:lvlText w:val="•"/>
      <w:lvlJc w:val="left"/>
      <w:pPr>
        <w:ind w:left="4125" w:hanging="567"/>
      </w:pPr>
      <w:rPr>
        <w:rFonts w:hint="default"/>
      </w:rPr>
    </w:lvl>
    <w:lvl w:ilvl="5" w:tplc="A044CFDC">
      <w:start w:val="1"/>
      <w:numFmt w:val="bullet"/>
      <w:lvlText w:val="•"/>
      <w:lvlJc w:val="left"/>
      <w:pPr>
        <w:ind w:left="4985" w:hanging="567"/>
      </w:pPr>
      <w:rPr>
        <w:rFonts w:hint="default"/>
      </w:rPr>
    </w:lvl>
    <w:lvl w:ilvl="6" w:tplc="D8D646E4">
      <w:start w:val="1"/>
      <w:numFmt w:val="bullet"/>
      <w:lvlText w:val="•"/>
      <w:lvlJc w:val="left"/>
      <w:pPr>
        <w:ind w:left="5845" w:hanging="567"/>
      </w:pPr>
      <w:rPr>
        <w:rFonts w:hint="default"/>
      </w:rPr>
    </w:lvl>
    <w:lvl w:ilvl="7" w:tplc="F244CE72">
      <w:start w:val="1"/>
      <w:numFmt w:val="bullet"/>
      <w:lvlText w:val="•"/>
      <w:lvlJc w:val="left"/>
      <w:pPr>
        <w:ind w:left="6706" w:hanging="567"/>
      </w:pPr>
      <w:rPr>
        <w:rFonts w:hint="default"/>
      </w:rPr>
    </w:lvl>
    <w:lvl w:ilvl="8" w:tplc="9CFE65C2">
      <w:start w:val="1"/>
      <w:numFmt w:val="bullet"/>
      <w:lvlText w:val="•"/>
      <w:lvlJc w:val="left"/>
      <w:pPr>
        <w:ind w:left="7566" w:hanging="567"/>
      </w:pPr>
      <w:rPr>
        <w:rFonts w:hint="default"/>
      </w:rPr>
    </w:lvl>
  </w:abstractNum>
  <w:abstractNum w:abstractNumId="34" w15:restartNumberingAfterBreak="0">
    <w:nsid w:val="5F68546D"/>
    <w:multiLevelType w:val="multilevel"/>
    <w:tmpl w:val="6960EB46"/>
    <w:lvl w:ilvl="0">
      <w:start w:val="6"/>
      <w:numFmt w:val="decimal"/>
      <w:lvlText w:val="%1."/>
      <w:lvlJc w:val="left"/>
      <w:pPr>
        <w:ind w:left="685" w:hanging="567"/>
      </w:pPr>
      <w:rPr>
        <w:rFonts w:ascii="Times New Roman" w:eastAsia="Times New Roman" w:hAnsi="Times New Roman" w:hint="default"/>
        <w:b/>
        <w:bCs/>
        <w:sz w:val="22"/>
        <w:szCs w:val="22"/>
      </w:rPr>
    </w:lvl>
    <w:lvl w:ilvl="1">
      <w:start w:val="1"/>
      <w:numFmt w:val="decimal"/>
      <w:lvlText w:val="%1.%2"/>
      <w:lvlJc w:val="left"/>
      <w:pPr>
        <w:ind w:left="685" w:hanging="567"/>
      </w:pPr>
      <w:rPr>
        <w:rFonts w:ascii="Times New Roman" w:eastAsia="Times New Roman" w:hAnsi="Times New Roman" w:hint="default"/>
        <w:b/>
        <w:bCs/>
        <w:sz w:val="22"/>
        <w:szCs w:val="22"/>
      </w:rPr>
    </w:lvl>
    <w:lvl w:ilvl="2">
      <w:start w:val="1"/>
      <w:numFmt w:val="bullet"/>
      <w:lvlText w:val="•"/>
      <w:lvlJc w:val="left"/>
      <w:pPr>
        <w:ind w:left="2333" w:hanging="567"/>
      </w:pPr>
      <w:rPr>
        <w:rFonts w:hint="default"/>
      </w:rPr>
    </w:lvl>
    <w:lvl w:ilvl="3">
      <w:start w:val="1"/>
      <w:numFmt w:val="bullet"/>
      <w:lvlText w:val="•"/>
      <w:lvlJc w:val="left"/>
      <w:pPr>
        <w:ind w:left="3157" w:hanging="567"/>
      </w:pPr>
      <w:rPr>
        <w:rFonts w:hint="default"/>
      </w:rPr>
    </w:lvl>
    <w:lvl w:ilvl="4">
      <w:start w:val="1"/>
      <w:numFmt w:val="bullet"/>
      <w:lvlText w:val="•"/>
      <w:lvlJc w:val="left"/>
      <w:pPr>
        <w:ind w:left="3981" w:hanging="567"/>
      </w:pPr>
      <w:rPr>
        <w:rFonts w:hint="default"/>
      </w:rPr>
    </w:lvl>
    <w:lvl w:ilvl="5">
      <w:start w:val="1"/>
      <w:numFmt w:val="bullet"/>
      <w:lvlText w:val="•"/>
      <w:lvlJc w:val="left"/>
      <w:pPr>
        <w:ind w:left="4805" w:hanging="567"/>
      </w:pPr>
      <w:rPr>
        <w:rFonts w:hint="default"/>
      </w:rPr>
    </w:lvl>
    <w:lvl w:ilvl="6">
      <w:start w:val="1"/>
      <w:numFmt w:val="bullet"/>
      <w:lvlText w:val="•"/>
      <w:lvlJc w:val="left"/>
      <w:pPr>
        <w:ind w:left="5629" w:hanging="567"/>
      </w:pPr>
      <w:rPr>
        <w:rFonts w:hint="default"/>
      </w:rPr>
    </w:lvl>
    <w:lvl w:ilvl="7">
      <w:start w:val="1"/>
      <w:numFmt w:val="bullet"/>
      <w:lvlText w:val="•"/>
      <w:lvlJc w:val="left"/>
      <w:pPr>
        <w:ind w:left="6454" w:hanging="567"/>
      </w:pPr>
      <w:rPr>
        <w:rFonts w:hint="default"/>
      </w:rPr>
    </w:lvl>
    <w:lvl w:ilvl="8">
      <w:start w:val="1"/>
      <w:numFmt w:val="bullet"/>
      <w:lvlText w:val="•"/>
      <w:lvlJc w:val="left"/>
      <w:pPr>
        <w:ind w:left="7278" w:hanging="567"/>
      </w:pPr>
      <w:rPr>
        <w:rFonts w:hint="default"/>
      </w:rPr>
    </w:lvl>
  </w:abstractNum>
  <w:abstractNum w:abstractNumId="35" w15:restartNumberingAfterBreak="0">
    <w:nsid w:val="668E2277"/>
    <w:multiLevelType w:val="hybridMultilevel"/>
    <w:tmpl w:val="F5DA38D4"/>
    <w:lvl w:ilvl="0" w:tplc="9DA670E8">
      <w:start w:val="1"/>
      <w:numFmt w:val="bullet"/>
      <w:lvlText w:val="-"/>
      <w:lvlJc w:val="left"/>
      <w:pPr>
        <w:ind w:left="685" w:hanging="567"/>
      </w:pPr>
      <w:rPr>
        <w:rFonts w:ascii="Times New Roman" w:eastAsia="Times New Roman" w:hAnsi="Times New Roman" w:hint="default"/>
        <w:sz w:val="22"/>
        <w:szCs w:val="22"/>
      </w:rPr>
    </w:lvl>
    <w:lvl w:ilvl="1" w:tplc="D35ACB90">
      <w:start w:val="1"/>
      <w:numFmt w:val="bullet"/>
      <w:lvlText w:val="•"/>
      <w:lvlJc w:val="left"/>
      <w:pPr>
        <w:ind w:left="1529" w:hanging="567"/>
      </w:pPr>
      <w:rPr>
        <w:rFonts w:hint="default"/>
      </w:rPr>
    </w:lvl>
    <w:lvl w:ilvl="2" w:tplc="F76ED242">
      <w:start w:val="1"/>
      <w:numFmt w:val="bullet"/>
      <w:lvlText w:val="•"/>
      <w:lvlJc w:val="left"/>
      <w:pPr>
        <w:ind w:left="2373" w:hanging="567"/>
      </w:pPr>
      <w:rPr>
        <w:rFonts w:hint="default"/>
      </w:rPr>
    </w:lvl>
    <w:lvl w:ilvl="3" w:tplc="BA06E6D2">
      <w:start w:val="1"/>
      <w:numFmt w:val="bullet"/>
      <w:lvlText w:val="•"/>
      <w:lvlJc w:val="left"/>
      <w:pPr>
        <w:ind w:left="3217" w:hanging="567"/>
      </w:pPr>
      <w:rPr>
        <w:rFonts w:hint="default"/>
      </w:rPr>
    </w:lvl>
    <w:lvl w:ilvl="4" w:tplc="BC3A9982">
      <w:start w:val="1"/>
      <w:numFmt w:val="bullet"/>
      <w:lvlText w:val="•"/>
      <w:lvlJc w:val="left"/>
      <w:pPr>
        <w:ind w:left="4061" w:hanging="567"/>
      </w:pPr>
      <w:rPr>
        <w:rFonts w:hint="default"/>
      </w:rPr>
    </w:lvl>
    <w:lvl w:ilvl="5" w:tplc="74543E82">
      <w:start w:val="1"/>
      <w:numFmt w:val="bullet"/>
      <w:lvlText w:val="•"/>
      <w:lvlJc w:val="left"/>
      <w:pPr>
        <w:ind w:left="4905" w:hanging="567"/>
      </w:pPr>
      <w:rPr>
        <w:rFonts w:hint="default"/>
      </w:rPr>
    </w:lvl>
    <w:lvl w:ilvl="6" w:tplc="89D05376">
      <w:start w:val="1"/>
      <w:numFmt w:val="bullet"/>
      <w:lvlText w:val="•"/>
      <w:lvlJc w:val="left"/>
      <w:pPr>
        <w:ind w:left="5749" w:hanging="567"/>
      </w:pPr>
      <w:rPr>
        <w:rFonts w:hint="default"/>
      </w:rPr>
    </w:lvl>
    <w:lvl w:ilvl="7" w:tplc="65D86AB0">
      <w:start w:val="1"/>
      <w:numFmt w:val="bullet"/>
      <w:lvlText w:val="•"/>
      <w:lvlJc w:val="left"/>
      <w:pPr>
        <w:ind w:left="6594" w:hanging="567"/>
      </w:pPr>
      <w:rPr>
        <w:rFonts w:hint="default"/>
      </w:rPr>
    </w:lvl>
    <w:lvl w:ilvl="8" w:tplc="7BFA8EA0">
      <w:start w:val="1"/>
      <w:numFmt w:val="bullet"/>
      <w:lvlText w:val="•"/>
      <w:lvlJc w:val="left"/>
      <w:pPr>
        <w:ind w:left="7438" w:hanging="567"/>
      </w:pPr>
      <w:rPr>
        <w:rFonts w:hint="default"/>
      </w:rPr>
    </w:lvl>
  </w:abstractNum>
  <w:abstractNum w:abstractNumId="36" w15:restartNumberingAfterBreak="0">
    <w:nsid w:val="67712FDD"/>
    <w:multiLevelType w:val="hybridMultilevel"/>
    <w:tmpl w:val="C50864B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15:restartNumberingAfterBreak="0">
    <w:nsid w:val="6DE37C32"/>
    <w:multiLevelType w:val="multilevel"/>
    <w:tmpl w:val="5B08DAAA"/>
    <w:lvl w:ilvl="0">
      <w:start w:val="4"/>
      <w:numFmt w:val="decimal"/>
      <w:lvlText w:val="%1"/>
      <w:lvlJc w:val="left"/>
      <w:pPr>
        <w:ind w:left="685" w:hanging="567"/>
      </w:pPr>
      <w:rPr>
        <w:rFonts w:hint="default"/>
      </w:rPr>
    </w:lvl>
    <w:lvl w:ilvl="1">
      <w:start w:val="3"/>
      <w:numFmt w:val="decimal"/>
      <w:lvlText w:val="%1.%2"/>
      <w:lvlJc w:val="left"/>
      <w:pPr>
        <w:ind w:left="685" w:hanging="567"/>
      </w:pPr>
      <w:rPr>
        <w:rFonts w:ascii="Times New Roman" w:eastAsia="Times New Roman" w:hAnsi="Times New Roman" w:hint="default"/>
        <w:b/>
        <w:bCs/>
        <w:sz w:val="22"/>
        <w:szCs w:val="22"/>
      </w:rPr>
    </w:lvl>
    <w:lvl w:ilvl="2">
      <w:start w:val="1"/>
      <w:numFmt w:val="bullet"/>
      <w:lvlText w:val="•"/>
      <w:lvlJc w:val="left"/>
      <w:pPr>
        <w:ind w:left="2393" w:hanging="567"/>
      </w:pPr>
      <w:rPr>
        <w:rFonts w:hint="default"/>
      </w:rPr>
    </w:lvl>
    <w:lvl w:ilvl="3">
      <w:start w:val="1"/>
      <w:numFmt w:val="bullet"/>
      <w:lvlText w:val="•"/>
      <w:lvlJc w:val="left"/>
      <w:pPr>
        <w:ind w:left="3247" w:hanging="567"/>
      </w:pPr>
      <w:rPr>
        <w:rFonts w:hint="default"/>
      </w:rPr>
    </w:lvl>
    <w:lvl w:ilvl="4">
      <w:start w:val="1"/>
      <w:numFmt w:val="bullet"/>
      <w:lvlText w:val="•"/>
      <w:lvlJc w:val="left"/>
      <w:pPr>
        <w:ind w:left="4101" w:hanging="567"/>
      </w:pPr>
      <w:rPr>
        <w:rFonts w:hint="default"/>
      </w:rPr>
    </w:lvl>
    <w:lvl w:ilvl="5">
      <w:start w:val="1"/>
      <w:numFmt w:val="bullet"/>
      <w:lvlText w:val="•"/>
      <w:lvlJc w:val="left"/>
      <w:pPr>
        <w:ind w:left="4955" w:hanging="567"/>
      </w:pPr>
      <w:rPr>
        <w:rFonts w:hint="default"/>
      </w:rPr>
    </w:lvl>
    <w:lvl w:ilvl="6">
      <w:start w:val="1"/>
      <w:numFmt w:val="bullet"/>
      <w:lvlText w:val="•"/>
      <w:lvlJc w:val="left"/>
      <w:pPr>
        <w:ind w:left="5809" w:hanging="567"/>
      </w:pPr>
      <w:rPr>
        <w:rFonts w:hint="default"/>
      </w:rPr>
    </w:lvl>
    <w:lvl w:ilvl="7">
      <w:start w:val="1"/>
      <w:numFmt w:val="bullet"/>
      <w:lvlText w:val="•"/>
      <w:lvlJc w:val="left"/>
      <w:pPr>
        <w:ind w:left="6664" w:hanging="567"/>
      </w:pPr>
      <w:rPr>
        <w:rFonts w:hint="default"/>
      </w:rPr>
    </w:lvl>
    <w:lvl w:ilvl="8">
      <w:start w:val="1"/>
      <w:numFmt w:val="bullet"/>
      <w:lvlText w:val="•"/>
      <w:lvlJc w:val="left"/>
      <w:pPr>
        <w:ind w:left="7518" w:hanging="567"/>
      </w:pPr>
      <w:rPr>
        <w:rFonts w:hint="default"/>
      </w:rPr>
    </w:lvl>
  </w:abstractNum>
  <w:abstractNum w:abstractNumId="38" w15:restartNumberingAfterBreak="0">
    <w:nsid w:val="74CE4B6C"/>
    <w:multiLevelType w:val="hybridMultilevel"/>
    <w:tmpl w:val="81A0385A"/>
    <w:lvl w:ilvl="0" w:tplc="60A8A7CC">
      <w:start w:val="1"/>
      <w:numFmt w:val="bullet"/>
      <w:lvlText w:val="-"/>
      <w:lvlJc w:val="left"/>
      <w:pPr>
        <w:ind w:left="685" w:hanging="567"/>
      </w:pPr>
      <w:rPr>
        <w:rFonts w:ascii="Times New Roman" w:eastAsia="Times New Roman" w:hAnsi="Times New Roman" w:hint="default"/>
        <w:sz w:val="22"/>
        <w:szCs w:val="22"/>
      </w:rPr>
    </w:lvl>
    <w:lvl w:ilvl="1" w:tplc="B900DBBA">
      <w:start w:val="1"/>
      <w:numFmt w:val="bullet"/>
      <w:lvlText w:val="•"/>
      <w:lvlJc w:val="left"/>
      <w:pPr>
        <w:ind w:left="1547" w:hanging="567"/>
      </w:pPr>
      <w:rPr>
        <w:rFonts w:hint="default"/>
      </w:rPr>
    </w:lvl>
    <w:lvl w:ilvl="2" w:tplc="2BEE927C">
      <w:start w:val="1"/>
      <w:numFmt w:val="bullet"/>
      <w:lvlText w:val="•"/>
      <w:lvlJc w:val="left"/>
      <w:pPr>
        <w:ind w:left="2409" w:hanging="567"/>
      </w:pPr>
      <w:rPr>
        <w:rFonts w:hint="default"/>
      </w:rPr>
    </w:lvl>
    <w:lvl w:ilvl="3" w:tplc="1108A1E6">
      <w:start w:val="1"/>
      <w:numFmt w:val="bullet"/>
      <w:lvlText w:val="•"/>
      <w:lvlJc w:val="left"/>
      <w:pPr>
        <w:ind w:left="3271" w:hanging="567"/>
      </w:pPr>
      <w:rPr>
        <w:rFonts w:hint="default"/>
      </w:rPr>
    </w:lvl>
    <w:lvl w:ilvl="4" w:tplc="9B22F332">
      <w:start w:val="1"/>
      <w:numFmt w:val="bullet"/>
      <w:lvlText w:val="•"/>
      <w:lvlJc w:val="left"/>
      <w:pPr>
        <w:ind w:left="4133" w:hanging="567"/>
      </w:pPr>
      <w:rPr>
        <w:rFonts w:hint="default"/>
      </w:rPr>
    </w:lvl>
    <w:lvl w:ilvl="5" w:tplc="53D44DFE">
      <w:start w:val="1"/>
      <w:numFmt w:val="bullet"/>
      <w:lvlText w:val="•"/>
      <w:lvlJc w:val="left"/>
      <w:pPr>
        <w:ind w:left="4995" w:hanging="567"/>
      </w:pPr>
      <w:rPr>
        <w:rFonts w:hint="default"/>
      </w:rPr>
    </w:lvl>
    <w:lvl w:ilvl="6" w:tplc="9522BBB4">
      <w:start w:val="1"/>
      <w:numFmt w:val="bullet"/>
      <w:lvlText w:val="•"/>
      <w:lvlJc w:val="left"/>
      <w:pPr>
        <w:ind w:left="5857" w:hanging="567"/>
      </w:pPr>
      <w:rPr>
        <w:rFonts w:hint="default"/>
      </w:rPr>
    </w:lvl>
    <w:lvl w:ilvl="7" w:tplc="59B60FD8">
      <w:start w:val="1"/>
      <w:numFmt w:val="bullet"/>
      <w:lvlText w:val="•"/>
      <w:lvlJc w:val="left"/>
      <w:pPr>
        <w:ind w:left="6720" w:hanging="567"/>
      </w:pPr>
      <w:rPr>
        <w:rFonts w:hint="default"/>
      </w:rPr>
    </w:lvl>
    <w:lvl w:ilvl="8" w:tplc="56EE7E62">
      <w:start w:val="1"/>
      <w:numFmt w:val="bullet"/>
      <w:lvlText w:val="•"/>
      <w:lvlJc w:val="left"/>
      <w:pPr>
        <w:ind w:left="7582" w:hanging="567"/>
      </w:pPr>
      <w:rPr>
        <w:rFonts w:hint="default"/>
      </w:rPr>
    </w:lvl>
  </w:abstractNum>
  <w:abstractNum w:abstractNumId="39" w15:restartNumberingAfterBreak="0">
    <w:nsid w:val="7A1F482E"/>
    <w:multiLevelType w:val="hybridMultilevel"/>
    <w:tmpl w:val="CCB6FA5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15:restartNumberingAfterBreak="0">
    <w:nsid w:val="7BCB76B3"/>
    <w:multiLevelType w:val="hybridMultilevel"/>
    <w:tmpl w:val="28489846"/>
    <w:lvl w:ilvl="0" w:tplc="2C10EDE2">
      <w:start w:val="1"/>
      <w:numFmt w:val="bullet"/>
      <w:lvlText w:val="-"/>
      <w:lvlJc w:val="left"/>
      <w:pPr>
        <w:ind w:left="685" w:hanging="567"/>
      </w:pPr>
      <w:rPr>
        <w:rFonts w:ascii="Times New Roman" w:eastAsia="Times New Roman" w:hAnsi="Times New Roman" w:hint="default"/>
        <w:sz w:val="22"/>
        <w:szCs w:val="22"/>
      </w:rPr>
    </w:lvl>
    <w:lvl w:ilvl="1" w:tplc="B9C8DE58">
      <w:start w:val="1"/>
      <w:numFmt w:val="bullet"/>
      <w:lvlText w:val="•"/>
      <w:lvlJc w:val="left"/>
      <w:pPr>
        <w:ind w:left="1545" w:hanging="567"/>
      </w:pPr>
      <w:rPr>
        <w:rFonts w:hint="default"/>
      </w:rPr>
    </w:lvl>
    <w:lvl w:ilvl="2" w:tplc="52BA2716">
      <w:start w:val="1"/>
      <w:numFmt w:val="bullet"/>
      <w:lvlText w:val="•"/>
      <w:lvlJc w:val="left"/>
      <w:pPr>
        <w:ind w:left="2405" w:hanging="567"/>
      </w:pPr>
      <w:rPr>
        <w:rFonts w:hint="default"/>
      </w:rPr>
    </w:lvl>
    <w:lvl w:ilvl="3" w:tplc="BEC29306">
      <w:start w:val="1"/>
      <w:numFmt w:val="bullet"/>
      <w:lvlText w:val="•"/>
      <w:lvlJc w:val="left"/>
      <w:pPr>
        <w:ind w:left="3265" w:hanging="567"/>
      </w:pPr>
      <w:rPr>
        <w:rFonts w:hint="default"/>
      </w:rPr>
    </w:lvl>
    <w:lvl w:ilvl="4" w:tplc="E1123058">
      <w:start w:val="1"/>
      <w:numFmt w:val="bullet"/>
      <w:lvlText w:val="•"/>
      <w:lvlJc w:val="left"/>
      <w:pPr>
        <w:ind w:left="4125" w:hanging="567"/>
      </w:pPr>
      <w:rPr>
        <w:rFonts w:hint="default"/>
      </w:rPr>
    </w:lvl>
    <w:lvl w:ilvl="5" w:tplc="EC9CB55E">
      <w:start w:val="1"/>
      <w:numFmt w:val="bullet"/>
      <w:lvlText w:val="•"/>
      <w:lvlJc w:val="left"/>
      <w:pPr>
        <w:ind w:left="4985" w:hanging="567"/>
      </w:pPr>
      <w:rPr>
        <w:rFonts w:hint="default"/>
      </w:rPr>
    </w:lvl>
    <w:lvl w:ilvl="6" w:tplc="522CC830">
      <w:start w:val="1"/>
      <w:numFmt w:val="bullet"/>
      <w:lvlText w:val="•"/>
      <w:lvlJc w:val="left"/>
      <w:pPr>
        <w:ind w:left="5845" w:hanging="567"/>
      </w:pPr>
      <w:rPr>
        <w:rFonts w:hint="default"/>
      </w:rPr>
    </w:lvl>
    <w:lvl w:ilvl="7" w:tplc="7346A40A">
      <w:start w:val="1"/>
      <w:numFmt w:val="bullet"/>
      <w:lvlText w:val="•"/>
      <w:lvlJc w:val="left"/>
      <w:pPr>
        <w:ind w:left="6706" w:hanging="567"/>
      </w:pPr>
      <w:rPr>
        <w:rFonts w:hint="default"/>
      </w:rPr>
    </w:lvl>
    <w:lvl w:ilvl="8" w:tplc="8CB2F9B4">
      <w:start w:val="1"/>
      <w:numFmt w:val="bullet"/>
      <w:lvlText w:val="•"/>
      <w:lvlJc w:val="left"/>
      <w:pPr>
        <w:ind w:left="7566" w:hanging="567"/>
      </w:pPr>
      <w:rPr>
        <w:rFonts w:hint="default"/>
      </w:rPr>
    </w:lvl>
  </w:abstractNum>
  <w:abstractNum w:abstractNumId="41" w15:restartNumberingAfterBreak="0">
    <w:nsid w:val="7CA047BD"/>
    <w:multiLevelType w:val="hybridMultilevel"/>
    <w:tmpl w:val="D36A29B4"/>
    <w:lvl w:ilvl="0" w:tplc="3FFC15A6">
      <w:start w:val="1"/>
      <w:numFmt w:val="bullet"/>
      <w:lvlText w:val="-"/>
      <w:lvlJc w:val="left"/>
      <w:pPr>
        <w:ind w:left="685" w:hanging="567"/>
      </w:pPr>
      <w:rPr>
        <w:rFonts w:ascii="Times New Roman" w:eastAsia="Times New Roman" w:hAnsi="Times New Roman" w:hint="default"/>
        <w:sz w:val="22"/>
        <w:szCs w:val="22"/>
      </w:rPr>
    </w:lvl>
    <w:lvl w:ilvl="1" w:tplc="016872A0">
      <w:start w:val="1"/>
      <w:numFmt w:val="bullet"/>
      <w:lvlText w:val="•"/>
      <w:lvlJc w:val="left"/>
      <w:pPr>
        <w:ind w:left="1529" w:hanging="567"/>
      </w:pPr>
      <w:rPr>
        <w:rFonts w:hint="default"/>
      </w:rPr>
    </w:lvl>
    <w:lvl w:ilvl="2" w:tplc="FFF86556">
      <w:start w:val="1"/>
      <w:numFmt w:val="bullet"/>
      <w:lvlText w:val="•"/>
      <w:lvlJc w:val="left"/>
      <w:pPr>
        <w:ind w:left="2373" w:hanging="567"/>
      </w:pPr>
      <w:rPr>
        <w:rFonts w:hint="default"/>
      </w:rPr>
    </w:lvl>
    <w:lvl w:ilvl="3" w:tplc="F58493C8">
      <w:start w:val="1"/>
      <w:numFmt w:val="bullet"/>
      <w:lvlText w:val="•"/>
      <w:lvlJc w:val="left"/>
      <w:pPr>
        <w:ind w:left="3217" w:hanging="567"/>
      </w:pPr>
      <w:rPr>
        <w:rFonts w:hint="default"/>
      </w:rPr>
    </w:lvl>
    <w:lvl w:ilvl="4" w:tplc="EF482F66">
      <w:start w:val="1"/>
      <w:numFmt w:val="bullet"/>
      <w:lvlText w:val="•"/>
      <w:lvlJc w:val="left"/>
      <w:pPr>
        <w:ind w:left="4061" w:hanging="567"/>
      </w:pPr>
      <w:rPr>
        <w:rFonts w:hint="default"/>
      </w:rPr>
    </w:lvl>
    <w:lvl w:ilvl="5" w:tplc="D41CAEB4">
      <w:start w:val="1"/>
      <w:numFmt w:val="bullet"/>
      <w:lvlText w:val="•"/>
      <w:lvlJc w:val="left"/>
      <w:pPr>
        <w:ind w:left="4905" w:hanging="567"/>
      </w:pPr>
      <w:rPr>
        <w:rFonts w:hint="default"/>
      </w:rPr>
    </w:lvl>
    <w:lvl w:ilvl="6" w:tplc="C69CCAF6">
      <w:start w:val="1"/>
      <w:numFmt w:val="bullet"/>
      <w:lvlText w:val="•"/>
      <w:lvlJc w:val="left"/>
      <w:pPr>
        <w:ind w:left="5749" w:hanging="567"/>
      </w:pPr>
      <w:rPr>
        <w:rFonts w:hint="default"/>
      </w:rPr>
    </w:lvl>
    <w:lvl w:ilvl="7" w:tplc="BD48F84E">
      <w:start w:val="1"/>
      <w:numFmt w:val="bullet"/>
      <w:lvlText w:val="•"/>
      <w:lvlJc w:val="left"/>
      <w:pPr>
        <w:ind w:left="6594" w:hanging="567"/>
      </w:pPr>
      <w:rPr>
        <w:rFonts w:hint="default"/>
      </w:rPr>
    </w:lvl>
    <w:lvl w:ilvl="8" w:tplc="4A0E511C">
      <w:start w:val="1"/>
      <w:numFmt w:val="bullet"/>
      <w:lvlText w:val="•"/>
      <w:lvlJc w:val="left"/>
      <w:pPr>
        <w:ind w:left="7438" w:hanging="567"/>
      </w:pPr>
      <w:rPr>
        <w:rFonts w:hint="default"/>
      </w:rPr>
    </w:lvl>
  </w:abstractNum>
  <w:abstractNum w:abstractNumId="42" w15:restartNumberingAfterBreak="0">
    <w:nsid w:val="7E183CC8"/>
    <w:multiLevelType w:val="hybridMultilevel"/>
    <w:tmpl w:val="06BA6E92"/>
    <w:lvl w:ilvl="0" w:tplc="6DFE3534">
      <w:start w:val="1"/>
      <w:numFmt w:val="upperLetter"/>
      <w:lvlText w:val="%1."/>
      <w:lvlJc w:val="left"/>
      <w:pPr>
        <w:ind w:left="685" w:hanging="567"/>
      </w:pPr>
      <w:rPr>
        <w:rFonts w:ascii="Times New Roman" w:eastAsia="Times New Roman" w:hAnsi="Times New Roman" w:hint="default"/>
        <w:b/>
        <w:bCs/>
        <w:spacing w:val="-1"/>
        <w:sz w:val="22"/>
        <w:szCs w:val="22"/>
      </w:rPr>
    </w:lvl>
    <w:lvl w:ilvl="1" w:tplc="7CEABCCE">
      <w:start w:val="1"/>
      <w:numFmt w:val="upperLetter"/>
      <w:lvlText w:val="%2."/>
      <w:lvlJc w:val="left"/>
      <w:pPr>
        <w:ind w:left="3564" w:hanging="269"/>
        <w:jc w:val="right"/>
      </w:pPr>
      <w:rPr>
        <w:rFonts w:ascii="Times New Roman" w:eastAsia="Times New Roman" w:hAnsi="Times New Roman" w:hint="default"/>
        <w:b/>
        <w:bCs/>
        <w:spacing w:val="-2"/>
        <w:sz w:val="22"/>
        <w:szCs w:val="22"/>
      </w:rPr>
    </w:lvl>
    <w:lvl w:ilvl="2" w:tplc="9CA85476">
      <w:start w:val="1"/>
      <w:numFmt w:val="bullet"/>
      <w:lvlText w:val="•"/>
      <w:lvlJc w:val="left"/>
      <w:pPr>
        <w:ind w:left="4118" w:hanging="269"/>
      </w:pPr>
      <w:rPr>
        <w:rFonts w:hint="default"/>
      </w:rPr>
    </w:lvl>
    <w:lvl w:ilvl="3" w:tplc="CC50B0A2">
      <w:start w:val="1"/>
      <w:numFmt w:val="bullet"/>
      <w:lvlText w:val="•"/>
      <w:lvlJc w:val="left"/>
      <w:pPr>
        <w:ind w:left="4671" w:hanging="269"/>
      </w:pPr>
      <w:rPr>
        <w:rFonts w:hint="default"/>
      </w:rPr>
    </w:lvl>
    <w:lvl w:ilvl="4" w:tplc="C63A3226">
      <w:start w:val="1"/>
      <w:numFmt w:val="bullet"/>
      <w:lvlText w:val="•"/>
      <w:lvlJc w:val="left"/>
      <w:pPr>
        <w:ind w:left="5225" w:hanging="269"/>
      </w:pPr>
      <w:rPr>
        <w:rFonts w:hint="default"/>
      </w:rPr>
    </w:lvl>
    <w:lvl w:ilvl="5" w:tplc="5106D5D0">
      <w:start w:val="1"/>
      <w:numFmt w:val="bullet"/>
      <w:lvlText w:val="•"/>
      <w:lvlJc w:val="left"/>
      <w:pPr>
        <w:ind w:left="5778" w:hanging="269"/>
      </w:pPr>
      <w:rPr>
        <w:rFonts w:hint="default"/>
      </w:rPr>
    </w:lvl>
    <w:lvl w:ilvl="6" w:tplc="3B7EBA3E">
      <w:start w:val="1"/>
      <w:numFmt w:val="bullet"/>
      <w:lvlText w:val="•"/>
      <w:lvlJc w:val="left"/>
      <w:pPr>
        <w:ind w:left="6332" w:hanging="269"/>
      </w:pPr>
      <w:rPr>
        <w:rFonts w:hint="default"/>
      </w:rPr>
    </w:lvl>
    <w:lvl w:ilvl="7" w:tplc="5C940BB4">
      <w:start w:val="1"/>
      <w:numFmt w:val="bullet"/>
      <w:lvlText w:val="•"/>
      <w:lvlJc w:val="left"/>
      <w:pPr>
        <w:ind w:left="6885" w:hanging="269"/>
      </w:pPr>
      <w:rPr>
        <w:rFonts w:hint="default"/>
      </w:rPr>
    </w:lvl>
    <w:lvl w:ilvl="8" w:tplc="713EC454">
      <w:start w:val="1"/>
      <w:numFmt w:val="bullet"/>
      <w:lvlText w:val="•"/>
      <w:lvlJc w:val="left"/>
      <w:pPr>
        <w:ind w:left="7439" w:hanging="269"/>
      </w:pPr>
      <w:rPr>
        <w:rFonts w:hint="default"/>
      </w:rPr>
    </w:lvl>
  </w:abstractNum>
  <w:num w:numId="1" w16cid:durableId="999772636">
    <w:abstractNumId w:val="23"/>
  </w:num>
  <w:num w:numId="2" w16cid:durableId="178742627">
    <w:abstractNumId w:val="4"/>
  </w:num>
  <w:num w:numId="3" w16cid:durableId="950933423">
    <w:abstractNumId w:val="20"/>
  </w:num>
  <w:num w:numId="4" w16cid:durableId="949780102">
    <w:abstractNumId w:val="40"/>
  </w:num>
  <w:num w:numId="5" w16cid:durableId="546648202">
    <w:abstractNumId w:val="14"/>
  </w:num>
  <w:num w:numId="6" w16cid:durableId="1748648232">
    <w:abstractNumId w:val="31"/>
  </w:num>
  <w:num w:numId="7" w16cid:durableId="179710781">
    <w:abstractNumId w:val="35"/>
  </w:num>
  <w:num w:numId="8" w16cid:durableId="1943340719">
    <w:abstractNumId w:val="41"/>
  </w:num>
  <w:num w:numId="9" w16cid:durableId="59253366">
    <w:abstractNumId w:val="15"/>
  </w:num>
  <w:num w:numId="10" w16cid:durableId="1768312189">
    <w:abstractNumId w:val="13"/>
  </w:num>
  <w:num w:numId="11" w16cid:durableId="2074885242">
    <w:abstractNumId w:val="32"/>
  </w:num>
  <w:num w:numId="12" w16cid:durableId="852689306">
    <w:abstractNumId w:val="38"/>
  </w:num>
  <w:num w:numId="13" w16cid:durableId="1805849985">
    <w:abstractNumId w:val="9"/>
  </w:num>
  <w:num w:numId="14" w16cid:durableId="1470392636">
    <w:abstractNumId w:val="21"/>
  </w:num>
  <w:num w:numId="15" w16cid:durableId="33892094">
    <w:abstractNumId w:val="11"/>
  </w:num>
  <w:num w:numId="16" w16cid:durableId="2145535378">
    <w:abstractNumId w:val="33"/>
  </w:num>
  <w:num w:numId="17" w16cid:durableId="1198809281">
    <w:abstractNumId w:val="12"/>
  </w:num>
  <w:num w:numId="18" w16cid:durableId="333917635">
    <w:abstractNumId w:val="26"/>
  </w:num>
  <w:num w:numId="19" w16cid:durableId="1038579274">
    <w:abstractNumId w:val="42"/>
  </w:num>
  <w:num w:numId="20" w16cid:durableId="2000186040">
    <w:abstractNumId w:val="22"/>
  </w:num>
  <w:num w:numId="21" w16cid:durableId="1404402430">
    <w:abstractNumId w:val="10"/>
  </w:num>
  <w:num w:numId="22" w16cid:durableId="1460535827">
    <w:abstractNumId w:val="34"/>
  </w:num>
  <w:num w:numId="23" w16cid:durableId="631594841">
    <w:abstractNumId w:val="8"/>
  </w:num>
  <w:num w:numId="24" w16cid:durableId="645203853">
    <w:abstractNumId w:val="24"/>
  </w:num>
  <w:num w:numId="25" w16cid:durableId="440222798">
    <w:abstractNumId w:val="19"/>
  </w:num>
  <w:num w:numId="26" w16cid:durableId="984622349">
    <w:abstractNumId w:val="5"/>
  </w:num>
  <w:num w:numId="27" w16cid:durableId="238759170">
    <w:abstractNumId w:val="37"/>
  </w:num>
  <w:num w:numId="28" w16cid:durableId="337393427">
    <w:abstractNumId w:val="29"/>
  </w:num>
  <w:num w:numId="29" w16cid:durableId="722561551">
    <w:abstractNumId w:val="17"/>
  </w:num>
  <w:num w:numId="30" w16cid:durableId="1562784630">
    <w:abstractNumId w:val="36"/>
  </w:num>
  <w:num w:numId="31" w16cid:durableId="1912233774">
    <w:abstractNumId w:val="39"/>
  </w:num>
  <w:num w:numId="32" w16cid:durableId="1248491898">
    <w:abstractNumId w:val="27"/>
  </w:num>
  <w:num w:numId="33" w16cid:durableId="1086269489">
    <w:abstractNumId w:val="6"/>
  </w:num>
  <w:num w:numId="34" w16cid:durableId="1795295762">
    <w:abstractNumId w:val="25"/>
  </w:num>
  <w:num w:numId="35" w16cid:durableId="1518999555">
    <w:abstractNumId w:val="30"/>
  </w:num>
  <w:num w:numId="36" w16cid:durableId="1409960016">
    <w:abstractNumId w:val="3"/>
  </w:num>
  <w:num w:numId="37" w16cid:durableId="2005934450">
    <w:abstractNumId w:val="28"/>
  </w:num>
  <w:num w:numId="38" w16cid:durableId="1088431408">
    <w:abstractNumId w:val="2"/>
  </w:num>
  <w:num w:numId="39" w16cid:durableId="1731924998">
    <w:abstractNumId w:val="0"/>
  </w:num>
  <w:num w:numId="40" w16cid:durableId="1433746094">
    <w:abstractNumId w:val="1"/>
  </w:num>
  <w:num w:numId="41" w16cid:durableId="1824004202">
    <w:abstractNumId w:val="18"/>
  </w:num>
  <w:num w:numId="42" w16cid:durableId="1482845142">
    <w:abstractNumId w:val="7"/>
  </w:num>
  <w:num w:numId="43" w16cid:durableId="944422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03F"/>
    <w:rsid w:val="0000092A"/>
    <w:rsid w:val="00011A05"/>
    <w:rsid w:val="00011DF0"/>
    <w:rsid w:val="000141F4"/>
    <w:rsid w:val="00021697"/>
    <w:rsid w:val="00022BF4"/>
    <w:rsid w:val="00042AA6"/>
    <w:rsid w:val="00050F3D"/>
    <w:rsid w:val="000654B4"/>
    <w:rsid w:val="00067E8B"/>
    <w:rsid w:val="00074993"/>
    <w:rsid w:val="000816AE"/>
    <w:rsid w:val="000911AD"/>
    <w:rsid w:val="0009376F"/>
    <w:rsid w:val="000950F6"/>
    <w:rsid w:val="00095C38"/>
    <w:rsid w:val="000A59F5"/>
    <w:rsid w:val="000C2E74"/>
    <w:rsid w:val="000C5067"/>
    <w:rsid w:val="000D750B"/>
    <w:rsid w:val="000F4EA9"/>
    <w:rsid w:val="001007A2"/>
    <w:rsid w:val="00102630"/>
    <w:rsid w:val="001038E2"/>
    <w:rsid w:val="00104624"/>
    <w:rsid w:val="00104D2D"/>
    <w:rsid w:val="00110009"/>
    <w:rsid w:val="00111501"/>
    <w:rsid w:val="0012691B"/>
    <w:rsid w:val="0013043F"/>
    <w:rsid w:val="00130DAD"/>
    <w:rsid w:val="001369D7"/>
    <w:rsid w:val="00141BCD"/>
    <w:rsid w:val="00143ED3"/>
    <w:rsid w:val="001456F9"/>
    <w:rsid w:val="00162494"/>
    <w:rsid w:val="00165C4B"/>
    <w:rsid w:val="0017357C"/>
    <w:rsid w:val="001755CA"/>
    <w:rsid w:val="00187A59"/>
    <w:rsid w:val="001A51B2"/>
    <w:rsid w:val="001A5F52"/>
    <w:rsid w:val="001B1CB5"/>
    <w:rsid w:val="001B57D6"/>
    <w:rsid w:val="001C5BDF"/>
    <w:rsid w:val="001C63A8"/>
    <w:rsid w:val="001E6F12"/>
    <w:rsid w:val="001F0A51"/>
    <w:rsid w:val="001F1F7D"/>
    <w:rsid w:val="001F2289"/>
    <w:rsid w:val="001F7A17"/>
    <w:rsid w:val="0022129D"/>
    <w:rsid w:val="0023578C"/>
    <w:rsid w:val="00236B48"/>
    <w:rsid w:val="00237632"/>
    <w:rsid w:val="00242B40"/>
    <w:rsid w:val="00246132"/>
    <w:rsid w:val="002464D4"/>
    <w:rsid w:val="00247F8F"/>
    <w:rsid w:val="00252E89"/>
    <w:rsid w:val="0025399B"/>
    <w:rsid w:val="00262069"/>
    <w:rsid w:val="002624A5"/>
    <w:rsid w:val="002634AC"/>
    <w:rsid w:val="0026394B"/>
    <w:rsid w:val="00265F72"/>
    <w:rsid w:val="00266996"/>
    <w:rsid w:val="00271E18"/>
    <w:rsid w:val="00284469"/>
    <w:rsid w:val="002870A6"/>
    <w:rsid w:val="00296C97"/>
    <w:rsid w:val="002A40AE"/>
    <w:rsid w:val="002A7D28"/>
    <w:rsid w:val="002B62BF"/>
    <w:rsid w:val="002B71FD"/>
    <w:rsid w:val="002C0E74"/>
    <w:rsid w:val="002C15E6"/>
    <w:rsid w:val="002C385F"/>
    <w:rsid w:val="002C4C4C"/>
    <w:rsid w:val="002C4DBC"/>
    <w:rsid w:val="002D10AE"/>
    <w:rsid w:val="002D16D8"/>
    <w:rsid w:val="002D33D5"/>
    <w:rsid w:val="002D40DB"/>
    <w:rsid w:val="002D71E8"/>
    <w:rsid w:val="002E182A"/>
    <w:rsid w:val="002E1B8F"/>
    <w:rsid w:val="002E6A1B"/>
    <w:rsid w:val="002F31D8"/>
    <w:rsid w:val="002F39AE"/>
    <w:rsid w:val="002F5217"/>
    <w:rsid w:val="00300950"/>
    <w:rsid w:val="0030095F"/>
    <w:rsid w:val="00301BF4"/>
    <w:rsid w:val="003024C8"/>
    <w:rsid w:val="0030269D"/>
    <w:rsid w:val="003124D0"/>
    <w:rsid w:val="00313AD6"/>
    <w:rsid w:val="003247DC"/>
    <w:rsid w:val="00326476"/>
    <w:rsid w:val="003416DF"/>
    <w:rsid w:val="00342662"/>
    <w:rsid w:val="00361C80"/>
    <w:rsid w:val="00361D60"/>
    <w:rsid w:val="0036380D"/>
    <w:rsid w:val="00375F16"/>
    <w:rsid w:val="00384A84"/>
    <w:rsid w:val="003907C6"/>
    <w:rsid w:val="003A7C00"/>
    <w:rsid w:val="003B0251"/>
    <w:rsid w:val="003B7335"/>
    <w:rsid w:val="003C044C"/>
    <w:rsid w:val="003C5395"/>
    <w:rsid w:val="003C6501"/>
    <w:rsid w:val="003D2460"/>
    <w:rsid w:val="003D2AF9"/>
    <w:rsid w:val="003D5C6F"/>
    <w:rsid w:val="003D6FAF"/>
    <w:rsid w:val="003E1DFC"/>
    <w:rsid w:val="003E559D"/>
    <w:rsid w:val="00402FB8"/>
    <w:rsid w:val="0040605B"/>
    <w:rsid w:val="00412907"/>
    <w:rsid w:val="00413070"/>
    <w:rsid w:val="0041313D"/>
    <w:rsid w:val="004147F8"/>
    <w:rsid w:val="00420FC0"/>
    <w:rsid w:val="00423001"/>
    <w:rsid w:val="00424DAD"/>
    <w:rsid w:val="004309AA"/>
    <w:rsid w:val="00436499"/>
    <w:rsid w:val="00445F93"/>
    <w:rsid w:val="00463A45"/>
    <w:rsid w:val="0046475B"/>
    <w:rsid w:val="00464FC8"/>
    <w:rsid w:val="00467475"/>
    <w:rsid w:val="004702CC"/>
    <w:rsid w:val="004710C6"/>
    <w:rsid w:val="004719B0"/>
    <w:rsid w:val="0049369E"/>
    <w:rsid w:val="00495BAE"/>
    <w:rsid w:val="00496A36"/>
    <w:rsid w:val="004A6894"/>
    <w:rsid w:val="004B2A37"/>
    <w:rsid w:val="004B7455"/>
    <w:rsid w:val="004C1EF4"/>
    <w:rsid w:val="004C525E"/>
    <w:rsid w:val="004D5D00"/>
    <w:rsid w:val="004E220A"/>
    <w:rsid w:val="004E4AAF"/>
    <w:rsid w:val="004E545D"/>
    <w:rsid w:val="00500EF8"/>
    <w:rsid w:val="00503319"/>
    <w:rsid w:val="005052D3"/>
    <w:rsid w:val="00507A66"/>
    <w:rsid w:val="005103AE"/>
    <w:rsid w:val="005110FB"/>
    <w:rsid w:val="00523FC0"/>
    <w:rsid w:val="00527237"/>
    <w:rsid w:val="00531EEC"/>
    <w:rsid w:val="00534933"/>
    <w:rsid w:val="005619A9"/>
    <w:rsid w:val="0056268F"/>
    <w:rsid w:val="005649B3"/>
    <w:rsid w:val="00564B4D"/>
    <w:rsid w:val="00574159"/>
    <w:rsid w:val="00574A63"/>
    <w:rsid w:val="005753FD"/>
    <w:rsid w:val="00575956"/>
    <w:rsid w:val="00580B0B"/>
    <w:rsid w:val="00591A80"/>
    <w:rsid w:val="00593DA0"/>
    <w:rsid w:val="005950F4"/>
    <w:rsid w:val="005A4523"/>
    <w:rsid w:val="005B44EC"/>
    <w:rsid w:val="005B4677"/>
    <w:rsid w:val="005B4817"/>
    <w:rsid w:val="005D04C8"/>
    <w:rsid w:val="005E165C"/>
    <w:rsid w:val="005E5DCC"/>
    <w:rsid w:val="005F0730"/>
    <w:rsid w:val="005F7153"/>
    <w:rsid w:val="00612B56"/>
    <w:rsid w:val="00616B19"/>
    <w:rsid w:val="00616C67"/>
    <w:rsid w:val="00623279"/>
    <w:rsid w:val="00631FE3"/>
    <w:rsid w:val="0063361B"/>
    <w:rsid w:val="0063446D"/>
    <w:rsid w:val="006364C1"/>
    <w:rsid w:val="00636CFC"/>
    <w:rsid w:val="006401F4"/>
    <w:rsid w:val="00640300"/>
    <w:rsid w:val="00650677"/>
    <w:rsid w:val="00660D16"/>
    <w:rsid w:val="006611B0"/>
    <w:rsid w:val="00661711"/>
    <w:rsid w:val="00663DE8"/>
    <w:rsid w:val="00663E40"/>
    <w:rsid w:val="006660BC"/>
    <w:rsid w:val="00666766"/>
    <w:rsid w:val="0067565F"/>
    <w:rsid w:val="00676EDE"/>
    <w:rsid w:val="00682363"/>
    <w:rsid w:val="00684A63"/>
    <w:rsid w:val="00685B7E"/>
    <w:rsid w:val="006948F5"/>
    <w:rsid w:val="0069497E"/>
    <w:rsid w:val="00697FCA"/>
    <w:rsid w:val="006A6DD6"/>
    <w:rsid w:val="006B607B"/>
    <w:rsid w:val="006C14B7"/>
    <w:rsid w:val="006C4450"/>
    <w:rsid w:val="006D6F3E"/>
    <w:rsid w:val="006E460A"/>
    <w:rsid w:val="006F3A6A"/>
    <w:rsid w:val="006F734D"/>
    <w:rsid w:val="0071072E"/>
    <w:rsid w:val="007237B5"/>
    <w:rsid w:val="0072440F"/>
    <w:rsid w:val="007339B3"/>
    <w:rsid w:val="00744439"/>
    <w:rsid w:val="00754583"/>
    <w:rsid w:val="0075572B"/>
    <w:rsid w:val="00755B05"/>
    <w:rsid w:val="0076116E"/>
    <w:rsid w:val="00770958"/>
    <w:rsid w:val="00775708"/>
    <w:rsid w:val="007778E1"/>
    <w:rsid w:val="0078451C"/>
    <w:rsid w:val="0079578F"/>
    <w:rsid w:val="00796BA3"/>
    <w:rsid w:val="00796FDC"/>
    <w:rsid w:val="007A03F7"/>
    <w:rsid w:val="007A3E7F"/>
    <w:rsid w:val="007A59A7"/>
    <w:rsid w:val="007B52C3"/>
    <w:rsid w:val="007C2D7D"/>
    <w:rsid w:val="007D4E67"/>
    <w:rsid w:val="007E3CFA"/>
    <w:rsid w:val="007E5B22"/>
    <w:rsid w:val="007E7835"/>
    <w:rsid w:val="007E7A7A"/>
    <w:rsid w:val="007F1143"/>
    <w:rsid w:val="007F2DCD"/>
    <w:rsid w:val="007F4DB3"/>
    <w:rsid w:val="007F6088"/>
    <w:rsid w:val="008007BD"/>
    <w:rsid w:val="00801A28"/>
    <w:rsid w:val="0080310F"/>
    <w:rsid w:val="00803CAE"/>
    <w:rsid w:val="00807E27"/>
    <w:rsid w:val="0081681A"/>
    <w:rsid w:val="0082607C"/>
    <w:rsid w:val="008265A4"/>
    <w:rsid w:val="00831AC7"/>
    <w:rsid w:val="00833F0E"/>
    <w:rsid w:val="00835822"/>
    <w:rsid w:val="008461B7"/>
    <w:rsid w:val="00846C88"/>
    <w:rsid w:val="00851B86"/>
    <w:rsid w:val="00856378"/>
    <w:rsid w:val="00877059"/>
    <w:rsid w:val="008853CF"/>
    <w:rsid w:val="0088605E"/>
    <w:rsid w:val="008A24D6"/>
    <w:rsid w:val="008B1CDC"/>
    <w:rsid w:val="008B5F17"/>
    <w:rsid w:val="008C00BA"/>
    <w:rsid w:val="008C592D"/>
    <w:rsid w:val="008D20D6"/>
    <w:rsid w:val="008D346B"/>
    <w:rsid w:val="008D7715"/>
    <w:rsid w:val="008E004B"/>
    <w:rsid w:val="008E186C"/>
    <w:rsid w:val="008E3385"/>
    <w:rsid w:val="008E44B4"/>
    <w:rsid w:val="008E5CD4"/>
    <w:rsid w:val="008F444A"/>
    <w:rsid w:val="008F5E55"/>
    <w:rsid w:val="0090122B"/>
    <w:rsid w:val="0090278E"/>
    <w:rsid w:val="009044C2"/>
    <w:rsid w:val="009106D9"/>
    <w:rsid w:val="00912D7E"/>
    <w:rsid w:val="00916A93"/>
    <w:rsid w:val="00927D61"/>
    <w:rsid w:val="009323E7"/>
    <w:rsid w:val="00933915"/>
    <w:rsid w:val="009363C0"/>
    <w:rsid w:val="009420F0"/>
    <w:rsid w:val="00942BAD"/>
    <w:rsid w:val="00947B65"/>
    <w:rsid w:val="0095513C"/>
    <w:rsid w:val="00957B4B"/>
    <w:rsid w:val="00963472"/>
    <w:rsid w:val="00964202"/>
    <w:rsid w:val="00964BF6"/>
    <w:rsid w:val="00964C7D"/>
    <w:rsid w:val="00965E9E"/>
    <w:rsid w:val="0097537E"/>
    <w:rsid w:val="00980238"/>
    <w:rsid w:val="00983C7B"/>
    <w:rsid w:val="00990726"/>
    <w:rsid w:val="00993709"/>
    <w:rsid w:val="00994293"/>
    <w:rsid w:val="0099787A"/>
    <w:rsid w:val="009A32A4"/>
    <w:rsid w:val="009B0DF6"/>
    <w:rsid w:val="009B3F8C"/>
    <w:rsid w:val="009B565A"/>
    <w:rsid w:val="009C0D0E"/>
    <w:rsid w:val="009C5D55"/>
    <w:rsid w:val="009D0175"/>
    <w:rsid w:val="009D2F76"/>
    <w:rsid w:val="009D4040"/>
    <w:rsid w:val="009E191B"/>
    <w:rsid w:val="009E321A"/>
    <w:rsid w:val="009E52B3"/>
    <w:rsid w:val="009E6418"/>
    <w:rsid w:val="009F2667"/>
    <w:rsid w:val="009F44A5"/>
    <w:rsid w:val="009F44E3"/>
    <w:rsid w:val="00A05FFE"/>
    <w:rsid w:val="00A11223"/>
    <w:rsid w:val="00A15F63"/>
    <w:rsid w:val="00A22453"/>
    <w:rsid w:val="00A22B7D"/>
    <w:rsid w:val="00A30914"/>
    <w:rsid w:val="00A33C5B"/>
    <w:rsid w:val="00A342A8"/>
    <w:rsid w:val="00A40888"/>
    <w:rsid w:val="00A5349D"/>
    <w:rsid w:val="00A5740F"/>
    <w:rsid w:val="00A62E43"/>
    <w:rsid w:val="00A818B7"/>
    <w:rsid w:val="00A81B1C"/>
    <w:rsid w:val="00A834A3"/>
    <w:rsid w:val="00A9420C"/>
    <w:rsid w:val="00A94CC6"/>
    <w:rsid w:val="00A960A3"/>
    <w:rsid w:val="00AA446A"/>
    <w:rsid w:val="00AA45F5"/>
    <w:rsid w:val="00AB381E"/>
    <w:rsid w:val="00AB488C"/>
    <w:rsid w:val="00AD07E9"/>
    <w:rsid w:val="00AD1579"/>
    <w:rsid w:val="00AE27E1"/>
    <w:rsid w:val="00AE7A63"/>
    <w:rsid w:val="00AF5E9E"/>
    <w:rsid w:val="00B008B7"/>
    <w:rsid w:val="00B03219"/>
    <w:rsid w:val="00B07435"/>
    <w:rsid w:val="00B07CB4"/>
    <w:rsid w:val="00B13B43"/>
    <w:rsid w:val="00B21F9B"/>
    <w:rsid w:val="00B24C7A"/>
    <w:rsid w:val="00B3063C"/>
    <w:rsid w:val="00B32207"/>
    <w:rsid w:val="00B35FE9"/>
    <w:rsid w:val="00B36D1A"/>
    <w:rsid w:val="00B6450A"/>
    <w:rsid w:val="00B67E27"/>
    <w:rsid w:val="00B7400F"/>
    <w:rsid w:val="00B74070"/>
    <w:rsid w:val="00B80109"/>
    <w:rsid w:val="00B82117"/>
    <w:rsid w:val="00B82486"/>
    <w:rsid w:val="00B86499"/>
    <w:rsid w:val="00B96932"/>
    <w:rsid w:val="00BA2CE9"/>
    <w:rsid w:val="00BA339D"/>
    <w:rsid w:val="00BA7A5C"/>
    <w:rsid w:val="00BB0AC5"/>
    <w:rsid w:val="00BB1869"/>
    <w:rsid w:val="00BB31E8"/>
    <w:rsid w:val="00BB5443"/>
    <w:rsid w:val="00BB6F62"/>
    <w:rsid w:val="00BC10EC"/>
    <w:rsid w:val="00BC262C"/>
    <w:rsid w:val="00BD0F09"/>
    <w:rsid w:val="00BD3EDE"/>
    <w:rsid w:val="00BD4436"/>
    <w:rsid w:val="00BD6ED2"/>
    <w:rsid w:val="00BE07A5"/>
    <w:rsid w:val="00BE517F"/>
    <w:rsid w:val="00BF0FFA"/>
    <w:rsid w:val="00BF2720"/>
    <w:rsid w:val="00BF7733"/>
    <w:rsid w:val="00C15D19"/>
    <w:rsid w:val="00C16443"/>
    <w:rsid w:val="00C174F5"/>
    <w:rsid w:val="00C2322B"/>
    <w:rsid w:val="00C23E88"/>
    <w:rsid w:val="00C30D47"/>
    <w:rsid w:val="00C3312A"/>
    <w:rsid w:val="00C47BA6"/>
    <w:rsid w:val="00C511BE"/>
    <w:rsid w:val="00C539C7"/>
    <w:rsid w:val="00C53B29"/>
    <w:rsid w:val="00C56C95"/>
    <w:rsid w:val="00C57C5D"/>
    <w:rsid w:val="00C600B6"/>
    <w:rsid w:val="00C60F35"/>
    <w:rsid w:val="00C666E7"/>
    <w:rsid w:val="00C70EE9"/>
    <w:rsid w:val="00C71504"/>
    <w:rsid w:val="00C75906"/>
    <w:rsid w:val="00C91C69"/>
    <w:rsid w:val="00C962D3"/>
    <w:rsid w:val="00CA2D8F"/>
    <w:rsid w:val="00CA4A2F"/>
    <w:rsid w:val="00CA4DA9"/>
    <w:rsid w:val="00CA5DA0"/>
    <w:rsid w:val="00CB6A3C"/>
    <w:rsid w:val="00CD2065"/>
    <w:rsid w:val="00CD4EB7"/>
    <w:rsid w:val="00CD75FD"/>
    <w:rsid w:val="00CE3877"/>
    <w:rsid w:val="00CE6D72"/>
    <w:rsid w:val="00CF690E"/>
    <w:rsid w:val="00CF793E"/>
    <w:rsid w:val="00D03E4C"/>
    <w:rsid w:val="00D067A2"/>
    <w:rsid w:val="00D10253"/>
    <w:rsid w:val="00D14BA1"/>
    <w:rsid w:val="00D1509E"/>
    <w:rsid w:val="00D1683C"/>
    <w:rsid w:val="00D21E61"/>
    <w:rsid w:val="00D26DE6"/>
    <w:rsid w:val="00D27878"/>
    <w:rsid w:val="00D33CD8"/>
    <w:rsid w:val="00D36BCE"/>
    <w:rsid w:val="00D36E7F"/>
    <w:rsid w:val="00D474EC"/>
    <w:rsid w:val="00D52A8A"/>
    <w:rsid w:val="00D5532C"/>
    <w:rsid w:val="00D57597"/>
    <w:rsid w:val="00D6756D"/>
    <w:rsid w:val="00D70C44"/>
    <w:rsid w:val="00D762C2"/>
    <w:rsid w:val="00D7692F"/>
    <w:rsid w:val="00D9167E"/>
    <w:rsid w:val="00D93CB7"/>
    <w:rsid w:val="00D945DA"/>
    <w:rsid w:val="00D94772"/>
    <w:rsid w:val="00D95854"/>
    <w:rsid w:val="00DA1E57"/>
    <w:rsid w:val="00DB2C55"/>
    <w:rsid w:val="00DB4318"/>
    <w:rsid w:val="00DB56C7"/>
    <w:rsid w:val="00DC1EF6"/>
    <w:rsid w:val="00DC37F2"/>
    <w:rsid w:val="00DF4423"/>
    <w:rsid w:val="00DF56DB"/>
    <w:rsid w:val="00DF7FCF"/>
    <w:rsid w:val="00E018DF"/>
    <w:rsid w:val="00E02F4E"/>
    <w:rsid w:val="00E04FB6"/>
    <w:rsid w:val="00E0772D"/>
    <w:rsid w:val="00E11863"/>
    <w:rsid w:val="00E12EA7"/>
    <w:rsid w:val="00E154DD"/>
    <w:rsid w:val="00E201B4"/>
    <w:rsid w:val="00E2223E"/>
    <w:rsid w:val="00E2330F"/>
    <w:rsid w:val="00E24572"/>
    <w:rsid w:val="00E24C04"/>
    <w:rsid w:val="00E264F1"/>
    <w:rsid w:val="00E3058E"/>
    <w:rsid w:val="00E331AE"/>
    <w:rsid w:val="00E42090"/>
    <w:rsid w:val="00E43431"/>
    <w:rsid w:val="00E435DE"/>
    <w:rsid w:val="00E449BC"/>
    <w:rsid w:val="00E45C65"/>
    <w:rsid w:val="00E55983"/>
    <w:rsid w:val="00E8062E"/>
    <w:rsid w:val="00E81DDD"/>
    <w:rsid w:val="00E8297C"/>
    <w:rsid w:val="00E82C47"/>
    <w:rsid w:val="00E860B6"/>
    <w:rsid w:val="00E86C85"/>
    <w:rsid w:val="00E90FB5"/>
    <w:rsid w:val="00E97496"/>
    <w:rsid w:val="00EA2251"/>
    <w:rsid w:val="00EA543F"/>
    <w:rsid w:val="00EB3B16"/>
    <w:rsid w:val="00EC0572"/>
    <w:rsid w:val="00EC3552"/>
    <w:rsid w:val="00EE26E4"/>
    <w:rsid w:val="00EE3891"/>
    <w:rsid w:val="00EE47A9"/>
    <w:rsid w:val="00EF2130"/>
    <w:rsid w:val="00EF3B9E"/>
    <w:rsid w:val="00EF5DDC"/>
    <w:rsid w:val="00EF71F8"/>
    <w:rsid w:val="00F016D7"/>
    <w:rsid w:val="00F06B50"/>
    <w:rsid w:val="00F104A1"/>
    <w:rsid w:val="00F12537"/>
    <w:rsid w:val="00F26C80"/>
    <w:rsid w:val="00F26D10"/>
    <w:rsid w:val="00F27DBC"/>
    <w:rsid w:val="00F3113F"/>
    <w:rsid w:val="00F3260D"/>
    <w:rsid w:val="00F36B42"/>
    <w:rsid w:val="00F4006F"/>
    <w:rsid w:val="00F43C07"/>
    <w:rsid w:val="00F52541"/>
    <w:rsid w:val="00F54476"/>
    <w:rsid w:val="00F5603F"/>
    <w:rsid w:val="00F60EEE"/>
    <w:rsid w:val="00F7185C"/>
    <w:rsid w:val="00F73037"/>
    <w:rsid w:val="00F757F8"/>
    <w:rsid w:val="00F908CB"/>
    <w:rsid w:val="00F90DA0"/>
    <w:rsid w:val="00F9182F"/>
    <w:rsid w:val="00F947FA"/>
    <w:rsid w:val="00F95452"/>
    <w:rsid w:val="00F97806"/>
    <w:rsid w:val="00FA05BD"/>
    <w:rsid w:val="00FB43C7"/>
    <w:rsid w:val="00FC3B5F"/>
    <w:rsid w:val="00FC74EA"/>
    <w:rsid w:val="00FE5F0A"/>
    <w:rsid w:val="00FE5FD1"/>
    <w:rsid w:val="00FE7A41"/>
    <w:rsid w:val="00FF4B00"/>
  </w:rsids>
  <m:mathPr>
    <m:mathFont m:val="Cambria Math"/>
    <m:brkBin m:val="before"/>
    <m:brkBinSub m:val="--"/>
    <m:smallFrac m:val="0"/>
    <m:dispDef/>
    <m:lMargin m:val="0"/>
    <m:rMargin m:val="0"/>
    <m:defJc m:val="centerGroup"/>
    <m:wrapIndent m:val="1440"/>
    <m:intLim m:val="subSup"/>
    <m:naryLim m:val="undOvr"/>
  </m:mathPr>
  <w:themeFontLang w:val="hu-H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36316"/>
  <w15:docId w15:val="{B77A404C-F709-4DA6-8C03-AA32EFD99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uiPriority w:val="1"/>
    <w:qFormat/>
  </w:style>
  <w:style w:type="paragraph" w:styleId="Cmsor1">
    <w:name w:val="heading 1"/>
    <w:basedOn w:val="Norml"/>
    <w:uiPriority w:val="1"/>
    <w:qFormat/>
    <w:rsid w:val="009106D9"/>
    <w:pPr>
      <w:tabs>
        <w:tab w:val="left" w:pos="686"/>
      </w:tabs>
      <w:outlineLvl w:val="0"/>
    </w:pPr>
    <w:rPr>
      <w:rFonts w:ascii="Times New Roman" w:hAnsi="Times New Roman" w:cs="Times New Roman"/>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link w:val="SzvegtrzsChar"/>
    <w:uiPriority w:val="1"/>
    <w:qFormat/>
    <w:pPr>
      <w:ind w:left="118"/>
    </w:pPr>
    <w:rPr>
      <w:rFonts w:ascii="Times New Roman" w:eastAsia="Times New Roman" w:hAnsi="Times New Roman"/>
    </w:rPr>
  </w:style>
  <w:style w:type="paragraph" w:styleId="Listaszerbekezds">
    <w:name w:val="List Paragraph"/>
    <w:basedOn w:val="Norml"/>
    <w:uiPriority w:val="1"/>
    <w:qFormat/>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612B56"/>
    <w:pPr>
      <w:tabs>
        <w:tab w:val="center" w:pos="4536"/>
        <w:tab w:val="right" w:pos="9072"/>
      </w:tabs>
    </w:pPr>
  </w:style>
  <w:style w:type="character" w:customStyle="1" w:styleId="lfejChar">
    <w:name w:val="Élőfej Char"/>
    <w:basedOn w:val="Bekezdsalapbettpusa"/>
    <w:link w:val="lfej"/>
    <w:uiPriority w:val="99"/>
    <w:rsid w:val="00612B56"/>
  </w:style>
  <w:style w:type="paragraph" w:styleId="llb">
    <w:name w:val="footer"/>
    <w:basedOn w:val="Norml"/>
    <w:link w:val="llbChar"/>
    <w:uiPriority w:val="99"/>
    <w:unhideWhenUsed/>
    <w:rsid w:val="00612B56"/>
    <w:pPr>
      <w:tabs>
        <w:tab w:val="center" w:pos="4536"/>
        <w:tab w:val="right" w:pos="9072"/>
      </w:tabs>
    </w:pPr>
  </w:style>
  <w:style w:type="character" w:customStyle="1" w:styleId="llbChar">
    <w:name w:val="Élőláb Char"/>
    <w:basedOn w:val="Bekezdsalapbettpusa"/>
    <w:link w:val="llb"/>
    <w:uiPriority w:val="99"/>
    <w:rsid w:val="00612B56"/>
  </w:style>
  <w:style w:type="paragraph" w:styleId="Buborkszveg">
    <w:name w:val="Balloon Text"/>
    <w:basedOn w:val="Norml"/>
    <w:link w:val="BuborkszvegChar"/>
    <w:uiPriority w:val="99"/>
    <w:semiHidden/>
    <w:unhideWhenUsed/>
    <w:rsid w:val="00612B56"/>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612B56"/>
    <w:rPr>
      <w:rFonts w:ascii="Segoe UI" w:hAnsi="Segoe UI" w:cs="Segoe UI"/>
      <w:sz w:val="18"/>
      <w:szCs w:val="18"/>
    </w:rPr>
  </w:style>
  <w:style w:type="character" w:styleId="Jegyzethivatkozs">
    <w:name w:val="annotation reference"/>
    <w:basedOn w:val="Bekezdsalapbettpusa"/>
    <w:uiPriority w:val="99"/>
    <w:semiHidden/>
    <w:unhideWhenUsed/>
    <w:rsid w:val="007778E1"/>
    <w:rPr>
      <w:sz w:val="16"/>
      <w:szCs w:val="16"/>
    </w:rPr>
  </w:style>
  <w:style w:type="paragraph" w:styleId="Jegyzetszveg">
    <w:name w:val="annotation text"/>
    <w:basedOn w:val="Norml"/>
    <w:link w:val="JegyzetszvegChar"/>
    <w:uiPriority w:val="99"/>
    <w:unhideWhenUsed/>
    <w:rsid w:val="007778E1"/>
    <w:rPr>
      <w:sz w:val="20"/>
      <w:szCs w:val="20"/>
    </w:rPr>
  </w:style>
  <w:style w:type="character" w:customStyle="1" w:styleId="JegyzetszvegChar">
    <w:name w:val="Jegyzetszöveg Char"/>
    <w:basedOn w:val="Bekezdsalapbettpusa"/>
    <w:link w:val="Jegyzetszveg"/>
    <w:uiPriority w:val="99"/>
    <w:rsid w:val="007778E1"/>
    <w:rPr>
      <w:sz w:val="20"/>
      <w:szCs w:val="20"/>
    </w:rPr>
  </w:style>
  <w:style w:type="paragraph" w:styleId="Megjegyzstrgya">
    <w:name w:val="annotation subject"/>
    <w:basedOn w:val="Jegyzetszveg"/>
    <w:next w:val="Jegyzetszveg"/>
    <w:link w:val="MegjegyzstrgyaChar"/>
    <w:uiPriority w:val="99"/>
    <w:semiHidden/>
    <w:unhideWhenUsed/>
    <w:rsid w:val="007778E1"/>
    <w:rPr>
      <w:b/>
      <w:bCs/>
    </w:rPr>
  </w:style>
  <w:style w:type="character" w:customStyle="1" w:styleId="MegjegyzstrgyaChar">
    <w:name w:val="Megjegyzés tárgya Char"/>
    <w:basedOn w:val="JegyzetszvegChar"/>
    <w:link w:val="Megjegyzstrgya"/>
    <w:uiPriority w:val="99"/>
    <w:semiHidden/>
    <w:rsid w:val="007778E1"/>
    <w:rPr>
      <w:b/>
      <w:bCs/>
      <w:sz w:val="20"/>
      <w:szCs w:val="20"/>
    </w:rPr>
  </w:style>
  <w:style w:type="paragraph" w:styleId="Vltozat">
    <w:name w:val="Revision"/>
    <w:hidden/>
    <w:uiPriority w:val="99"/>
    <w:semiHidden/>
    <w:rsid w:val="008F444A"/>
    <w:pPr>
      <w:widowControl/>
    </w:pPr>
  </w:style>
  <w:style w:type="character" w:customStyle="1" w:styleId="SzvegtrzsChar">
    <w:name w:val="Szövegtörzs Char"/>
    <w:basedOn w:val="Bekezdsalapbettpusa"/>
    <w:link w:val="Szvegtrzs"/>
    <w:uiPriority w:val="1"/>
    <w:rsid w:val="00E02F4E"/>
    <w:rPr>
      <w:rFonts w:ascii="Times New Roman" w:eastAsia="Times New Roman" w:hAnsi="Times New Roman"/>
    </w:rPr>
  </w:style>
  <w:style w:type="character" w:styleId="Hiperhivatkozs">
    <w:name w:val="Hyperlink"/>
    <w:rsid w:val="00D5532C"/>
    <w:rPr>
      <w:rFonts w:cs="Times New Roman"/>
      <w:color w:val="0000FF"/>
      <w:u w:val="single"/>
    </w:rPr>
  </w:style>
  <w:style w:type="character" w:styleId="Mrltotthiperhivatkozs">
    <w:name w:val="FollowedHyperlink"/>
    <w:basedOn w:val="Bekezdsalapbettpusa"/>
    <w:uiPriority w:val="99"/>
    <w:semiHidden/>
    <w:unhideWhenUsed/>
    <w:rsid w:val="00AB381E"/>
    <w:rPr>
      <w:color w:val="800080" w:themeColor="followedHyperlink"/>
      <w:u w:val="single"/>
    </w:rPr>
  </w:style>
  <w:style w:type="table" w:styleId="Rcsostblzat">
    <w:name w:val="Table Grid"/>
    <w:basedOn w:val="Normltblzat"/>
    <w:uiPriority w:val="39"/>
    <w:rsid w:val="00287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0092A"/>
    <w:pPr>
      <w:widowControl/>
      <w:autoSpaceDE w:val="0"/>
      <w:autoSpaceDN w:val="0"/>
      <w:adjustRightInd w:val="0"/>
    </w:pPr>
    <w:rPr>
      <w:rFonts w:ascii="Times New Roman" w:hAnsi="Times New Roman" w:cs="Times New Roman"/>
      <w:color w:val="000000"/>
      <w:sz w:val="24"/>
      <w:szCs w:val="24"/>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16408">
      <w:bodyDiv w:val="1"/>
      <w:marLeft w:val="0"/>
      <w:marRight w:val="0"/>
      <w:marTop w:val="0"/>
      <w:marBottom w:val="0"/>
      <w:divBdr>
        <w:top w:val="none" w:sz="0" w:space="0" w:color="auto"/>
        <w:left w:val="none" w:sz="0" w:space="0" w:color="auto"/>
        <w:bottom w:val="none" w:sz="0" w:space="0" w:color="auto"/>
        <w:right w:val="none" w:sz="0" w:space="0" w:color="auto"/>
      </w:divBdr>
    </w:div>
    <w:div w:id="618491552">
      <w:bodyDiv w:val="1"/>
      <w:marLeft w:val="0"/>
      <w:marRight w:val="0"/>
      <w:marTop w:val="0"/>
      <w:marBottom w:val="0"/>
      <w:divBdr>
        <w:top w:val="none" w:sz="0" w:space="0" w:color="auto"/>
        <w:left w:val="none" w:sz="0" w:space="0" w:color="auto"/>
        <w:bottom w:val="none" w:sz="0" w:space="0" w:color="auto"/>
        <w:right w:val="none" w:sz="0" w:space="0" w:color="auto"/>
      </w:divBdr>
    </w:div>
    <w:div w:id="857045520">
      <w:bodyDiv w:val="1"/>
      <w:marLeft w:val="0"/>
      <w:marRight w:val="0"/>
      <w:marTop w:val="0"/>
      <w:marBottom w:val="0"/>
      <w:divBdr>
        <w:top w:val="none" w:sz="0" w:space="0" w:color="auto"/>
        <w:left w:val="none" w:sz="0" w:space="0" w:color="auto"/>
        <w:bottom w:val="none" w:sz="0" w:space="0" w:color="auto"/>
        <w:right w:val="none" w:sz="0" w:space="0" w:color="auto"/>
      </w:divBdr>
    </w:div>
    <w:div w:id="1632903196">
      <w:bodyDiv w:val="1"/>
      <w:marLeft w:val="0"/>
      <w:marRight w:val="0"/>
      <w:marTop w:val="0"/>
      <w:marBottom w:val="0"/>
      <w:divBdr>
        <w:top w:val="none" w:sz="0" w:space="0" w:color="auto"/>
        <w:left w:val="none" w:sz="0" w:space="0" w:color="auto"/>
        <w:bottom w:val="none" w:sz="0" w:space="0" w:color="auto"/>
        <w:right w:val="none" w:sz="0" w:space="0" w:color="auto"/>
      </w:divBdr>
    </w:div>
    <w:div w:id="1811939858">
      <w:bodyDiv w:val="1"/>
      <w:marLeft w:val="0"/>
      <w:marRight w:val="0"/>
      <w:marTop w:val="0"/>
      <w:marBottom w:val="0"/>
      <w:divBdr>
        <w:top w:val="none" w:sz="0" w:space="0" w:color="auto"/>
        <w:left w:val="none" w:sz="0" w:space="0" w:color="auto"/>
        <w:bottom w:val="none" w:sz="0" w:space="0" w:color="auto"/>
        <w:right w:val="none" w:sz="0" w:space="0" w:color="auto"/>
      </w:divBdr>
    </w:div>
    <w:div w:id="1873692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30</Pages>
  <Words>12035</Words>
  <Characters>83044</Characters>
  <Application>Microsoft Office Word</Application>
  <DocSecurity>0</DocSecurity>
  <Lines>692</Lines>
  <Paragraphs>189</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Votrient, INN-pazopanib</vt:lpstr>
      <vt:lpstr>Votrient, INN-pazopanib</vt:lpstr>
    </vt:vector>
  </TitlesOfParts>
  <Company/>
  <LinksUpToDate>false</LinksUpToDate>
  <CharactersWithSpaces>94890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Votrient, INN-pazopanib</dc:title>
  <dc:subject>EPAR</dc:subject>
  <dc:creator>CHMP</dc:creator>
  <cp:keywords>Votrient, INN-pazopanib</cp:keywords>
  <dc:description/>
  <cp:lastModifiedBy>HU OGYI 8.1</cp:lastModifiedBy>
  <cp:revision>7</cp:revision>
  <dcterms:created xsi:type="dcterms:W3CDTF">2026-03-09T09:19:00Z</dcterms:created>
  <dcterms:modified xsi:type="dcterms:W3CDTF">2026-03-13T08:42:00Z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2023-02-22T00:00:00Z</vt:filetime>
  </property>
  <property fmtid="{D5CDD505-2E9C-101B-9397-08002B2CF9AE}" pid="3" name="LastSaved">
    <vt:filetime>2023-09-27T00:00:00Z</vt:filetime>
  </property>
</Properties>
</file>