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7BFDA" w14:textId="77777777" w:rsidR="00284377" w:rsidRDefault="00D321AB">
      <w:pPr>
        <w:widowControl w:val="0"/>
        <w:spacing w:line="240" w:lineRule="auto"/>
        <w:rPr>
          <w:color w:val="000000"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1207E8DD" w14:textId="77777777" w:rsidR="00284377" w:rsidRDefault="00284377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47D1185" w14:textId="77777777" w:rsidR="00284377" w:rsidRDefault="00D321AB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Ticagrelor HCS-BV 60</w:t>
      </w:r>
      <w:r>
        <w:rPr>
          <w:szCs w:val="22"/>
          <w:lang w:val="hu-HU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mg filmtabletta</w:t>
      </w:r>
    </w:p>
    <w:p w14:paraId="5D15EDBC" w14:textId="77777777" w:rsidR="00284377" w:rsidRDefault="00D321AB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Ticagrelor HCS-BV 90</w:t>
      </w:r>
      <w:r>
        <w:rPr>
          <w:szCs w:val="22"/>
          <w:lang w:val="hu-HU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mg filmtabletta</w:t>
      </w:r>
    </w:p>
    <w:p w14:paraId="2D4E3E02" w14:textId="77777777" w:rsidR="00284377" w:rsidRDefault="00284377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DAD9E1B" w14:textId="77777777" w:rsidR="00284377" w:rsidRDefault="00284377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897414E" w14:textId="77777777" w:rsidR="00284377" w:rsidRDefault="00D321AB">
      <w:pPr>
        <w:widowControl w:val="0"/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2.</w:t>
      </w:r>
      <w:r>
        <w:rPr>
          <w:b/>
          <w:szCs w:val="22"/>
          <w:lang w:val="hu-HU"/>
        </w:rPr>
        <w:tab/>
        <w:t>MINŐSÉGI ÉS MENNYISÉGI ÖSSZETÉTEL</w:t>
      </w:r>
    </w:p>
    <w:p w14:paraId="5DB142D2" w14:textId="77777777" w:rsidR="00284377" w:rsidRPr="005B1D39" w:rsidRDefault="00284377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745D6B4C" w14:textId="77777777" w:rsidR="00284377" w:rsidRDefault="00D321AB">
      <w:pPr>
        <w:widowControl w:val="0"/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  <w:r>
        <w:rPr>
          <w:rFonts w:eastAsia="Times New Roman"/>
          <w:i/>
          <w:noProof/>
          <w:snapToGrid/>
          <w:szCs w:val="22"/>
          <w:lang w:val="hu-HU" w:eastAsia="en-US"/>
        </w:rPr>
        <w:t>Ticagrelor HCS-BV 60</w:t>
      </w:r>
      <w:r>
        <w:rPr>
          <w:szCs w:val="22"/>
          <w:lang w:val="hu-HU"/>
        </w:rPr>
        <w:t> </w:t>
      </w:r>
      <w:r>
        <w:rPr>
          <w:rFonts w:eastAsia="Times New Roman"/>
          <w:i/>
          <w:noProof/>
          <w:snapToGrid/>
          <w:szCs w:val="22"/>
          <w:lang w:val="hu-HU" w:eastAsia="en-US"/>
        </w:rPr>
        <w:t>mg filmtabletta</w:t>
      </w:r>
    </w:p>
    <w:p w14:paraId="3EEA29DC" w14:textId="77777777" w:rsidR="00284377" w:rsidRDefault="00D321AB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60</w:t>
      </w:r>
      <w:r>
        <w:rPr>
          <w:szCs w:val="22"/>
          <w:lang w:val="hu-HU"/>
        </w:rPr>
        <w:t> </w:t>
      </w:r>
      <w:r>
        <w:rPr>
          <w:bCs/>
          <w:noProof/>
          <w:szCs w:val="22"/>
          <w:lang w:val="hu-HU"/>
        </w:rPr>
        <w:t>mg tikagrelort tartalmaz filmtablettánként.</w:t>
      </w:r>
    </w:p>
    <w:p w14:paraId="3854C273" w14:textId="77777777" w:rsidR="00284377" w:rsidRDefault="00284377">
      <w:pPr>
        <w:widowControl w:val="0"/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</w:p>
    <w:p w14:paraId="26B49457" w14:textId="77777777" w:rsidR="00284377" w:rsidRDefault="00D321AB">
      <w:pPr>
        <w:widowControl w:val="0"/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  <w:r>
        <w:rPr>
          <w:rFonts w:eastAsia="Times New Roman"/>
          <w:i/>
          <w:noProof/>
          <w:snapToGrid/>
          <w:szCs w:val="22"/>
          <w:lang w:val="hu-HU" w:eastAsia="en-US"/>
        </w:rPr>
        <w:t>Ticagrelor HCS-BV 90</w:t>
      </w:r>
      <w:r>
        <w:rPr>
          <w:szCs w:val="22"/>
          <w:lang w:val="hu-HU"/>
        </w:rPr>
        <w:t> </w:t>
      </w:r>
      <w:r>
        <w:rPr>
          <w:rFonts w:eastAsia="Times New Roman"/>
          <w:i/>
          <w:noProof/>
          <w:snapToGrid/>
          <w:szCs w:val="22"/>
          <w:lang w:val="hu-HU" w:eastAsia="en-US"/>
        </w:rPr>
        <w:t>mg filmtabletta</w:t>
      </w:r>
    </w:p>
    <w:p w14:paraId="78AB89EB" w14:textId="77777777" w:rsidR="00284377" w:rsidRDefault="00D321AB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90</w:t>
      </w:r>
      <w:r>
        <w:rPr>
          <w:szCs w:val="22"/>
          <w:lang w:val="hu-HU"/>
        </w:rPr>
        <w:t> </w:t>
      </w:r>
      <w:r>
        <w:rPr>
          <w:bCs/>
          <w:noProof/>
          <w:szCs w:val="22"/>
          <w:lang w:val="hu-HU"/>
        </w:rPr>
        <w:t>mg tikagrelort tartalmaz filmtablettánként.</w:t>
      </w:r>
    </w:p>
    <w:p w14:paraId="67D7050A" w14:textId="77777777" w:rsidR="00284377" w:rsidRDefault="00284377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</w:p>
    <w:p w14:paraId="3EE93676" w14:textId="77777777" w:rsidR="00284377" w:rsidRDefault="00D321AB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>
        <w:rPr>
          <w:szCs w:val="22"/>
          <w:lang w:val="hu-HU"/>
        </w:rPr>
        <w:t xml:space="preserve">A segédanyagok teljes </w:t>
      </w:r>
      <w:r>
        <w:rPr>
          <w:bCs/>
          <w:noProof/>
          <w:szCs w:val="22"/>
          <w:lang w:val="hu-HU"/>
        </w:rPr>
        <w:t>listáját</w:t>
      </w:r>
      <w:r>
        <w:rPr>
          <w:szCs w:val="22"/>
          <w:lang w:val="hu-HU"/>
        </w:rPr>
        <w:t xml:space="preserve"> lásd a 6.1 pontban</w:t>
      </w:r>
      <w:r>
        <w:rPr>
          <w:bCs/>
          <w:noProof/>
          <w:szCs w:val="22"/>
          <w:lang w:val="hu-HU"/>
        </w:rPr>
        <w:t>.</w:t>
      </w:r>
    </w:p>
    <w:p w14:paraId="13DB20F1" w14:textId="77777777" w:rsidR="00284377" w:rsidRDefault="00284377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588B6962" w14:textId="77777777" w:rsidR="00284377" w:rsidRPr="005B1D39" w:rsidRDefault="00284377">
      <w:pPr>
        <w:widowControl w:val="0"/>
        <w:spacing w:line="240" w:lineRule="auto"/>
        <w:rPr>
          <w:bCs/>
          <w:szCs w:val="22"/>
          <w:lang w:val="hu-HU"/>
        </w:rPr>
      </w:pPr>
    </w:p>
    <w:p w14:paraId="7756B867" w14:textId="77777777" w:rsidR="00284377" w:rsidRDefault="00D321AB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54ED4585" w14:textId="77777777" w:rsidR="00284377" w:rsidRPr="005B1D39" w:rsidRDefault="00284377">
      <w:pPr>
        <w:spacing w:line="240" w:lineRule="auto"/>
        <w:ind w:left="567" w:hanging="567"/>
        <w:rPr>
          <w:bCs/>
          <w:szCs w:val="22"/>
          <w:lang w:val="hu-HU"/>
        </w:rPr>
      </w:pPr>
    </w:p>
    <w:p w14:paraId="2D90F422" w14:textId="77777777" w:rsidR="00284377" w:rsidRDefault="00D321AB">
      <w:pPr>
        <w:spacing w:line="240" w:lineRule="auto"/>
        <w:ind w:left="567" w:hanging="567"/>
        <w:rPr>
          <w:szCs w:val="22"/>
          <w:lang w:val="hu-HU" w:eastAsia="en-US"/>
        </w:rPr>
      </w:pPr>
      <w:r>
        <w:rPr>
          <w:szCs w:val="22"/>
          <w:lang w:val="hu-HU" w:eastAsia="en-US"/>
        </w:rPr>
        <w:t>Filmtabletta (tabletta).</w:t>
      </w:r>
    </w:p>
    <w:p w14:paraId="2CF276A6" w14:textId="77777777" w:rsidR="00284377" w:rsidRDefault="00284377">
      <w:pPr>
        <w:widowControl w:val="0"/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</w:p>
    <w:p w14:paraId="6CBE7DEB" w14:textId="77777777" w:rsidR="00284377" w:rsidRDefault="00D321AB">
      <w:pPr>
        <w:widowControl w:val="0"/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  <w:r>
        <w:rPr>
          <w:rFonts w:eastAsia="Times New Roman"/>
          <w:i/>
          <w:noProof/>
          <w:snapToGrid/>
          <w:szCs w:val="22"/>
          <w:lang w:val="hu-HU" w:eastAsia="en-US"/>
        </w:rPr>
        <w:t>Ticagrelor HCS-BV 60</w:t>
      </w:r>
      <w:r>
        <w:rPr>
          <w:szCs w:val="22"/>
          <w:lang w:val="hu-HU"/>
        </w:rPr>
        <w:t> </w:t>
      </w:r>
      <w:r>
        <w:rPr>
          <w:rFonts w:eastAsia="Times New Roman"/>
          <w:i/>
          <w:noProof/>
          <w:snapToGrid/>
          <w:szCs w:val="22"/>
          <w:lang w:val="hu-HU" w:eastAsia="en-US"/>
        </w:rPr>
        <w:t>mg filmtabletta</w:t>
      </w:r>
    </w:p>
    <w:p w14:paraId="62F18260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Világos rózsaszín, kerek, mindkét oldalán domború, egyik oldalán ’60’ jelöléssel ellátott filmtabletta.</w:t>
      </w:r>
    </w:p>
    <w:p w14:paraId="66238D31" w14:textId="5995CE3D" w:rsidR="00284377" w:rsidRDefault="00D321AB">
      <w:pPr>
        <w:widowControl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tabletta mérete: megközelítőleg 8 mm</w:t>
      </w:r>
      <w:r w:rsidR="000F17A4">
        <w:rPr>
          <w:szCs w:val="22"/>
          <w:lang w:val="hu-HU"/>
        </w:rPr>
        <w:t>.</w:t>
      </w:r>
      <w:r>
        <w:rPr>
          <w:szCs w:val="22"/>
          <w:lang w:val="hu-HU"/>
        </w:rPr>
        <w:t xml:space="preserve"> átmérőjű.</w:t>
      </w:r>
    </w:p>
    <w:p w14:paraId="7CEC755A" w14:textId="77777777" w:rsidR="00284377" w:rsidRDefault="00284377">
      <w:pPr>
        <w:widowControl w:val="0"/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</w:p>
    <w:p w14:paraId="165EF4C2" w14:textId="77777777" w:rsidR="00284377" w:rsidRDefault="00D321AB">
      <w:pPr>
        <w:widowControl w:val="0"/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  <w:r>
        <w:rPr>
          <w:rFonts w:eastAsia="Times New Roman"/>
          <w:i/>
          <w:noProof/>
          <w:snapToGrid/>
          <w:szCs w:val="22"/>
          <w:lang w:val="hu-HU" w:eastAsia="en-US"/>
        </w:rPr>
        <w:t>Ticagrelor HCS-BV 90</w:t>
      </w:r>
      <w:r>
        <w:rPr>
          <w:szCs w:val="22"/>
          <w:lang w:val="hu-HU"/>
        </w:rPr>
        <w:t> </w:t>
      </w:r>
      <w:r>
        <w:rPr>
          <w:rFonts w:eastAsia="Times New Roman"/>
          <w:i/>
          <w:noProof/>
          <w:snapToGrid/>
          <w:szCs w:val="22"/>
          <w:lang w:val="hu-HU" w:eastAsia="en-US"/>
        </w:rPr>
        <w:t>mg filmtabletta</w:t>
      </w:r>
    </w:p>
    <w:p w14:paraId="53E08214" w14:textId="77777777" w:rsidR="00284377" w:rsidRDefault="00D321AB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Enyhén </w:t>
      </w:r>
      <w:proofErr w:type="spellStart"/>
      <w:r>
        <w:rPr>
          <w:szCs w:val="22"/>
          <w:lang w:val="hu-HU"/>
        </w:rPr>
        <w:t>barnás</w:t>
      </w:r>
      <w:proofErr w:type="spellEnd"/>
      <w:r>
        <w:rPr>
          <w:szCs w:val="22"/>
          <w:lang w:val="hu-HU"/>
        </w:rPr>
        <w:t>-sárga, kerek, mindkét oldalán domború, egyik oldalán ’90’ jelöléssel ellátott filmtabletta.</w:t>
      </w:r>
    </w:p>
    <w:p w14:paraId="66EB1DAB" w14:textId="6315E515" w:rsidR="00284377" w:rsidRDefault="00D321AB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tabletta mérete: megközelítőleg 9 mm</w:t>
      </w:r>
      <w:r w:rsidR="000F17A4">
        <w:rPr>
          <w:szCs w:val="22"/>
          <w:lang w:val="hu-HU"/>
        </w:rPr>
        <w:t>.</w:t>
      </w:r>
      <w:r>
        <w:rPr>
          <w:szCs w:val="22"/>
          <w:lang w:val="hu-HU"/>
        </w:rPr>
        <w:t xml:space="preserve"> átmérőjű.</w:t>
      </w:r>
    </w:p>
    <w:p w14:paraId="64DE123E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366ECEA8" w14:textId="77777777" w:rsidR="00284377" w:rsidRDefault="00D321AB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>4.</w:t>
      </w:r>
      <w:r>
        <w:rPr>
          <w:b/>
          <w:szCs w:val="22"/>
          <w:lang w:val="hu-HU"/>
        </w:rPr>
        <w:tab/>
        <w:t>KLINIKAI JELLEMZŐK</w:t>
      </w:r>
    </w:p>
    <w:p w14:paraId="53FADFB7" w14:textId="77777777" w:rsidR="00284377" w:rsidRPr="005B1D39" w:rsidRDefault="0028437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5A6563C5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7EB152CE" w14:textId="77777777" w:rsidR="00284377" w:rsidRPr="005B1D39" w:rsidRDefault="0028437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73C2ABA8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Ticagrelor HCS-BV acetilszalicilsavval (ASA) </w:t>
      </w:r>
      <w:r>
        <w:rPr>
          <w:szCs w:val="22"/>
          <w:lang w:val="hu-HU"/>
        </w:rPr>
        <w:t xml:space="preserve">együtt adva az </w:t>
      </w:r>
      <w:proofErr w:type="spellStart"/>
      <w:r>
        <w:rPr>
          <w:szCs w:val="22"/>
          <w:lang w:val="hu-HU"/>
        </w:rPr>
        <w:t>atherothromboticus</w:t>
      </w:r>
      <w:proofErr w:type="spellEnd"/>
      <w:r>
        <w:rPr>
          <w:szCs w:val="22"/>
          <w:lang w:val="hu-HU"/>
        </w:rPr>
        <w:t xml:space="preserve"> események megelőzésére javallott felnőtt betegeknél</w:t>
      </w:r>
    </w:p>
    <w:p w14:paraId="0E4051EE" w14:textId="77777777" w:rsidR="00284377" w:rsidRDefault="00D321AB">
      <w:pPr>
        <w:widowControl w:val="0"/>
        <w:numPr>
          <w:ilvl w:val="0"/>
          <w:numId w:val="52"/>
        </w:numPr>
        <w:spacing w:line="240" w:lineRule="auto"/>
        <w:ind w:hanging="720"/>
        <w:rPr>
          <w:szCs w:val="22"/>
          <w:lang w:val="hu-HU"/>
        </w:rPr>
      </w:pPr>
      <w:r>
        <w:rPr>
          <w:szCs w:val="22"/>
          <w:lang w:val="hu-HU"/>
        </w:rPr>
        <w:t>akut coronaria szindrómás (ACS) vagy</w:t>
      </w:r>
    </w:p>
    <w:p w14:paraId="5493E1B7" w14:textId="774C0167" w:rsidR="00284377" w:rsidRDefault="00D321AB">
      <w:pPr>
        <w:numPr>
          <w:ilvl w:val="0"/>
          <w:numId w:val="52"/>
        </w:numPr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olyan betegeknél, akiknek az anamnézisében </w:t>
      </w:r>
      <w:proofErr w:type="spellStart"/>
      <w:r>
        <w:rPr>
          <w:szCs w:val="22"/>
          <w:lang w:val="hu-HU"/>
        </w:rPr>
        <w:t>myocardialis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infarctus</w:t>
      </w:r>
      <w:proofErr w:type="spellEnd"/>
      <w:r>
        <w:rPr>
          <w:szCs w:val="22"/>
          <w:lang w:val="hu-HU"/>
        </w:rPr>
        <w:t xml:space="preserve"> (MI) szerepel, és nagy náluk egy </w:t>
      </w:r>
      <w:proofErr w:type="spellStart"/>
      <w:r>
        <w:rPr>
          <w:szCs w:val="22"/>
          <w:lang w:val="hu-HU"/>
        </w:rPr>
        <w:t>atherothromboti</w:t>
      </w:r>
      <w:r w:rsidR="00B13354">
        <w:rPr>
          <w:szCs w:val="22"/>
          <w:lang w:val="hu-HU"/>
        </w:rPr>
        <w:t>k</w:t>
      </w:r>
      <w:r>
        <w:rPr>
          <w:szCs w:val="22"/>
          <w:lang w:val="hu-HU"/>
        </w:rPr>
        <w:t>us</w:t>
      </w:r>
      <w:proofErr w:type="spellEnd"/>
      <w:r>
        <w:rPr>
          <w:szCs w:val="22"/>
          <w:lang w:val="hu-HU"/>
        </w:rPr>
        <w:t xml:space="preserve"> esemény kialakulásának a kockázata (lásd 4.2 és 5.1 pont).</w:t>
      </w:r>
    </w:p>
    <w:p w14:paraId="4847038B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675FD212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620AEFED" w14:textId="77777777" w:rsidR="00284377" w:rsidRPr="005B1D39" w:rsidRDefault="0028437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58A34CCF" w14:textId="77777777" w:rsidR="00284377" w:rsidRDefault="00D321AB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0BC688C1" w14:textId="77777777" w:rsidR="00284377" w:rsidRDefault="0028437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704D3BB7" w14:textId="39DEBE03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Ticagrelor</w:t>
      </w:r>
      <w:proofErr w:type="spellEnd"/>
      <w:r>
        <w:rPr>
          <w:sz w:val="22"/>
          <w:szCs w:val="22"/>
        </w:rPr>
        <w:t xml:space="preserve"> HCS-BV-t szedő betegeknek minden nap alacsony, 75–150 mg-os fenntartó dózisban </w:t>
      </w:r>
      <w:proofErr w:type="spellStart"/>
      <w:r>
        <w:rPr>
          <w:sz w:val="22"/>
          <w:szCs w:val="22"/>
        </w:rPr>
        <w:t>acetilszalicilsavat</w:t>
      </w:r>
      <w:proofErr w:type="spellEnd"/>
      <w:r>
        <w:rPr>
          <w:sz w:val="22"/>
          <w:szCs w:val="22"/>
        </w:rPr>
        <w:t xml:space="preserve"> is szedniük kell, kivéve, ha az kifejezetten ellenjavallt.</w:t>
      </w:r>
    </w:p>
    <w:p w14:paraId="5DF8C7E6" w14:textId="77777777" w:rsidR="00284377" w:rsidRDefault="00D321AB">
      <w:pPr>
        <w:pStyle w:val="Default"/>
        <w:rPr>
          <w:sz w:val="22"/>
          <w:szCs w:val="22"/>
          <w:u w:val="single"/>
        </w:rPr>
      </w:pPr>
      <w:proofErr w:type="spellStart"/>
      <w:r>
        <w:rPr>
          <w:i/>
          <w:iCs/>
          <w:sz w:val="22"/>
          <w:szCs w:val="22"/>
          <w:u w:val="single"/>
        </w:rPr>
        <w:t>Acut</w:t>
      </w:r>
      <w:proofErr w:type="spellEnd"/>
      <w:r>
        <w:rPr>
          <w:i/>
          <w:iCs/>
          <w:sz w:val="22"/>
          <w:szCs w:val="22"/>
          <w:u w:val="single"/>
        </w:rPr>
        <w:t xml:space="preserve"> coronaria szindrómák</w:t>
      </w:r>
    </w:p>
    <w:p w14:paraId="725FE902" w14:textId="312C3AA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Ticagrelor</w:t>
      </w:r>
      <w:proofErr w:type="spellEnd"/>
      <w:r>
        <w:rPr>
          <w:sz w:val="22"/>
          <w:szCs w:val="22"/>
        </w:rPr>
        <w:t xml:space="preserve"> HCS-BV-kezelést egyetlen, 180 mg-os telítő dózissal kell kezdeni (két 90 mg-os tabletta), és naponta kétszer 90 mg-</w:t>
      </w:r>
      <w:proofErr w:type="spellStart"/>
      <w:r>
        <w:rPr>
          <w:sz w:val="22"/>
          <w:szCs w:val="22"/>
        </w:rPr>
        <w:t>mal</w:t>
      </w:r>
      <w:proofErr w:type="spellEnd"/>
      <w:r>
        <w:rPr>
          <w:sz w:val="22"/>
          <w:szCs w:val="22"/>
        </w:rPr>
        <w:t xml:space="preserve"> kell folytatni. A naponta kétszer 90 mg </w:t>
      </w:r>
      <w:proofErr w:type="spellStart"/>
      <w:r>
        <w:rPr>
          <w:sz w:val="22"/>
          <w:szCs w:val="22"/>
        </w:rPr>
        <w:t>Ticagrelor</w:t>
      </w:r>
      <w:proofErr w:type="spellEnd"/>
      <w:r>
        <w:rPr>
          <w:sz w:val="22"/>
          <w:szCs w:val="22"/>
        </w:rPr>
        <w:t xml:space="preserve"> HCS-BV-kezelés 12</w:t>
      </w:r>
      <w:bookmarkStart w:id="0" w:name="_Hlk195526059"/>
      <w:r>
        <w:rPr>
          <w:sz w:val="22"/>
          <w:szCs w:val="22"/>
        </w:rPr>
        <w:t> </w:t>
      </w:r>
      <w:bookmarkEnd w:id="0"/>
      <w:r>
        <w:rPr>
          <w:sz w:val="22"/>
          <w:szCs w:val="22"/>
        </w:rPr>
        <w:t>hónapig javasolt az ACS betegeknél, kivéve, ha az abbahagyása klinikailag indokolt (lásd 5.1 pont).</w:t>
      </w:r>
    </w:p>
    <w:p w14:paraId="647AF260" w14:textId="58F79B2B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 hónap után meg lehet fontolni az </w:t>
      </w:r>
      <w:proofErr w:type="spellStart"/>
      <w:r>
        <w:rPr>
          <w:sz w:val="22"/>
          <w:szCs w:val="22"/>
        </w:rPr>
        <w:t>acetilszalicilsav</w:t>
      </w:r>
      <w:proofErr w:type="spellEnd"/>
      <w:r w:rsidR="00FA2822">
        <w:rPr>
          <w:sz w:val="22"/>
          <w:szCs w:val="22"/>
        </w:rPr>
        <w:t>-kezelés</w:t>
      </w:r>
      <w:r>
        <w:rPr>
          <w:sz w:val="22"/>
          <w:szCs w:val="22"/>
        </w:rPr>
        <w:t xml:space="preserve"> abbahagyását az olyan ACS betegeknél, akik </w:t>
      </w:r>
      <w:proofErr w:type="spellStart"/>
      <w:r>
        <w:rPr>
          <w:sz w:val="22"/>
          <w:szCs w:val="22"/>
        </w:rPr>
        <w:t>percutan</w:t>
      </w:r>
      <w:proofErr w:type="spellEnd"/>
      <w:r>
        <w:rPr>
          <w:sz w:val="22"/>
          <w:szCs w:val="22"/>
        </w:rPr>
        <w:t xml:space="preserve"> coronaria intervención (PCI) estek át és fokozott a vérzési kockázatuk.</w:t>
      </w:r>
    </w:p>
    <w:p w14:paraId="5BB1486E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Ebben az esetben, az önmagában adott </w:t>
      </w:r>
      <w:proofErr w:type="spellStart"/>
      <w:r>
        <w:rPr>
          <w:sz w:val="22"/>
          <w:szCs w:val="22"/>
        </w:rPr>
        <w:t>tikagrelorral</w:t>
      </w:r>
      <w:proofErr w:type="spellEnd"/>
      <w:r>
        <w:rPr>
          <w:sz w:val="22"/>
          <w:szCs w:val="22"/>
        </w:rPr>
        <w:t xml:space="preserve"> végzett </w:t>
      </w:r>
      <w:proofErr w:type="spellStart"/>
      <w:r>
        <w:rPr>
          <w:sz w:val="22"/>
          <w:szCs w:val="22"/>
        </w:rPr>
        <w:t>thrombocytaaggregáció</w:t>
      </w:r>
      <w:proofErr w:type="spellEnd"/>
      <w:r>
        <w:rPr>
          <w:sz w:val="22"/>
          <w:szCs w:val="22"/>
        </w:rPr>
        <w:t>-gátló kezeléssel</w:t>
      </w:r>
    </w:p>
    <w:p w14:paraId="6AD0305B" w14:textId="08D2F00A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9 hónapig kell folytatni a terápiát (lásd 4.4 pont).</w:t>
      </w:r>
    </w:p>
    <w:p w14:paraId="4FDBF06B" w14:textId="77777777" w:rsidR="00284377" w:rsidRDefault="00D321AB">
      <w:pPr>
        <w:pStyle w:val="Default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lastRenderedPageBreak/>
        <w:t xml:space="preserve">Anamnézisben szereplő </w:t>
      </w:r>
      <w:proofErr w:type="spellStart"/>
      <w:r>
        <w:rPr>
          <w:i/>
          <w:iCs/>
          <w:sz w:val="22"/>
          <w:szCs w:val="22"/>
          <w:u w:val="single"/>
        </w:rPr>
        <w:t>myocardialis</w:t>
      </w:r>
      <w:proofErr w:type="spellEnd"/>
      <w:r>
        <w:rPr>
          <w:i/>
          <w:iCs/>
          <w:sz w:val="22"/>
          <w:szCs w:val="22"/>
          <w:u w:val="single"/>
        </w:rPr>
        <w:t xml:space="preserve"> </w:t>
      </w:r>
      <w:proofErr w:type="spellStart"/>
      <w:r>
        <w:rPr>
          <w:i/>
          <w:iCs/>
          <w:sz w:val="22"/>
          <w:szCs w:val="22"/>
          <w:u w:val="single"/>
        </w:rPr>
        <w:t>infarctus</w:t>
      </w:r>
      <w:proofErr w:type="spellEnd"/>
    </w:p>
    <w:p w14:paraId="43A31F4C" w14:textId="77777777" w:rsidR="00284377" w:rsidRDefault="00D321AB">
      <w:pPr>
        <w:pStyle w:val="Szvegtrzs"/>
        <w:kinsoku w:val="0"/>
        <w:overflowPunct w:val="0"/>
        <w:spacing w:line="240" w:lineRule="auto"/>
        <w:rPr>
          <w:szCs w:val="22"/>
        </w:rPr>
      </w:pPr>
      <w:r>
        <w:rPr>
          <w:rFonts w:eastAsia="SimSun"/>
          <w:b w:val="0"/>
          <w:i w:val="0"/>
          <w:color w:val="000000"/>
          <w:szCs w:val="22"/>
          <w:lang w:eastAsia="hu-HU"/>
        </w:rPr>
        <w:t>Naponta kétszer 60</w:t>
      </w:r>
      <w:r>
        <w:rPr>
          <w:szCs w:val="22"/>
        </w:rPr>
        <w:t> </w:t>
      </w:r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mg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Ticagrelor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 HCS-BV a javasolt dózis az olyan betegek kiterjesztett kezelésére, akiknek az anamnézisében legalább egy éve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myocardialis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infarctus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 szerepel, és nagy náluk egy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atherothromboticus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 esemény kockázata (lásd 5.1 pont). A kezelést lehetőség szerint a kezdeti, 1 éves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Ticagrelor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 HCS-BV 90</w:t>
      </w:r>
      <w:r>
        <w:rPr>
          <w:szCs w:val="22"/>
        </w:rPr>
        <w:t> </w:t>
      </w:r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mg vagy egyéb,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adenozin-difoszfát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 (ADP) receptor-inhibitor-kezelés után, megszakítás nélkül, fenntartó kezelésként lehet elkezdeni az olyan akut coronaria szindrómás betegeknél, akiknél nagy egy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atherothromboticus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 esemény kockázata. A kezelés szintén elkezdhető, legfeljebb 2 évvel a MI után, vagy a korábbi ADP-receptor-inhibitor-kezelés leállítását követő 1 éven belül. A 3 éven túli, kiterjesztett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tikagrelor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>-kezelés hatásosságáról és biztonságosságáról korlátozott mennyiségű adat áll rendelkezésre</w:t>
      </w:r>
      <w:r>
        <w:rPr>
          <w:b w:val="0"/>
          <w:i w:val="0"/>
          <w:spacing w:val="-1"/>
          <w:szCs w:val="22"/>
        </w:rPr>
        <w:t>.</w:t>
      </w:r>
    </w:p>
    <w:p w14:paraId="63F48C0F" w14:textId="77777777" w:rsidR="00284377" w:rsidRDefault="0028437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</w:p>
    <w:p w14:paraId="37AE1968" w14:textId="3ADB9F14" w:rsidR="00284377" w:rsidRDefault="00D321A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>
        <w:rPr>
          <w:snapToGrid/>
          <w:color w:val="000000"/>
          <w:szCs w:val="22"/>
          <w:lang w:val="hu-HU" w:eastAsia="hu-HU"/>
        </w:rPr>
        <w:t xml:space="preserve">Ha átállítás szükséges a </w:t>
      </w:r>
      <w:proofErr w:type="spellStart"/>
      <w:r>
        <w:rPr>
          <w:snapToGrid/>
          <w:color w:val="000000"/>
          <w:szCs w:val="22"/>
          <w:lang w:val="hu-HU" w:eastAsia="hu-HU"/>
        </w:rPr>
        <w:t>Ticagrelor</w:t>
      </w:r>
      <w:proofErr w:type="spellEnd"/>
      <w:r>
        <w:rPr>
          <w:snapToGrid/>
          <w:color w:val="000000"/>
          <w:szCs w:val="22"/>
          <w:lang w:val="hu-HU" w:eastAsia="hu-HU"/>
        </w:rPr>
        <w:t xml:space="preserve"> HCS-BV első dózisát az egyéb </w:t>
      </w:r>
      <w:proofErr w:type="spellStart"/>
      <w:r>
        <w:rPr>
          <w:snapToGrid/>
          <w:color w:val="000000"/>
          <w:szCs w:val="22"/>
          <w:lang w:val="hu-HU" w:eastAsia="hu-HU"/>
        </w:rPr>
        <w:t>thrombocyta</w:t>
      </w:r>
      <w:r w:rsidR="00555844">
        <w:rPr>
          <w:snapToGrid/>
          <w:color w:val="000000"/>
          <w:szCs w:val="22"/>
          <w:lang w:val="hu-HU" w:eastAsia="hu-HU"/>
        </w:rPr>
        <w:t>aggregáció</w:t>
      </w:r>
      <w:proofErr w:type="spellEnd"/>
      <w:r>
        <w:rPr>
          <w:snapToGrid/>
          <w:color w:val="000000"/>
          <w:szCs w:val="22"/>
          <w:lang w:val="hu-HU" w:eastAsia="hu-HU"/>
        </w:rPr>
        <w:t>-gátló gyógyszerek utolsó adagja után 24 órával kell adni.</w:t>
      </w:r>
    </w:p>
    <w:p w14:paraId="2D116B39" w14:textId="77777777" w:rsidR="00284377" w:rsidRDefault="0028437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u w:val="single"/>
          <w:lang w:val="hu-HU"/>
        </w:rPr>
      </w:pPr>
    </w:p>
    <w:p w14:paraId="104B2547" w14:textId="77777777" w:rsidR="00284377" w:rsidRDefault="00D321A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>
        <w:rPr>
          <w:i/>
          <w:iCs/>
          <w:szCs w:val="22"/>
          <w:u w:val="single"/>
          <w:lang w:val="hu-HU"/>
        </w:rPr>
        <w:t>Kihagyott adag</w:t>
      </w:r>
    </w:p>
    <w:p w14:paraId="2DE1D7C8" w14:textId="1F4F5B2B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kezelés </w:t>
      </w:r>
      <w:r w:rsidR="00B13354">
        <w:rPr>
          <w:sz w:val="22"/>
          <w:szCs w:val="22"/>
        </w:rPr>
        <w:t>elmulasztását</w:t>
      </w:r>
      <w:r>
        <w:rPr>
          <w:sz w:val="22"/>
          <w:szCs w:val="22"/>
        </w:rPr>
        <w:t xml:space="preserve"> szintén kerülni kell. Annak a betegnek, aki elfelejt bevenni egy adag </w:t>
      </w:r>
      <w:proofErr w:type="spellStart"/>
      <w:r>
        <w:rPr>
          <w:sz w:val="22"/>
          <w:szCs w:val="22"/>
        </w:rPr>
        <w:t>Ticagrelor</w:t>
      </w:r>
      <w:proofErr w:type="spellEnd"/>
      <w:r>
        <w:rPr>
          <w:sz w:val="22"/>
          <w:szCs w:val="22"/>
        </w:rPr>
        <w:t xml:space="preserve"> HCS-BV-t, csak egyetlen tablettát kell bevennie (a következő adagot) a tervezett időpontban.</w:t>
      </w:r>
    </w:p>
    <w:p w14:paraId="4C1FD5F8" w14:textId="77777777" w:rsidR="00284377" w:rsidRDefault="00284377">
      <w:pPr>
        <w:pStyle w:val="Default"/>
        <w:rPr>
          <w:sz w:val="22"/>
          <w:szCs w:val="22"/>
        </w:rPr>
      </w:pPr>
    </w:p>
    <w:p w14:paraId="7C605B6A" w14:textId="77777777" w:rsidR="00284377" w:rsidRDefault="00D321AB">
      <w:pPr>
        <w:pStyle w:val="Default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Különleges betegcsoportok</w:t>
      </w:r>
    </w:p>
    <w:p w14:paraId="179FE6EC" w14:textId="77777777" w:rsidR="00284377" w:rsidRDefault="00D321AB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Idősek</w:t>
      </w:r>
    </w:p>
    <w:p w14:paraId="6C6AB77C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Idős korban nem szükséges a dózis módosítása (lásd 5.2 pont).</w:t>
      </w:r>
    </w:p>
    <w:p w14:paraId="550E0263" w14:textId="77777777" w:rsidR="00284377" w:rsidRDefault="00284377">
      <w:pPr>
        <w:pStyle w:val="Default"/>
        <w:rPr>
          <w:sz w:val="22"/>
          <w:szCs w:val="22"/>
        </w:rPr>
      </w:pPr>
    </w:p>
    <w:p w14:paraId="157E7100" w14:textId="77777777" w:rsidR="00284377" w:rsidRDefault="00D321AB">
      <w:pPr>
        <w:pStyle w:val="Default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Vesekárosodás</w:t>
      </w:r>
    </w:p>
    <w:p w14:paraId="2EC1C918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Nem szükséges a dózis módosítása vesekárosodásban szenvedő betegeknél (lásd 5.2 pont).</w:t>
      </w:r>
    </w:p>
    <w:p w14:paraId="5B4C6B1E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1DB65017" w14:textId="77777777" w:rsidR="00284377" w:rsidRDefault="00D321AB">
      <w:pPr>
        <w:pStyle w:val="Default"/>
        <w:rPr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Májkárosodás</w:t>
      </w:r>
    </w:p>
    <w:p w14:paraId="762B554C" w14:textId="77777777" w:rsidR="00284377" w:rsidRDefault="00D321AB">
      <w:pPr>
        <w:pStyle w:val="Szvegtrzs"/>
        <w:kinsoku w:val="0"/>
        <w:overflowPunct w:val="0"/>
        <w:spacing w:line="240" w:lineRule="auto"/>
        <w:rPr>
          <w:rFonts w:eastAsia="SimSun"/>
          <w:b w:val="0"/>
          <w:i w:val="0"/>
          <w:color w:val="000000"/>
          <w:szCs w:val="22"/>
          <w:lang w:eastAsia="hu-HU"/>
        </w:rPr>
      </w:pPr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A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tikagrelort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 súlyos májkárosodásban szenvedő betegeknél nem vizsgálták, és ezért alkalmazása ezeknél a betegeknél ellenjavallt (lásd 4.3 pont). A közepes fokú májkárosodásban szenvedő betegekkel kapcsolatban csak korlátozott mennyiségű információ áll rendelkezésre. Dózismódosítás nem javasolt, de a </w:t>
      </w:r>
      <w:proofErr w:type="spellStart"/>
      <w:r>
        <w:rPr>
          <w:rFonts w:eastAsia="SimSun"/>
          <w:b w:val="0"/>
          <w:i w:val="0"/>
          <w:color w:val="000000"/>
          <w:szCs w:val="22"/>
          <w:lang w:eastAsia="hu-HU"/>
        </w:rPr>
        <w:t>tikagrelort</w:t>
      </w:r>
      <w:proofErr w:type="spellEnd"/>
      <w:r>
        <w:rPr>
          <w:rFonts w:eastAsia="SimSun"/>
          <w:b w:val="0"/>
          <w:i w:val="0"/>
          <w:color w:val="000000"/>
          <w:szCs w:val="22"/>
          <w:lang w:eastAsia="hu-HU"/>
        </w:rPr>
        <w:t xml:space="preserve"> óvatosan kell alkalmazni (lásd 4.4 és 5.2 pont). Enyhe májkárosodásban szenvedő betegeknél nem szükséges a dózis módosítása (lásd 5.2 pont).</w:t>
      </w:r>
    </w:p>
    <w:p w14:paraId="777447BB" w14:textId="77777777" w:rsidR="00284377" w:rsidRDefault="00284377">
      <w:pPr>
        <w:pStyle w:val="Default"/>
        <w:rPr>
          <w:sz w:val="22"/>
          <w:szCs w:val="22"/>
        </w:rPr>
      </w:pPr>
    </w:p>
    <w:p w14:paraId="42F0CC57" w14:textId="77777777" w:rsidR="00284377" w:rsidRDefault="00D321AB">
      <w:pPr>
        <w:pStyle w:val="Default"/>
        <w:rPr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Gyermekek és serdülők</w:t>
      </w:r>
    </w:p>
    <w:p w14:paraId="2ADC05BD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biztonságosságát és hatásosságát 18 évesnél fiatalabb gyermekek esetében nem igazolták.</w:t>
      </w:r>
    </w:p>
    <w:p w14:paraId="55D4FF39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tikagrelornak</w:t>
      </w:r>
      <w:proofErr w:type="spellEnd"/>
      <w:r>
        <w:rPr>
          <w:sz w:val="22"/>
          <w:szCs w:val="22"/>
        </w:rPr>
        <w:t xml:space="preserve"> nincs vonatkozó javallata sarlósejtes vérszegénységben szenvedő gyermekek kezelésére (lásd 5.1 és 5.2 pont).</w:t>
      </w:r>
    </w:p>
    <w:p w14:paraId="67500632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040A99DD" w14:textId="77777777" w:rsidR="00284377" w:rsidRDefault="00D321AB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25BD63C4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Szájon át történő alkalmazásra.</w:t>
      </w:r>
    </w:p>
    <w:p w14:paraId="6DA91DAF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Ticagrelor</w:t>
      </w:r>
      <w:proofErr w:type="spellEnd"/>
      <w:r>
        <w:rPr>
          <w:sz w:val="22"/>
          <w:szCs w:val="22"/>
        </w:rPr>
        <w:t xml:space="preserve"> HCS-BV étkezés közben vagy attól függetlenül is alkalmazható.</w:t>
      </w:r>
    </w:p>
    <w:p w14:paraId="0BE4A75B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Azoknak a betegeknek, akik nem tudják egészben lenyelni a tablettá(</w:t>
      </w:r>
      <w:proofErr w:type="spellStart"/>
      <w:r>
        <w:rPr>
          <w:sz w:val="22"/>
          <w:szCs w:val="22"/>
        </w:rPr>
        <w:t>ka</w:t>
      </w:r>
      <w:proofErr w:type="spellEnd"/>
      <w:r>
        <w:rPr>
          <w:sz w:val="22"/>
          <w:szCs w:val="22"/>
        </w:rPr>
        <w:t xml:space="preserve">)t, a tabletták finom porrá törhetők, és fél pohár vízben elkeverve azonnal megihatók. A poharat további félpohárnyi vízzel ki kell öblíteni, és a pohár tartalmát meg kell inni. A keverék </w:t>
      </w:r>
      <w:proofErr w:type="spellStart"/>
      <w:r>
        <w:rPr>
          <w:sz w:val="22"/>
          <w:szCs w:val="22"/>
        </w:rPr>
        <w:t>nazogasztrikus</w:t>
      </w:r>
      <w:proofErr w:type="spellEnd"/>
      <w:r>
        <w:rPr>
          <w:sz w:val="22"/>
          <w:szCs w:val="22"/>
        </w:rPr>
        <w:t xml:space="preserve"> szondán át is beadható. További információért lásd 6.6 pontot.</w:t>
      </w:r>
    </w:p>
    <w:p w14:paraId="5DF50D5F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D0EE203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5F01412A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E2DCB50" w14:textId="77777777" w:rsidR="00284377" w:rsidRDefault="00D321AB">
      <w:pPr>
        <w:pStyle w:val="Listaszerbekezds"/>
        <w:numPr>
          <w:ilvl w:val="2"/>
          <w:numId w:val="53"/>
        </w:numPr>
        <w:kinsoku w:val="0"/>
        <w:overflowPunct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készítmény hatóanyagával vagy a 6.1 pontban felsorolt bármely segédanyagával szembeni túlérzékenység </w:t>
      </w:r>
      <w:r>
        <w:rPr>
          <w:spacing w:val="-3"/>
          <w:sz w:val="22"/>
          <w:szCs w:val="22"/>
          <w:lang w:val="hu-HU"/>
        </w:rPr>
        <w:t xml:space="preserve">(lásd </w:t>
      </w:r>
      <w:r>
        <w:rPr>
          <w:sz w:val="22"/>
          <w:szCs w:val="22"/>
          <w:lang w:val="hu-HU"/>
        </w:rPr>
        <w:t>4.8 pont).</w:t>
      </w:r>
    </w:p>
    <w:p w14:paraId="4DDD9AD9" w14:textId="77777777" w:rsidR="00284377" w:rsidRDefault="00D321AB">
      <w:pPr>
        <w:pStyle w:val="Listaszerbekezds"/>
        <w:numPr>
          <w:ilvl w:val="2"/>
          <w:numId w:val="53"/>
        </w:numPr>
        <w:kinsoku w:val="0"/>
        <w:overflowPunct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Aktív patológiás</w:t>
      </w:r>
      <w:r>
        <w:rPr>
          <w:spacing w:val="-3"/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vérzés.</w:t>
      </w:r>
    </w:p>
    <w:p w14:paraId="498A480E" w14:textId="77777777" w:rsidR="00284377" w:rsidRDefault="00D321AB">
      <w:pPr>
        <w:pStyle w:val="Listaszerbekezds"/>
        <w:numPr>
          <w:ilvl w:val="2"/>
          <w:numId w:val="53"/>
        </w:numPr>
        <w:kinsoku w:val="0"/>
        <w:overflowPunct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anamnézisben szereplő </w:t>
      </w:r>
      <w:proofErr w:type="spellStart"/>
      <w:r>
        <w:rPr>
          <w:sz w:val="22"/>
          <w:szCs w:val="22"/>
          <w:lang w:val="hu-HU"/>
        </w:rPr>
        <w:t>intracraniális</w:t>
      </w:r>
      <w:proofErr w:type="spellEnd"/>
      <w:r>
        <w:rPr>
          <w:sz w:val="22"/>
          <w:szCs w:val="22"/>
          <w:lang w:val="hu-HU"/>
        </w:rPr>
        <w:t xml:space="preserve"> vérzés (lásd</w:t>
      </w:r>
      <w:r>
        <w:rPr>
          <w:spacing w:val="-11"/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4.8 pont).</w:t>
      </w:r>
    </w:p>
    <w:p w14:paraId="58FB1707" w14:textId="77777777" w:rsidR="00284377" w:rsidRDefault="00D321AB">
      <w:pPr>
        <w:pStyle w:val="Listaszerbekezds"/>
        <w:numPr>
          <w:ilvl w:val="2"/>
          <w:numId w:val="53"/>
        </w:numPr>
        <w:kinsoku w:val="0"/>
        <w:overflowPunct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Súlyos májkárosodás (lásd 4.2, 4.4 és</w:t>
      </w:r>
      <w:r>
        <w:rPr>
          <w:spacing w:val="-10"/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5.2 pont).</w:t>
      </w:r>
    </w:p>
    <w:p w14:paraId="33AF4E7F" w14:textId="77777777" w:rsidR="00284377" w:rsidRDefault="00D321AB">
      <w:pPr>
        <w:pStyle w:val="Listaszerbekezds"/>
        <w:numPr>
          <w:ilvl w:val="2"/>
          <w:numId w:val="53"/>
        </w:numPr>
        <w:kinsoku w:val="0"/>
        <w:overflowPunct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tikagrelor</w:t>
      </w:r>
      <w:proofErr w:type="spellEnd"/>
      <w:r>
        <w:rPr>
          <w:sz w:val="22"/>
          <w:szCs w:val="22"/>
          <w:lang w:val="hu-HU"/>
        </w:rPr>
        <w:t xml:space="preserve"> egyidejű alkalmazása erős CYP3A4-inhibitorokkal (például </w:t>
      </w:r>
      <w:proofErr w:type="spellStart"/>
      <w:r>
        <w:rPr>
          <w:sz w:val="22"/>
          <w:szCs w:val="22"/>
          <w:lang w:val="hu-HU"/>
        </w:rPr>
        <w:t>ketokonazollal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klaritromicinnel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nefazodonnal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ritonavirrel</w:t>
      </w:r>
      <w:proofErr w:type="spellEnd"/>
      <w:r>
        <w:rPr>
          <w:sz w:val="22"/>
          <w:szCs w:val="22"/>
          <w:lang w:val="hu-HU"/>
        </w:rPr>
        <w:t xml:space="preserve"> és </w:t>
      </w:r>
      <w:proofErr w:type="spellStart"/>
      <w:r>
        <w:rPr>
          <w:sz w:val="22"/>
          <w:szCs w:val="22"/>
          <w:lang w:val="hu-HU"/>
        </w:rPr>
        <w:t>atazanavirrel</w:t>
      </w:r>
      <w:proofErr w:type="spellEnd"/>
      <w:r>
        <w:rPr>
          <w:sz w:val="22"/>
          <w:szCs w:val="22"/>
          <w:lang w:val="hu-HU"/>
        </w:rPr>
        <w:t xml:space="preserve">), mivel az egyidejű alkalmazás a </w:t>
      </w:r>
      <w:proofErr w:type="spellStart"/>
      <w:r>
        <w:rPr>
          <w:sz w:val="22"/>
          <w:szCs w:val="22"/>
          <w:lang w:val="hu-HU"/>
        </w:rPr>
        <w:t>tikagrelor</w:t>
      </w:r>
      <w:proofErr w:type="spellEnd"/>
      <w:r>
        <w:rPr>
          <w:sz w:val="22"/>
          <w:szCs w:val="22"/>
          <w:lang w:val="hu-HU"/>
        </w:rPr>
        <w:t>-expozíció jelentős emelkedéséhez vezethet (lásd</w:t>
      </w:r>
      <w:r>
        <w:rPr>
          <w:spacing w:val="-15"/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4.5 pont).</w:t>
      </w:r>
    </w:p>
    <w:p w14:paraId="676327A4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F49FAF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009EE601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6AEA5747" w14:textId="77777777" w:rsidR="00284377" w:rsidRDefault="00D321AB">
      <w:pPr>
        <w:pStyle w:val="Defaul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Vérzési kockázat</w:t>
      </w:r>
    </w:p>
    <w:p w14:paraId="3B23315C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pacing w:val="-1"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Olyan betegeknél, akiknél ismerten fokozott a vérzés kockázata, mérlegelni kell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alkalmazását, az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atherothromboticus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események prevenciója okozta kedvező hatással szemben </w:t>
      </w:r>
      <w:r>
        <w:rPr>
          <w:rFonts w:eastAsia="Times New Roman"/>
          <w:snapToGrid/>
          <w:spacing w:val="-1"/>
          <w:szCs w:val="22"/>
          <w:lang w:val="hu-HU" w:eastAsia="hu-HU"/>
        </w:rPr>
        <w:t>(lásd 4.8 és 5.1 </w:t>
      </w:r>
      <w:r>
        <w:rPr>
          <w:rFonts w:eastAsia="Times New Roman"/>
          <w:snapToGrid/>
          <w:spacing w:val="-3"/>
          <w:szCs w:val="22"/>
          <w:lang w:val="hu-HU" w:eastAsia="hu-HU"/>
        </w:rPr>
        <w:t>pont).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Ha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alkalmazása klinikailag indokolt az alábbi betegcsoportoknál óvatosan kell</w:t>
      </w:r>
      <w:r>
        <w:rPr>
          <w:rFonts w:eastAsia="Times New Roman"/>
          <w:snapToGrid/>
          <w:spacing w:val="3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alkalmazni:</w:t>
      </w:r>
    </w:p>
    <w:p w14:paraId="50297176" w14:textId="77777777" w:rsidR="00284377" w:rsidRDefault="00D321AB">
      <w:pPr>
        <w:widowControl w:val="0"/>
        <w:numPr>
          <w:ilvl w:val="2"/>
          <w:numId w:val="55"/>
        </w:numPr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snapToGrid/>
          <w:spacing w:val="-3"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>Vérzésre hajlamos betegeknél (például: friss trauma, friss műtét, véralvadási zavar, aktív vagy nem</w:t>
      </w:r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régi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gastrointestinalis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vérzés) vagy olyan betegeknél, akiknél fokozottabb a trauma kockázata.</w:t>
      </w:r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alkalmazása ellenjavallt olyan betegeknél, akiknek</w:t>
      </w:r>
      <w:r>
        <w:rPr>
          <w:rFonts w:eastAsia="Times New Roman"/>
          <w:snapToGrid/>
          <w:spacing w:val="27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aktív, patológiás vérzésük van,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akiknek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az anamnézisében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intracraniális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vérzés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szerepel,</w:t>
      </w:r>
      <w:r>
        <w:rPr>
          <w:rFonts w:eastAsia="Times New Roman"/>
          <w:snapToGrid/>
          <w:spacing w:val="3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valamint az olyan betegeknél, akiknek súlyos májkárosodásuk van (lásd 4.3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/>
          <w:snapToGrid/>
          <w:spacing w:val="-3"/>
          <w:szCs w:val="22"/>
          <w:lang w:val="hu-HU" w:eastAsia="hu-HU"/>
        </w:rPr>
        <w:t>pont).</w:t>
      </w:r>
    </w:p>
    <w:p w14:paraId="60F289F1" w14:textId="77777777" w:rsidR="00284377" w:rsidRDefault="00D321AB">
      <w:pPr>
        <w:widowControl w:val="0"/>
        <w:numPr>
          <w:ilvl w:val="2"/>
          <w:numId w:val="55"/>
        </w:numPr>
        <w:kinsoku w:val="0"/>
        <w:overflowPunct w:val="0"/>
        <w:autoSpaceDE w:val="0"/>
        <w:autoSpaceDN w:val="0"/>
        <w:adjustRightInd w:val="0"/>
        <w:spacing w:before="34"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>Olyan betegeknél,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akik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egyidejűleg olyan gyógyszereket kapnak, amelyek növelhetik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vérzés</w:t>
      </w:r>
      <w:r>
        <w:rPr>
          <w:rFonts w:eastAsia="Times New Roman"/>
          <w:snapToGrid/>
          <w:spacing w:val="29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kockázatát (például nem-szteroid gyulladáscsökkentő </w:t>
      </w:r>
      <w:r>
        <w:rPr>
          <w:rFonts w:eastAsia="Times New Roman"/>
          <w:snapToGrid/>
          <w:spacing w:val="-2"/>
          <w:szCs w:val="22"/>
          <w:lang w:val="hu-HU" w:eastAsia="hu-HU"/>
        </w:rPr>
        <w:t>gyógyszerek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[NSAID-ok],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orális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antikoagulánsok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és/vagy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fibrinolitikumok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)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adásához képest 24 </w:t>
      </w:r>
      <w:r>
        <w:rPr>
          <w:rFonts w:eastAsia="Times New Roman"/>
          <w:snapToGrid/>
          <w:spacing w:val="-2"/>
          <w:szCs w:val="22"/>
          <w:lang w:val="hu-HU" w:eastAsia="hu-HU"/>
        </w:rPr>
        <w:t>órán belül.</w:t>
      </w:r>
    </w:p>
    <w:p w14:paraId="53A2C6BB" w14:textId="77777777" w:rsidR="00284377" w:rsidRDefault="00284377">
      <w:pPr>
        <w:widowControl w:val="0"/>
        <w:tabs>
          <w:tab w:val="clear" w:pos="567"/>
          <w:tab w:val="left" w:pos="683"/>
        </w:tabs>
        <w:kinsoku w:val="0"/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1A41604E" w14:textId="608B58DA" w:rsidR="00284377" w:rsidRDefault="000120A6">
      <w:pPr>
        <w:widowControl w:val="0"/>
        <w:tabs>
          <w:tab w:val="clear" w:pos="567"/>
          <w:tab w:val="left" w:pos="683"/>
        </w:tabs>
        <w:kinsoku w:val="0"/>
        <w:overflowPunct w:val="0"/>
        <w:autoSpaceDE w:val="0"/>
        <w:autoSpaceDN w:val="0"/>
        <w:adjustRightInd w:val="0"/>
        <w:spacing w:before="34" w:line="240" w:lineRule="auto"/>
        <w:rPr>
          <w:szCs w:val="22"/>
          <w:lang w:val="hu-HU"/>
        </w:rPr>
      </w:pPr>
      <w:r w:rsidRPr="000120A6">
        <w:rPr>
          <w:lang w:val="hu-HU"/>
        </w:rPr>
        <w:t xml:space="preserve">Két </w:t>
      </w:r>
      <w:proofErr w:type="spellStart"/>
      <w:r w:rsidRPr="000120A6">
        <w:rPr>
          <w:lang w:val="hu-HU"/>
        </w:rPr>
        <w:t>randomizált</w:t>
      </w:r>
      <w:proofErr w:type="spellEnd"/>
      <w:r w:rsidRPr="000120A6">
        <w:rPr>
          <w:lang w:val="hu-HU"/>
        </w:rPr>
        <w:t xml:space="preserve">, kontrollos klinikai vizsgálatban (TICO és TWILIGHT), ACS-ben szenvedő betegeknél, akik gyógyszerkibocsátó </w:t>
      </w:r>
      <w:proofErr w:type="spellStart"/>
      <w:r w:rsidRPr="000120A6">
        <w:rPr>
          <w:lang w:val="hu-HU"/>
        </w:rPr>
        <w:t>stent</w:t>
      </w:r>
      <w:proofErr w:type="spellEnd"/>
      <w:r w:rsidRPr="000120A6">
        <w:rPr>
          <w:lang w:val="hu-HU"/>
        </w:rPr>
        <w:t xml:space="preserve"> alkalmazásával, </w:t>
      </w:r>
      <w:proofErr w:type="spellStart"/>
      <w:r w:rsidRPr="000120A6">
        <w:rPr>
          <w:lang w:val="hu-HU"/>
        </w:rPr>
        <w:t>percutan</w:t>
      </w:r>
      <w:proofErr w:type="spellEnd"/>
      <w:r w:rsidRPr="000120A6">
        <w:rPr>
          <w:lang w:val="hu-HU"/>
        </w:rPr>
        <w:t xml:space="preserve"> coronaria intervención (PCI) estek át, 3 hónapig tartó </w:t>
      </w:r>
      <w:proofErr w:type="spellStart"/>
      <w:r w:rsidRPr="000120A6">
        <w:rPr>
          <w:lang w:val="hu-HU"/>
        </w:rPr>
        <w:t>tikagrelorral</w:t>
      </w:r>
      <w:proofErr w:type="spellEnd"/>
      <w:r w:rsidRPr="000120A6">
        <w:rPr>
          <w:lang w:val="hu-HU"/>
        </w:rPr>
        <w:t xml:space="preserve"> és </w:t>
      </w:r>
      <w:proofErr w:type="spellStart"/>
      <w:r w:rsidRPr="000120A6">
        <w:rPr>
          <w:lang w:val="hu-HU"/>
        </w:rPr>
        <w:t>acetilszalicilsavval</w:t>
      </w:r>
      <w:proofErr w:type="spellEnd"/>
      <w:r w:rsidRPr="000120A6">
        <w:rPr>
          <w:lang w:val="hu-HU"/>
        </w:rPr>
        <w:t xml:space="preserve"> végzett kettős </w:t>
      </w:r>
      <w:proofErr w:type="spellStart"/>
      <w:r w:rsidRPr="000120A6">
        <w:rPr>
          <w:lang w:val="hu-HU"/>
        </w:rPr>
        <w:t>thrombocytaaggregáció</w:t>
      </w:r>
      <w:proofErr w:type="spellEnd"/>
      <w:r w:rsidRPr="000120A6">
        <w:rPr>
          <w:lang w:val="hu-HU"/>
        </w:rPr>
        <w:t>-gátló kezelést (</w:t>
      </w:r>
      <w:proofErr w:type="spellStart"/>
      <w:r w:rsidRPr="000120A6">
        <w:rPr>
          <w:lang w:val="hu-HU"/>
        </w:rPr>
        <w:t>dual</w:t>
      </w:r>
      <w:proofErr w:type="spellEnd"/>
      <w:r w:rsidRPr="000120A6">
        <w:rPr>
          <w:lang w:val="hu-HU"/>
        </w:rPr>
        <w:t xml:space="preserve"> </w:t>
      </w:r>
      <w:proofErr w:type="spellStart"/>
      <w:r w:rsidRPr="000120A6">
        <w:rPr>
          <w:lang w:val="hu-HU"/>
        </w:rPr>
        <w:t>antiplatelet</w:t>
      </w:r>
      <w:proofErr w:type="spellEnd"/>
      <w:r w:rsidRPr="000120A6">
        <w:rPr>
          <w:lang w:val="hu-HU"/>
        </w:rPr>
        <w:t xml:space="preserve"> </w:t>
      </w:r>
      <w:proofErr w:type="spellStart"/>
      <w:r w:rsidRPr="000120A6">
        <w:rPr>
          <w:lang w:val="hu-HU"/>
        </w:rPr>
        <w:t>therapy</w:t>
      </w:r>
      <w:proofErr w:type="spellEnd"/>
      <w:r w:rsidRPr="000120A6">
        <w:rPr>
          <w:lang w:val="hu-HU"/>
        </w:rPr>
        <w:t xml:space="preserve">, DAPT) követően az </w:t>
      </w:r>
      <w:proofErr w:type="spellStart"/>
      <w:r w:rsidRPr="000120A6">
        <w:rPr>
          <w:lang w:val="hu-HU"/>
        </w:rPr>
        <w:t>acetilszalicilsav</w:t>
      </w:r>
      <w:proofErr w:type="spellEnd"/>
      <w:r w:rsidRPr="000120A6">
        <w:rPr>
          <w:lang w:val="hu-HU"/>
        </w:rPr>
        <w:t xml:space="preserve"> szedésének felfüggesztése, és az önmagában adott </w:t>
      </w:r>
      <w:proofErr w:type="spellStart"/>
      <w:r w:rsidRPr="000120A6">
        <w:rPr>
          <w:lang w:val="hu-HU"/>
        </w:rPr>
        <w:t>tikagrelorral</w:t>
      </w:r>
      <w:proofErr w:type="spellEnd"/>
      <w:r w:rsidRPr="000120A6">
        <w:rPr>
          <w:lang w:val="hu-HU"/>
        </w:rPr>
        <w:t xml:space="preserve"> végzett </w:t>
      </w:r>
      <w:proofErr w:type="spellStart"/>
      <w:r w:rsidRPr="000120A6">
        <w:rPr>
          <w:lang w:val="hu-HU"/>
        </w:rPr>
        <w:t>thrombocytaaggregáció</w:t>
      </w:r>
      <w:proofErr w:type="spellEnd"/>
      <w:r w:rsidRPr="000120A6">
        <w:rPr>
          <w:lang w:val="hu-HU"/>
        </w:rPr>
        <w:t>-gátló kezelés (</w:t>
      </w:r>
      <w:proofErr w:type="spellStart"/>
      <w:r w:rsidRPr="000120A6">
        <w:rPr>
          <w:lang w:val="hu-HU"/>
        </w:rPr>
        <w:t>single</w:t>
      </w:r>
      <w:proofErr w:type="spellEnd"/>
      <w:r w:rsidRPr="000120A6">
        <w:rPr>
          <w:lang w:val="hu-HU"/>
        </w:rPr>
        <w:t xml:space="preserve"> </w:t>
      </w:r>
      <w:proofErr w:type="spellStart"/>
      <w:r w:rsidRPr="000120A6">
        <w:rPr>
          <w:lang w:val="hu-HU"/>
        </w:rPr>
        <w:t>antiplatelet</w:t>
      </w:r>
      <w:proofErr w:type="spellEnd"/>
      <w:r w:rsidRPr="000120A6">
        <w:rPr>
          <w:lang w:val="hu-HU"/>
        </w:rPr>
        <w:t xml:space="preserve"> </w:t>
      </w:r>
      <w:proofErr w:type="spellStart"/>
      <w:r w:rsidRPr="000120A6">
        <w:rPr>
          <w:lang w:val="hu-HU"/>
        </w:rPr>
        <w:t>therapy</w:t>
      </w:r>
      <w:proofErr w:type="spellEnd"/>
      <w:r w:rsidRPr="000120A6">
        <w:rPr>
          <w:lang w:val="hu-HU"/>
        </w:rPr>
        <w:t xml:space="preserve">, SAPT) folytatása 9 hónapig, illetve 12 hónapig, azt mutatta a kettős </w:t>
      </w:r>
      <w:proofErr w:type="spellStart"/>
      <w:r w:rsidRPr="000120A6">
        <w:rPr>
          <w:lang w:val="hu-HU"/>
        </w:rPr>
        <w:t>thrombocytaaggregáció</w:t>
      </w:r>
      <w:proofErr w:type="spellEnd"/>
      <w:r w:rsidRPr="000120A6">
        <w:rPr>
          <w:lang w:val="hu-HU"/>
        </w:rPr>
        <w:t xml:space="preserve">-gátló kezelés folytatásához viszonyítva, hogy csökkent a vérzési kockázat anélkül, hogy jelentős </w:t>
      </w:r>
      <w:proofErr w:type="spellStart"/>
      <w:r w:rsidRPr="000120A6">
        <w:rPr>
          <w:lang w:val="hu-HU"/>
        </w:rPr>
        <w:t>cardiovascularis</w:t>
      </w:r>
      <w:proofErr w:type="spellEnd"/>
      <w:r w:rsidRPr="000120A6">
        <w:rPr>
          <w:lang w:val="hu-HU"/>
        </w:rPr>
        <w:t xml:space="preserve"> nemkívánatos eseményeket (major </w:t>
      </w:r>
      <w:proofErr w:type="spellStart"/>
      <w:r w:rsidRPr="000120A6">
        <w:rPr>
          <w:lang w:val="hu-HU"/>
        </w:rPr>
        <w:t>adverse</w:t>
      </w:r>
      <w:proofErr w:type="spellEnd"/>
      <w:r w:rsidRPr="000120A6">
        <w:rPr>
          <w:lang w:val="hu-HU"/>
        </w:rPr>
        <w:t xml:space="preserve"> </w:t>
      </w:r>
      <w:proofErr w:type="spellStart"/>
      <w:r w:rsidRPr="000120A6">
        <w:rPr>
          <w:lang w:val="hu-HU"/>
        </w:rPr>
        <w:t>cardiovascular</w:t>
      </w:r>
      <w:proofErr w:type="spellEnd"/>
      <w:r w:rsidRPr="000120A6">
        <w:rPr>
          <w:lang w:val="hu-HU"/>
        </w:rPr>
        <w:t xml:space="preserve"> </w:t>
      </w:r>
      <w:proofErr w:type="spellStart"/>
      <w:r w:rsidRPr="000120A6">
        <w:rPr>
          <w:lang w:val="hu-HU"/>
        </w:rPr>
        <w:t>events</w:t>
      </w:r>
      <w:proofErr w:type="spellEnd"/>
      <w:r w:rsidRPr="000120A6">
        <w:rPr>
          <w:lang w:val="hu-HU"/>
        </w:rPr>
        <w:t xml:space="preserve">, MACE) figyeltek volna meg. Azoknál a betegeknél, akiknél fokozott a vérzés kockázata, az </w:t>
      </w:r>
      <w:proofErr w:type="spellStart"/>
      <w:r w:rsidRPr="000120A6">
        <w:rPr>
          <w:lang w:val="hu-HU"/>
        </w:rPr>
        <w:t>acetilszalicilsav</w:t>
      </w:r>
      <w:proofErr w:type="spellEnd"/>
      <w:r w:rsidRPr="000120A6">
        <w:rPr>
          <w:lang w:val="hu-HU"/>
        </w:rPr>
        <w:t xml:space="preserve">-kezelés 3 hónap elteltével történő felfüggesztésére és a </w:t>
      </w:r>
      <w:proofErr w:type="spellStart"/>
      <w:r w:rsidRPr="000120A6">
        <w:rPr>
          <w:lang w:val="hu-HU"/>
        </w:rPr>
        <w:t>tikagrelor</w:t>
      </w:r>
      <w:proofErr w:type="spellEnd"/>
      <w:r w:rsidRPr="000120A6">
        <w:rPr>
          <w:lang w:val="hu-HU"/>
        </w:rPr>
        <w:t xml:space="preserve"> mint önmagában adott </w:t>
      </w:r>
      <w:proofErr w:type="spellStart"/>
      <w:r w:rsidRPr="000120A6">
        <w:rPr>
          <w:lang w:val="hu-HU"/>
        </w:rPr>
        <w:t>thrombocytaaggregáció</w:t>
      </w:r>
      <w:proofErr w:type="spellEnd"/>
      <w:r w:rsidRPr="000120A6">
        <w:rPr>
          <w:lang w:val="hu-HU"/>
        </w:rPr>
        <w:t xml:space="preserve">-gátló kezelés 9 hónapig történő folytatására vonatkozó döntést klinikai megítélés alapján kell meghozni, figyelembe véve a vérzés kockázatát a </w:t>
      </w:r>
      <w:proofErr w:type="spellStart"/>
      <w:r w:rsidRPr="000120A6">
        <w:rPr>
          <w:lang w:val="hu-HU"/>
        </w:rPr>
        <w:t>thromboticus</w:t>
      </w:r>
      <w:proofErr w:type="spellEnd"/>
      <w:r w:rsidRPr="000120A6">
        <w:rPr>
          <w:lang w:val="hu-HU"/>
        </w:rPr>
        <w:t xml:space="preserve"> események kockázatával szemben (lásd 4.2 pont).</w:t>
      </w:r>
    </w:p>
    <w:p w14:paraId="13307143" w14:textId="5CDC9276" w:rsidR="00284377" w:rsidRDefault="00D321AB">
      <w:pPr>
        <w:widowControl w:val="0"/>
        <w:tabs>
          <w:tab w:val="clear" w:pos="567"/>
          <w:tab w:val="left" w:pos="683"/>
        </w:tabs>
        <w:kinsoku w:val="0"/>
        <w:overflowPunct w:val="0"/>
        <w:autoSpaceDE w:val="0"/>
        <w:autoSpaceDN w:val="0"/>
        <w:adjustRightInd w:val="0"/>
        <w:spacing w:before="34"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thrombocyta</w:t>
      </w:r>
      <w:proofErr w:type="spellEnd"/>
      <w:r>
        <w:rPr>
          <w:szCs w:val="22"/>
          <w:lang w:val="hu-HU"/>
        </w:rPr>
        <w:t xml:space="preserve">-transzfúzió nem változtatta meg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thrombocyta</w:t>
      </w:r>
      <w:r w:rsidR="00555844">
        <w:rPr>
          <w:szCs w:val="22"/>
          <w:lang w:val="hu-HU"/>
        </w:rPr>
        <w:t>aggregáció</w:t>
      </w:r>
      <w:proofErr w:type="spellEnd"/>
      <w:r>
        <w:rPr>
          <w:szCs w:val="22"/>
          <w:lang w:val="hu-HU"/>
        </w:rPr>
        <w:t xml:space="preserve">-gátló hatását egészséges vizsgálati alanyoknál, és nem valószínű a klinikai előnye az olyan betegeknél, akiknél vérzés áll fenn. Mivel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és a </w:t>
      </w:r>
      <w:proofErr w:type="spellStart"/>
      <w:r>
        <w:rPr>
          <w:szCs w:val="22"/>
          <w:lang w:val="hu-HU"/>
        </w:rPr>
        <w:t>dezmopresszin</w:t>
      </w:r>
      <w:proofErr w:type="spellEnd"/>
      <w:r>
        <w:rPr>
          <w:szCs w:val="22"/>
          <w:lang w:val="hu-HU"/>
        </w:rPr>
        <w:t xml:space="preserve"> együttes adása nem csökkentette a standardizált vérzési időt, ezért nem valószínű, hogy a </w:t>
      </w:r>
      <w:proofErr w:type="spellStart"/>
      <w:r>
        <w:rPr>
          <w:szCs w:val="22"/>
          <w:lang w:val="hu-HU"/>
        </w:rPr>
        <w:t>dezmopresszin</w:t>
      </w:r>
      <w:proofErr w:type="spellEnd"/>
      <w:r>
        <w:rPr>
          <w:szCs w:val="22"/>
          <w:lang w:val="hu-HU"/>
        </w:rPr>
        <w:t xml:space="preserve"> hatékony a vérzéses események kezelésére (lásd 4.5 pont).</w:t>
      </w:r>
    </w:p>
    <w:p w14:paraId="4475DEAC" w14:textId="14EBAEF5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antifibrinolyticus</w:t>
      </w:r>
      <w:proofErr w:type="spellEnd"/>
      <w:r>
        <w:rPr>
          <w:szCs w:val="22"/>
          <w:lang w:val="hu-HU"/>
        </w:rPr>
        <w:t xml:space="preserve"> kezelés (</w:t>
      </w:r>
      <w:proofErr w:type="spellStart"/>
      <w:r>
        <w:rPr>
          <w:szCs w:val="22"/>
          <w:lang w:val="hu-HU"/>
        </w:rPr>
        <w:t>aminokapronsav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tranexaminsav</w:t>
      </w:r>
      <w:proofErr w:type="spellEnd"/>
      <w:r>
        <w:rPr>
          <w:szCs w:val="22"/>
          <w:lang w:val="hu-HU"/>
        </w:rPr>
        <w:t xml:space="preserve">) és/vagy a </w:t>
      </w:r>
      <w:proofErr w:type="spellStart"/>
      <w:r>
        <w:rPr>
          <w:szCs w:val="22"/>
          <w:lang w:val="hu-HU"/>
        </w:rPr>
        <w:t>rekombináns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VIIa</w:t>
      </w:r>
      <w:proofErr w:type="spellEnd"/>
      <w:r>
        <w:rPr>
          <w:szCs w:val="22"/>
          <w:lang w:val="hu-HU"/>
        </w:rPr>
        <w:t xml:space="preserve"> faktor kezelés fokozhatja a </w:t>
      </w:r>
      <w:proofErr w:type="spellStart"/>
      <w:r>
        <w:rPr>
          <w:szCs w:val="22"/>
          <w:lang w:val="hu-HU"/>
        </w:rPr>
        <w:t>haemostasist</w:t>
      </w:r>
      <w:proofErr w:type="spellEnd"/>
      <w:r>
        <w:rPr>
          <w:szCs w:val="22"/>
          <w:lang w:val="hu-HU"/>
        </w:rPr>
        <w:t xml:space="preserve">. A vérzés okának megtalálása és a vérzés megszüntetése után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adása folytatható.</w:t>
      </w:r>
    </w:p>
    <w:p w14:paraId="78EC4353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pacing w:val="-2"/>
          <w:szCs w:val="22"/>
          <w:u w:val="single"/>
          <w:lang w:val="hu-HU" w:eastAsia="hu-HU"/>
        </w:rPr>
      </w:pPr>
    </w:p>
    <w:p w14:paraId="1ADFB50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2"/>
          <w:szCs w:val="22"/>
          <w:u w:val="single"/>
          <w:lang w:val="hu-HU" w:eastAsia="hu-HU"/>
        </w:rPr>
        <w:t>Műtét</w:t>
      </w:r>
    </w:p>
    <w:p w14:paraId="132F7F91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betegeknek azt kell tanácsolni, hogy minden tervezett műtét és bármilyen új gyógyszer szedése előtt</w:t>
      </w:r>
      <w:r>
        <w:rPr>
          <w:rFonts w:eastAsia="Times New Roman"/>
          <w:snapToGrid/>
          <w:spacing w:val="3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tájékoztassák kezelőorvosaikat és fogorvosaikat arról, hogy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szednek.</w:t>
      </w:r>
    </w:p>
    <w:p w14:paraId="203DAADB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0" w:line="240" w:lineRule="auto"/>
        <w:rPr>
          <w:rFonts w:eastAsia="Times New Roman"/>
          <w:snapToGrid/>
          <w:szCs w:val="22"/>
          <w:lang w:val="hu-HU" w:eastAsia="hu-HU"/>
        </w:rPr>
      </w:pPr>
    </w:p>
    <w:p w14:paraId="78D04A7A" w14:textId="3AF04F2F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PLATO-vizsgálatban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résztvevő,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 xml:space="preserve">coronaria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by-pass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graft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műtéten (CABG) áteső betegeknél </w:t>
      </w: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esetén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több vérzés fordult elő, mint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mellett, ha azokat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műtét előtt </w:t>
      </w:r>
      <w:r>
        <w:rPr>
          <w:rFonts w:eastAsia="Times New Roman"/>
          <w:snapToGrid/>
          <w:szCs w:val="22"/>
          <w:lang w:val="hu-HU" w:eastAsia="hu-HU"/>
        </w:rPr>
        <w:t>1 </w:t>
      </w:r>
      <w:r>
        <w:rPr>
          <w:rFonts w:eastAsia="Times New Roman"/>
          <w:snapToGrid/>
          <w:spacing w:val="-1"/>
          <w:szCs w:val="22"/>
          <w:lang w:val="hu-HU" w:eastAsia="hu-HU"/>
        </w:rPr>
        <w:t>nappal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állították le, de hasonló volt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jelentős vérzések aránya, mint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esetén, amikor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kezelést </w:t>
      </w:r>
      <w:r>
        <w:rPr>
          <w:rFonts w:eastAsia="Times New Roman"/>
          <w:snapToGrid/>
          <w:szCs w:val="22"/>
          <w:lang w:val="hu-HU" w:eastAsia="hu-HU"/>
        </w:rPr>
        <w:t>2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vagy több nappal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műtét előtt állították le (lásd 4.8</w:t>
      </w:r>
      <w:r>
        <w:rPr>
          <w:rFonts w:eastAsia="Times New Roman"/>
          <w:snapToGrid/>
          <w:spacing w:val="1"/>
          <w:szCs w:val="22"/>
          <w:lang w:val="hu-HU" w:eastAsia="hu-HU"/>
        </w:rPr>
        <w:t> </w:t>
      </w:r>
      <w:r>
        <w:rPr>
          <w:rFonts w:eastAsia="Times New Roman"/>
          <w:snapToGrid/>
          <w:spacing w:val="-3"/>
          <w:szCs w:val="22"/>
          <w:lang w:val="hu-HU" w:eastAsia="hu-HU"/>
        </w:rPr>
        <w:t>pont).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Ha egy beteg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elektív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műtéten esik át,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4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thrombocyta</w:t>
      </w:r>
      <w:r w:rsidR="00555844">
        <w:rPr>
          <w:rFonts w:eastAsia="Times New Roman"/>
          <w:snapToGrid/>
          <w:spacing w:val="-1"/>
          <w:szCs w:val="22"/>
          <w:lang w:val="hu-HU" w:eastAsia="hu-HU"/>
        </w:rPr>
        <w:t>aggregáció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-gátló hatás nem kívánatos, akkor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adását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műtét előtt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5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nappal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abba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kell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hagyni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(lásd 5.1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2"/>
          <w:szCs w:val="22"/>
          <w:lang w:val="hu-HU" w:eastAsia="hu-HU"/>
        </w:rPr>
        <w:t>pont).</w:t>
      </w:r>
    </w:p>
    <w:p w14:paraId="69C62FFD" w14:textId="77777777" w:rsidR="00284377" w:rsidRDefault="00284377">
      <w:pPr>
        <w:pStyle w:val="Szvegtrzs"/>
        <w:kinsoku w:val="0"/>
        <w:overflowPunct w:val="0"/>
        <w:spacing w:line="240" w:lineRule="auto"/>
        <w:rPr>
          <w:b w:val="0"/>
          <w:i w:val="0"/>
          <w:szCs w:val="22"/>
          <w:u w:val="single"/>
        </w:rPr>
      </w:pPr>
    </w:p>
    <w:p w14:paraId="732BFEE8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Cs w:val="22"/>
        </w:rPr>
      </w:pPr>
      <w:r>
        <w:rPr>
          <w:b w:val="0"/>
          <w:i w:val="0"/>
          <w:szCs w:val="22"/>
          <w:u w:val="single"/>
        </w:rPr>
        <w:t>A</w:t>
      </w:r>
      <w:r>
        <w:rPr>
          <w:b w:val="0"/>
          <w:i w:val="0"/>
          <w:spacing w:val="-1"/>
          <w:szCs w:val="22"/>
          <w:u w:val="single"/>
        </w:rPr>
        <w:t xml:space="preserve"> korábban </w:t>
      </w:r>
      <w:proofErr w:type="spellStart"/>
      <w:r>
        <w:rPr>
          <w:b w:val="0"/>
          <w:i w:val="0"/>
          <w:spacing w:val="-1"/>
          <w:szCs w:val="22"/>
          <w:u w:val="single"/>
        </w:rPr>
        <w:t>ischaemiás</w:t>
      </w:r>
      <w:proofErr w:type="spellEnd"/>
      <w:r>
        <w:rPr>
          <w:b w:val="0"/>
          <w:i w:val="0"/>
          <w:spacing w:val="-1"/>
          <w:szCs w:val="22"/>
          <w:u w:val="single"/>
        </w:rPr>
        <w:t xml:space="preserve"> </w:t>
      </w:r>
      <w:r>
        <w:rPr>
          <w:b w:val="0"/>
          <w:i w:val="0"/>
          <w:spacing w:val="-2"/>
          <w:szCs w:val="22"/>
          <w:u w:val="single"/>
        </w:rPr>
        <w:t>stroke-</w:t>
      </w:r>
      <w:proofErr w:type="spellStart"/>
      <w:r>
        <w:rPr>
          <w:b w:val="0"/>
          <w:i w:val="0"/>
          <w:spacing w:val="-2"/>
          <w:szCs w:val="22"/>
          <w:u w:val="single"/>
        </w:rPr>
        <w:t>on</w:t>
      </w:r>
      <w:proofErr w:type="spellEnd"/>
      <w:r>
        <w:rPr>
          <w:b w:val="0"/>
          <w:i w:val="0"/>
          <w:spacing w:val="-1"/>
          <w:szCs w:val="22"/>
          <w:u w:val="single"/>
        </w:rPr>
        <w:t xml:space="preserve"> átesett betegek</w:t>
      </w:r>
    </w:p>
    <w:p w14:paraId="79DF101A" w14:textId="77777777" w:rsidR="00284377" w:rsidRDefault="00D321AB">
      <w:pPr>
        <w:pStyle w:val="Szvegtrzs"/>
        <w:kinsoku w:val="0"/>
        <w:overflowPunct w:val="0"/>
        <w:spacing w:before="1" w:line="240" w:lineRule="auto"/>
        <w:rPr>
          <w:b w:val="0"/>
          <w:i w:val="0"/>
          <w:szCs w:val="22"/>
        </w:rPr>
      </w:pP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korábban </w:t>
      </w:r>
      <w:proofErr w:type="spellStart"/>
      <w:r>
        <w:rPr>
          <w:b w:val="0"/>
          <w:i w:val="0"/>
          <w:spacing w:val="-1"/>
          <w:szCs w:val="22"/>
        </w:rPr>
        <w:t>ischaemiás</w:t>
      </w:r>
      <w:proofErr w:type="spellEnd"/>
      <w:r>
        <w:rPr>
          <w:b w:val="0"/>
          <w:i w:val="0"/>
          <w:spacing w:val="-1"/>
          <w:szCs w:val="22"/>
        </w:rPr>
        <w:t xml:space="preserve"> </w:t>
      </w:r>
      <w:r>
        <w:rPr>
          <w:b w:val="0"/>
          <w:i w:val="0"/>
          <w:spacing w:val="-2"/>
          <w:szCs w:val="22"/>
        </w:rPr>
        <w:t>stroke-</w:t>
      </w:r>
      <w:proofErr w:type="spellStart"/>
      <w:r>
        <w:rPr>
          <w:b w:val="0"/>
          <w:i w:val="0"/>
          <w:spacing w:val="-2"/>
          <w:szCs w:val="22"/>
        </w:rPr>
        <w:t>on</w:t>
      </w:r>
      <w:proofErr w:type="spellEnd"/>
      <w:r>
        <w:rPr>
          <w:b w:val="0"/>
          <w:i w:val="0"/>
          <w:spacing w:val="-1"/>
          <w:szCs w:val="22"/>
        </w:rPr>
        <w:t xml:space="preserve"> átesett,</w:t>
      </w:r>
      <w:r>
        <w:rPr>
          <w:b w:val="0"/>
          <w:i w:val="0"/>
          <w:spacing w:val="4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akut coronaria szindrómás betegek kezelhetők</w:t>
      </w:r>
      <w:r>
        <w:rPr>
          <w:b w:val="0"/>
          <w:i w:val="0"/>
          <w:spacing w:val="1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tikagrelorral</w:t>
      </w:r>
      <w:proofErr w:type="spellEnd"/>
      <w:r>
        <w:rPr>
          <w:b w:val="0"/>
          <w:i w:val="0"/>
          <w:spacing w:val="-1"/>
          <w:szCs w:val="22"/>
        </w:rPr>
        <w:t>,</w:t>
      </w:r>
      <w:r>
        <w:rPr>
          <w:b w:val="0"/>
          <w:i w:val="0"/>
          <w:spacing w:val="51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legfeljebb 12</w:t>
      </w:r>
      <w:r>
        <w:rPr>
          <w:b w:val="0"/>
          <w:i w:val="0"/>
          <w:spacing w:val="2"/>
          <w:szCs w:val="22"/>
        </w:rPr>
        <w:t> </w:t>
      </w:r>
      <w:r>
        <w:rPr>
          <w:b w:val="0"/>
          <w:i w:val="0"/>
          <w:spacing w:val="-1"/>
          <w:szCs w:val="22"/>
        </w:rPr>
        <w:t xml:space="preserve">hónapig </w:t>
      </w:r>
      <w:r>
        <w:rPr>
          <w:b w:val="0"/>
          <w:i w:val="0"/>
          <w:spacing w:val="-2"/>
          <w:szCs w:val="22"/>
        </w:rPr>
        <w:t>(PLATO-vizsgálat).</w:t>
      </w:r>
    </w:p>
    <w:p w14:paraId="7D799F2A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Cs w:val="22"/>
        </w:rPr>
      </w:pPr>
      <w:r>
        <w:rPr>
          <w:b w:val="0"/>
          <w:i w:val="0"/>
          <w:szCs w:val="22"/>
        </w:rPr>
        <w:t>A</w:t>
      </w:r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 xml:space="preserve">PEGASUS-vizsgálatban korábban </w:t>
      </w:r>
      <w:proofErr w:type="spellStart"/>
      <w:r>
        <w:rPr>
          <w:b w:val="0"/>
          <w:i w:val="0"/>
          <w:spacing w:val="-1"/>
          <w:szCs w:val="22"/>
        </w:rPr>
        <w:t>ischaemiás</w:t>
      </w:r>
      <w:proofErr w:type="spellEnd"/>
      <w:r>
        <w:rPr>
          <w:b w:val="0"/>
          <w:i w:val="0"/>
          <w:spacing w:val="-1"/>
          <w:szCs w:val="22"/>
        </w:rPr>
        <w:t xml:space="preserve"> stroke-</w:t>
      </w:r>
      <w:proofErr w:type="spellStart"/>
      <w:r>
        <w:rPr>
          <w:b w:val="0"/>
          <w:i w:val="0"/>
          <w:spacing w:val="-1"/>
          <w:szCs w:val="22"/>
        </w:rPr>
        <w:t>on</w:t>
      </w:r>
      <w:proofErr w:type="spellEnd"/>
      <w:r>
        <w:rPr>
          <w:b w:val="0"/>
          <w:i w:val="0"/>
          <w:spacing w:val="-1"/>
          <w:szCs w:val="22"/>
        </w:rPr>
        <w:t xml:space="preserve"> átesett olyan betegek, akiknek az</w:t>
      </w:r>
      <w:r>
        <w:rPr>
          <w:b w:val="0"/>
          <w:i w:val="0"/>
          <w:spacing w:val="24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 xml:space="preserve">anamnézisben </w:t>
      </w:r>
      <w:proofErr w:type="spellStart"/>
      <w:r>
        <w:rPr>
          <w:b w:val="0"/>
          <w:i w:val="0"/>
          <w:spacing w:val="-1"/>
          <w:szCs w:val="22"/>
        </w:rPr>
        <w:t>myocardialis</w:t>
      </w:r>
      <w:proofErr w:type="spellEnd"/>
      <w:r>
        <w:rPr>
          <w:b w:val="0"/>
          <w:i w:val="0"/>
          <w:spacing w:val="-1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infarctus</w:t>
      </w:r>
      <w:proofErr w:type="spellEnd"/>
      <w:r>
        <w:rPr>
          <w:b w:val="0"/>
          <w:i w:val="0"/>
          <w:spacing w:val="-1"/>
          <w:szCs w:val="22"/>
        </w:rPr>
        <w:t xml:space="preserve"> szerepelt, nem vettek részt. Ezért, adatok hiánya miatt ezeknél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23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betegeknél az 1</w:t>
      </w:r>
      <w:r>
        <w:rPr>
          <w:b w:val="0"/>
          <w:i w:val="0"/>
          <w:spacing w:val="2"/>
          <w:szCs w:val="22"/>
        </w:rPr>
        <w:t> </w:t>
      </w:r>
      <w:r>
        <w:rPr>
          <w:b w:val="0"/>
          <w:i w:val="0"/>
          <w:spacing w:val="-1"/>
          <w:szCs w:val="22"/>
        </w:rPr>
        <w:t>éven túli kezelés nem javasolt.</w:t>
      </w:r>
    </w:p>
    <w:p w14:paraId="3DDC19DA" w14:textId="77777777" w:rsidR="00284377" w:rsidRDefault="00284377">
      <w:pPr>
        <w:pStyle w:val="Szvegtrzs"/>
        <w:kinsoku w:val="0"/>
        <w:overflowPunct w:val="0"/>
        <w:spacing w:before="3" w:line="240" w:lineRule="auto"/>
        <w:rPr>
          <w:b w:val="0"/>
          <w:i w:val="0"/>
          <w:szCs w:val="22"/>
        </w:rPr>
      </w:pPr>
    </w:p>
    <w:p w14:paraId="3FD882F5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Cs w:val="22"/>
        </w:rPr>
      </w:pPr>
      <w:r>
        <w:rPr>
          <w:b w:val="0"/>
          <w:i w:val="0"/>
          <w:spacing w:val="-1"/>
          <w:szCs w:val="22"/>
          <w:u w:val="single"/>
        </w:rPr>
        <w:lastRenderedPageBreak/>
        <w:t>Májkárosodás</w:t>
      </w:r>
    </w:p>
    <w:p w14:paraId="7024C4C5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Cs w:val="22"/>
        </w:rPr>
      </w:pP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tikagrelor</w:t>
      </w:r>
      <w:proofErr w:type="spellEnd"/>
      <w:r>
        <w:rPr>
          <w:b w:val="0"/>
          <w:i w:val="0"/>
          <w:spacing w:val="-1"/>
          <w:szCs w:val="22"/>
        </w:rPr>
        <w:t xml:space="preserve"> alkalmazása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súlyos fokú májkárosodásban szenvedő betegeknél ellenjavallt (lásd 4.2 és </w:t>
      </w:r>
      <w:r>
        <w:rPr>
          <w:b w:val="0"/>
          <w:i w:val="0"/>
          <w:szCs w:val="22"/>
        </w:rPr>
        <w:t>4.3</w:t>
      </w:r>
      <w:r>
        <w:rPr>
          <w:b w:val="0"/>
          <w:i w:val="0"/>
          <w:spacing w:val="2"/>
          <w:szCs w:val="22"/>
        </w:rPr>
        <w:t> </w:t>
      </w:r>
      <w:r>
        <w:rPr>
          <w:b w:val="0"/>
          <w:i w:val="0"/>
          <w:spacing w:val="-1"/>
          <w:szCs w:val="22"/>
        </w:rPr>
        <w:t xml:space="preserve">pont).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közepes fokú májkárosodásban szenvedő betegeknél korlátozott mennyiségű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30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tikagrelorral</w:t>
      </w:r>
      <w:proofErr w:type="spellEnd"/>
      <w:r>
        <w:rPr>
          <w:b w:val="0"/>
          <w:i w:val="0"/>
          <w:spacing w:val="-1"/>
          <w:szCs w:val="22"/>
        </w:rPr>
        <w:t xml:space="preserve"> szerzett tapasztalat, ezért ezeknél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betegeknél elővigyázatosság javasolt (lásd 4.2 és </w:t>
      </w:r>
      <w:r>
        <w:rPr>
          <w:b w:val="0"/>
          <w:i w:val="0"/>
          <w:szCs w:val="22"/>
        </w:rPr>
        <w:t>5.2</w:t>
      </w:r>
      <w:r>
        <w:rPr>
          <w:b w:val="0"/>
          <w:i w:val="0"/>
          <w:spacing w:val="2"/>
          <w:szCs w:val="22"/>
        </w:rPr>
        <w:t> </w:t>
      </w:r>
      <w:r>
        <w:rPr>
          <w:b w:val="0"/>
          <w:i w:val="0"/>
          <w:spacing w:val="-2"/>
          <w:szCs w:val="22"/>
        </w:rPr>
        <w:t>pont).</w:t>
      </w:r>
    </w:p>
    <w:p w14:paraId="4D9DBC9E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3759C766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Cs w:val="22"/>
        </w:rPr>
      </w:pPr>
      <w:r>
        <w:rPr>
          <w:b w:val="0"/>
          <w:i w:val="0"/>
          <w:spacing w:val="-1"/>
          <w:szCs w:val="22"/>
          <w:u w:val="single"/>
        </w:rPr>
        <w:t xml:space="preserve">Betegek, akiknél fennáll </w:t>
      </w:r>
      <w:r>
        <w:rPr>
          <w:b w:val="0"/>
          <w:i w:val="0"/>
          <w:szCs w:val="22"/>
          <w:u w:val="single"/>
        </w:rPr>
        <w:t>a</w:t>
      </w:r>
      <w:r>
        <w:rPr>
          <w:b w:val="0"/>
          <w:i w:val="0"/>
          <w:spacing w:val="-1"/>
          <w:szCs w:val="22"/>
          <w:u w:val="single"/>
        </w:rPr>
        <w:t xml:space="preserve"> </w:t>
      </w:r>
      <w:proofErr w:type="spellStart"/>
      <w:r>
        <w:rPr>
          <w:b w:val="0"/>
          <w:i w:val="0"/>
          <w:spacing w:val="-1"/>
          <w:szCs w:val="22"/>
          <w:u w:val="single"/>
        </w:rPr>
        <w:t>bradycardiás</w:t>
      </w:r>
      <w:proofErr w:type="spellEnd"/>
      <w:r>
        <w:rPr>
          <w:b w:val="0"/>
          <w:i w:val="0"/>
          <w:spacing w:val="-1"/>
          <w:szCs w:val="22"/>
          <w:u w:val="single"/>
        </w:rPr>
        <w:t xml:space="preserve"> események kockázata</w:t>
      </w:r>
    </w:p>
    <w:p w14:paraId="0A437145" w14:textId="77777777" w:rsidR="00284377" w:rsidRDefault="00D321AB">
      <w:pPr>
        <w:pStyle w:val="Szvegtrzs"/>
        <w:kinsoku w:val="0"/>
        <w:overflowPunct w:val="0"/>
        <w:spacing w:before="1" w:line="240" w:lineRule="auto"/>
        <w:rPr>
          <w:b w:val="0"/>
          <w:i w:val="0"/>
          <w:szCs w:val="22"/>
        </w:rPr>
      </w:pPr>
      <w:r>
        <w:rPr>
          <w:b w:val="0"/>
          <w:i w:val="0"/>
          <w:szCs w:val="22"/>
        </w:rPr>
        <w:t>A</w:t>
      </w:r>
      <w:r>
        <w:rPr>
          <w:b w:val="0"/>
          <w:i w:val="0"/>
          <w:spacing w:val="-3"/>
          <w:szCs w:val="22"/>
        </w:rPr>
        <w:t xml:space="preserve"> </w:t>
      </w:r>
      <w:proofErr w:type="spellStart"/>
      <w:r>
        <w:rPr>
          <w:b w:val="0"/>
          <w:i w:val="0"/>
          <w:spacing w:val="-2"/>
          <w:szCs w:val="22"/>
        </w:rPr>
        <w:t>Holter</w:t>
      </w:r>
      <w:proofErr w:type="spellEnd"/>
      <w:r>
        <w:rPr>
          <w:b w:val="0"/>
          <w:i w:val="0"/>
          <w:spacing w:val="5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EKG-monitorozás</w:t>
      </w:r>
      <w:r>
        <w:rPr>
          <w:b w:val="0"/>
          <w:i w:val="0"/>
          <w:spacing w:val="3"/>
          <w:szCs w:val="22"/>
        </w:rPr>
        <w:t xml:space="preserve"> </w:t>
      </w:r>
      <w:r>
        <w:rPr>
          <w:b w:val="0"/>
          <w:i w:val="0"/>
          <w:szCs w:val="22"/>
        </w:rPr>
        <w:t>azt</w:t>
      </w:r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mutatta,</w:t>
      </w:r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hogy</w:t>
      </w:r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4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javarészt</w:t>
      </w:r>
      <w:r>
        <w:rPr>
          <w:b w:val="0"/>
          <w:i w:val="0"/>
          <w:spacing w:val="3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 xml:space="preserve">tünetmentes </w:t>
      </w:r>
      <w:proofErr w:type="spellStart"/>
      <w:r>
        <w:rPr>
          <w:b w:val="0"/>
          <w:i w:val="0"/>
          <w:spacing w:val="-1"/>
          <w:szCs w:val="22"/>
        </w:rPr>
        <w:t>ventricularis</w:t>
      </w:r>
      <w:proofErr w:type="spellEnd"/>
      <w:r>
        <w:rPr>
          <w:b w:val="0"/>
          <w:i w:val="0"/>
          <w:spacing w:val="-1"/>
          <w:szCs w:val="22"/>
        </w:rPr>
        <w:t xml:space="preserve"> pauzák</w:t>
      </w:r>
      <w:r>
        <w:rPr>
          <w:b w:val="0"/>
          <w:i w:val="0"/>
          <w:spacing w:val="2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gyakorisága</w:t>
      </w:r>
      <w:r>
        <w:rPr>
          <w:b w:val="0"/>
          <w:i w:val="0"/>
          <w:spacing w:val="2"/>
          <w:szCs w:val="22"/>
        </w:rPr>
        <w:t xml:space="preserve"> </w:t>
      </w:r>
      <w:r>
        <w:rPr>
          <w:b w:val="0"/>
          <w:i w:val="0"/>
          <w:szCs w:val="22"/>
        </w:rPr>
        <w:t xml:space="preserve">a </w:t>
      </w:r>
      <w:proofErr w:type="spellStart"/>
      <w:r>
        <w:rPr>
          <w:b w:val="0"/>
          <w:i w:val="0"/>
          <w:spacing w:val="-1"/>
          <w:szCs w:val="22"/>
        </w:rPr>
        <w:t>tikagrelor</w:t>
      </w:r>
      <w:proofErr w:type="spellEnd"/>
      <w:r>
        <w:rPr>
          <w:b w:val="0"/>
          <w:i w:val="0"/>
          <w:spacing w:val="-1"/>
          <w:szCs w:val="22"/>
        </w:rPr>
        <w:t>-kezelés</w:t>
      </w:r>
      <w:r>
        <w:rPr>
          <w:b w:val="0"/>
          <w:i w:val="0"/>
          <w:szCs w:val="22"/>
        </w:rPr>
        <w:t xml:space="preserve"> során</w:t>
      </w:r>
      <w:r>
        <w:rPr>
          <w:b w:val="0"/>
          <w:i w:val="0"/>
          <w:spacing w:val="-3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megemelkedett,</w:t>
      </w:r>
      <w:r>
        <w:rPr>
          <w:b w:val="0"/>
          <w:i w:val="0"/>
          <w:szCs w:val="22"/>
        </w:rPr>
        <w:t xml:space="preserve"> a</w:t>
      </w:r>
      <w:r>
        <w:rPr>
          <w:b w:val="0"/>
          <w:i w:val="0"/>
          <w:spacing w:val="5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klopidogrelhez</w:t>
      </w:r>
      <w:proofErr w:type="spellEnd"/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képest.</w:t>
      </w:r>
      <w:r>
        <w:rPr>
          <w:b w:val="0"/>
          <w:i w:val="0"/>
          <w:spacing w:val="4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 xml:space="preserve">Azokat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betegeket,</w:t>
      </w:r>
      <w:r>
        <w:rPr>
          <w:b w:val="0"/>
          <w:i w:val="0"/>
          <w:spacing w:val="30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 xml:space="preserve">akiknél fokozott volt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bradycardiás</w:t>
      </w:r>
      <w:proofErr w:type="spellEnd"/>
      <w:r>
        <w:rPr>
          <w:b w:val="0"/>
          <w:i w:val="0"/>
          <w:spacing w:val="-1"/>
          <w:szCs w:val="22"/>
        </w:rPr>
        <w:t xml:space="preserve"> események kockázata (például az olyan, pacemaker nélküli</w:t>
      </w:r>
      <w:r>
        <w:rPr>
          <w:b w:val="0"/>
          <w:i w:val="0"/>
          <w:spacing w:val="20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 xml:space="preserve">betegeket, akiknek </w:t>
      </w:r>
      <w:proofErr w:type="spellStart"/>
      <w:r>
        <w:rPr>
          <w:b w:val="0"/>
          <w:i w:val="0"/>
          <w:spacing w:val="-1"/>
          <w:szCs w:val="22"/>
        </w:rPr>
        <w:t>sick</w:t>
      </w:r>
      <w:proofErr w:type="spellEnd"/>
      <w:r>
        <w:rPr>
          <w:b w:val="0"/>
          <w:i w:val="0"/>
          <w:spacing w:val="-1"/>
          <w:szCs w:val="22"/>
        </w:rPr>
        <w:t xml:space="preserve"> sinus</w:t>
      </w:r>
      <w:r>
        <w:rPr>
          <w:b w:val="0"/>
          <w:i w:val="0"/>
          <w:spacing w:val="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szindrómájuk,</w:t>
      </w:r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másod-</w:t>
      </w:r>
      <w:r>
        <w:rPr>
          <w:b w:val="0"/>
          <w:i w:val="0"/>
          <w:spacing w:val="5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 xml:space="preserve">vagy harmadfokú </w:t>
      </w:r>
      <w:r>
        <w:rPr>
          <w:b w:val="0"/>
          <w:i w:val="0"/>
          <w:spacing w:val="-2"/>
          <w:szCs w:val="22"/>
        </w:rPr>
        <w:t>AV-blokkjuk</w:t>
      </w:r>
      <w:r>
        <w:rPr>
          <w:b w:val="0"/>
          <w:i w:val="0"/>
          <w:spacing w:val="-1"/>
          <w:szCs w:val="22"/>
        </w:rPr>
        <w:t xml:space="preserve"> vagy</w:t>
      </w:r>
      <w:r>
        <w:rPr>
          <w:b w:val="0"/>
          <w:i w:val="0"/>
          <w:spacing w:val="38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bradycardiával</w:t>
      </w:r>
      <w:proofErr w:type="spellEnd"/>
      <w:r>
        <w:rPr>
          <w:b w:val="0"/>
          <w:i w:val="0"/>
          <w:spacing w:val="3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 xml:space="preserve">összefüggő ájulásuk volt),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2"/>
          <w:szCs w:val="22"/>
        </w:rPr>
        <w:t xml:space="preserve"> </w:t>
      </w:r>
      <w:proofErr w:type="spellStart"/>
      <w:r>
        <w:rPr>
          <w:b w:val="0"/>
          <w:i w:val="0"/>
          <w:spacing w:val="-2"/>
          <w:szCs w:val="22"/>
        </w:rPr>
        <w:t>tikagrelor</w:t>
      </w:r>
      <w:proofErr w:type="spellEnd"/>
      <w:r>
        <w:rPr>
          <w:b w:val="0"/>
          <w:i w:val="0"/>
          <w:spacing w:val="5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biztonságosságát és hatásosságát értékelő fő</w:t>
      </w:r>
      <w:r>
        <w:rPr>
          <w:b w:val="0"/>
          <w:i w:val="0"/>
          <w:spacing w:val="20"/>
          <w:szCs w:val="22"/>
        </w:rPr>
        <w:t xml:space="preserve"> </w:t>
      </w:r>
      <w:r>
        <w:rPr>
          <w:b w:val="0"/>
          <w:i w:val="0"/>
          <w:spacing w:val="-2"/>
          <w:szCs w:val="22"/>
        </w:rPr>
        <w:t>vizsgálatokból</w:t>
      </w:r>
      <w:r>
        <w:rPr>
          <w:b w:val="0"/>
          <w:i w:val="0"/>
          <w:spacing w:val="-1"/>
          <w:szCs w:val="22"/>
        </w:rPr>
        <w:t xml:space="preserve"> kizárták. Így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korlátozott klinikai tapasztalat miatt ezeknél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betegeknél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tikagrelort</w:t>
      </w:r>
      <w:proofErr w:type="spellEnd"/>
      <w:r>
        <w:rPr>
          <w:b w:val="0"/>
          <w:i w:val="0"/>
          <w:spacing w:val="53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óvatosan kell alkalmazni (lásd 5.1</w:t>
      </w:r>
      <w:r>
        <w:rPr>
          <w:b w:val="0"/>
          <w:i w:val="0"/>
          <w:spacing w:val="2"/>
          <w:szCs w:val="22"/>
        </w:rPr>
        <w:t> </w:t>
      </w:r>
      <w:r>
        <w:rPr>
          <w:b w:val="0"/>
          <w:i w:val="0"/>
          <w:spacing w:val="-2"/>
          <w:szCs w:val="22"/>
        </w:rPr>
        <w:t>pont).</w:t>
      </w:r>
    </w:p>
    <w:p w14:paraId="585D160B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062383C2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Továbbá elővigyázatosság szükséges, ha a </w:t>
      </w:r>
      <w:proofErr w:type="spellStart"/>
      <w:r>
        <w:rPr>
          <w:szCs w:val="22"/>
          <w:lang w:val="hu-HU"/>
        </w:rPr>
        <w:t>tikagrelort</w:t>
      </w:r>
      <w:proofErr w:type="spellEnd"/>
      <w:r>
        <w:rPr>
          <w:szCs w:val="22"/>
          <w:lang w:val="hu-HU"/>
        </w:rPr>
        <w:t xml:space="preserve"> olyan gyógyszerekkel adják egyidejűleg, amelyekről ismert, hogy </w:t>
      </w:r>
      <w:proofErr w:type="spellStart"/>
      <w:r>
        <w:rPr>
          <w:szCs w:val="22"/>
          <w:lang w:val="hu-HU"/>
        </w:rPr>
        <w:t>bradycardiát</w:t>
      </w:r>
      <w:proofErr w:type="spellEnd"/>
      <w:r>
        <w:rPr>
          <w:szCs w:val="22"/>
          <w:lang w:val="hu-HU"/>
        </w:rPr>
        <w:t xml:space="preserve"> idéznek elő. Ugyanakkor a PLATO-vizsgálatban egy vagy több, olyan gyógyszerrel (például a betegek 96%-</w:t>
      </w:r>
      <w:proofErr w:type="spellStart"/>
      <w:r>
        <w:rPr>
          <w:szCs w:val="22"/>
          <w:lang w:val="hu-HU"/>
        </w:rPr>
        <w:t>ánál</w:t>
      </w:r>
      <w:proofErr w:type="spellEnd"/>
      <w:r>
        <w:rPr>
          <w:szCs w:val="22"/>
          <w:lang w:val="hu-HU"/>
        </w:rPr>
        <w:t xml:space="preserve"> béta-blokkolóval, 33%-</w:t>
      </w:r>
      <w:proofErr w:type="spellStart"/>
      <w:r>
        <w:rPr>
          <w:szCs w:val="22"/>
          <w:lang w:val="hu-HU"/>
        </w:rPr>
        <w:t>ánál</w:t>
      </w:r>
      <w:proofErr w:type="spellEnd"/>
      <w:r>
        <w:rPr>
          <w:szCs w:val="22"/>
          <w:lang w:val="hu-HU"/>
        </w:rPr>
        <w:t xml:space="preserve"> kalciumcsatorna-blokkoló </w:t>
      </w:r>
      <w:proofErr w:type="spellStart"/>
      <w:r>
        <w:rPr>
          <w:szCs w:val="22"/>
          <w:lang w:val="hu-HU"/>
        </w:rPr>
        <w:t>diltiazemmel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verapamillal</w:t>
      </w:r>
      <w:proofErr w:type="spellEnd"/>
      <w:r>
        <w:rPr>
          <w:szCs w:val="22"/>
          <w:lang w:val="hu-HU"/>
        </w:rPr>
        <w:t xml:space="preserve"> és 4%-</w:t>
      </w:r>
      <w:proofErr w:type="spellStart"/>
      <w:r>
        <w:rPr>
          <w:szCs w:val="22"/>
          <w:lang w:val="hu-HU"/>
        </w:rPr>
        <w:t>ánál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digoxinnal</w:t>
      </w:r>
      <w:proofErr w:type="spellEnd"/>
      <w:r>
        <w:rPr>
          <w:szCs w:val="22"/>
          <w:lang w:val="hu-HU"/>
        </w:rPr>
        <w:t xml:space="preserve">) történt egyidejű adását követően, amelyekről ismert, hogy </w:t>
      </w:r>
      <w:proofErr w:type="spellStart"/>
      <w:r>
        <w:rPr>
          <w:szCs w:val="22"/>
          <w:lang w:val="hu-HU"/>
        </w:rPr>
        <w:t>bradycardiát</w:t>
      </w:r>
      <w:proofErr w:type="spellEnd"/>
      <w:r>
        <w:rPr>
          <w:szCs w:val="22"/>
          <w:lang w:val="hu-HU"/>
        </w:rPr>
        <w:t xml:space="preserve"> idéznek elő, nem észleltek klinikailag jelentős mellékhatásokra utaló bizonyítékot (lásd 4.5 pont).</w:t>
      </w:r>
    </w:p>
    <w:p w14:paraId="1B826233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73FE0542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PLATO-vizsgálat </w:t>
      </w:r>
      <w:proofErr w:type="spellStart"/>
      <w:r>
        <w:rPr>
          <w:szCs w:val="22"/>
          <w:lang w:val="hu-HU"/>
        </w:rPr>
        <w:t>Holter</w:t>
      </w:r>
      <w:proofErr w:type="spellEnd"/>
      <w:r>
        <w:rPr>
          <w:szCs w:val="22"/>
          <w:lang w:val="hu-HU"/>
        </w:rPr>
        <w:t xml:space="preserve"> alvizsgálata alatt az akut coronaria szindróma akut fázisa alatt több betegnek volt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mellett 3 másodpercnél hosszabb </w:t>
      </w:r>
      <w:proofErr w:type="spellStart"/>
      <w:r>
        <w:rPr>
          <w:szCs w:val="22"/>
          <w:lang w:val="hu-HU"/>
        </w:rPr>
        <w:t>ventricularis</w:t>
      </w:r>
      <w:proofErr w:type="spellEnd"/>
      <w:r>
        <w:rPr>
          <w:szCs w:val="22"/>
          <w:lang w:val="hu-HU"/>
        </w:rPr>
        <w:t xml:space="preserve"> pauzája, mint a </w:t>
      </w:r>
      <w:proofErr w:type="spellStart"/>
      <w:r>
        <w:rPr>
          <w:szCs w:val="22"/>
          <w:lang w:val="hu-HU"/>
        </w:rPr>
        <w:t>klopidogrel</w:t>
      </w:r>
      <w:proofErr w:type="spellEnd"/>
      <w:r>
        <w:rPr>
          <w:szCs w:val="22"/>
          <w:lang w:val="hu-HU"/>
        </w:rPr>
        <w:t xml:space="preserve"> mellett. A </w:t>
      </w:r>
      <w:proofErr w:type="spellStart"/>
      <w:r>
        <w:rPr>
          <w:szCs w:val="22"/>
          <w:lang w:val="hu-HU"/>
        </w:rPr>
        <w:t>Holterrel</w:t>
      </w:r>
      <w:proofErr w:type="spellEnd"/>
      <w:r>
        <w:rPr>
          <w:szCs w:val="22"/>
          <w:lang w:val="hu-HU"/>
        </w:rPr>
        <w:t xml:space="preserve"> kimutatott </w:t>
      </w:r>
      <w:proofErr w:type="spellStart"/>
      <w:r>
        <w:rPr>
          <w:szCs w:val="22"/>
          <w:lang w:val="hu-HU"/>
        </w:rPr>
        <w:t>ventricularis</w:t>
      </w:r>
      <w:proofErr w:type="spellEnd"/>
      <w:r>
        <w:rPr>
          <w:szCs w:val="22"/>
          <w:lang w:val="hu-HU"/>
        </w:rPr>
        <w:t xml:space="preserve"> pauzák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melletti növekedése az akut coronaria szindróma akut fázisa alatt magasabb volt a krónikus szívelégtelenségben szenvedő betegeknél, mint a teljes vizsgálati populációban, de nem volt magasabb 1 hónapos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-kezelés után vagy a </w:t>
      </w:r>
      <w:proofErr w:type="spellStart"/>
      <w:r>
        <w:rPr>
          <w:szCs w:val="22"/>
          <w:lang w:val="hu-HU"/>
        </w:rPr>
        <w:t>klopidogrelhez</w:t>
      </w:r>
      <w:proofErr w:type="spellEnd"/>
      <w:r>
        <w:rPr>
          <w:szCs w:val="22"/>
          <w:lang w:val="hu-HU"/>
        </w:rPr>
        <w:t xml:space="preserve"> képest. Ennek az eltérésnek, ebben a betegpopulációban nem volt kedvezőtlen klinikai következménye (beleértve a </w:t>
      </w:r>
      <w:proofErr w:type="spellStart"/>
      <w:r>
        <w:rPr>
          <w:szCs w:val="22"/>
          <w:lang w:val="hu-HU"/>
        </w:rPr>
        <w:t>syncopét</w:t>
      </w:r>
      <w:proofErr w:type="spellEnd"/>
      <w:r>
        <w:rPr>
          <w:szCs w:val="22"/>
          <w:lang w:val="hu-HU"/>
        </w:rPr>
        <w:t xml:space="preserve"> vagy a pacemaker behelyezést) (lásd 5.1 pont).</w:t>
      </w:r>
    </w:p>
    <w:p w14:paraId="731CA0CC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2C519AA3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tikagrelort</w:t>
      </w:r>
      <w:proofErr w:type="spellEnd"/>
      <w:r>
        <w:rPr>
          <w:szCs w:val="22"/>
          <w:lang w:val="hu-HU"/>
        </w:rPr>
        <w:t xml:space="preserve"> szedő betegeknél </w:t>
      </w:r>
      <w:proofErr w:type="spellStart"/>
      <w:r>
        <w:rPr>
          <w:szCs w:val="22"/>
          <w:lang w:val="hu-HU"/>
        </w:rPr>
        <w:t>bradyarrhythmiás</w:t>
      </w:r>
      <w:proofErr w:type="spellEnd"/>
      <w:r>
        <w:rPr>
          <w:szCs w:val="22"/>
          <w:lang w:val="hu-HU"/>
        </w:rPr>
        <w:t xml:space="preserve"> események és AV-blokk előfordulását jelentették a forgalomba hozatalt követően (lásd 4.8 pont), főként az akut coronaria szindrómás betegeknél, amikor potenciálisan zavaró tényezők a szív </w:t>
      </w:r>
      <w:proofErr w:type="spellStart"/>
      <w:r>
        <w:rPr>
          <w:szCs w:val="22"/>
          <w:lang w:val="hu-HU"/>
        </w:rPr>
        <w:t>ischaemiája</w:t>
      </w:r>
      <w:proofErr w:type="spellEnd"/>
      <w:r>
        <w:rPr>
          <w:szCs w:val="22"/>
          <w:lang w:val="hu-HU"/>
        </w:rPr>
        <w:t xml:space="preserve"> és az egyidejűleg szedett gyógyszerek, amelyek csökkentik a szívfrekvenciát vagy befolyásolják a szív ingerületvezetését. A kezelés megkezdése előtt értékelni kell a betegek klinikai állapotát és az egyidejűleg szedett gyógyszereket, mint lehetséges kiváltó tényezőket.</w:t>
      </w:r>
    </w:p>
    <w:p w14:paraId="51A621AD" w14:textId="77777777" w:rsidR="00284377" w:rsidRDefault="00284377">
      <w:pPr>
        <w:spacing w:line="240" w:lineRule="auto"/>
        <w:rPr>
          <w:szCs w:val="22"/>
          <w:u w:val="single"/>
          <w:lang w:val="hu-HU"/>
        </w:rPr>
      </w:pPr>
    </w:p>
    <w:p w14:paraId="6D66C81B" w14:textId="77777777" w:rsidR="00284377" w:rsidRDefault="00D321AB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u w:val="single"/>
          <w:lang w:val="hu-HU"/>
        </w:rPr>
        <w:t>Dyspnoe</w:t>
      </w:r>
      <w:proofErr w:type="spellEnd"/>
    </w:p>
    <w:p w14:paraId="1B17A0FB" w14:textId="30A3AAAC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tikagrelorral</w:t>
      </w:r>
      <w:proofErr w:type="spellEnd"/>
      <w:r>
        <w:rPr>
          <w:szCs w:val="22"/>
          <w:lang w:val="hu-HU"/>
        </w:rPr>
        <w:t xml:space="preserve"> kezelt betegeknél </w:t>
      </w:r>
      <w:proofErr w:type="spellStart"/>
      <w:r>
        <w:rPr>
          <w:szCs w:val="22"/>
          <w:lang w:val="hu-HU"/>
        </w:rPr>
        <w:t>dyspnoéról</w:t>
      </w:r>
      <w:proofErr w:type="spellEnd"/>
      <w:r>
        <w:rPr>
          <w:szCs w:val="22"/>
          <w:lang w:val="hu-HU"/>
        </w:rPr>
        <w:t xml:space="preserve"> számoltak be. A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 intenzitása rendszerint enyhe vagy közepes, és gyakran anélkül megszűnik, hogy a kezelés abbahagyására lenne szükség. Az </w:t>
      </w:r>
      <w:proofErr w:type="spellStart"/>
      <w:r>
        <w:rPr>
          <w:szCs w:val="22"/>
          <w:lang w:val="hu-HU"/>
        </w:rPr>
        <w:t>asthmás</w:t>
      </w:r>
      <w:proofErr w:type="spellEnd"/>
      <w:r>
        <w:rPr>
          <w:szCs w:val="22"/>
          <w:lang w:val="hu-HU"/>
        </w:rPr>
        <w:t xml:space="preserve">/krónikus </w:t>
      </w:r>
      <w:proofErr w:type="spellStart"/>
      <w:r>
        <w:rPr>
          <w:szCs w:val="22"/>
          <w:lang w:val="hu-HU"/>
        </w:rPr>
        <w:t>obstruktív</w:t>
      </w:r>
      <w:proofErr w:type="spellEnd"/>
      <w:r>
        <w:rPr>
          <w:szCs w:val="22"/>
          <w:lang w:val="hu-HU"/>
        </w:rPr>
        <w:t xml:space="preserve"> tüdőbetegségben szenvedő (COPD) betegeknél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mellett magasabb lehet a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 kialakulásának abszolút kockázata. A </w:t>
      </w:r>
      <w:proofErr w:type="spellStart"/>
      <w:r>
        <w:rPr>
          <w:szCs w:val="22"/>
          <w:lang w:val="hu-HU"/>
        </w:rPr>
        <w:t>tikagrelort</w:t>
      </w:r>
      <w:proofErr w:type="spellEnd"/>
      <w:r>
        <w:rPr>
          <w:szCs w:val="22"/>
          <w:lang w:val="hu-HU"/>
        </w:rPr>
        <w:t xml:space="preserve"> az olyan betegeknél, akiknek az anamnézisében </w:t>
      </w:r>
      <w:proofErr w:type="spellStart"/>
      <w:r>
        <w:rPr>
          <w:szCs w:val="22"/>
          <w:lang w:val="hu-HU"/>
        </w:rPr>
        <w:t>asthma</w:t>
      </w:r>
      <w:proofErr w:type="spellEnd"/>
      <w:r>
        <w:rPr>
          <w:szCs w:val="22"/>
          <w:lang w:val="hu-HU"/>
        </w:rPr>
        <w:t xml:space="preserve"> és/vagy COPD szerepel, óvatosan kell alkalmazni. A mechanizmus nem tisztázott. Ha egy beteg újonnan kialakult, tartós vagy súlyosbodó </w:t>
      </w:r>
      <w:proofErr w:type="spellStart"/>
      <w:r>
        <w:rPr>
          <w:szCs w:val="22"/>
          <w:lang w:val="hu-HU"/>
        </w:rPr>
        <w:t>dyspnoéról</w:t>
      </w:r>
      <w:proofErr w:type="spellEnd"/>
      <w:r>
        <w:rPr>
          <w:szCs w:val="22"/>
          <w:lang w:val="hu-HU"/>
        </w:rPr>
        <w:t xml:space="preserve"> számol be, akkor azt alaposan ki kell vizsgálni, és ha a beteg nem tolerálja, akkor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>-kezelést le kell állítani. A további részleteket lásd a 4.8 pontban.</w:t>
      </w:r>
    </w:p>
    <w:p w14:paraId="748789AF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0EB9E9E0" w14:textId="77777777" w:rsidR="00284377" w:rsidRDefault="00D321AB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Centrális alvási apnoe</w:t>
      </w:r>
    </w:p>
    <w:p w14:paraId="0D4DEE0D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tikagrelort</w:t>
      </w:r>
      <w:proofErr w:type="spellEnd"/>
      <w:r>
        <w:rPr>
          <w:szCs w:val="22"/>
          <w:lang w:val="hu-HU"/>
        </w:rPr>
        <w:t xml:space="preserve"> szedő betegeknél a forgalomba hozatalt követően centrális alvási apnoét jelentettek, beleértve a </w:t>
      </w:r>
      <w:proofErr w:type="spellStart"/>
      <w:r>
        <w:rPr>
          <w:szCs w:val="22"/>
          <w:lang w:val="hu-HU"/>
        </w:rPr>
        <w:t>Cheyne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szCs w:val="22"/>
          <w:lang w:val="hu-HU"/>
        </w:rPr>
        <w:t>Stokes</w:t>
      </w:r>
      <w:proofErr w:type="spellEnd"/>
      <w:r>
        <w:rPr>
          <w:szCs w:val="22"/>
          <w:lang w:val="hu-HU"/>
        </w:rPr>
        <w:t xml:space="preserve"> légzést is. Ha a centrális alvási apnoe gyanúja felmerül, további klinikai értékelést kell mérlegelni.</w:t>
      </w:r>
    </w:p>
    <w:p w14:paraId="01B21AA1" w14:textId="77777777" w:rsidR="00284377" w:rsidRDefault="00284377">
      <w:pPr>
        <w:spacing w:line="240" w:lineRule="auto"/>
        <w:rPr>
          <w:szCs w:val="22"/>
          <w:u w:val="single"/>
          <w:lang w:val="hu-HU"/>
        </w:rPr>
      </w:pPr>
    </w:p>
    <w:p w14:paraId="28B444EB" w14:textId="77777777" w:rsidR="00284377" w:rsidRDefault="00D321AB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u w:val="single"/>
          <w:lang w:val="hu-HU"/>
        </w:rPr>
        <w:t>Kreatininszint</w:t>
      </w:r>
      <w:proofErr w:type="spellEnd"/>
      <w:r>
        <w:rPr>
          <w:szCs w:val="22"/>
          <w:u w:val="single"/>
          <w:lang w:val="hu-HU"/>
        </w:rPr>
        <w:t xml:space="preserve"> emelkedés</w:t>
      </w:r>
    </w:p>
    <w:p w14:paraId="26C4A838" w14:textId="11D74EC5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kreatininszint</w:t>
      </w:r>
      <w:proofErr w:type="spellEnd"/>
      <w:r>
        <w:rPr>
          <w:szCs w:val="22"/>
          <w:lang w:val="hu-HU"/>
        </w:rPr>
        <w:t xml:space="preserve">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-kezelés ideje alatt emelkedhet. A mechanizmus még nem tisztázott. A vesefunkciót a rutin orvosi gyakorlatnak megfelelően ellenőrizni kell. Az akut coronaria szindrómás betegeknél szintén javasolt a vesefunkció ellenőrzése egy hónappal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-kezelés elkezdése után, és különös figyelmet kell fordítani a 75 éves vagy idősebb betegekre, a közepes vagy súlyos fokú </w:t>
      </w:r>
      <w:r>
        <w:rPr>
          <w:szCs w:val="22"/>
          <w:lang w:val="hu-HU"/>
        </w:rPr>
        <w:lastRenderedPageBreak/>
        <w:t xml:space="preserve">vesekárosodásban szenvedő betegekre, valamint azokra, akik egyidejűleg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-receptor-blokkoló- (ARB) kezelést kapnak.</w:t>
      </w:r>
    </w:p>
    <w:p w14:paraId="61762357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0C36A6E3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u w:val="single"/>
          <w:lang w:val="hu-HU"/>
        </w:rPr>
        <w:t>Húgysavszint emelkedés</w:t>
      </w:r>
    </w:p>
    <w:p w14:paraId="27AD039F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-kezelés alatt </w:t>
      </w:r>
      <w:proofErr w:type="spellStart"/>
      <w:r>
        <w:rPr>
          <w:szCs w:val="22"/>
          <w:lang w:val="hu-HU"/>
        </w:rPr>
        <w:t>hyperuricaemia</w:t>
      </w:r>
      <w:proofErr w:type="spellEnd"/>
      <w:r>
        <w:rPr>
          <w:szCs w:val="22"/>
          <w:lang w:val="hu-HU"/>
        </w:rPr>
        <w:t xml:space="preserve"> fordulhat elő (lásd 4.8 pont). Elővigyázatosság javasolt azoknál a betegeknél, akiknek az anamnézisében </w:t>
      </w:r>
      <w:proofErr w:type="spellStart"/>
      <w:r>
        <w:rPr>
          <w:szCs w:val="22"/>
          <w:lang w:val="hu-HU"/>
        </w:rPr>
        <w:t>hyperuricaemia</w:t>
      </w:r>
      <w:proofErr w:type="spellEnd"/>
      <w:r>
        <w:rPr>
          <w:szCs w:val="22"/>
          <w:lang w:val="hu-HU"/>
        </w:rPr>
        <w:t xml:space="preserve"> vagy köszvényes </w:t>
      </w:r>
      <w:proofErr w:type="spellStart"/>
      <w:r>
        <w:rPr>
          <w:szCs w:val="22"/>
          <w:lang w:val="hu-HU"/>
        </w:rPr>
        <w:t>arthritis</w:t>
      </w:r>
      <w:proofErr w:type="spellEnd"/>
      <w:r>
        <w:rPr>
          <w:szCs w:val="22"/>
          <w:lang w:val="hu-HU"/>
        </w:rPr>
        <w:t xml:space="preserve"> szerepel. Elővigyázatosságból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alkalmazása a húgysav-</w:t>
      </w:r>
      <w:proofErr w:type="spellStart"/>
      <w:r>
        <w:rPr>
          <w:szCs w:val="22"/>
          <w:lang w:val="hu-HU"/>
        </w:rPr>
        <w:t>nephropathiában</w:t>
      </w:r>
      <w:proofErr w:type="spellEnd"/>
      <w:r>
        <w:rPr>
          <w:szCs w:val="22"/>
          <w:lang w:val="hu-HU"/>
        </w:rPr>
        <w:t xml:space="preserve"> szenvedő betegeknél nem javasolt.</w:t>
      </w:r>
    </w:p>
    <w:p w14:paraId="3370A43C" w14:textId="77777777" w:rsidR="00284377" w:rsidRDefault="00284377">
      <w:pPr>
        <w:spacing w:line="240" w:lineRule="auto"/>
        <w:rPr>
          <w:szCs w:val="22"/>
          <w:u w:val="single"/>
          <w:lang w:val="hu-HU"/>
        </w:rPr>
      </w:pPr>
    </w:p>
    <w:p w14:paraId="0359517D" w14:textId="77777777" w:rsidR="00284377" w:rsidRDefault="00D321AB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u w:val="single"/>
          <w:lang w:val="hu-HU"/>
        </w:rPr>
        <w:t>Thromboticus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thrombocytopeniás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purpura</w:t>
      </w:r>
      <w:proofErr w:type="spellEnd"/>
      <w:r>
        <w:rPr>
          <w:szCs w:val="22"/>
          <w:u w:val="single"/>
          <w:lang w:val="hu-HU"/>
        </w:rPr>
        <w:t xml:space="preserve"> (TTP)</w:t>
      </w:r>
    </w:p>
    <w:p w14:paraId="1497EB06" w14:textId="77777777" w:rsidR="00284377" w:rsidRDefault="00D321AB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Thromboticus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thrombocytopeniás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purpura</w:t>
      </w:r>
      <w:proofErr w:type="spellEnd"/>
      <w:r>
        <w:rPr>
          <w:szCs w:val="22"/>
          <w:lang w:val="hu-HU"/>
        </w:rPr>
        <w:t xml:space="preserve"> (TTP) nagyon ritka előfordulásáról számoltak be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alkalmazása során. </w:t>
      </w:r>
      <w:proofErr w:type="spellStart"/>
      <w:r>
        <w:rPr>
          <w:szCs w:val="22"/>
          <w:lang w:val="hu-HU"/>
        </w:rPr>
        <w:t>Thrombocytopenia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microangiopathiás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haemolyticus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anaemia</w:t>
      </w:r>
      <w:proofErr w:type="spellEnd"/>
      <w:r>
        <w:rPr>
          <w:szCs w:val="22"/>
          <w:lang w:val="hu-HU"/>
        </w:rPr>
        <w:t xml:space="preserve"> jellemzi, mely akár neurológiai tünetekkel, veseműködési zavarral vagy lázzal járhat együtt. A TTP egy potenciálisan fatális állapot, mely azonnali kezelést tesz szükségessé, beleértve a </w:t>
      </w:r>
      <w:proofErr w:type="spellStart"/>
      <w:r>
        <w:rPr>
          <w:szCs w:val="22"/>
          <w:lang w:val="hu-HU"/>
        </w:rPr>
        <w:t>plazmaferezist</w:t>
      </w:r>
      <w:proofErr w:type="spellEnd"/>
      <w:r>
        <w:rPr>
          <w:szCs w:val="22"/>
          <w:lang w:val="hu-HU"/>
        </w:rPr>
        <w:t xml:space="preserve"> is.</w:t>
      </w:r>
    </w:p>
    <w:p w14:paraId="23200B04" w14:textId="77777777" w:rsidR="00284377" w:rsidRDefault="00284377">
      <w:pPr>
        <w:spacing w:line="240" w:lineRule="auto"/>
        <w:rPr>
          <w:szCs w:val="22"/>
          <w:u w:val="single"/>
          <w:lang w:val="hu-HU"/>
        </w:rPr>
      </w:pPr>
    </w:p>
    <w:p w14:paraId="1F535705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u w:val="single"/>
          <w:lang w:val="hu-HU"/>
        </w:rPr>
        <w:t xml:space="preserve">A </w:t>
      </w:r>
      <w:proofErr w:type="spellStart"/>
      <w:r>
        <w:rPr>
          <w:szCs w:val="22"/>
          <w:u w:val="single"/>
          <w:lang w:val="hu-HU"/>
        </w:rPr>
        <w:t>heparin</w:t>
      </w:r>
      <w:proofErr w:type="spellEnd"/>
      <w:r>
        <w:rPr>
          <w:szCs w:val="22"/>
          <w:u w:val="single"/>
          <w:lang w:val="hu-HU"/>
        </w:rPr>
        <w:t xml:space="preserve"> indukálta </w:t>
      </w:r>
      <w:proofErr w:type="spellStart"/>
      <w:r>
        <w:rPr>
          <w:szCs w:val="22"/>
          <w:u w:val="single"/>
          <w:lang w:val="hu-HU"/>
        </w:rPr>
        <w:t>thrombocytopenia</w:t>
      </w:r>
      <w:proofErr w:type="spellEnd"/>
      <w:r>
        <w:rPr>
          <w:szCs w:val="22"/>
          <w:u w:val="single"/>
          <w:lang w:val="hu-HU"/>
        </w:rPr>
        <w:t xml:space="preserve"> (HIT – </w:t>
      </w:r>
      <w:proofErr w:type="spellStart"/>
      <w:r>
        <w:rPr>
          <w:szCs w:val="22"/>
          <w:u w:val="single"/>
          <w:lang w:val="hu-HU"/>
        </w:rPr>
        <w:t>heparin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induced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thrombocytopenia</w:t>
      </w:r>
      <w:proofErr w:type="spellEnd"/>
      <w:r>
        <w:rPr>
          <w:szCs w:val="22"/>
          <w:u w:val="single"/>
          <w:lang w:val="hu-HU"/>
        </w:rPr>
        <w:t>) kimutatása során a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thrombocyta</w:t>
      </w:r>
      <w:proofErr w:type="spellEnd"/>
      <w:r>
        <w:rPr>
          <w:szCs w:val="22"/>
          <w:u w:val="single"/>
          <w:lang w:val="hu-HU"/>
        </w:rPr>
        <w:t>-funkciós tesztekre gyakorolt zavaró hatás</w:t>
      </w:r>
    </w:p>
    <w:p w14:paraId="5B3E27FE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HIT kimutatásához a 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 xml:space="preserve">-indukálta </w:t>
      </w:r>
      <w:proofErr w:type="spellStart"/>
      <w:r>
        <w:rPr>
          <w:szCs w:val="22"/>
          <w:lang w:val="hu-HU"/>
        </w:rPr>
        <w:t>thrombocyta</w:t>
      </w:r>
      <w:proofErr w:type="spellEnd"/>
      <w:r>
        <w:rPr>
          <w:szCs w:val="22"/>
          <w:lang w:val="hu-HU"/>
        </w:rPr>
        <w:t xml:space="preserve"> aktivációs tesztet (HIPA – 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induced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platelet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activation</w:t>
      </w:r>
      <w:proofErr w:type="spellEnd"/>
      <w:r>
        <w:rPr>
          <w:szCs w:val="22"/>
          <w:lang w:val="hu-HU"/>
        </w:rPr>
        <w:t xml:space="preserve">) alkalmazzák, amikor 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 xml:space="preserve"> jelenlétében az egészséges donorok </w:t>
      </w:r>
      <w:proofErr w:type="spellStart"/>
      <w:r>
        <w:rPr>
          <w:szCs w:val="22"/>
          <w:lang w:val="hu-HU"/>
        </w:rPr>
        <w:t>thrombocytái</w:t>
      </w:r>
      <w:proofErr w:type="spellEnd"/>
      <w:r>
        <w:rPr>
          <w:szCs w:val="22"/>
          <w:lang w:val="hu-HU"/>
        </w:rPr>
        <w:t xml:space="preserve"> aktiválódnak a beteg </w:t>
      </w:r>
      <w:proofErr w:type="spellStart"/>
      <w:r>
        <w:rPr>
          <w:szCs w:val="22"/>
          <w:lang w:val="hu-HU"/>
        </w:rPr>
        <w:t>szérumában</w:t>
      </w:r>
      <w:proofErr w:type="spellEnd"/>
      <w:r>
        <w:rPr>
          <w:szCs w:val="22"/>
          <w:lang w:val="hu-HU"/>
        </w:rPr>
        <w:t xml:space="preserve"> lévő </w:t>
      </w:r>
      <w:proofErr w:type="spellStart"/>
      <w:r>
        <w:rPr>
          <w:szCs w:val="22"/>
          <w:lang w:val="hu-HU"/>
        </w:rPr>
        <w:t>thrombocyta</w:t>
      </w:r>
      <w:proofErr w:type="spellEnd"/>
      <w:r>
        <w:rPr>
          <w:szCs w:val="22"/>
          <w:lang w:val="hu-HU"/>
        </w:rPr>
        <w:t>-ellenes faktor 4/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 xml:space="preserve"> antitestek hatására.</w:t>
      </w:r>
    </w:p>
    <w:p w14:paraId="7A91188E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HIT kimutatásakor fals negatív eredményeket jelentettek a </w:t>
      </w:r>
      <w:proofErr w:type="spellStart"/>
      <w:r>
        <w:rPr>
          <w:szCs w:val="22"/>
          <w:lang w:val="hu-HU"/>
        </w:rPr>
        <w:t>thrombocyta</w:t>
      </w:r>
      <w:proofErr w:type="spellEnd"/>
      <w:r>
        <w:rPr>
          <w:szCs w:val="22"/>
          <w:lang w:val="hu-HU"/>
        </w:rPr>
        <w:t xml:space="preserve">-funkciós tesztben (beleértve, de nem leszűkítve a HIPA tesztre) az olyan betegeknél, akik </w:t>
      </w:r>
      <w:proofErr w:type="spellStart"/>
      <w:r>
        <w:rPr>
          <w:szCs w:val="22"/>
          <w:lang w:val="hu-HU"/>
        </w:rPr>
        <w:t>tikagrelort</w:t>
      </w:r>
      <w:proofErr w:type="spellEnd"/>
      <w:r>
        <w:rPr>
          <w:szCs w:val="22"/>
          <w:lang w:val="hu-HU"/>
        </w:rPr>
        <w:t xml:space="preserve"> kaptak. Ez a betegek szérum/plazma tesztjeiben az egészséges donorok </w:t>
      </w:r>
      <w:proofErr w:type="spellStart"/>
      <w:r>
        <w:rPr>
          <w:szCs w:val="22"/>
          <w:lang w:val="hu-HU"/>
        </w:rPr>
        <w:t>thrombocytáinak</w:t>
      </w:r>
      <w:proofErr w:type="spellEnd"/>
      <w:r>
        <w:rPr>
          <w:szCs w:val="22"/>
          <w:lang w:val="hu-HU"/>
        </w:rPr>
        <w:t xml:space="preserve"> P2Y12-receptor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általi gátlásával kapcsolatos. A HIT </w:t>
      </w:r>
      <w:proofErr w:type="spellStart"/>
      <w:r>
        <w:rPr>
          <w:szCs w:val="22"/>
          <w:lang w:val="hu-HU"/>
        </w:rPr>
        <w:t>thrombocyta</w:t>
      </w:r>
      <w:proofErr w:type="spellEnd"/>
      <w:r>
        <w:rPr>
          <w:szCs w:val="22"/>
          <w:lang w:val="hu-HU"/>
        </w:rPr>
        <w:t xml:space="preserve">-funkciós tesztek értelmezéséhez szükséges az egyidejű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>-kezeléssel kapcsolatos információ.</w:t>
      </w:r>
    </w:p>
    <w:p w14:paraId="2B680542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folyamatos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-kezelés előny-kockázat arányának értékelése szükséges az olyan betegeknél, akiknél HIT alakult ki, figyelembe véve a </w:t>
      </w:r>
      <w:proofErr w:type="spellStart"/>
      <w:r>
        <w:rPr>
          <w:szCs w:val="22"/>
          <w:lang w:val="hu-HU"/>
        </w:rPr>
        <w:t>prothrombotikus</w:t>
      </w:r>
      <w:proofErr w:type="spellEnd"/>
      <w:r>
        <w:rPr>
          <w:szCs w:val="22"/>
          <w:lang w:val="hu-HU"/>
        </w:rPr>
        <w:t xml:space="preserve"> állapotukat, valamint az egyidejű </w:t>
      </w:r>
      <w:proofErr w:type="spellStart"/>
      <w:r>
        <w:rPr>
          <w:szCs w:val="22"/>
          <w:lang w:val="hu-HU"/>
        </w:rPr>
        <w:t>antikoaguláns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>-kezelés miatt a vérzés megnövekedett kockázatát.</w:t>
      </w:r>
    </w:p>
    <w:p w14:paraId="509E909D" w14:textId="77777777" w:rsidR="00284377" w:rsidRDefault="00284377">
      <w:pPr>
        <w:spacing w:line="240" w:lineRule="auto"/>
        <w:rPr>
          <w:szCs w:val="22"/>
          <w:u w:val="single"/>
          <w:lang w:val="hu-HU"/>
        </w:rPr>
      </w:pPr>
    </w:p>
    <w:p w14:paraId="6E1EB67E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u w:val="single"/>
          <w:lang w:val="hu-HU"/>
        </w:rPr>
        <w:t>Egyéb</w:t>
      </w:r>
    </w:p>
    <w:p w14:paraId="2B4BE959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PLATO-vizsgálatban az </w:t>
      </w:r>
      <w:proofErr w:type="spellStart"/>
      <w:r>
        <w:rPr>
          <w:szCs w:val="22"/>
          <w:lang w:val="hu-HU"/>
        </w:rPr>
        <w:t>acetilszalicilsav</w:t>
      </w:r>
      <w:proofErr w:type="spellEnd"/>
      <w:r>
        <w:rPr>
          <w:szCs w:val="22"/>
          <w:lang w:val="hu-HU"/>
        </w:rPr>
        <w:t xml:space="preserve"> fenntartó dózisa és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klopidogrelhez</w:t>
      </w:r>
      <w:proofErr w:type="spellEnd"/>
      <w:r>
        <w:rPr>
          <w:szCs w:val="22"/>
          <w:lang w:val="hu-HU"/>
        </w:rPr>
        <w:t xml:space="preserve"> viszonyított relatív hatásossága között megfigyelt összefüggés alapján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és az </w:t>
      </w:r>
      <w:proofErr w:type="spellStart"/>
      <w:r>
        <w:rPr>
          <w:szCs w:val="22"/>
          <w:lang w:val="hu-HU"/>
        </w:rPr>
        <w:t>acetilszalicilsav</w:t>
      </w:r>
      <w:proofErr w:type="spellEnd"/>
      <w:r>
        <w:rPr>
          <w:szCs w:val="22"/>
          <w:lang w:val="hu-HU"/>
        </w:rPr>
        <w:t xml:space="preserve"> magas fenntartó dózisának (&gt; 300 mg) egyidejű alkalmazása nem javasolt (lásd 5.1 pont).</w:t>
      </w:r>
    </w:p>
    <w:p w14:paraId="1A43D2A0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36F40F0E" w14:textId="77777777" w:rsidR="00284377" w:rsidRDefault="00D321AB">
      <w:pPr>
        <w:pStyle w:val="llb"/>
        <w:kinsoku w:val="0"/>
        <w:overflowPunct w:val="0"/>
        <w:spacing w:line="240" w:lineRule="auto"/>
        <w:rPr>
          <w:rFonts w:ascii="Times New Roman" w:eastAsia="Times New Roman" w:hAnsi="Times New Roman"/>
          <w:noProof w:val="0"/>
          <w:snapToGrid/>
          <w:sz w:val="22"/>
          <w:szCs w:val="22"/>
          <w:lang w:val="hu-HU" w:eastAsia="hu-HU"/>
        </w:rPr>
      </w:pPr>
      <w:r>
        <w:rPr>
          <w:rFonts w:ascii="Times New Roman" w:eastAsia="Times New Roman" w:hAnsi="Times New Roman"/>
          <w:noProof w:val="0"/>
          <w:snapToGrid/>
          <w:sz w:val="22"/>
          <w:szCs w:val="22"/>
          <w:u w:val="single"/>
          <w:lang w:val="hu-HU" w:eastAsia="hu-HU"/>
        </w:rPr>
        <w:t>A</w:t>
      </w:r>
      <w:r>
        <w:rPr>
          <w:rFonts w:ascii="Times New Roman" w:eastAsia="Times New Roman" w:hAnsi="Times New Roman"/>
          <w:noProof w:val="0"/>
          <w:snapToGrid/>
          <w:spacing w:val="-1"/>
          <w:sz w:val="22"/>
          <w:szCs w:val="22"/>
          <w:u w:val="single"/>
          <w:lang w:val="hu-HU" w:eastAsia="hu-HU"/>
        </w:rPr>
        <w:t xml:space="preserve"> kezelés idő előtti abbahagyása</w:t>
      </w:r>
    </w:p>
    <w:p w14:paraId="4BF25823" w14:textId="7DBC8021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56" w:line="240" w:lineRule="auto"/>
        <w:rPr>
          <w:rFonts w:eastAsia="Times New Roman"/>
          <w:snapToGrid/>
          <w:spacing w:val="-2"/>
          <w:szCs w:val="22"/>
          <w:lang w:val="hu-HU" w:eastAsia="hu-HU"/>
        </w:rPr>
      </w:pPr>
      <w:r>
        <w:rPr>
          <w:rFonts w:eastAsia="Times New Roman"/>
          <w:snapToGrid/>
          <w:spacing w:val="-2"/>
          <w:szCs w:val="22"/>
          <w:lang w:val="hu-HU" w:eastAsia="hu-HU"/>
        </w:rPr>
        <w:t>Bármilyen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thrombocyta</w:t>
      </w:r>
      <w:r w:rsidR="00555844">
        <w:rPr>
          <w:rFonts w:eastAsia="Times New Roman"/>
          <w:snapToGrid/>
          <w:spacing w:val="-1"/>
          <w:szCs w:val="22"/>
          <w:lang w:val="hu-HU" w:eastAsia="hu-HU"/>
        </w:rPr>
        <w:t>aggregáció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-gátló kezelés, köztük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Ticagrelor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HCS-BV idő előtti leállítása az alapbetegség</w:t>
      </w:r>
      <w:r>
        <w:rPr>
          <w:rFonts w:eastAsia="Times New Roman"/>
          <w:snapToGrid/>
          <w:spacing w:val="4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következtében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eredetű halálozás,</w:t>
      </w:r>
      <w:r>
        <w:rPr>
          <w:rFonts w:eastAsia="Times New Roman"/>
          <w:snapToGrid/>
          <w:szCs w:val="22"/>
          <w:lang w:val="hu-HU" w:eastAsia="hu-HU"/>
        </w:rPr>
        <w:t xml:space="preserve"> 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myocardialis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infarctus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vagy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stroke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fokozott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kockázatát eredményezheti. Ezért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kezelés idő előtti leállítását kerülni </w:t>
      </w:r>
      <w:r>
        <w:rPr>
          <w:rFonts w:eastAsia="Times New Roman"/>
          <w:snapToGrid/>
          <w:spacing w:val="-2"/>
          <w:szCs w:val="22"/>
          <w:lang w:val="hu-HU" w:eastAsia="hu-HU"/>
        </w:rPr>
        <w:t>kell.</w:t>
      </w:r>
    </w:p>
    <w:p w14:paraId="2B2C1E91" w14:textId="77777777" w:rsidR="00284377" w:rsidRDefault="00284377">
      <w:pPr>
        <w:spacing w:line="240" w:lineRule="auto"/>
        <w:rPr>
          <w:szCs w:val="22"/>
          <w:u w:val="single"/>
          <w:lang w:val="hu-HU"/>
        </w:rPr>
      </w:pPr>
    </w:p>
    <w:p w14:paraId="569D7113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Ez a készítmény kevesebb mint 1 </w:t>
      </w:r>
      <w:proofErr w:type="spellStart"/>
      <w:r>
        <w:rPr>
          <w:szCs w:val="22"/>
          <w:lang w:val="hu-HU"/>
        </w:rPr>
        <w:t>mmol</w:t>
      </w:r>
      <w:proofErr w:type="spellEnd"/>
      <w:r>
        <w:rPr>
          <w:szCs w:val="22"/>
          <w:lang w:val="hu-HU"/>
        </w:rPr>
        <w:t xml:space="preserve"> (23 mg) nátriumot tartalmaz </w:t>
      </w:r>
      <w:proofErr w:type="spellStart"/>
      <w:r>
        <w:rPr>
          <w:szCs w:val="22"/>
          <w:lang w:val="hu-HU"/>
        </w:rPr>
        <w:t>filmtablettánként</w:t>
      </w:r>
      <w:proofErr w:type="spellEnd"/>
      <w:r>
        <w:rPr>
          <w:szCs w:val="22"/>
          <w:lang w:val="hu-HU"/>
        </w:rPr>
        <w:t>, azaz gyakorlatilag “nátriummentes”.</w:t>
      </w:r>
    </w:p>
    <w:p w14:paraId="7107BBEB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50C1144A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1A3446B5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894FD7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elsősorban CYP3A4-szubsztrát, és a CYP3A4 enyhe inhibitora.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P-</w:t>
      </w:r>
      <w:proofErr w:type="spellStart"/>
      <w:r>
        <w:rPr>
          <w:sz w:val="22"/>
          <w:szCs w:val="22"/>
        </w:rPr>
        <w:t>glikoprotein</w:t>
      </w:r>
      <w:proofErr w:type="spellEnd"/>
      <w:r>
        <w:rPr>
          <w:sz w:val="22"/>
          <w:szCs w:val="22"/>
        </w:rPr>
        <w:t xml:space="preserve"> (P-</w:t>
      </w:r>
      <w:proofErr w:type="spellStart"/>
      <w:r>
        <w:rPr>
          <w:sz w:val="22"/>
          <w:szCs w:val="22"/>
        </w:rPr>
        <w:t>gp</w:t>
      </w:r>
      <w:proofErr w:type="spellEnd"/>
      <w:r>
        <w:rPr>
          <w:sz w:val="22"/>
          <w:szCs w:val="22"/>
        </w:rPr>
        <w:t xml:space="preserve">) </w:t>
      </w:r>
      <w:proofErr w:type="spellStart"/>
      <w:r>
        <w:rPr>
          <w:sz w:val="22"/>
          <w:szCs w:val="22"/>
        </w:rPr>
        <w:t>szubsztrát</w:t>
      </w:r>
      <w:proofErr w:type="spellEnd"/>
      <w:r>
        <w:rPr>
          <w:sz w:val="22"/>
          <w:szCs w:val="22"/>
        </w:rPr>
        <w:t xml:space="preserve"> és gyenge P-</w:t>
      </w:r>
      <w:proofErr w:type="spellStart"/>
      <w:r>
        <w:rPr>
          <w:sz w:val="22"/>
          <w:szCs w:val="22"/>
        </w:rPr>
        <w:t>gp</w:t>
      </w:r>
      <w:proofErr w:type="spellEnd"/>
      <w:r>
        <w:rPr>
          <w:sz w:val="22"/>
          <w:szCs w:val="22"/>
        </w:rPr>
        <w:t>-inhibitor is, és növelheti a P-</w:t>
      </w:r>
      <w:proofErr w:type="spellStart"/>
      <w:r>
        <w:rPr>
          <w:sz w:val="22"/>
          <w:szCs w:val="22"/>
        </w:rPr>
        <w:t>gp</w:t>
      </w:r>
      <w:proofErr w:type="spellEnd"/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szubsztrátok</w:t>
      </w:r>
      <w:proofErr w:type="spellEnd"/>
      <w:r>
        <w:rPr>
          <w:sz w:val="22"/>
          <w:szCs w:val="22"/>
        </w:rPr>
        <w:t xml:space="preserve"> expozícióját.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egy emlőrák-rezisztencia fehérje (BCRP) inhibitor.</w:t>
      </w:r>
    </w:p>
    <w:p w14:paraId="48C8CCE3" w14:textId="77777777" w:rsidR="00284377" w:rsidRDefault="00284377">
      <w:pPr>
        <w:pStyle w:val="Default"/>
        <w:rPr>
          <w:sz w:val="22"/>
          <w:szCs w:val="22"/>
          <w:u w:val="single"/>
        </w:rPr>
      </w:pPr>
    </w:p>
    <w:p w14:paraId="5A68FBE0" w14:textId="77777777" w:rsidR="00284377" w:rsidRDefault="00D321AB">
      <w:pPr>
        <w:pStyle w:val="Defaul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Gyógyszerek és más készítmények </w:t>
      </w:r>
      <w:proofErr w:type="spellStart"/>
      <w:r>
        <w:rPr>
          <w:sz w:val="22"/>
          <w:szCs w:val="22"/>
          <w:u w:val="single"/>
        </w:rPr>
        <w:t>tikagrelorra</w:t>
      </w:r>
      <w:proofErr w:type="spellEnd"/>
      <w:r>
        <w:rPr>
          <w:sz w:val="22"/>
          <w:szCs w:val="22"/>
          <w:u w:val="single"/>
        </w:rPr>
        <w:t xml:space="preserve"> gyakorolt hatása</w:t>
      </w:r>
    </w:p>
    <w:p w14:paraId="0893B14C" w14:textId="77777777" w:rsidR="00284377" w:rsidRDefault="00284377">
      <w:pPr>
        <w:pStyle w:val="Default"/>
        <w:rPr>
          <w:sz w:val="22"/>
          <w:szCs w:val="22"/>
          <w:u w:val="single"/>
        </w:rPr>
      </w:pPr>
    </w:p>
    <w:p w14:paraId="250559D2" w14:textId="77777777" w:rsidR="00284377" w:rsidRDefault="00D321AB">
      <w:pPr>
        <w:pStyle w:val="Default"/>
        <w:rPr>
          <w:sz w:val="22"/>
          <w:szCs w:val="22"/>
        </w:rPr>
      </w:pPr>
      <w:r>
        <w:rPr>
          <w:i/>
          <w:sz w:val="22"/>
          <w:szCs w:val="22"/>
          <w:u w:val="single"/>
        </w:rPr>
        <w:t>CYP3A4-inhibitorok</w:t>
      </w:r>
    </w:p>
    <w:p w14:paraId="5953A361" w14:textId="77777777" w:rsidR="00284377" w:rsidRDefault="00D321AB">
      <w:pPr>
        <w:widowControl w:val="0"/>
        <w:numPr>
          <w:ilvl w:val="1"/>
          <w:numId w:val="56"/>
        </w:numPr>
        <w:kinsoku w:val="0"/>
        <w:overflowPunct w:val="0"/>
        <w:autoSpaceDE w:val="0"/>
        <w:autoSpaceDN w:val="0"/>
        <w:adjustRightInd w:val="0"/>
        <w:spacing w:before="1" w:line="240" w:lineRule="auto"/>
        <w:ind w:left="567" w:hanging="567"/>
        <w:rPr>
          <w:rFonts w:eastAsia="Times New Roman"/>
          <w:snapToGrid/>
          <w:spacing w:val="-3"/>
          <w:szCs w:val="22"/>
          <w:lang w:val="hu-HU" w:eastAsia="hu-HU"/>
        </w:rPr>
      </w:pPr>
      <w:r>
        <w:rPr>
          <w:rFonts w:eastAsia="Times New Roman"/>
          <w:i/>
          <w:snapToGrid/>
          <w:spacing w:val="-1"/>
          <w:szCs w:val="22"/>
          <w:lang w:val="hu-HU" w:eastAsia="hu-HU"/>
        </w:rPr>
        <w:t>Erős</w:t>
      </w:r>
      <w:r>
        <w:rPr>
          <w:rFonts w:eastAsia="Times New Roman"/>
          <w:i/>
          <w:snapToGrid/>
          <w:spacing w:val="-2"/>
          <w:szCs w:val="22"/>
          <w:lang w:val="hu-HU" w:eastAsia="hu-HU"/>
        </w:rPr>
        <w:t xml:space="preserve"> CYP3A4-inhibitorok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–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ketokonazol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együttes alkalmazása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40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40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-át</w:t>
      </w:r>
      <w:r>
        <w:rPr>
          <w:rFonts w:eastAsia="Times New Roman"/>
          <w:snapToGrid/>
          <w:spacing w:val="3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2,4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noBreakHyphen/>
        <w:t>szeresére</w:t>
      </w:r>
      <w:r>
        <w:rPr>
          <w:rFonts w:eastAsia="Times New Roman"/>
          <w:snapToGrid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és</w:t>
      </w:r>
      <w:r>
        <w:rPr>
          <w:rFonts w:eastAsia="Times New Roman"/>
          <w:snapToGrid/>
          <w:spacing w:val="-4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az</w:t>
      </w:r>
      <w:r>
        <w:rPr>
          <w:rFonts w:eastAsia="Times New Roman"/>
          <w:snapToGrid/>
          <w:spacing w:val="-3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position w:val="2"/>
          <w:szCs w:val="22"/>
          <w:lang w:val="hu-HU" w:eastAsia="hu-HU"/>
        </w:rPr>
        <w:t>AUC-jét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7,3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noBreakHyphen/>
        <w:t>szeresére növelte.</w:t>
      </w:r>
      <w:r>
        <w:rPr>
          <w:rFonts w:eastAsia="Times New Roman"/>
          <w:snapToGrid/>
          <w:spacing w:val="-2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Az aktív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pacing w:val="-2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C</w:t>
      </w:r>
      <w:proofErr w:type="spellStart"/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-a</w:t>
      </w:r>
      <w:r>
        <w:rPr>
          <w:rFonts w:eastAsia="Times New Roman"/>
          <w:snapToGrid/>
          <w:spacing w:val="2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89%-kal,</w:t>
      </w:r>
      <w:r>
        <w:rPr>
          <w:rFonts w:eastAsia="Times New Roman"/>
          <w:snapToGrid/>
          <w:spacing w:val="42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AUC-je pedig 56%</w:t>
      </w:r>
      <w:r>
        <w:rPr>
          <w:rFonts w:eastAsia="Times New Roman"/>
          <w:snapToGrid/>
          <w:spacing w:val="-1"/>
          <w:szCs w:val="22"/>
          <w:lang w:val="hu-HU" w:eastAsia="hu-HU"/>
        </w:rPr>
        <w:noBreakHyphen/>
        <w:t xml:space="preserve">kal csökkent.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CYP3A4 más, erős inhibitorainak </w:t>
      </w:r>
      <w:r>
        <w:rPr>
          <w:rFonts w:eastAsia="Times New Roman"/>
          <w:snapToGrid/>
          <w:spacing w:val="-2"/>
          <w:szCs w:val="22"/>
          <w:lang w:val="hu-HU" w:eastAsia="hu-HU"/>
        </w:rPr>
        <w:t>(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klaritromicin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>,</w:t>
      </w:r>
      <w:r>
        <w:rPr>
          <w:rFonts w:eastAsia="Times New Roman"/>
          <w:snapToGrid/>
          <w:spacing w:val="48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nefazadon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ritonavir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atazanavir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) várhatóan hasonló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hatása,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ezért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az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erős </w:t>
      </w:r>
      <w:r>
        <w:rPr>
          <w:rFonts w:eastAsia="Times New Roman"/>
          <w:snapToGrid/>
          <w:spacing w:val="-1"/>
          <w:szCs w:val="22"/>
          <w:lang w:val="hu-HU" w:eastAsia="hu-HU"/>
        </w:rPr>
        <w:t>CYP3A4-inhibitoroknak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tikagrelorral</w:t>
      </w:r>
      <w:proofErr w:type="spellEnd"/>
      <w:r>
        <w:rPr>
          <w:rFonts w:eastAsia="Times New Roman"/>
          <w:snapToGrid/>
          <w:spacing w:val="-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történő egyidejű alkalmazása</w:t>
      </w:r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ellenjavallt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(lásd 4.3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3"/>
          <w:szCs w:val="22"/>
          <w:lang w:val="hu-HU" w:eastAsia="hu-HU"/>
        </w:rPr>
        <w:t>pont).</w:t>
      </w:r>
    </w:p>
    <w:p w14:paraId="78AFB520" w14:textId="77777777" w:rsidR="00284377" w:rsidRDefault="00D321AB">
      <w:pPr>
        <w:widowControl w:val="0"/>
        <w:numPr>
          <w:ilvl w:val="1"/>
          <w:numId w:val="56"/>
        </w:numPr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snapToGrid/>
          <w:spacing w:val="-1"/>
          <w:szCs w:val="22"/>
          <w:lang w:val="hu-HU" w:eastAsia="hu-HU"/>
        </w:rPr>
      </w:pPr>
      <w:r>
        <w:rPr>
          <w:rFonts w:eastAsia="Times New Roman"/>
          <w:i/>
          <w:snapToGrid/>
          <w:spacing w:val="-1"/>
          <w:szCs w:val="22"/>
          <w:lang w:val="hu-HU" w:eastAsia="hu-HU"/>
        </w:rPr>
        <w:lastRenderedPageBreak/>
        <w:t>Közepesen</w:t>
      </w:r>
      <w:r>
        <w:rPr>
          <w:rFonts w:eastAsia="Times New Roman"/>
          <w:i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i/>
          <w:snapToGrid/>
          <w:spacing w:val="-1"/>
          <w:szCs w:val="22"/>
          <w:lang w:val="hu-HU" w:eastAsia="hu-HU"/>
        </w:rPr>
        <w:t>erős</w:t>
      </w:r>
      <w:r>
        <w:rPr>
          <w:rFonts w:eastAsia="Times New Roman"/>
          <w:i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i/>
          <w:snapToGrid/>
          <w:spacing w:val="-1"/>
          <w:szCs w:val="22"/>
          <w:lang w:val="hu-HU" w:eastAsia="hu-HU"/>
        </w:rPr>
        <w:t>CYP3A4-inhibitorok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–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diltiazem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együttes alkalmazása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-át 69%</w:t>
      </w:r>
      <w:r>
        <w:rPr>
          <w:rFonts w:eastAsia="Times New Roman"/>
          <w:snapToGrid/>
          <w:spacing w:val="-1"/>
          <w:szCs w:val="22"/>
          <w:lang w:val="hu-HU" w:eastAsia="hu-HU"/>
        </w:rPr>
        <w:noBreakHyphen/>
        <w:t>kal, az AUC-jét pedig a 2,7</w:t>
      </w:r>
      <w:r>
        <w:rPr>
          <w:rFonts w:eastAsia="Times New Roman"/>
          <w:snapToGrid/>
          <w:spacing w:val="-1"/>
          <w:szCs w:val="22"/>
          <w:lang w:val="hu-HU" w:eastAsia="hu-HU"/>
        </w:rPr>
        <w:noBreakHyphen/>
        <w:t xml:space="preserve">szeresére növelte. Az aktív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-a 38%-kal csökkent, AUC-je változatlan maradt.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tikagrelornak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nem volt hatása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diltiazem</w:t>
      </w:r>
      <w:proofErr w:type="spellEnd"/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plazmaszintre.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CYP3A4 más, közepesen erős inhibitorainak (például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amprenavir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aprepitant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,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eritromicin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flukonazol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) várhatóan hasonló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hatása, és azok is </w:t>
      </w:r>
      <w:r>
        <w:rPr>
          <w:rFonts w:eastAsia="Times New Roman"/>
          <w:snapToGrid/>
          <w:spacing w:val="-2"/>
          <w:szCs w:val="22"/>
          <w:lang w:val="hu-HU" w:eastAsia="hu-HU"/>
        </w:rPr>
        <w:t>együtt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adhatók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tikagrelorral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.</w:t>
      </w:r>
    </w:p>
    <w:p w14:paraId="07C47441" w14:textId="77777777" w:rsidR="00284377" w:rsidRDefault="00D321AB">
      <w:pPr>
        <w:widowControl w:val="0"/>
        <w:numPr>
          <w:ilvl w:val="1"/>
          <w:numId w:val="56"/>
        </w:numPr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snapToGrid/>
          <w:spacing w:val="-1"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expozíciójának 2-szeres növekedését figyelték meg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napi nagy mennyiségű</w:t>
      </w:r>
      <w:r>
        <w:rPr>
          <w:rFonts w:eastAsia="Times New Roman"/>
          <w:snapToGrid/>
          <w:spacing w:val="27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grépfrútlé fogyasztását követően (3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×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200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ml). Az expozíció ilyen mértékű növekedése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legtöbb betegnél várhatóan nem lesz klinikailag jelentős.</w:t>
      </w:r>
    </w:p>
    <w:p w14:paraId="16AC9D2F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16D70F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>CYP3A-induktorok</w:t>
      </w:r>
    </w:p>
    <w:p w14:paraId="42454320" w14:textId="77777777" w:rsidR="00284377" w:rsidRDefault="00D321AB">
      <w:pPr>
        <w:widowControl w:val="0"/>
        <w:tabs>
          <w:tab w:val="clear" w:pos="567"/>
          <w:tab w:val="left" w:pos="10206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pacing w:val="-2"/>
          <w:szCs w:val="22"/>
          <w:lang w:val="hu-HU" w:eastAsia="hu-HU"/>
        </w:rPr>
      </w:pPr>
      <w:r>
        <w:rPr>
          <w:rFonts w:eastAsia="Times New Roman"/>
          <w:snapToGrid/>
          <w:position w:val="2"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position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rifampicin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és </w:t>
      </w:r>
      <w:r>
        <w:rPr>
          <w:rFonts w:eastAsia="Times New Roman"/>
          <w:snapToGrid/>
          <w:position w:val="2"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1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együttes</w:t>
      </w:r>
      <w:r>
        <w:rPr>
          <w:rFonts w:eastAsia="Times New Roman"/>
          <w:snapToGrid/>
          <w:spacing w:val="-2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alkalmazása </w:t>
      </w:r>
      <w:r>
        <w:rPr>
          <w:rFonts w:eastAsia="Times New Roman"/>
          <w:snapToGrid/>
          <w:position w:val="2"/>
          <w:szCs w:val="22"/>
          <w:lang w:val="hu-HU" w:eastAsia="hu-HU"/>
        </w:rPr>
        <w:t>a</w:t>
      </w:r>
      <w:r>
        <w:rPr>
          <w:rFonts w:eastAsia="Times New Roman"/>
          <w:snapToGrid/>
          <w:spacing w:val="-3"/>
          <w:position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C</w:t>
      </w:r>
      <w:proofErr w:type="spellStart"/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-át</w:t>
      </w:r>
      <w:r>
        <w:rPr>
          <w:rFonts w:eastAsia="Times New Roman"/>
          <w:snapToGrid/>
          <w:spacing w:val="2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73%-kal,</w:t>
      </w:r>
      <w:r>
        <w:rPr>
          <w:rFonts w:eastAsia="Times New Roman"/>
          <w:snapToGrid/>
          <w:spacing w:val="-4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AUC-jét pedig 86%-kal csökkentette. Az aktív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position w:val="2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-a változatlan maradt, AUC-je pedig 46%-kal csökkent. Más CYP3A-</w:t>
      </w:r>
      <w:r>
        <w:rPr>
          <w:rFonts w:eastAsia="Times New Roman"/>
          <w:snapToGrid/>
          <w:spacing w:val="-1"/>
          <w:szCs w:val="22"/>
          <w:lang w:val="hu-HU" w:eastAsia="hu-HU"/>
        </w:rPr>
        <w:t>induktorok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(például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fenitoin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karbamazepin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fenobarbitál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) is várhatóan hasonlóan</w:t>
      </w:r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csökkentik</w:t>
      </w:r>
      <w:r>
        <w:rPr>
          <w:rFonts w:eastAsia="Times New Roman"/>
          <w:snapToGrid/>
          <w:szCs w:val="22"/>
          <w:lang w:val="hu-HU" w:eastAsia="hu-HU"/>
        </w:rPr>
        <w:t xml:space="preserve"> 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expozícióját.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potens </w:t>
      </w:r>
      <w:r>
        <w:rPr>
          <w:rFonts w:eastAsia="Times New Roman"/>
          <w:snapToGrid/>
          <w:spacing w:val="-2"/>
          <w:szCs w:val="22"/>
          <w:lang w:val="hu-HU" w:eastAsia="hu-HU"/>
        </w:rPr>
        <w:t>CYP3A-induktorok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együttes alkalmazása</w:t>
      </w:r>
      <w:r>
        <w:rPr>
          <w:rFonts w:eastAsia="Times New Roman"/>
          <w:snapToGrid/>
          <w:spacing w:val="4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csökkentheti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expozícióját és </w:t>
      </w:r>
      <w:r>
        <w:rPr>
          <w:rFonts w:eastAsia="Times New Roman"/>
          <w:snapToGrid/>
          <w:spacing w:val="-2"/>
          <w:szCs w:val="22"/>
          <w:lang w:val="hu-HU" w:eastAsia="hu-HU"/>
        </w:rPr>
        <w:t>hatásosságát,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ezért együttes alkalmazásuk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tikagrelorral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4"/>
          <w:szCs w:val="22"/>
          <w:lang w:val="hu-HU" w:eastAsia="hu-HU"/>
        </w:rPr>
        <w:t>nem</w:t>
      </w:r>
      <w:r>
        <w:rPr>
          <w:rFonts w:eastAsia="Times New Roman"/>
          <w:snapToGrid/>
          <w:spacing w:val="37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javasolt.</w:t>
      </w:r>
    </w:p>
    <w:p w14:paraId="762CF305" w14:textId="77777777" w:rsidR="00284377" w:rsidRDefault="00284377">
      <w:pPr>
        <w:widowControl w:val="0"/>
        <w:tabs>
          <w:tab w:val="clear" w:pos="567"/>
          <w:tab w:val="left" w:pos="10206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u w:val="single"/>
          <w:lang w:val="hu-HU" w:eastAsia="hu-HU"/>
        </w:rPr>
      </w:pPr>
    </w:p>
    <w:p w14:paraId="35740333" w14:textId="77777777" w:rsidR="00284377" w:rsidRDefault="00D321AB">
      <w:pPr>
        <w:widowControl w:val="0"/>
        <w:tabs>
          <w:tab w:val="clear" w:pos="567"/>
          <w:tab w:val="left" w:pos="10206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proofErr w:type="spellStart"/>
      <w:r>
        <w:rPr>
          <w:rFonts w:eastAsia="Times New Roman"/>
          <w:i/>
          <w:iCs/>
          <w:snapToGrid/>
          <w:szCs w:val="22"/>
          <w:u w:val="single"/>
          <w:lang w:val="hu-HU" w:eastAsia="hu-HU"/>
        </w:rPr>
        <w:t>Ciklosporin</w:t>
      </w:r>
      <w:proofErr w:type="spellEnd"/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 </w:t>
      </w:r>
      <w:r>
        <w:rPr>
          <w:rFonts w:eastAsia="Times New Roman"/>
          <w:i/>
          <w:iCs/>
          <w:snapToGrid/>
          <w:spacing w:val="-2"/>
          <w:szCs w:val="22"/>
          <w:u w:val="single"/>
          <w:lang w:val="hu-HU" w:eastAsia="hu-HU"/>
        </w:rPr>
        <w:t>(P-</w:t>
      </w:r>
      <w:proofErr w:type="spellStart"/>
      <w:r>
        <w:rPr>
          <w:rFonts w:eastAsia="Times New Roman"/>
          <w:i/>
          <w:iCs/>
          <w:snapToGrid/>
          <w:spacing w:val="-2"/>
          <w:szCs w:val="22"/>
          <w:u w:val="single"/>
          <w:lang w:val="hu-HU" w:eastAsia="hu-HU"/>
        </w:rPr>
        <w:t>gp</w:t>
      </w:r>
      <w:proofErr w:type="spellEnd"/>
      <w:r>
        <w:rPr>
          <w:rFonts w:eastAsia="Times New Roman"/>
          <w:i/>
          <w:iCs/>
          <w:snapToGrid/>
          <w:spacing w:val="-2"/>
          <w:szCs w:val="22"/>
          <w:u w:val="single"/>
          <w:lang w:val="hu-HU" w:eastAsia="hu-HU"/>
        </w:rPr>
        <w:t>-</w:t>
      </w:r>
      <w:r>
        <w:rPr>
          <w:rFonts w:eastAsia="Times New Roman"/>
          <w:i/>
          <w:iCs/>
          <w:snapToGrid/>
          <w:szCs w:val="22"/>
          <w:u w:val="single"/>
          <w:lang w:val="hu-HU" w:eastAsia="hu-HU"/>
        </w:rPr>
        <w:t xml:space="preserve"> </w:t>
      </w: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>és CYP3A-inhibitor)</w:t>
      </w:r>
    </w:p>
    <w:p w14:paraId="54D0A860" w14:textId="0BF59D95" w:rsidR="00284377" w:rsidRDefault="00D321AB" w:rsidP="005B1D39">
      <w:pPr>
        <w:widowControl w:val="0"/>
        <w:tabs>
          <w:tab w:val="clear" w:pos="567"/>
          <w:tab w:val="left" w:pos="10206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ciklosporin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(600 mg) és a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együttes alkalmazása a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position w:val="2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-át 2,3-szeresére, AUC-jét pedig 2,8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noBreakHyphen/>
        <w:t xml:space="preserve">szeresére növelte. Az aktív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AUC-értéke 32%-kal növekedett, és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position w:val="2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-értéke 15%-kal csökkent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ciklosporin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jelenlétében.</w:t>
      </w:r>
    </w:p>
    <w:p w14:paraId="63D84C5B" w14:textId="77777777" w:rsidR="00284377" w:rsidRDefault="00D321AB">
      <w:pPr>
        <w:tabs>
          <w:tab w:val="left" w:pos="10206"/>
        </w:tabs>
        <w:spacing w:line="240" w:lineRule="auto"/>
        <w:rPr>
          <w:rFonts w:eastAsia="Times New Roman"/>
          <w:spacing w:val="-1"/>
          <w:szCs w:val="22"/>
          <w:lang w:val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-expozíciót esetleg szintén emelő egyéb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hatóanyagok,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amelyek potens</w:t>
      </w:r>
      <w:r>
        <w:rPr>
          <w:rFonts w:eastAsia="Times New Roman"/>
          <w:snapToGrid/>
          <w:spacing w:val="4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P-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gp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-inhibitorok és közepesen erős CYP3A4-inhibitorok is (például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verapamil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kinidin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), együttes </w:t>
      </w:r>
      <w:r>
        <w:rPr>
          <w:rFonts w:eastAsia="Times New Roman"/>
          <w:spacing w:val="-1"/>
          <w:szCs w:val="22"/>
          <w:lang w:val="hu-HU"/>
        </w:rPr>
        <w:t xml:space="preserve">alkalmazására vonatkozóan nem </w:t>
      </w:r>
      <w:r>
        <w:rPr>
          <w:rFonts w:eastAsia="Times New Roman"/>
          <w:szCs w:val="22"/>
          <w:lang w:val="hu-HU"/>
        </w:rPr>
        <w:t>áll</w:t>
      </w:r>
      <w:r>
        <w:rPr>
          <w:rFonts w:eastAsia="Times New Roman"/>
          <w:spacing w:val="-1"/>
          <w:szCs w:val="22"/>
          <w:lang w:val="hu-HU"/>
        </w:rPr>
        <w:t xml:space="preserve"> rendelkezésre adat. Ha az </w:t>
      </w:r>
      <w:proofErr w:type="spellStart"/>
      <w:r>
        <w:rPr>
          <w:rFonts w:eastAsia="Times New Roman"/>
          <w:spacing w:val="-1"/>
          <w:szCs w:val="22"/>
          <w:lang w:val="hu-HU"/>
        </w:rPr>
        <w:t>együttadás</w:t>
      </w:r>
      <w:proofErr w:type="spellEnd"/>
      <w:r>
        <w:rPr>
          <w:rFonts w:eastAsia="Times New Roman"/>
          <w:spacing w:val="-1"/>
          <w:szCs w:val="22"/>
          <w:lang w:val="hu-HU"/>
        </w:rPr>
        <w:t xml:space="preserve"> elkerülhetetlen, akkor az</w:t>
      </w:r>
      <w:r>
        <w:rPr>
          <w:rFonts w:eastAsia="Times New Roman"/>
          <w:spacing w:val="20"/>
          <w:szCs w:val="22"/>
          <w:lang w:val="hu-HU"/>
        </w:rPr>
        <w:t xml:space="preserve"> </w:t>
      </w:r>
      <w:r>
        <w:rPr>
          <w:rFonts w:eastAsia="Times New Roman"/>
          <w:spacing w:val="-1"/>
          <w:szCs w:val="22"/>
          <w:lang w:val="hu-HU"/>
        </w:rPr>
        <w:t>együttes alkalmazást óvatosan kell végezni.</w:t>
      </w:r>
    </w:p>
    <w:p w14:paraId="7BF624F5" w14:textId="77777777" w:rsidR="00284377" w:rsidRDefault="00284377">
      <w:pPr>
        <w:pStyle w:val="Default"/>
        <w:tabs>
          <w:tab w:val="left" w:pos="10206"/>
        </w:tabs>
        <w:rPr>
          <w:sz w:val="22"/>
          <w:szCs w:val="22"/>
        </w:rPr>
      </w:pPr>
    </w:p>
    <w:p w14:paraId="2CF4CC68" w14:textId="77777777" w:rsidR="00284377" w:rsidRDefault="00D321AB">
      <w:pPr>
        <w:pStyle w:val="Default"/>
        <w:tabs>
          <w:tab w:val="left" w:pos="10206"/>
        </w:tabs>
        <w:rPr>
          <w:i/>
          <w:sz w:val="22"/>
          <w:szCs w:val="22"/>
        </w:rPr>
      </w:pPr>
      <w:r>
        <w:rPr>
          <w:i/>
          <w:sz w:val="22"/>
          <w:szCs w:val="22"/>
          <w:u w:val="single"/>
        </w:rPr>
        <w:t>Egyéb</w:t>
      </w:r>
    </w:p>
    <w:p w14:paraId="6602B89B" w14:textId="68AB1194" w:rsidR="00284377" w:rsidRDefault="00D321AB" w:rsidP="005B1D39">
      <w:pPr>
        <w:widowControl w:val="0"/>
        <w:tabs>
          <w:tab w:val="clear" w:pos="567"/>
          <w:tab w:val="left" w:pos="10206"/>
        </w:tabs>
        <w:kinsoku w:val="0"/>
        <w:overflowPunct w:val="0"/>
        <w:autoSpaceDE w:val="0"/>
        <w:autoSpaceDN w:val="0"/>
        <w:adjustRightInd w:val="0"/>
        <w:spacing w:before="55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 xml:space="preserve">Klinikai farmakológiai interakciós vizsgálatok azt mutatták, hogy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heparinnal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,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enoxaparinnal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acetilszalicilsavval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vagy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dezmopresszinnel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történő együttes adása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önmagában történő adásához képest nem volt semmilyen hatással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proofErr w:type="gram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proofErr w:type="gram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vagy az aktív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farmakokinetikájára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>,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sem az ADP-indukált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thrombocyta-aggregációra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. Ha az klinikailag indokolt,</w:t>
      </w:r>
      <w:r>
        <w:rPr>
          <w:rFonts w:eastAsia="Times New Roman"/>
          <w:snapToGrid/>
          <w:spacing w:val="5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akkor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haemostasist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megváltoztató gyógyszereket óvatosan kell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tikagrelorral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kombinációban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adni.</w:t>
      </w:r>
    </w:p>
    <w:p w14:paraId="117108C6" w14:textId="77777777" w:rsidR="00284377" w:rsidRDefault="00D321AB">
      <w:pPr>
        <w:widowControl w:val="0"/>
        <w:tabs>
          <w:tab w:val="clear" w:pos="567"/>
          <w:tab w:val="left" w:pos="10206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pacing w:val="-1"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>Az orális P2Y</w:t>
      </w:r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12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-inhibitorok, köztük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aktív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metabolitja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expozíciójának elhúzódását és csökkenését figyelték meg az olyan akut coronaria szindrómás betegeknél, akiket morfinnal kezeltek (a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expozíció 35%-os csökkenése). Ez a kölcsönhatás a csökkent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gastrointestinalis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motilitással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lehet kapcsolatos és egyéb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opioidokra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is vonatkozik. A klinikai jelentősége nem ismert, de az adatok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hatásosságának lehetséges </w:t>
      </w:r>
      <w:proofErr w:type="gramStart"/>
      <w:r>
        <w:rPr>
          <w:rFonts w:eastAsia="Times New Roman"/>
          <w:snapToGrid/>
          <w:spacing w:val="-1"/>
          <w:szCs w:val="22"/>
          <w:lang w:val="hu-HU" w:eastAsia="hu-HU"/>
        </w:rPr>
        <w:t>csökkenését mutatják</w:t>
      </w:r>
      <w:proofErr w:type="gram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az olyan betegeknél, akiket egyidejűleg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tikagrelorral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morfinnal kezeltek. Azoknál az akut coronaria szindrómás betegeknél, akiknél a morfin adását nem lehet mellőzni és a gyors P2Y</w:t>
      </w:r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12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-gátlás döntő fontosságú,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parenterális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P2Y</w:t>
      </w:r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12</w:t>
      </w:r>
      <w:r>
        <w:rPr>
          <w:rFonts w:eastAsia="Times New Roman"/>
          <w:snapToGrid/>
          <w:spacing w:val="-1"/>
          <w:szCs w:val="22"/>
          <w:lang w:val="hu-HU" w:eastAsia="hu-HU"/>
        </w:rPr>
        <w:t>-inhibitor alkalmazását lehet mérlegelni.</w:t>
      </w:r>
    </w:p>
    <w:p w14:paraId="386A4E13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zCs w:val="22"/>
          <w:lang w:val="hu-HU" w:eastAsia="hu-HU"/>
        </w:rPr>
      </w:pPr>
    </w:p>
    <w:p w14:paraId="614206F1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u w:val="single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u w:val="single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u w:val="single"/>
          <w:lang w:val="hu-HU" w:eastAsia="hu-HU"/>
        </w:rPr>
        <w:t xml:space="preserve"> </w:t>
      </w:r>
      <w:r>
        <w:rPr>
          <w:rFonts w:eastAsia="Times New Roman"/>
          <w:snapToGrid/>
          <w:spacing w:val="-3"/>
          <w:szCs w:val="22"/>
          <w:u w:val="single"/>
          <w:lang w:val="hu-HU" w:eastAsia="hu-HU"/>
        </w:rPr>
        <w:t>más</w:t>
      </w:r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 xml:space="preserve"> gyógyszerekre gyakorolt hatása</w:t>
      </w:r>
    </w:p>
    <w:p w14:paraId="3D1135CD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6" w:line="240" w:lineRule="auto"/>
        <w:rPr>
          <w:rFonts w:eastAsia="Times New Roman"/>
          <w:snapToGrid/>
          <w:szCs w:val="22"/>
          <w:lang w:val="hu-HU" w:eastAsia="hu-HU"/>
        </w:rPr>
      </w:pPr>
    </w:p>
    <w:p w14:paraId="5849C2AD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72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zCs w:val="22"/>
          <w:u w:val="single"/>
          <w:lang w:val="hu-HU" w:eastAsia="hu-HU"/>
        </w:rPr>
        <w:t>A</w:t>
      </w: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 CYP3A4 által </w:t>
      </w:r>
      <w:proofErr w:type="spellStart"/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>metabolizált</w:t>
      </w:r>
      <w:proofErr w:type="spellEnd"/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 gyógyszerek</w:t>
      </w:r>
    </w:p>
    <w:p w14:paraId="20BE5272" w14:textId="77777777" w:rsidR="00284377" w:rsidRDefault="00D321AB">
      <w:pPr>
        <w:widowControl w:val="0"/>
        <w:numPr>
          <w:ilvl w:val="1"/>
          <w:numId w:val="56"/>
        </w:numPr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snapToGrid/>
          <w:spacing w:val="-1"/>
          <w:szCs w:val="22"/>
          <w:lang w:val="hu-HU" w:eastAsia="hu-HU"/>
        </w:rPr>
      </w:pPr>
      <w:proofErr w:type="spellStart"/>
      <w:r>
        <w:rPr>
          <w:rFonts w:eastAsia="Times New Roman"/>
          <w:i/>
          <w:iCs/>
          <w:snapToGrid/>
          <w:position w:val="2"/>
          <w:szCs w:val="22"/>
          <w:lang w:val="hu-HU" w:eastAsia="hu-HU"/>
        </w:rPr>
        <w:t>Szimvasztatin</w:t>
      </w:r>
      <w:proofErr w:type="spellEnd"/>
      <w:r>
        <w:rPr>
          <w:rFonts w:eastAsia="Times New Roman"/>
          <w:i/>
          <w:iCs/>
          <w:snapToGrid/>
          <w:spacing w:val="-4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position w:val="2"/>
          <w:szCs w:val="22"/>
          <w:lang w:val="hu-HU" w:eastAsia="hu-HU"/>
        </w:rPr>
        <w:t>–</w:t>
      </w:r>
      <w:r>
        <w:rPr>
          <w:rFonts w:eastAsia="Times New Roman"/>
          <w:snapToGrid/>
          <w:spacing w:val="-3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position w:val="2"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és</w:t>
      </w:r>
      <w:r>
        <w:rPr>
          <w:rFonts w:eastAsia="Times New Roman"/>
          <w:snapToGrid/>
          <w:spacing w:val="-2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position w:val="2"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szimvasztatin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együttes alkalmazása </w:t>
      </w:r>
      <w:r>
        <w:rPr>
          <w:rFonts w:eastAsia="Times New Roman"/>
          <w:snapToGrid/>
          <w:position w:val="2"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position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szimvasztatin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position w:val="2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-át</w:t>
      </w:r>
      <w:r>
        <w:rPr>
          <w:rFonts w:eastAsia="Times New Roman"/>
          <w:snapToGrid/>
          <w:spacing w:val="26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81%-kal,</w:t>
      </w:r>
      <w:r>
        <w:rPr>
          <w:rFonts w:eastAsia="Times New Roman"/>
          <w:snapToGrid/>
          <w:spacing w:val="-3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>az</w:t>
      </w:r>
      <w:r>
        <w:rPr>
          <w:rFonts w:eastAsia="Times New Roman"/>
          <w:snapToGrid/>
          <w:spacing w:val="-2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AUC-jét pedig 56%-kal növelte,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szimvasztatinsav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-át 64%-kal, az AUC-jét pedig 52%-kal növelte, néhány egyénnél az emelkedés 2</w:t>
      </w:r>
      <w:r>
        <w:rPr>
          <w:rFonts w:eastAsia="Times New Roman"/>
          <w:snapToGrid/>
          <w:spacing w:val="-1"/>
          <w:szCs w:val="22"/>
          <w:lang w:val="hu-HU" w:eastAsia="hu-HU"/>
        </w:rPr>
        <w:noBreakHyphen/>
        <w:t xml:space="preserve">3-szoros volt.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a napi 40 mg-ot meghaladó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szimvasztatin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dózisok együttes alkalmazása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szimvasztatin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okozta mellékhatásokkal járhat, amit a lehetséges előnyökkel szemben mérlegelni kell.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szimvasztatinnak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nem volt hatása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plazmaszintre.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tikagrelornak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hasonló hatása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lehet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lovasztatinra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.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és a 40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3"/>
          <w:szCs w:val="22"/>
          <w:lang w:val="hu-HU" w:eastAsia="hu-HU"/>
        </w:rPr>
        <w:t>mg-nál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magasabb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szimvasztatin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vagy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lovasztatin</w:t>
      </w:r>
      <w:proofErr w:type="spellEnd"/>
      <w:r>
        <w:rPr>
          <w:rFonts w:eastAsia="Times New Roman"/>
          <w:snapToGrid/>
          <w:spacing w:val="2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dózisok egyidejű alkalmazása nem javasolt.</w:t>
      </w:r>
    </w:p>
    <w:p w14:paraId="406DB2F6" w14:textId="77777777" w:rsidR="00284377" w:rsidRDefault="00D321AB">
      <w:pPr>
        <w:widowControl w:val="0"/>
        <w:numPr>
          <w:ilvl w:val="1"/>
          <w:numId w:val="56"/>
        </w:numPr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snapToGrid/>
          <w:spacing w:val="-1"/>
          <w:szCs w:val="22"/>
          <w:lang w:val="hu-HU" w:eastAsia="hu-HU"/>
        </w:rPr>
      </w:pPr>
      <w:proofErr w:type="spellStart"/>
      <w:r>
        <w:rPr>
          <w:rFonts w:eastAsia="Times New Roman"/>
          <w:i/>
          <w:snapToGrid/>
          <w:spacing w:val="-1"/>
          <w:szCs w:val="22"/>
          <w:lang w:val="hu-HU" w:eastAsia="hu-HU"/>
        </w:rPr>
        <w:t>Atorvasztatin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–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atorvasztatin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együttes alkalmazása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atorvasztatinsav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-át 23%-kal, az AUC-jét pedig 36%-kal növelte. Az AUC és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</w:t>
      </w:r>
      <w:r>
        <w:rPr>
          <w:rFonts w:eastAsia="Times New Roman"/>
          <w:snapToGrid/>
          <w:spacing w:val="-1"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hasonló emelkedését észlelték minden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atorvasztatinsav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esetén. Ezeket az emelkedéseket nem tartják klinikailag jelentősnek.</w:t>
      </w:r>
    </w:p>
    <w:p w14:paraId="4B774F26" w14:textId="77777777" w:rsidR="00284377" w:rsidRDefault="00D321AB">
      <w:pPr>
        <w:widowControl w:val="0"/>
        <w:numPr>
          <w:ilvl w:val="1"/>
          <w:numId w:val="56"/>
        </w:numPr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 xml:space="preserve">Más, a CYP3A4 által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metabolizált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sztatinokra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gyakorolt hasonló hatás nem zárható ki. A </w:t>
      </w:r>
      <w:r>
        <w:rPr>
          <w:rFonts w:eastAsia="Times New Roman"/>
          <w:snapToGrid/>
          <w:spacing w:val="-1"/>
          <w:szCs w:val="22"/>
          <w:lang w:val="hu-HU" w:eastAsia="hu-HU"/>
        </w:rPr>
        <w:lastRenderedPageBreak/>
        <w:t xml:space="preserve">PLATO-vizsgálatban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kapó betegek különböző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sztatinokat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szedtek, és az ezeket a gyógyszereket szedő PLATO-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kohorsz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93%-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ánál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nem észleltek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sztatin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biztonságosságával</w:t>
      </w:r>
      <w:r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összefüggő problémát.</w:t>
      </w:r>
    </w:p>
    <w:p w14:paraId="3B243F18" w14:textId="77777777" w:rsidR="00284377" w:rsidRDefault="00284377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</w:p>
    <w:p w14:paraId="789550D6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egy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enyhe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CYP3A4-inhibitor.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szűk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terápiás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indexű </w:t>
      </w:r>
      <w:r>
        <w:rPr>
          <w:rFonts w:eastAsia="Times New Roman"/>
          <w:snapToGrid/>
          <w:spacing w:val="-2"/>
          <w:szCs w:val="22"/>
          <w:lang w:val="hu-HU" w:eastAsia="hu-HU"/>
        </w:rPr>
        <w:t>CYP3A4-szubsztrátok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(azaz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ciszaprid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vagy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ergot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alkaloidok) együttes alkalmazása nem javasolt,</w:t>
      </w:r>
      <w:r>
        <w:rPr>
          <w:rFonts w:eastAsia="Times New Roman"/>
          <w:snapToGrid/>
          <w:spacing w:val="4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mivel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növelheti ezeknek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gyógyszereknek az expozícióját.</w:t>
      </w:r>
    </w:p>
    <w:p w14:paraId="134B08C6" w14:textId="77777777" w:rsidR="00284377" w:rsidRDefault="00284377">
      <w:pPr>
        <w:pStyle w:val="Szvegtrzs"/>
        <w:kinsoku w:val="0"/>
        <w:overflowPunct w:val="0"/>
        <w:spacing w:line="240" w:lineRule="auto"/>
        <w:rPr>
          <w:b w:val="0"/>
          <w:iCs/>
          <w:spacing w:val="-2"/>
          <w:szCs w:val="22"/>
          <w:u w:val="single"/>
        </w:rPr>
      </w:pPr>
    </w:p>
    <w:p w14:paraId="409C3E1D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szCs w:val="22"/>
          <w:u w:val="single"/>
        </w:rPr>
      </w:pPr>
      <w:r>
        <w:rPr>
          <w:b w:val="0"/>
          <w:iCs/>
          <w:spacing w:val="-2"/>
          <w:szCs w:val="22"/>
          <w:u w:val="single"/>
        </w:rPr>
        <w:t>P-</w:t>
      </w:r>
      <w:proofErr w:type="spellStart"/>
      <w:r>
        <w:rPr>
          <w:b w:val="0"/>
          <w:iCs/>
          <w:spacing w:val="-2"/>
          <w:szCs w:val="22"/>
          <w:u w:val="single"/>
        </w:rPr>
        <w:t>gp</w:t>
      </w:r>
      <w:proofErr w:type="spellEnd"/>
      <w:r>
        <w:rPr>
          <w:b w:val="0"/>
          <w:iCs/>
          <w:spacing w:val="-2"/>
          <w:szCs w:val="22"/>
          <w:u w:val="single"/>
        </w:rPr>
        <w:t>-</w:t>
      </w:r>
      <w:proofErr w:type="spellStart"/>
      <w:r>
        <w:rPr>
          <w:b w:val="0"/>
          <w:iCs/>
          <w:spacing w:val="-2"/>
          <w:szCs w:val="22"/>
          <w:u w:val="single"/>
        </w:rPr>
        <w:t>szubsztrátok</w:t>
      </w:r>
      <w:proofErr w:type="spellEnd"/>
      <w:r>
        <w:rPr>
          <w:b w:val="0"/>
          <w:iCs/>
          <w:spacing w:val="-1"/>
          <w:szCs w:val="22"/>
          <w:u w:val="single"/>
        </w:rPr>
        <w:t xml:space="preserve"> (beleértve </w:t>
      </w:r>
      <w:r>
        <w:rPr>
          <w:b w:val="0"/>
          <w:iCs/>
          <w:szCs w:val="22"/>
          <w:u w:val="single"/>
        </w:rPr>
        <w:t>a</w:t>
      </w:r>
      <w:r>
        <w:rPr>
          <w:b w:val="0"/>
          <w:iCs/>
          <w:spacing w:val="-1"/>
          <w:szCs w:val="22"/>
          <w:u w:val="single"/>
        </w:rPr>
        <w:t xml:space="preserve"> </w:t>
      </w:r>
      <w:proofErr w:type="spellStart"/>
      <w:r>
        <w:rPr>
          <w:b w:val="0"/>
          <w:iCs/>
          <w:spacing w:val="-1"/>
          <w:szCs w:val="22"/>
          <w:u w:val="single"/>
        </w:rPr>
        <w:t>digoxint</w:t>
      </w:r>
      <w:proofErr w:type="spellEnd"/>
      <w:r>
        <w:rPr>
          <w:b w:val="0"/>
          <w:iCs/>
          <w:spacing w:val="-1"/>
          <w:szCs w:val="22"/>
          <w:u w:val="single"/>
        </w:rPr>
        <w:t xml:space="preserve"> és </w:t>
      </w:r>
      <w:proofErr w:type="spellStart"/>
      <w:r>
        <w:rPr>
          <w:b w:val="0"/>
          <w:iCs/>
          <w:spacing w:val="-1"/>
          <w:szCs w:val="22"/>
          <w:u w:val="single"/>
        </w:rPr>
        <w:t>ciklosporint</w:t>
      </w:r>
      <w:proofErr w:type="spellEnd"/>
      <w:r>
        <w:rPr>
          <w:b w:val="0"/>
          <w:iCs/>
          <w:spacing w:val="-1"/>
          <w:szCs w:val="22"/>
          <w:u w:val="single"/>
        </w:rPr>
        <w:t xml:space="preserve"> is)</w:t>
      </w:r>
    </w:p>
    <w:p w14:paraId="4507C27D" w14:textId="77777777" w:rsidR="00284377" w:rsidRDefault="00D321AB">
      <w:pPr>
        <w:pStyle w:val="Szvegtrzs"/>
        <w:kinsoku w:val="0"/>
        <w:overflowPunct w:val="0"/>
        <w:spacing w:before="2" w:line="240" w:lineRule="auto"/>
        <w:rPr>
          <w:b w:val="0"/>
          <w:i w:val="0"/>
          <w:spacing w:val="-1"/>
          <w:szCs w:val="22"/>
          <w:lang w:eastAsia="hu-HU"/>
        </w:rPr>
      </w:pPr>
      <w:r>
        <w:rPr>
          <w:b w:val="0"/>
          <w:i w:val="0"/>
          <w:spacing w:val="-1"/>
          <w:szCs w:val="22"/>
          <w:lang w:eastAsia="hu-HU"/>
        </w:rPr>
        <w:t xml:space="preserve">A </w:t>
      </w:r>
      <w:proofErr w:type="spellStart"/>
      <w:r>
        <w:rPr>
          <w:b w:val="0"/>
          <w:i w:val="0"/>
          <w:spacing w:val="-1"/>
          <w:szCs w:val="22"/>
          <w:lang w:eastAsia="hu-HU"/>
        </w:rPr>
        <w:t>tikagrelor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egyidejű alkalmazása a </w:t>
      </w:r>
      <w:proofErr w:type="spellStart"/>
      <w:r>
        <w:rPr>
          <w:b w:val="0"/>
          <w:i w:val="0"/>
          <w:spacing w:val="-1"/>
          <w:szCs w:val="22"/>
          <w:lang w:eastAsia="hu-HU"/>
        </w:rPr>
        <w:t>digoxin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</w:t>
      </w:r>
      <w:proofErr w:type="spellStart"/>
      <w:r>
        <w:rPr>
          <w:b w:val="0"/>
          <w:i w:val="0"/>
          <w:spacing w:val="-1"/>
          <w:szCs w:val="22"/>
          <w:lang w:eastAsia="hu-HU"/>
        </w:rPr>
        <w:t>C</w:t>
      </w:r>
      <w:r>
        <w:rPr>
          <w:b w:val="0"/>
          <w:i w:val="0"/>
          <w:spacing w:val="-1"/>
          <w:szCs w:val="22"/>
          <w:vertAlign w:val="subscript"/>
          <w:lang w:eastAsia="hu-HU"/>
        </w:rPr>
        <w:t>max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-át 75%-kal, az AUC-jét pedig 28%-kal növelte. A </w:t>
      </w:r>
      <w:proofErr w:type="spellStart"/>
      <w:r>
        <w:rPr>
          <w:b w:val="0"/>
          <w:i w:val="0"/>
          <w:spacing w:val="-1"/>
          <w:szCs w:val="22"/>
          <w:lang w:eastAsia="hu-HU"/>
        </w:rPr>
        <w:t>tikagrelor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együttes alkalmazásakor a </w:t>
      </w:r>
      <w:proofErr w:type="spellStart"/>
      <w:r>
        <w:rPr>
          <w:b w:val="0"/>
          <w:i w:val="0"/>
          <w:spacing w:val="-1"/>
          <w:szCs w:val="22"/>
          <w:lang w:eastAsia="hu-HU"/>
        </w:rPr>
        <w:t>digoxin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átlagos mélyszintje mintegy 30%-kal nőtt, úgy, hogy néhány egyénnél a maximális emelkedés 2-szeres volt. </w:t>
      </w:r>
      <w:proofErr w:type="spellStart"/>
      <w:r>
        <w:rPr>
          <w:b w:val="0"/>
          <w:i w:val="0"/>
          <w:spacing w:val="-1"/>
          <w:szCs w:val="22"/>
          <w:lang w:eastAsia="hu-HU"/>
        </w:rPr>
        <w:t>Digoxin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jelenléte nem befolyásolta a </w:t>
      </w:r>
      <w:proofErr w:type="spellStart"/>
      <w:r>
        <w:rPr>
          <w:b w:val="0"/>
          <w:i w:val="0"/>
          <w:spacing w:val="-1"/>
          <w:szCs w:val="22"/>
          <w:lang w:eastAsia="hu-HU"/>
        </w:rPr>
        <w:t>tikagrelor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és aktív </w:t>
      </w:r>
      <w:proofErr w:type="spellStart"/>
      <w:r>
        <w:rPr>
          <w:b w:val="0"/>
          <w:i w:val="0"/>
          <w:spacing w:val="-1"/>
          <w:szCs w:val="22"/>
          <w:lang w:eastAsia="hu-HU"/>
        </w:rPr>
        <w:t>metabolitja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</w:t>
      </w:r>
      <w:proofErr w:type="spellStart"/>
      <w:r>
        <w:rPr>
          <w:b w:val="0"/>
          <w:i w:val="0"/>
          <w:spacing w:val="-1"/>
          <w:szCs w:val="22"/>
          <w:lang w:eastAsia="hu-HU"/>
        </w:rPr>
        <w:t>C</w:t>
      </w:r>
      <w:r>
        <w:rPr>
          <w:b w:val="0"/>
          <w:i w:val="0"/>
          <w:spacing w:val="-1"/>
          <w:szCs w:val="22"/>
          <w:vertAlign w:val="subscript"/>
          <w:lang w:eastAsia="hu-HU"/>
        </w:rPr>
        <w:t>max</w:t>
      </w:r>
      <w:proofErr w:type="spellEnd"/>
      <w:r>
        <w:rPr>
          <w:b w:val="0"/>
          <w:i w:val="0"/>
          <w:spacing w:val="-1"/>
          <w:szCs w:val="22"/>
          <w:lang w:eastAsia="hu-HU"/>
        </w:rPr>
        <w:t>-át és az AUC-jét. Ezért a szűk terápiás indexű, P-</w:t>
      </w:r>
      <w:proofErr w:type="spellStart"/>
      <w:r>
        <w:rPr>
          <w:b w:val="0"/>
          <w:i w:val="0"/>
          <w:spacing w:val="-1"/>
          <w:szCs w:val="22"/>
          <w:lang w:eastAsia="hu-HU"/>
        </w:rPr>
        <w:t>gp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-függő gyógyszerek, mint például a </w:t>
      </w:r>
      <w:proofErr w:type="spellStart"/>
      <w:r>
        <w:rPr>
          <w:b w:val="0"/>
          <w:i w:val="0"/>
          <w:spacing w:val="-1"/>
          <w:szCs w:val="22"/>
          <w:lang w:eastAsia="hu-HU"/>
        </w:rPr>
        <w:t>digoxin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és a </w:t>
      </w:r>
      <w:proofErr w:type="spellStart"/>
      <w:r>
        <w:rPr>
          <w:b w:val="0"/>
          <w:i w:val="0"/>
          <w:spacing w:val="-1"/>
          <w:szCs w:val="22"/>
          <w:lang w:eastAsia="hu-HU"/>
        </w:rPr>
        <w:t>tikagrelor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együttes adásakor megfelelő klinikai és/vagy laboratóriumi monitorozás javasolt.</w:t>
      </w:r>
    </w:p>
    <w:p w14:paraId="55BD1B16" w14:textId="77777777" w:rsidR="00284377" w:rsidRDefault="00D321AB">
      <w:pPr>
        <w:pStyle w:val="Szvegtrzs"/>
        <w:kinsoku w:val="0"/>
        <w:overflowPunct w:val="0"/>
        <w:spacing w:before="1" w:line="240" w:lineRule="auto"/>
        <w:rPr>
          <w:b w:val="0"/>
          <w:i w:val="0"/>
          <w:spacing w:val="-1"/>
          <w:szCs w:val="22"/>
          <w:lang w:eastAsia="hu-HU"/>
        </w:rPr>
      </w:pPr>
      <w:r>
        <w:rPr>
          <w:b w:val="0"/>
          <w:i w:val="0"/>
          <w:spacing w:val="-1"/>
          <w:szCs w:val="22"/>
          <w:lang w:eastAsia="hu-HU"/>
        </w:rPr>
        <w:t xml:space="preserve">A </w:t>
      </w:r>
      <w:proofErr w:type="spellStart"/>
      <w:r>
        <w:rPr>
          <w:b w:val="0"/>
          <w:i w:val="0"/>
          <w:spacing w:val="-1"/>
          <w:szCs w:val="22"/>
          <w:lang w:eastAsia="hu-HU"/>
        </w:rPr>
        <w:t>tikagrelornak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nem volt hatása a </w:t>
      </w:r>
      <w:proofErr w:type="spellStart"/>
      <w:r>
        <w:rPr>
          <w:b w:val="0"/>
          <w:i w:val="0"/>
          <w:spacing w:val="-1"/>
          <w:szCs w:val="22"/>
          <w:lang w:eastAsia="hu-HU"/>
        </w:rPr>
        <w:t>ciklosporin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vérszintekre. A </w:t>
      </w:r>
      <w:proofErr w:type="spellStart"/>
      <w:r>
        <w:rPr>
          <w:b w:val="0"/>
          <w:i w:val="0"/>
          <w:spacing w:val="-1"/>
          <w:szCs w:val="22"/>
          <w:lang w:eastAsia="hu-HU"/>
        </w:rPr>
        <w:t>tikagrelor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egyéb P-</w:t>
      </w:r>
      <w:proofErr w:type="spellStart"/>
      <w:r>
        <w:rPr>
          <w:b w:val="0"/>
          <w:i w:val="0"/>
          <w:spacing w:val="-1"/>
          <w:szCs w:val="22"/>
          <w:lang w:eastAsia="hu-HU"/>
        </w:rPr>
        <w:t>gp</w:t>
      </w:r>
      <w:proofErr w:type="spellEnd"/>
      <w:r>
        <w:rPr>
          <w:b w:val="0"/>
          <w:i w:val="0"/>
          <w:spacing w:val="-1"/>
          <w:szCs w:val="22"/>
          <w:lang w:eastAsia="hu-HU"/>
        </w:rPr>
        <w:t>-</w:t>
      </w:r>
      <w:proofErr w:type="spellStart"/>
      <w:r>
        <w:rPr>
          <w:b w:val="0"/>
          <w:i w:val="0"/>
          <w:spacing w:val="-1"/>
          <w:szCs w:val="22"/>
          <w:lang w:eastAsia="hu-HU"/>
        </w:rPr>
        <w:t>szubsztrátokra</w:t>
      </w:r>
      <w:proofErr w:type="spellEnd"/>
      <w:r>
        <w:rPr>
          <w:b w:val="0"/>
          <w:i w:val="0"/>
          <w:spacing w:val="-1"/>
          <w:szCs w:val="22"/>
          <w:lang w:eastAsia="hu-HU"/>
        </w:rPr>
        <w:t xml:space="preserve"> gyakorolt hatását nem vizsgálták.</w:t>
      </w:r>
    </w:p>
    <w:p w14:paraId="52C5077D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0" w:line="240" w:lineRule="auto"/>
        <w:rPr>
          <w:rFonts w:eastAsia="Times New Roman"/>
          <w:snapToGrid/>
          <w:spacing w:val="-1"/>
          <w:szCs w:val="22"/>
          <w:lang w:val="hu-HU" w:eastAsia="hu-HU"/>
        </w:rPr>
      </w:pPr>
    </w:p>
    <w:p w14:paraId="6BBD20D9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zCs w:val="22"/>
          <w:u w:val="single"/>
          <w:lang w:val="hu-HU" w:eastAsia="hu-HU"/>
        </w:rPr>
        <w:t>A</w:t>
      </w: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 CYP2C9 által </w:t>
      </w:r>
      <w:proofErr w:type="spellStart"/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>metabolizált</w:t>
      </w:r>
      <w:proofErr w:type="spellEnd"/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 gyógyszerek</w:t>
      </w:r>
    </w:p>
    <w:p w14:paraId="51A207E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pacing w:val="-1"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tolbutamid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együttes alkalmazása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egyik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gyógyszer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plazmaszintjének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változását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sem</w:t>
      </w:r>
      <w:r>
        <w:rPr>
          <w:rFonts w:eastAsia="Times New Roman"/>
          <w:snapToGrid/>
          <w:spacing w:val="29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idézte elő, ami arra utal, hogy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nem </w:t>
      </w:r>
      <w:r>
        <w:rPr>
          <w:rFonts w:eastAsia="Times New Roman"/>
          <w:snapToGrid/>
          <w:spacing w:val="-2"/>
          <w:szCs w:val="22"/>
          <w:lang w:val="hu-HU" w:eastAsia="hu-HU"/>
        </w:rPr>
        <w:t>CYP2C9-inhibitor,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nem valószínű, hogy</w:t>
      </w:r>
      <w:r>
        <w:rPr>
          <w:rFonts w:eastAsia="Times New Roman"/>
          <w:snapToGrid/>
          <w:spacing w:val="5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megváltoztatná olyan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gyógyszerek CYP2C9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mediálta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metabolizmusát, mint például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warfarin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9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tolbutamid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.</w:t>
      </w:r>
    </w:p>
    <w:p w14:paraId="50156E66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zCs w:val="22"/>
          <w:lang w:val="hu-HU" w:eastAsia="hu-HU"/>
        </w:rPr>
      </w:pPr>
    </w:p>
    <w:p w14:paraId="61391E36" w14:textId="77777777" w:rsidR="00284377" w:rsidRDefault="00D321AB">
      <w:pPr>
        <w:spacing w:line="240" w:lineRule="auto"/>
        <w:rPr>
          <w:rFonts w:eastAsia="Times New Roman"/>
          <w:i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noProof/>
          <w:snapToGrid/>
          <w:szCs w:val="22"/>
          <w:u w:val="single"/>
          <w:lang w:val="hu-HU" w:eastAsia="en-US"/>
        </w:rPr>
        <w:t>Rozuvasztatin (BCRP szubsztrát)</w:t>
      </w:r>
    </w:p>
    <w:p w14:paraId="746C87E9" w14:textId="26B62A0A" w:rsidR="00284377" w:rsidRDefault="00D321AB">
      <w:pPr>
        <w:spacing w:line="240" w:lineRule="auto"/>
        <w:rPr>
          <w:szCs w:val="22"/>
          <w:u w:val="single"/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 Kimutatták, hogy a tikagrelor növeli a rozuvasztatin koncentrációját, ami a myopathia, beleértve a rhabdomyolyzist is, fokozott kockázatához vezethet. Mérlegelni kell a rozuvasztatin alkalmazásával járó súlyos nemkívánatos kardiovaszkuláris események megelőzésének előnyeit a rozuvasztatin plazmakoncentrációjának emelkedésével járó kockázatokkal szemben.</w:t>
      </w:r>
    </w:p>
    <w:p w14:paraId="02A6DE79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>Orális fogamzásgátlók</w:t>
      </w:r>
    </w:p>
    <w:p w14:paraId="56B17FED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szCs w:val="22"/>
          <w:lang w:val="hu-HU"/>
        </w:rPr>
        <w:t>A</w:t>
      </w:r>
      <w:r>
        <w:rPr>
          <w:spacing w:val="-4"/>
          <w:szCs w:val="22"/>
          <w:lang w:val="hu-HU"/>
        </w:rPr>
        <w:t xml:space="preserve"> </w:t>
      </w:r>
      <w:proofErr w:type="spellStart"/>
      <w:r>
        <w:rPr>
          <w:spacing w:val="-1"/>
          <w:szCs w:val="22"/>
          <w:lang w:val="hu-HU"/>
        </w:rPr>
        <w:t>tikagrelor</w:t>
      </w:r>
      <w:proofErr w:type="spellEnd"/>
      <w:r>
        <w:rPr>
          <w:spacing w:val="-1"/>
          <w:szCs w:val="22"/>
          <w:lang w:val="hu-HU"/>
        </w:rPr>
        <w:t xml:space="preserve">, </w:t>
      </w:r>
      <w:proofErr w:type="spellStart"/>
      <w:r>
        <w:rPr>
          <w:spacing w:val="-1"/>
          <w:szCs w:val="22"/>
          <w:lang w:val="hu-HU"/>
        </w:rPr>
        <w:t>levonorgesztrel</w:t>
      </w:r>
      <w:proofErr w:type="spellEnd"/>
      <w:r>
        <w:rPr>
          <w:spacing w:val="-1"/>
          <w:szCs w:val="22"/>
          <w:lang w:val="hu-HU"/>
        </w:rPr>
        <w:t xml:space="preserve"> és </w:t>
      </w:r>
      <w:proofErr w:type="spellStart"/>
      <w:r>
        <w:rPr>
          <w:spacing w:val="-1"/>
          <w:szCs w:val="22"/>
          <w:lang w:val="hu-HU"/>
        </w:rPr>
        <w:t>etinilösztradiol</w:t>
      </w:r>
      <w:proofErr w:type="spellEnd"/>
      <w:r>
        <w:rPr>
          <w:spacing w:val="6"/>
          <w:szCs w:val="22"/>
          <w:lang w:val="hu-HU"/>
        </w:rPr>
        <w:t xml:space="preserve"> </w:t>
      </w:r>
      <w:r>
        <w:rPr>
          <w:spacing w:val="-1"/>
          <w:szCs w:val="22"/>
          <w:lang w:val="hu-HU"/>
        </w:rPr>
        <w:t>együttes alkalmazása</w:t>
      </w:r>
      <w:r>
        <w:rPr>
          <w:spacing w:val="1"/>
          <w:szCs w:val="22"/>
          <w:lang w:val="hu-HU"/>
        </w:rPr>
        <w:t xml:space="preserve"> </w:t>
      </w:r>
      <w:r>
        <w:rPr>
          <w:spacing w:val="-1"/>
          <w:szCs w:val="22"/>
          <w:lang w:val="hu-HU"/>
        </w:rPr>
        <w:t>megközelítőleg 20%-kal</w:t>
      </w:r>
      <w:r>
        <w:rPr>
          <w:spacing w:val="27"/>
          <w:szCs w:val="22"/>
          <w:lang w:val="hu-HU"/>
        </w:rPr>
        <w:t xml:space="preserve"> </w:t>
      </w:r>
      <w:r>
        <w:rPr>
          <w:spacing w:val="-1"/>
          <w:szCs w:val="22"/>
          <w:lang w:val="hu-HU"/>
        </w:rPr>
        <w:t xml:space="preserve">növelte az </w:t>
      </w:r>
      <w:proofErr w:type="spellStart"/>
      <w:r>
        <w:rPr>
          <w:spacing w:val="-1"/>
          <w:szCs w:val="22"/>
          <w:lang w:val="hu-HU"/>
        </w:rPr>
        <w:t>etinilösztradiol</w:t>
      </w:r>
      <w:proofErr w:type="spellEnd"/>
      <w:r>
        <w:rPr>
          <w:spacing w:val="-1"/>
          <w:szCs w:val="22"/>
          <w:lang w:val="hu-HU"/>
        </w:rPr>
        <w:t xml:space="preserve">-expozíciót, de nem </w:t>
      </w:r>
      <w:r>
        <w:rPr>
          <w:spacing w:val="-2"/>
          <w:szCs w:val="22"/>
          <w:lang w:val="hu-HU"/>
        </w:rPr>
        <w:t>változtatta</w:t>
      </w:r>
      <w:r>
        <w:rPr>
          <w:spacing w:val="-1"/>
          <w:szCs w:val="22"/>
          <w:lang w:val="hu-HU"/>
        </w:rPr>
        <w:t xml:space="preserve"> meg </w:t>
      </w:r>
      <w:r>
        <w:rPr>
          <w:szCs w:val="22"/>
          <w:lang w:val="hu-HU"/>
        </w:rPr>
        <w:t>a</w:t>
      </w:r>
      <w:r>
        <w:rPr>
          <w:spacing w:val="-1"/>
          <w:szCs w:val="22"/>
          <w:lang w:val="hu-HU"/>
        </w:rPr>
        <w:t xml:space="preserve"> </w:t>
      </w:r>
      <w:proofErr w:type="spellStart"/>
      <w:r>
        <w:rPr>
          <w:spacing w:val="-1"/>
          <w:szCs w:val="22"/>
          <w:lang w:val="hu-HU"/>
        </w:rPr>
        <w:t>levonorgesztrel</w:t>
      </w:r>
      <w:proofErr w:type="spellEnd"/>
      <w:r>
        <w:rPr>
          <w:spacing w:val="-1"/>
          <w:szCs w:val="22"/>
          <w:lang w:val="hu-HU"/>
        </w:rPr>
        <w:t xml:space="preserve"> </w:t>
      </w:r>
      <w:proofErr w:type="spellStart"/>
      <w:r>
        <w:rPr>
          <w:spacing w:val="-1"/>
          <w:szCs w:val="22"/>
          <w:lang w:val="hu-HU"/>
        </w:rPr>
        <w:t>farmakokinetikáját</w:t>
      </w:r>
      <w:proofErr w:type="spellEnd"/>
      <w:r>
        <w:rPr>
          <w:spacing w:val="-1"/>
          <w:szCs w:val="22"/>
          <w:lang w:val="hu-HU"/>
        </w:rPr>
        <w:t>.</w:t>
      </w:r>
      <w:r>
        <w:rPr>
          <w:spacing w:val="30"/>
          <w:szCs w:val="22"/>
          <w:lang w:val="hu-HU"/>
        </w:rPr>
        <w:t xml:space="preserve"> </w:t>
      </w:r>
      <w:r>
        <w:rPr>
          <w:spacing w:val="-1"/>
          <w:szCs w:val="22"/>
          <w:lang w:val="hu-HU"/>
        </w:rPr>
        <w:t xml:space="preserve">Nem várható az orális fogamzásgátlók hatásosságára gyakorolt, klinikailag jelentős hatás, ha </w:t>
      </w:r>
      <w:r>
        <w:rPr>
          <w:szCs w:val="22"/>
          <w:lang w:val="hu-HU"/>
        </w:rPr>
        <w:t>a</w:t>
      </w:r>
      <w:r>
        <w:rPr>
          <w:spacing w:val="23"/>
          <w:szCs w:val="22"/>
          <w:lang w:val="hu-HU"/>
        </w:rPr>
        <w:t xml:space="preserve"> </w:t>
      </w:r>
      <w:proofErr w:type="spellStart"/>
      <w:r>
        <w:rPr>
          <w:spacing w:val="-1"/>
          <w:szCs w:val="22"/>
          <w:lang w:val="hu-HU"/>
        </w:rPr>
        <w:t>levonorgesztrelt</w:t>
      </w:r>
      <w:proofErr w:type="spellEnd"/>
      <w:r>
        <w:rPr>
          <w:spacing w:val="-1"/>
          <w:szCs w:val="22"/>
          <w:lang w:val="hu-HU"/>
        </w:rPr>
        <w:t xml:space="preserve"> és </w:t>
      </w:r>
      <w:proofErr w:type="spellStart"/>
      <w:r>
        <w:rPr>
          <w:spacing w:val="-1"/>
          <w:szCs w:val="22"/>
          <w:lang w:val="hu-HU"/>
        </w:rPr>
        <w:t>etinilösztradiolt</w:t>
      </w:r>
      <w:proofErr w:type="spellEnd"/>
      <w:r>
        <w:rPr>
          <w:spacing w:val="-2"/>
          <w:szCs w:val="22"/>
          <w:lang w:val="hu-HU"/>
        </w:rPr>
        <w:t xml:space="preserve"> </w:t>
      </w:r>
      <w:r>
        <w:rPr>
          <w:spacing w:val="-1"/>
          <w:szCs w:val="22"/>
          <w:lang w:val="hu-HU"/>
        </w:rPr>
        <w:t>egyidejűleg</w:t>
      </w:r>
      <w:r>
        <w:rPr>
          <w:spacing w:val="1"/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tikagrelorral</w:t>
      </w:r>
      <w:proofErr w:type="spellEnd"/>
      <w:r>
        <w:rPr>
          <w:spacing w:val="-7"/>
          <w:szCs w:val="22"/>
          <w:lang w:val="hu-HU"/>
        </w:rPr>
        <w:t xml:space="preserve"> </w:t>
      </w:r>
      <w:r>
        <w:rPr>
          <w:spacing w:val="-1"/>
          <w:szCs w:val="22"/>
          <w:lang w:val="hu-HU"/>
        </w:rPr>
        <w:t>adják.</w:t>
      </w:r>
    </w:p>
    <w:p w14:paraId="72859B3C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</w:pPr>
    </w:p>
    <w:p w14:paraId="0AA15279" w14:textId="77777777" w:rsidR="00284377" w:rsidRDefault="00D321AB">
      <w:pPr>
        <w:keepNext/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>Gyógyszerek,</w:t>
      </w:r>
      <w:r>
        <w:rPr>
          <w:rFonts w:eastAsia="Times New Roman"/>
          <w:i/>
          <w:iCs/>
          <w:snapToGrid/>
          <w:spacing w:val="2"/>
          <w:szCs w:val="22"/>
          <w:u w:val="single"/>
          <w:lang w:val="hu-HU" w:eastAsia="hu-HU"/>
        </w:rPr>
        <w:t xml:space="preserve"> </w:t>
      </w: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amelyekről ismert, hogy </w:t>
      </w:r>
      <w:proofErr w:type="spellStart"/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>bradycardiát</w:t>
      </w:r>
      <w:proofErr w:type="spellEnd"/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 idéznek elő</w:t>
      </w:r>
    </w:p>
    <w:p w14:paraId="69E5A13B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legtöbbször tünetmentes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ventricularis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pauzákra és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bradycardiára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vonatkozó megfigyelések miatt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elővigyázatosság szükséges, ha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olyan gyógyszerekkel adják egyidejűleg, amelyekről</w:t>
      </w:r>
      <w:r>
        <w:rPr>
          <w:rFonts w:eastAsia="Times New Roman"/>
          <w:snapToGrid/>
          <w:spacing w:val="2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ismert, hogy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bradycardiát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idéznek elő (lásd 4.4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pont). Ugyanakkor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PLATO-vizsgálatban </w:t>
      </w:r>
      <w:r>
        <w:rPr>
          <w:rFonts w:eastAsia="Times New Roman"/>
          <w:snapToGrid/>
          <w:spacing w:val="-1"/>
          <w:szCs w:val="22"/>
          <w:lang w:val="hu-HU" w:eastAsia="hu-HU"/>
        </w:rPr>
        <w:t>egy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vagy</w:t>
      </w:r>
      <w:r>
        <w:rPr>
          <w:rFonts w:eastAsia="Times New Roman"/>
          <w:snapToGrid/>
          <w:spacing w:val="5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több, olyan gyógyszerrel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(például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betegek </w:t>
      </w:r>
      <w:r>
        <w:rPr>
          <w:rFonts w:eastAsia="Times New Roman"/>
          <w:snapToGrid/>
          <w:spacing w:val="-2"/>
          <w:szCs w:val="22"/>
          <w:lang w:val="hu-HU" w:eastAsia="hu-HU"/>
        </w:rPr>
        <w:t>96%-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ánál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béta-blokkolóval, </w:t>
      </w:r>
      <w:r>
        <w:rPr>
          <w:rFonts w:eastAsia="Times New Roman"/>
          <w:snapToGrid/>
          <w:spacing w:val="-2"/>
          <w:szCs w:val="22"/>
          <w:lang w:val="hu-HU" w:eastAsia="hu-HU"/>
        </w:rPr>
        <w:t>33%-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ánál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kalciumcsatorna-blokkoló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diltiazemmel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verapamillal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r>
        <w:rPr>
          <w:rFonts w:eastAsia="Times New Roman"/>
          <w:snapToGrid/>
          <w:spacing w:val="-2"/>
          <w:szCs w:val="22"/>
          <w:lang w:val="hu-HU" w:eastAsia="hu-HU"/>
        </w:rPr>
        <w:t>4%-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ánál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digoxinnal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)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történt egyidejű adását</w:t>
      </w:r>
      <w:r>
        <w:rPr>
          <w:rFonts w:eastAsia="Times New Roman"/>
          <w:snapToGrid/>
          <w:spacing w:val="3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követően, amelyekről ismert, hogy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bradycardiát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idéznek elő, nem észleltek klinikailag jelentős</w:t>
      </w:r>
      <w:r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mellékhatásokra utaló bizonyítékot.</w:t>
      </w:r>
    </w:p>
    <w:p w14:paraId="296733E5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</w:pPr>
    </w:p>
    <w:p w14:paraId="773E9B66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>Egyéb, egyidejű kezelés</w:t>
      </w:r>
    </w:p>
    <w:p w14:paraId="37DC95A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7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klinikai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vizsgálatokban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kísérőbetegségek támasztotta követelményeknek megfelelően </w:t>
      </w: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pacing w:val="3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gyakran adták együtt hosszú ideig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acetilszalicilsavval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protonpumpa-inhibitorokkal,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sztatinokkal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béta-blokkolókkal,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angiotenzin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konvertáló enzim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(ACE)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inhibitorokkal és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angiotenzin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-receptor</w:t>
      </w:r>
      <w:r>
        <w:rPr>
          <w:rFonts w:eastAsia="Times New Roman"/>
          <w:snapToGrid/>
          <w:spacing w:val="3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blokkolókkal, valamint még rövid ideig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heparinnal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kis molekulatömegű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heparinnal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</w:t>
      </w:r>
      <w:r>
        <w:rPr>
          <w:rFonts w:eastAsia="Times New Roman"/>
          <w:snapToGrid/>
          <w:spacing w:val="-2"/>
          <w:szCs w:val="22"/>
          <w:lang w:val="hu-HU" w:eastAsia="hu-HU"/>
        </w:rPr>
        <w:t>intravénás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GpIIb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/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IIIa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inhibitorokkal (lásd 5.1 pont). Ezeknek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gyógyszereknek az esetén nem észleltek</w:t>
      </w:r>
      <w:r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klinikailag jelentős, kedvezőtlen interakcióra utaló bizonyítékot.</w:t>
      </w:r>
    </w:p>
    <w:p w14:paraId="2465522D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0" w:line="240" w:lineRule="auto"/>
        <w:rPr>
          <w:rFonts w:eastAsia="Times New Roman"/>
          <w:snapToGrid/>
          <w:szCs w:val="22"/>
          <w:lang w:val="hu-HU" w:eastAsia="hu-HU"/>
        </w:rPr>
      </w:pPr>
    </w:p>
    <w:p w14:paraId="5E0E5885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heparin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,</w:t>
      </w:r>
      <w:r>
        <w:rPr>
          <w:rFonts w:eastAsia="Times New Roman"/>
          <w:snapToGrid/>
          <w:spacing w:val="6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enoxaparin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vagy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dezmopresszin</w:t>
      </w:r>
      <w:proofErr w:type="spellEnd"/>
      <w:r>
        <w:rPr>
          <w:rFonts w:eastAsia="Times New Roman"/>
          <w:snapToGrid/>
          <w:spacing w:val="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együttes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alkalmazásának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nem</w:t>
      </w:r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volt hatása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az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aktivált parciális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thromboplastinidő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(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aPTT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), az aktivált alvadási idő (ACT) és </w:t>
      </w:r>
      <w:r>
        <w:rPr>
          <w:rFonts w:eastAsia="Times New Roman"/>
          <w:snapToGrid/>
          <w:szCs w:val="22"/>
          <w:lang w:val="hu-HU" w:eastAsia="hu-HU"/>
        </w:rPr>
        <w:t>az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Xa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faktor mérési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eredményeire. Ugyanakkor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lehetséges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farmakodinámiás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kölcsönhatások miatt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haemostasist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közismerten megváltoztató </w:t>
      </w:r>
      <w:r>
        <w:rPr>
          <w:rFonts w:eastAsia="Times New Roman"/>
          <w:snapToGrid/>
          <w:spacing w:val="-2"/>
          <w:szCs w:val="22"/>
          <w:lang w:val="hu-HU" w:eastAsia="hu-HU"/>
        </w:rPr>
        <w:t>gyógyszerek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egyidejű alkalmazásakor elővigyázatosság</w:t>
      </w:r>
      <w:r>
        <w:rPr>
          <w:rFonts w:eastAsia="Times New Roman"/>
          <w:snapToGrid/>
          <w:spacing w:val="3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lastRenderedPageBreak/>
        <w:t>szükséges.</w:t>
      </w:r>
    </w:p>
    <w:p w14:paraId="6766CDCA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3" w:line="240" w:lineRule="auto"/>
        <w:rPr>
          <w:rFonts w:eastAsia="Times New Roman"/>
          <w:snapToGrid/>
          <w:szCs w:val="22"/>
          <w:lang w:val="hu-HU" w:eastAsia="hu-HU"/>
        </w:rPr>
      </w:pPr>
    </w:p>
    <w:p w14:paraId="6DF1B8AA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Az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SSRI-ok (például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paroxetin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szertralin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citaloprám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) mellett előforduló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cutan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vérzéses</w:t>
      </w:r>
      <w:r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rendellenességekről szóló beszámolók miatt, az </w:t>
      </w:r>
      <w:r>
        <w:rPr>
          <w:rFonts w:eastAsia="Times New Roman"/>
          <w:snapToGrid/>
          <w:spacing w:val="-2"/>
          <w:szCs w:val="22"/>
          <w:lang w:val="hu-HU" w:eastAsia="hu-HU"/>
        </w:rPr>
        <w:t>SSRI-ok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tikagrelorral</w:t>
      </w:r>
      <w:proofErr w:type="spellEnd"/>
      <w:r>
        <w:rPr>
          <w:rFonts w:eastAsia="Times New Roman"/>
          <w:snapToGrid/>
          <w:spacing w:val="-7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történő együttes alkalmazása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esetén</w:t>
      </w:r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elővigyázatosság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javasolt,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mert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ez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növelheti</w:t>
      </w:r>
      <w:r>
        <w:rPr>
          <w:rFonts w:eastAsia="Times New Roman"/>
          <w:snapToGrid/>
          <w:szCs w:val="22"/>
          <w:lang w:val="hu-HU" w:eastAsia="hu-HU"/>
        </w:rPr>
        <w:t xml:space="preserve"> a </w:t>
      </w:r>
      <w:r>
        <w:rPr>
          <w:rFonts w:eastAsia="Times New Roman"/>
          <w:snapToGrid/>
          <w:spacing w:val="-1"/>
          <w:szCs w:val="22"/>
          <w:lang w:val="hu-HU" w:eastAsia="hu-HU"/>
        </w:rPr>
        <w:t>vérzés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kockázatát.</w:t>
      </w:r>
    </w:p>
    <w:p w14:paraId="6D463C61" w14:textId="77777777" w:rsidR="00284377" w:rsidRDefault="002843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A87415C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71E34474" w14:textId="77777777" w:rsidR="00284377" w:rsidRDefault="00284377">
      <w:pPr>
        <w:spacing w:line="240" w:lineRule="auto"/>
        <w:rPr>
          <w:i/>
          <w:szCs w:val="22"/>
          <w:lang w:val="hu-HU"/>
        </w:rPr>
      </w:pPr>
    </w:p>
    <w:p w14:paraId="36C614C5" w14:textId="77777777" w:rsidR="00284377" w:rsidRDefault="00D321AB">
      <w:pPr>
        <w:pStyle w:val="Defaul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Fogamzóképes nők</w:t>
      </w:r>
    </w:p>
    <w:p w14:paraId="6817A281" w14:textId="77777777" w:rsidR="00284377" w:rsidRDefault="00D321AB">
      <w:pPr>
        <w:pStyle w:val="Szvegtrzs"/>
        <w:kinsoku w:val="0"/>
        <w:overflowPunct w:val="0"/>
        <w:spacing w:before="7" w:line="240" w:lineRule="auto"/>
        <w:rPr>
          <w:b w:val="0"/>
          <w:i w:val="0"/>
          <w:szCs w:val="22"/>
        </w:rPr>
      </w:pP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fogamzóképes nőknek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1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tikagrelor</w:t>
      </w:r>
      <w:proofErr w:type="spellEnd"/>
      <w:r>
        <w:rPr>
          <w:b w:val="0"/>
          <w:i w:val="0"/>
          <w:spacing w:val="-1"/>
          <w:szCs w:val="22"/>
        </w:rPr>
        <w:t xml:space="preserve">-kezelés ideje alatt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terhesség elkerülése érdekében megfelelő</w:t>
      </w:r>
      <w:r>
        <w:rPr>
          <w:b w:val="0"/>
          <w:i w:val="0"/>
          <w:spacing w:val="3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fogamzásgátlást kell alkalmazniuk.</w:t>
      </w:r>
    </w:p>
    <w:p w14:paraId="6DC22001" w14:textId="77777777" w:rsidR="00284377" w:rsidRDefault="00284377">
      <w:pPr>
        <w:pStyle w:val="Default"/>
        <w:rPr>
          <w:sz w:val="22"/>
          <w:szCs w:val="22"/>
          <w:u w:val="single"/>
        </w:rPr>
      </w:pPr>
    </w:p>
    <w:p w14:paraId="4B52AAD7" w14:textId="77777777" w:rsidR="00284377" w:rsidRDefault="00D321AB">
      <w:pPr>
        <w:pStyle w:val="Default"/>
        <w:keepNext/>
        <w:rPr>
          <w:sz w:val="22"/>
          <w:szCs w:val="22"/>
        </w:rPr>
      </w:pPr>
      <w:r>
        <w:rPr>
          <w:sz w:val="22"/>
          <w:szCs w:val="22"/>
          <w:u w:val="single"/>
        </w:rPr>
        <w:t>Terhesség</w:t>
      </w:r>
    </w:p>
    <w:p w14:paraId="3D70EA46" w14:textId="77777777" w:rsidR="00284377" w:rsidRDefault="00D321AB">
      <w:pPr>
        <w:pStyle w:val="Szvegtrzs"/>
        <w:kinsoku w:val="0"/>
        <w:overflowPunct w:val="0"/>
        <w:spacing w:before="11" w:line="240" w:lineRule="auto"/>
        <w:rPr>
          <w:b w:val="0"/>
          <w:i w:val="0"/>
          <w:szCs w:val="22"/>
        </w:rPr>
      </w:pPr>
      <w:r>
        <w:rPr>
          <w:b w:val="0"/>
          <w:i w:val="0"/>
          <w:szCs w:val="22"/>
        </w:rPr>
        <w:t>A</w:t>
      </w:r>
      <w:r>
        <w:rPr>
          <w:b w:val="0"/>
          <w:i w:val="0"/>
          <w:spacing w:val="-4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tikagrelor</w:t>
      </w:r>
      <w:proofErr w:type="spellEnd"/>
      <w:r>
        <w:rPr>
          <w:b w:val="0"/>
          <w:i w:val="0"/>
          <w:spacing w:val="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terhes nőknél történő alkalmazása tekintetében nem áll rendelkezésre információ vagy</w:t>
      </w:r>
      <w:r>
        <w:rPr>
          <w:b w:val="0"/>
          <w:i w:val="0"/>
          <w:spacing w:val="20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korlátozott mennyiségű információ áll rendelkezésre.</w:t>
      </w:r>
    </w:p>
    <w:p w14:paraId="2FD8560C" w14:textId="469A5964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pacing w:val="-1"/>
          <w:szCs w:val="22"/>
        </w:rPr>
      </w:pPr>
      <w:r>
        <w:rPr>
          <w:b w:val="0"/>
          <w:i w:val="0"/>
          <w:szCs w:val="22"/>
        </w:rPr>
        <w:t>Állatkísérletek során reproduktív toxicitást igazoltak (lásd 5.3 pont). A</w:t>
      </w:r>
      <w:r>
        <w:rPr>
          <w:b w:val="0"/>
          <w:i w:val="0"/>
          <w:spacing w:val="-4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tikagrelor</w:t>
      </w:r>
      <w:proofErr w:type="spellEnd"/>
      <w:r>
        <w:rPr>
          <w:b w:val="0"/>
          <w:i w:val="0"/>
          <w:spacing w:val="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alkalmazása</w:t>
      </w:r>
      <w:r>
        <w:rPr>
          <w:b w:val="0"/>
          <w:i w:val="0"/>
          <w:spacing w:val="5"/>
          <w:szCs w:val="22"/>
        </w:rPr>
        <w:t xml:space="preserve"> </w:t>
      </w:r>
      <w:r>
        <w:rPr>
          <w:b w:val="0"/>
          <w:i w:val="0"/>
          <w:spacing w:val="-6"/>
          <w:szCs w:val="22"/>
        </w:rPr>
        <w:t>nem</w:t>
      </w:r>
      <w:r>
        <w:rPr>
          <w:b w:val="0"/>
          <w:i w:val="0"/>
          <w:spacing w:val="17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java</w:t>
      </w:r>
      <w:r w:rsidR="00916C0E">
        <w:rPr>
          <w:b w:val="0"/>
          <w:i w:val="0"/>
          <w:spacing w:val="-1"/>
          <w:szCs w:val="22"/>
        </w:rPr>
        <w:t>llt</w:t>
      </w:r>
      <w:proofErr w:type="spellEnd"/>
      <w:r>
        <w:rPr>
          <w:b w:val="0"/>
          <w:i w:val="0"/>
          <w:spacing w:val="1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terhesség alatt.</w:t>
      </w:r>
    </w:p>
    <w:p w14:paraId="1969E34D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0E41CBC1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  <w:u w:val="single"/>
        </w:rPr>
        <w:t>Szoptatás</w:t>
      </w:r>
    </w:p>
    <w:p w14:paraId="0D32693B" w14:textId="77777777" w:rsidR="00284377" w:rsidRDefault="00D321AB">
      <w:pPr>
        <w:pStyle w:val="Szvegtrzs"/>
        <w:kinsoku w:val="0"/>
        <w:overflowPunct w:val="0"/>
        <w:spacing w:before="1" w:line="240" w:lineRule="auto"/>
        <w:rPr>
          <w:b w:val="0"/>
          <w:i w:val="0"/>
          <w:szCs w:val="22"/>
        </w:rPr>
      </w:pP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rendelkezésre álló, állatkísérletek során nyert </w:t>
      </w:r>
      <w:proofErr w:type="spellStart"/>
      <w:r>
        <w:rPr>
          <w:b w:val="0"/>
          <w:i w:val="0"/>
          <w:spacing w:val="-1"/>
          <w:szCs w:val="22"/>
        </w:rPr>
        <w:t>farmakodinámiás</w:t>
      </w:r>
      <w:proofErr w:type="spellEnd"/>
      <w:r>
        <w:rPr>
          <w:b w:val="0"/>
          <w:i w:val="0"/>
          <w:spacing w:val="-1"/>
          <w:szCs w:val="22"/>
        </w:rPr>
        <w:t xml:space="preserve"> </w:t>
      </w:r>
      <w:r>
        <w:rPr>
          <w:b w:val="0"/>
          <w:i w:val="0"/>
          <w:szCs w:val="22"/>
        </w:rPr>
        <w:t>/</w:t>
      </w:r>
      <w:r>
        <w:rPr>
          <w:b w:val="0"/>
          <w:i w:val="0"/>
          <w:spacing w:val="-1"/>
          <w:szCs w:val="22"/>
        </w:rPr>
        <w:t xml:space="preserve"> toxikológiai adatok </w:t>
      </w:r>
      <w:r>
        <w:rPr>
          <w:b w:val="0"/>
          <w:i w:val="0"/>
          <w:szCs w:val="22"/>
        </w:rPr>
        <w:t xml:space="preserve">a </w:t>
      </w:r>
      <w:proofErr w:type="spellStart"/>
      <w:r>
        <w:rPr>
          <w:b w:val="0"/>
          <w:i w:val="0"/>
          <w:spacing w:val="-1"/>
          <w:szCs w:val="22"/>
        </w:rPr>
        <w:t>tikagrelor</w:t>
      </w:r>
      <w:proofErr w:type="spellEnd"/>
      <w:r>
        <w:rPr>
          <w:b w:val="0"/>
          <w:i w:val="0"/>
          <w:spacing w:val="1"/>
          <w:szCs w:val="22"/>
        </w:rPr>
        <w:t xml:space="preserve"> </w:t>
      </w:r>
      <w:r>
        <w:rPr>
          <w:b w:val="0"/>
          <w:i w:val="0"/>
          <w:spacing w:val="-4"/>
          <w:szCs w:val="22"/>
        </w:rPr>
        <w:t xml:space="preserve">és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5"/>
          <w:szCs w:val="22"/>
        </w:rPr>
        <w:t xml:space="preserve"> </w:t>
      </w:r>
      <w:proofErr w:type="spellStart"/>
      <w:r>
        <w:rPr>
          <w:b w:val="0"/>
          <w:i w:val="0"/>
          <w:spacing w:val="-2"/>
          <w:szCs w:val="22"/>
        </w:rPr>
        <w:t>tikagrelor</w:t>
      </w:r>
      <w:proofErr w:type="spellEnd"/>
      <w:r>
        <w:rPr>
          <w:b w:val="0"/>
          <w:i w:val="0"/>
          <w:spacing w:val="1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metabolitjainak</w:t>
      </w:r>
      <w:proofErr w:type="spellEnd"/>
      <w:r>
        <w:rPr>
          <w:b w:val="0"/>
          <w:i w:val="0"/>
          <w:spacing w:val="-1"/>
          <w:szCs w:val="22"/>
        </w:rPr>
        <w:t xml:space="preserve"> kiválasztódását igazolták az anyatejbe (lásd 5.3</w:t>
      </w:r>
      <w:r>
        <w:rPr>
          <w:b w:val="0"/>
          <w:i w:val="0"/>
          <w:spacing w:val="1"/>
          <w:szCs w:val="22"/>
        </w:rPr>
        <w:t> </w:t>
      </w:r>
      <w:r>
        <w:rPr>
          <w:b w:val="0"/>
          <w:i w:val="0"/>
          <w:spacing w:val="-2"/>
          <w:szCs w:val="22"/>
        </w:rPr>
        <w:t>pont).</w:t>
      </w:r>
      <w:r>
        <w:rPr>
          <w:b w:val="0"/>
          <w:i w:val="0"/>
          <w:spacing w:val="4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Az anyatejjel táplált</w:t>
      </w:r>
      <w:r>
        <w:rPr>
          <w:b w:val="0"/>
          <w:i w:val="0"/>
          <w:spacing w:val="26"/>
          <w:szCs w:val="22"/>
        </w:rPr>
        <w:t xml:space="preserve"> </w:t>
      </w:r>
      <w:r>
        <w:rPr>
          <w:b w:val="0"/>
          <w:i w:val="0"/>
          <w:spacing w:val="-2"/>
          <w:szCs w:val="22"/>
        </w:rPr>
        <w:t>újszülöttre/csecsemőre</w:t>
      </w:r>
      <w:r>
        <w:rPr>
          <w:b w:val="0"/>
          <w:i w:val="0"/>
          <w:spacing w:val="-1"/>
          <w:szCs w:val="22"/>
        </w:rPr>
        <w:t xml:space="preserve"> nézve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kockázatot nem lehet kizárni.</w:t>
      </w:r>
      <w:r>
        <w:rPr>
          <w:b w:val="0"/>
          <w:i w:val="0"/>
          <w:spacing w:val="3"/>
          <w:szCs w:val="22"/>
        </w:rPr>
        <w:t xml:space="preserve">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4"/>
          <w:szCs w:val="22"/>
        </w:rPr>
        <w:t xml:space="preserve"> </w:t>
      </w:r>
      <w:proofErr w:type="spellStart"/>
      <w:r>
        <w:rPr>
          <w:b w:val="0"/>
          <w:i w:val="0"/>
          <w:spacing w:val="-1"/>
          <w:szCs w:val="22"/>
        </w:rPr>
        <w:t>tikagrelor</w:t>
      </w:r>
      <w:proofErr w:type="spellEnd"/>
      <w:r>
        <w:rPr>
          <w:b w:val="0"/>
          <w:i w:val="0"/>
          <w:spacing w:val="1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 xml:space="preserve">alkalmazása előtt el kell dönteni, hogy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szoptatást függesztik fel, vagy megszakítják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kezelést </w:t>
      </w:r>
      <w:r>
        <w:rPr>
          <w:b w:val="0"/>
          <w:i w:val="0"/>
          <w:szCs w:val="22"/>
        </w:rPr>
        <w:t>/</w:t>
      </w:r>
      <w:r>
        <w:rPr>
          <w:b w:val="0"/>
          <w:i w:val="0"/>
          <w:spacing w:val="-1"/>
          <w:szCs w:val="22"/>
        </w:rPr>
        <w:t xml:space="preserve"> tartózkodnak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kezeléstől</w:t>
      </w:r>
      <w:r>
        <w:rPr>
          <w:b w:val="0"/>
          <w:i w:val="0"/>
          <w:szCs w:val="22"/>
        </w:rPr>
        <w:t xml:space="preserve"> –</w:t>
      </w:r>
      <w:r>
        <w:rPr>
          <w:b w:val="0"/>
          <w:i w:val="0"/>
          <w:spacing w:val="2"/>
          <w:szCs w:val="22"/>
        </w:rPr>
        <w:t xml:space="preserve"> </w:t>
      </w:r>
      <w:r>
        <w:rPr>
          <w:b w:val="0"/>
          <w:i w:val="0"/>
          <w:spacing w:val="-2"/>
          <w:szCs w:val="22"/>
        </w:rPr>
        <w:t>figyelembe véve</w:t>
      </w:r>
      <w:r>
        <w:rPr>
          <w:b w:val="0"/>
          <w:i w:val="0"/>
          <w:spacing w:val="19"/>
          <w:szCs w:val="22"/>
        </w:rPr>
        <w:t xml:space="preserve">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szoptatás előnyét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gyermekre nézve, valamint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1"/>
          <w:szCs w:val="22"/>
        </w:rPr>
        <w:t xml:space="preserve"> terápia</w:t>
      </w:r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előnyét</w:t>
      </w:r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zCs w:val="22"/>
        </w:rPr>
        <w:t>a</w:t>
      </w:r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nőre</w:t>
      </w:r>
      <w:r>
        <w:rPr>
          <w:b w:val="0"/>
          <w:i w:val="0"/>
          <w:spacing w:val="-2"/>
          <w:szCs w:val="22"/>
        </w:rPr>
        <w:t xml:space="preserve"> </w:t>
      </w:r>
      <w:r>
        <w:rPr>
          <w:b w:val="0"/>
          <w:i w:val="0"/>
          <w:spacing w:val="-1"/>
          <w:szCs w:val="22"/>
        </w:rPr>
        <w:t>nézve.</w:t>
      </w:r>
    </w:p>
    <w:p w14:paraId="61FBC629" w14:textId="77777777" w:rsidR="00284377" w:rsidRDefault="00284377">
      <w:pPr>
        <w:pStyle w:val="Default"/>
        <w:rPr>
          <w:sz w:val="22"/>
          <w:szCs w:val="22"/>
        </w:rPr>
      </w:pPr>
    </w:p>
    <w:p w14:paraId="12EE08E9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Termékenység </w:t>
      </w:r>
    </w:p>
    <w:p w14:paraId="50D88957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nincs hatással a hím vagy a nőstény állatok termékenységére (lásd 5.3 pont).</w:t>
      </w:r>
    </w:p>
    <w:p w14:paraId="1E19BF60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5CCF8783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208E8AED" w14:textId="77777777" w:rsidR="00284377" w:rsidRPr="005B1D39" w:rsidRDefault="0028437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77473E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3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gramStart"/>
      <w:r>
        <w:rPr>
          <w:rFonts w:eastAsia="Times New Roman"/>
          <w:snapToGrid/>
          <w:szCs w:val="22"/>
          <w:lang w:val="hu-HU" w:eastAsia="hu-HU"/>
        </w:rPr>
        <w:t>nem</w:t>
      </w:r>
      <w:proofErr w:type="gramEnd"/>
      <w:r>
        <w:rPr>
          <w:rFonts w:eastAsia="Times New Roman"/>
          <w:snapToGrid/>
          <w:szCs w:val="22"/>
          <w:lang w:val="hu-HU" w:eastAsia="hu-HU"/>
        </w:rPr>
        <w:t xml:space="preserve"> vagy csak elhanyagolható mértékben befolyásolja a gépjárművezetéshez és a gépek kezeléséhez szükséges képességeket.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>-kezelés során szédülésről és zavartságról számoltak be. Ezért az ezeket a tüneteket tapasztaló betegeknek óvatosnak kell lenniük, amikor gépjárművet vezetnek vagy gépeket kezelnek.</w:t>
      </w:r>
    </w:p>
    <w:p w14:paraId="698E20AE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3" w:line="240" w:lineRule="auto"/>
        <w:rPr>
          <w:rFonts w:eastAsia="Times New Roman"/>
          <w:snapToGrid/>
          <w:szCs w:val="22"/>
          <w:lang w:val="hu-HU" w:eastAsia="hu-HU"/>
        </w:rPr>
      </w:pPr>
    </w:p>
    <w:p w14:paraId="0C8897EB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6F38CAA4" w14:textId="77777777" w:rsidR="00284377" w:rsidRDefault="00284377">
      <w:pPr>
        <w:spacing w:line="240" w:lineRule="auto"/>
        <w:rPr>
          <w:i/>
          <w:szCs w:val="22"/>
          <w:lang w:val="hu-HU"/>
        </w:rPr>
      </w:pPr>
    </w:p>
    <w:p w14:paraId="70C2DF39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A biztonságossági profil összefoglalása </w:t>
      </w:r>
    </w:p>
    <w:p w14:paraId="7EFA9267" w14:textId="2A64271F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biztonságossági profilját két nagyméretű, </w:t>
      </w:r>
      <w:r w:rsidR="00916C0E">
        <w:rPr>
          <w:sz w:val="22"/>
          <w:szCs w:val="22"/>
        </w:rPr>
        <w:t>III. fázisú</w:t>
      </w:r>
      <w:r>
        <w:rPr>
          <w:sz w:val="22"/>
          <w:szCs w:val="22"/>
        </w:rPr>
        <w:t xml:space="preserve"> végponti vizsgálatban értékelték (PLATO és PEGASUS), amelyekben több mint 39 000 beteg vett részt (lásd 5.1 pont).</w:t>
      </w:r>
    </w:p>
    <w:p w14:paraId="6DCF6DA1" w14:textId="77777777" w:rsidR="00284377" w:rsidRDefault="00284377">
      <w:pPr>
        <w:pStyle w:val="Default"/>
        <w:rPr>
          <w:sz w:val="22"/>
          <w:szCs w:val="22"/>
        </w:rPr>
      </w:pPr>
    </w:p>
    <w:p w14:paraId="49ADAF33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PLATO-vizsgálatban a </w:t>
      </w:r>
      <w:proofErr w:type="spellStart"/>
      <w:r>
        <w:rPr>
          <w:sz w:val="22"/>
          <w:szCs w:val="22"/>
        </w:rPr>
        <w:t>tikagrelort</w:t>
      </w:r>
      <w:proofErr w:type="spellEnd"/>
      <w:r>
        <w:rPr>
          <w:sz w:val="22"/>
          <w:szCs w:val="22"/>
        </w:rPr>
        <w:t xml:space="preserve"> kapó betegeknél magasabb volt a vizsgálatban való részvétel nemkívánatos események miatti abbahagyása, mint a </w:t>
      </w:r>
      <w:proofErr w:type="spellStart"/>
      <w:r>
        <w:rPr>
          <w:sz w:val="22"/>
          <w:szCs w:val="22"/>
        </w:rPr>
        <w:t>klopidogrel</w:t>
      </w:r>
      <w:proofErr w:type="spellEnd"/>
      <w:r>
        <w:rPr>
          <w:sz w:val="22"/>
          <w:szCs w:val="22"/>
        </w:rPr>
        <w:t xml:space="preserve"> esetén (7,4% </w:t>
      </w:r>
      <w:proofErr w:type="spellStart"/>
      <w:r>
        <w:rPr>
          <w:sz w:val="22"/>
          <w:szCs w:val="22"/>
        </w:rPr>
        <w:t>vs</w:t>
      </w:r>
      <w:proofErr w:type="spellEnd"/>
      <w:r>
        <w:rPr>
          <w:sz w:val="22"/>
          <w:szCs w:val="22"/>
        </w:rPr>
        <w:t xml:space="preserve">. 5,4%). A PEGASUS-vizsgálatban a </w:t>
      </w:r>
      <w:proofErr w:type="spellStart"/>
      <w:r>
        <w:rPr>
          <w:sz w:val="22"/>
          <w:szCs w:val="22"/>
        </w:rPr>
        <w:t>tikagrelort</w:t>
      </w:r>
      <w:proofErr w:type="spellEnd"/>
      <w:r>
        <w:rPr>
          <w:sz w:val="22"/>
          <w:szCs w:val="22"/>
        </w:rPr>
        <w:t xml:space="preserve"> kapó betegeknél magasabb volt a vizsgálatban való részvétel nemkívánatos események miatti abbahagyása, mint a csak </w:t>
      </w:r>
      <w:proofErr w:type="spellStart"/>
      <w:r>
        <w:rPr>
          <w:sz w:val="22"/>
          <w:szCs w:val="22"/>
        </w:rPr>
        <w:t>acetilszalicilsav</w:t>
      </w:r>
      <w:proofErr w:type="spellEnd"/>
      <w:r>
        <w:rPr>
          <w:sz w:val="22"/>
          <w:szCs w:val="22"/>
        </w:rPr>
        <w:t>-kezelést kapóknál (16,1% az ASA mellé adott 60</w:t>
      </w:r>
      <w:r>
        <w:rPr>
          <w:position w:val="2"/>
          <w:sz w:val="22"/>
          <w:szCs w:val="22"/>
        </w:rPr>
        <w:t> </w:t>
      </w:r>
      <w:r>
        <w:rPr>
          <w:sz w:val="22"/>
          <w:szCs w:val="22"/>
        </w:rPr>
        <w:t xml:space="preserve">mg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>-, illetve 8,5% az ASA-</w:t>
      </w:r>
      <w:proofErr w:type="spellStart"/>
      <w:r>
        <w:rPr>
          <w:sz w:val="22"/>
          <w:szCs w:val="22"/>
        </w:rPr>
        <w:t>monoterápia</w:t>
      </w:r>
      <w:proofErr w:type="spellEnd"/>
      <w:r>
        <w:rPr>
          <w:sz w:val="22"/>
          <w:szCs w:val="22"/>
        </w:rPr>
        <w:t xml:space="preserve"> esetén). A </w:t>
      </w:r>
      <w:proofErr w:type="spellStart"/>
      <w:r>
        <w:rPr>
          <w:sz w:val="22"/>
          <w:szCs w:val="22"/>
        </w:rPr>
        <w:t>tikagrelorral</w:t>
      </w:r>
      <w:proofErr w:type="spellEnd"/>
      <w:r>
        <w:rPr>
          <w:sz w:val="22"/>
          <w:szCs w:val="22"/>
        </w:rPr>
        <w:t xml:space="preserve"> kezelt betegeknél a leggyakrabban jelentett mellékhatásokok a vérzés és a </w:t>
      </w:r>
      <w:proofErr w:type="spellStart"/>
      <w:r>
        <w:rPr>
          <w:sz w:val="22"/>
          <w:szCs w:val="22"/>
        </w:rPr>
        <w:t>dyspnoe</w:t>
      </w:r>
      <w:proofErr w:type="spellEnd"/>
      <w:r>
        <w:rPr>
          <w:sz w:val="22"/>
          <w:szCs w:val="22"/>
        </w:rPr>
        <w:t xml:space="preserve"> voltak (lásd 4.4 pont).</w:t>
      </w:r>
    </w:p>
    <w:p w14:paraId="27271F28" w14:textId="77777777" w:rsidR="00284377" w:rsidRDefault="00284377">
      <w:pPr>
        <w:pStyle w:val="Default"/>
        <w:rPr>
          <w:sz w:val="22"/>
          <w:szCs w:val="22"/>
        </w:rPr>
      </w:pPr>
    </w:p>
    <w:p w14:paraId="22E2FD07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  <w:u w:val="single"/>
        </w:rPr>
        <w:t>A mellékhatások táblázatos felsorolása</w:t>
      </w:r>
    </w:p>
    <w:p w14:paraId="7911B18F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tikagrelorral</w:t>
      </w:r>
      <w:proofErr w:type="spellEnd"/>
      <w:r>
        <w:rPr>
          <w:sz w:val="22"/>
          <w:szCs w:val="22"/>
        </w:rPr>
        <w:t xml:space="preserve"> végzett vizsgálatok után és a forgalomba hozatalt követően szerzett tapasztalatok alapján az alábbi mellékhatásokat azonosították (1. táblázat).</w:t>
      </w:r>
    </w:p>
    <w:p w14:paraId="36D5A7BF" w14:textId="77777777" w:rsidR="00284377" w:rsidRDefault="00284377">
      <w:pPr>
        <w:pStyle w:val="Default"/>
        <w:rPr>
          <w:sz w:val="22"/>
          <w:szCs w:val="22"/>
        </w:rPr>
      </w:pPr>
    </w:p>
    <w:p w14:paraId="3D911A56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mellékhatások </w:t>
      </w:r>
      <w:proofErr w:type="spellStart"/>
      <w:r>
        <w:rPr>
          <w:sz w:val="22"/>
          <w:szCs w:val="22"/>
        </w:rPr>
        <w:t>MedDRA</w:t>
      </w:r>
      <w:proofErr w:type="spellEnd"/>
      <w:r>
        <w:rPr>
          <w:sz w:val="22"/>
          <w:szCs w:val="22"/>
        </w:rPr>
        <w:t xml:space="preserve"> szervrendszeri </w:t>
      </w:r>
      <w:proofErr w:type="spellStart"/>
      <w:r>
        <w:rPr>
          <w:sz w:val="22"/>
          <w:szCs w:val="22"/>
        </w:rPr>
        <w:t>kategóriánként</w:t>
      </w:r>
      <w:proofErr w:type="spellEnd"/>
      <w:r>
        <w:rPr>
          <w:sz w:val="22"/>
          <w:szCs w:val="22"/>
        </w:rPr>
        <w:t xml:space="preserve"> kerültek felsorolásra. Az egyes szervrendszeri kategóriákon belül a mellékhatások gyakorisági kategóriák szerint vannak rangsorolva. A gyakorisági kategóriákat az alábbi megegyezés szerint határozták meg: nagyon gyakori (≥ 1/10), </w:t>
      </w:r>
      <w:r>
        <w:rPr>
          <w:sz w:val="22"/>
          <w:szCs w:val="22"/>
        </w:rPr>
        <w:lastRenderedPageBreak/>
        <w:t xml:space="preserve">gyakori (≥ 1/100 </w:t>
      </w:r>
      <w:r>
        <w:rPr>
          <w:sz w:val="22"/>
          <w:szCs w:val="22"/>
        </w:rPr>
        <w:noBreakHyphen/>
        <w:t xml:space="preserve"> </w:t>
      </w:r>
      <w:proofErr w:type="gramStart"/>
      <w:r>
        <w:rPr>
          <w:sz w:val="22"/>
          <w:szCs w:val="22"/>
        </w:rPr>
        <w:t>&lt; 1</w:t>
      </w:r>
      <w:proofErr w:type="gramEnd"/>
      <w:r>
        <w:rPr>
          <w:sz w:val="22"/>
          <w:szCs w:val="22"/>
        </w:rPr>
        <w:t>/10), nem gyakori (≥1/1000 </w:t>
      </w:r>
      <w:r>
        <w:rPr>
          <w:sz w:val="22"/>
          <w:szCs w:val="22"/>
        </w:rPr>
        <w:noBreakHyphen/>
        <w:t> &lt; 1/100), ritka (≥ 1/10 000 - &lt; </w:t>
      </w:r>
      <w:r>
        <w:rPr>
          <w:spacing w:val="-1"/>
          <w:sz w:val="22"/>
          <w:szCs w:val="22"/>
        </w:rPr>
        <w:t>1/1000</w:t>
      </w:r>
      <w:r>
        <w:rPr>
          <w:sz w:val="22"/>
          <w:szCs w:val="22"/>
        </w:rPr>
        <w:t>), nagyon ritka (&lt; 1/10 000), nem ismert (a gyakoriság a rendelkezésre álló adatokból nem állapítható meg).</w:t>
      </w:r>
    </w:p>
    <w:p w14:paraId="02AC27D1" w14:textId="77777777" w:rsidR="00284377" w:rsidRDefault="00284377">
      <w:pPr>
        <w:spacing w:line="240" w:lineRule="auto"/>
        <w:rPr>
          <w:szCs w:val="22"/>
          <w:u w:val="single"/>
          <w:lang w:val="hu-HU"/>
        </w:rPr>
      </w:pPr>
    </w:p>
    <w:p w14:paraId="218036D9" w14:textId="77777777" w:rsidR="00284377" w:rsidRDefault="00D321AB">
      <w:pPr>
        <w:numPr>
          <w:ilvl w:val="0"/>
          <w:numId w:val="57"/>
        </w:numPr>
        <w:tabs>
          <w:tab w:val="clear" w:pos="567"/>
          <w:tab w:val="left" w:pos="284"/>
        </w:tabs>
        <w:spacing w:line="240" w:lineRule="auto"/>
        <w:ind w:left="567" w:hanging="567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 xml:space="preserve">táblázat: </w:t>
      </w:r>
      <w:r>
        <w:rPr>
          <w:b/>
          <w:spacing w:val="-1"/>
          <w:szCs w:val="22"/>
          <w:lang w:val="hu-HU"/>
        </w:rPr>
        <w:t>Gyakoriság</w:t>
      </w:r>
      <w:r>
        <w:rPr>
          <w:b/>
          <w:spacing w:val="-2"/>
          <w:szCs w:val="22"/>
          <w:lang w:val="hu-HU"/>
        </w:rPr>
        <w:t xml:space="preserve"> </w:t>
      </w:r>
      <w:r>
        <w:rPr>
          <w:b/>
          <w:spacing w:val="-1"/>
          <w:szCs w:val="22"/>
          <w:lang w:val="hu-HU"/>
        </w:rPr>
        <w:t>és</w:t>
      </w:r>
      <w:r>
        <w:rPr>
          <w:b/>
          <w:spacing w:val="-2"/>
          <w:szCs w:val="22"/>
          <w:lang w:val="hu-HU"/>
        </w:rPr>
        <w:t xml:space="preserve"> </w:t>
      </w:r>
      <w:r>
        <w:rPr>
          <w:b/>
          <w:spacing w:val="-1"/>
          <w:szCs w:val="22"/>
          <w:lang w:val="hu-HU"/>
        </w:rPr>
        <w:t>szervrendszeri</w:t>
      </w:r>
      <w:r>
        <w:rPr>
          <w:b/>
          <w:spacing w:val="-2"/>
          <w:szCs w:val="22"/>
          <w:lang w:val="hu-HU"/>
        </w:rPr>
        <w:t xml:space="preserve"> </w:t>
      </w:r>
      <w:r>
        <w:rPr>
          <w:b/>
          <w:spacing w:val="-1"/>
          <w:szCs w:val="22"/>
          <w:lang w:val="hu-HU"/>
        </w:rPr>
        <w:t>kategóriák</w:t>
      </w:r>
      <w:r>
        <w:rPr>
          <w:b/>
          <w:spacing w:val="-2"/>
          <w:szCs w:val="22"/>
          <w:lang w:val="hu-HU"/>
        </w:rPr>
        <w:t xml:space="preserve"> </w:t>
      </w:r>
      <w:r>
        <w:rPr>
          <w:b/>
          <w:spacing w:val="-1"/>
          <w:szCs w:val="22"/>
          <w:lang w:val="hu-HU"/>
        </w:rPr>
        <w:t>alapján</w:t>
      </w:r>
      <w:r>
        <w:rPr>
          <w:b/>
          <w:spacing w:val="1"/>
          <w:szCs w:val="22"/>
          <w:lang w:val="hu-HU"/>
        </w:rPr>
        <w:t xml:space="preserve"> </w:t>
      </w:r>
      <w:r>
        <w:rPr>
          <w:b/>
          <w:spacing w:val="-1"/>
          <w:szCs w:val="22"/>
          <w:lang w:val="hu-HU"/>
        </w:rPr>
        <w:t>csoportosított mellékhatások</w:t>
      </w:r>
      <w:r>
        <w:rPr>
          <w:b/>
          <w:bCs/>
          <w:szCs w:val="22"/>
          <w:lang w:val="hu-HU"/>
        </w:rPr>
        <w:t xml:space="preserve"> </w:t>
      </w:r>
    </w:p>
    <w:p w14:paraId="4EC4E5F8" w14:textId="77777777" w:rsidR="00284377" w:rsidRDefault="00284377">
      <w:pPr>
        <w:spacing w:line="240" w:lineRule="auto"/>
        <w:rPr>
          <w:b/>
          <w:bCs/>
          <w:szCs w:val="22"/>
          <w:lang w:val="hu-H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4"/>
        <w:gridCol w:w="1841"/>
        <w:gridCol w:w="1652"/>
        <w:gridCol w:w="1738"/>
        <w:gridCol w:w="1678"/>
      </w:tblGrid>
      <w:tr w:rsidR="00284377" w14:paraId="565FDC7B" w14:textId="77777777">
        <w:trPr>
          <w:cantSplit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425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Szervrendszeri kategóriák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90F5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Nagyon gyakori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E9A0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Gyakori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7F08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Nem</w:t>
            </w:r>
            <w:r>
              <w:rPr>
                <w:rFonts w:eastAsia="Times New Roman"/>
                <w:b/>
                <w:bCs/>
                <w:snapToGrid/>
                <w:spacing w:val="-11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gyakori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C528FB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Nem</w:t>
            </w:r>
            <w:r>
              <w:rPr>
                <w:rFonts w:eastAsia="Times New Roman"/>
                <w:b/>
                <w:bCs/>
                <w:snapToGrid/>
                <w:spacing w:val="-4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ismert</w:t>
            </w:r>
          </w:p>
        </w:tc>
      </w:tr>
      <w:tr w:rsidR="00284377" w14:paraId="37F741E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A50B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Jó-,</w:t>
            </w:r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 xml:space="preserve"> rosszindulatú és</w:t>
            </w:r>
            <w:r>
              <w:rPr>
                <w:rFonts w:eastAsia="Times New Roman"/>
                <w:i/>
                <w:iCs/>
                <w:snapToGrid/>
                <w:spacing w:val="23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>nem</w:t>
            </w:r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>meghatározott</w:t>
            </w:r>
            <w:r>
              <w:rPr>
                <w:rFonts w:eastAsia="Times New Roman"/>
                <w:i/>
                <w:iCs/>
                <w:snapToGrid/>
                <w:spacing w:val="24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 xml:space="preserve">daganatok (beleértve </w:t>
            </w:r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>a</w:t>
            </w:r>
            <w:r>
              <w:rPr>
                <w:rFonts w:eastAsia="Times New Roman"/>
                <w:i/>
                <w:iCs/>
                <w:snapToGrid/>
                <w:spacing w:val="23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>cisztákat és polipokat</w:t>
            </w:r>
            <w:r>
              <w:rPr>
                <w:rFonts w:eastAsia="Times New Roman"/>
                <w:i/>
                <w:iCs/>
                <w:snapToGrid/>
                <w:spacing w:val="2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>is)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99B9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43EF9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BE7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57" w:right="75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Tumor</w:t>
            </w:r>
            <w:r>
              <w:rPr>
                <w:rFonts w:eastAsia="Times New Roman"/>
                <w:snapToGrid/>
                <w:spacing w:val="22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vérzések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F576CD6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00FB6C0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7436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Vérképzőszervi és nyirokrendszeri betegségek és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1D17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323"/>
              <w:rPr>
                <w:rFonts w:eastAsia="Times New Roman"/>
                <w:snapToGrid/>
                <w:szCs w:val="22"/>
                <w:vertAlign w:val="superscript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Vérképzőszervi betegségek miatti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vérzések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b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60AF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DCDD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EB8C21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2" w:line="240" w:lineRule="auto"/>
              <w:ind w:left="57" w:right="280"/>
              <w:rPr>
                <w:rFonts w:eastAsia="Times New Roman"/>
                <w:snapToGrid/>
                <w:szCs w:val="22"/>
                <w:vertAlign w:val="superscript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Thromboticus</w:t>
            </w:r>
            <w:proofErr w:type="spellEnd"/>
            <w:r>
              <w:rPr>
                <w:rFonts w:eastAsia="Times New Roman"/>
                <w:snapToGrid/>
                <w:spacing w:val="20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thrombocyto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softHyphen/>
              <w:t>peniás</w:t>
            </w:r>
            <w:proofErr w:type="spellEnd"/>
            <w:r>
              <w:rPr>
                <w:rFonts w:eastAsia="Times New Roman"/>
                <w:snapToGrid/>
                <w:spacing w:val="20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zCs w:val="22"/>
                <w:lang w:val="hu-HU" w:eastAsia="hu-HU"/>
              </w:rPr>
              <w:t>purpura</w:t>
            </w:r>
            <w:r>
              <w:rPr>
                <w:rFonts w:eastAsia="Times New Roman"/>
                <w:snapToGrid/>
                <w:szCs w:val="22"/>
                <w:vertAlign w:val="superscript"/>
                <w:lang w:val="hu-HU" w:eastAsia="hu-HU"/>
              </w:rPr>
              <w:t>c</w:t>
            </w:r>
            <w:proofErr w:type="spellEnd"/>
          </w:p>
        </w:tc>
      </w:tr>
      <w:tr w:rsidR="00284377" w14:paraId="4852E7D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B7FA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258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>Immunrendszeri</w:t>
            </w:r>
            <w:r>
              <w:rPr>
                <w:rFonts w:eastAsia="Times New Roman"/>
                <w:i/>
                <w:iCs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>betegségek és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C742B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86C2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CB5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40"/>
              <w:rPr>
                <w:rFonts w:eastAsia="Times New Roman"/>
                <w:snapToGrid/>
                <w:szCs w:val="22"/>
                <w:vertAlign w:val="superscript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Túlérzékenység,</w:t>
            </w:r>
            <w:r>
              <w:rPr>
                <w:rFonts w:eastAsia="Times New Roman"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beleértve az</w:t>
            </w:r>
            <w:r>
              <w:rPr>
                <w:rFonts w:eastAsia="Times New Roman"/>
                <w:snapToGrid/>
                <w:spacing w:val="21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angiooedemát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zCs w:val="22"/>
                <w:lang w:val="hu-HU" w:eastAsia="hu-HU"/>
              </w:rPr>
              <w:t>is</w:t>
            </w:r>
            <w:r>
              <w:rPr>
                <w:rFonts w:eastAsia="Times New Roman"/>
                <w:snapToGrid/>
                <w:szCs w:val="22"/>
                <w:vertAlign w:val="superscript"/>
                <w:lang w:val="hu-HU" w:eastAsia="hu-HU"/>
              </w:rPr>
              <w:t>c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B23D299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6F802FD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4D5A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258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Anyagcsere-</w:t>
            </w:r>
            <w:r>
              <w:rPr>
                <w:rFonts w:eastAsia="Times New Roman"/>
                <w:i/>
                <w:iCs/>
                <w:snapToGrid/>
                <w:spacing w:val="1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>és</w:t>
            </w:r>
            <w:r>
              <w:rPr>
                <w:rFonts w:eastAsia="Times New Roman"/>
                <w:i/>
                <w:iCs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 xml:space="preserve">táplálkozási </w:t>
            </w: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>betegségek és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6655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vertAlign w:val="superscript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Hyperuricaemia</w:t>
            </w:r>
            <w:r>
              <w:rPr>
                <w:rFonts w:eastAsia="Times New Roman"/>
                <w:snapToGrid/>
                <w:spacing w:val="-2"/>
                <w:szCs w:val="22"/>
                <w:vertAlign w:val="superscript"/>
                <w:lang w:val="hu-HU" w:eastAsia="hu-HU"/>
              </w:rPr>
              <w:t>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B122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2" w:line="240" w:lineRule="auto"/>
              <w:ind w:left="77" w:right="323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Köszvény/ köszvényes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arthritis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51227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0C638DD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3FC6302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C50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>Pszichiátriai kórképek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CF32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FA4B4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E6AA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Zavartság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6DF4E29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449A3B9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2C11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Idegrendszeri betegségek és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605D8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E05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2" w:line="240" w:lineRule="auto"/>
              <w:ind w:left="77" w:right="323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Szédülés, ájulás, fejfájás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941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428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Intracraniális</w:t>
            </w:r>
            <w:proofErr w:type="spellEnd"/>
            <w:r>
              <w:rPr>
                <w:rFonts w:eastAsia="Times New Roman"/>
                <w:snapToGrid/>
                <w:spacing w:val="20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vérzés</w:t>
            </w:r>
            <w:r>
              <w:rPr>
                <w:rFonts w:eastAsia="Times New Roman"/>
                <w:snapToGrid/>
                <w:spacing w:val="-2"/>
                <w:szCs w:val="22"/>
                <w:vertAlign w:val="superscript"/>
                <w:lang w:val="hu-HU" w:eastAsia="hu-HU"/>
              </w:rPr>
              <w:t>m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F0B03B6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47254FF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D5EA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Szembetegségek és szemészeti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53976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A2308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C87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Szemvérzés</w:t>
            </w:r>
            <w:r>
              <w:rPr>
                <w:rFonts w:eastAsia="Times New Roman"/>
                <w:snapToGrid/>
                <w:spacing w:val="-2"/>
                <w:szCs w:val="22"/>
                <w:vertAlign w:val="superscript"/>
                <w:lang w:val="hu-HU" w:eastAsia="hu-HU"/>
              </w:rPr>
              <w:t>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70D5FEA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36B9354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031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A fül és az egyensúly-érzékelő szerv betegségei és tünetei</w:t>
            </w:r>
            <w:r>
              <w:rPr>
                <w:rFonts w:eastAsia="Times New Roman"/>
                <w:i/>
                <w:iCs/>
                <w:snapToGrid/>
                <w:spacing w:val="-1"/>
                <w:szCs w:val="22"/>
                <w:lang w:val="hu-HU" w:eastAsia="hu-H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8F6E1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3E81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Vertigo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B5F5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Fülvérzés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F568F02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6965538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319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Szívbetegségek és a szívvel kapcsolatos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9823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95859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F1BCE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17AA6FF" w14:textId="77777777" w:rsidR="00284377" w:rsidRDefault="00D321AB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Bradyarrhythmia</w:t>
            </w:r>
            <w:proofErr w:type="spellEnd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, AV-</w:t>
            </w:r>
            <w:proofErr w:type="spellStart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blokk</w:t>
            </w:r>
            <w:r>
              <w:rPr>
                <w:rFonts w:eastAsia="Times New Roman"/>
                <w:snapToGrid/>
                <w:spacing w:val="-2"/>
                <w:szCs w:val="22"/>
                <w:vertAlign w:val="superscript"/>
                <w:lang w:val="hu-HU" w:eastAsia="hu-HU"/>
              </w:rPr>
              <w:t>c</w:t>
            </w:r>
            <w:proofErr w:type="spellEnd"/>
          </w:p>
        </w:tc>
      </w:tr>
      <w:tr w:rsidR="00284377" w14:paraId="72551BC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92D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476"/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Érbetegségek és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968A0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FA67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Hypotonia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1924C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6764580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5D3CAE2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CC0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476"/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 xml:space="preserve">Légzőrendszeri, mellkasi és </w:t>
            </w:r>
            <w:proofErr w:type="spellStart"/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>mediastinalis</w:t>
            </w:r>
            <w:proofErr w:type="spellEnd"/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 xml:space="preserve"> betegségek és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753A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zCs w:val="22"/>
                <w:lang w:val="hu-HU" w:eastAsia="hu-HU"/>
              </w:rPr>
              <w:t>Dyspnoe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0E8D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Légzőrendszeri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vérzések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f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22CCA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D5D3EBD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74E6FDB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F1A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Emésztőrendszeri betegségek és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135B8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8C6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2" w:line="240" w:lineRule="auto"/>
              <w:ind w:left="77" w:right="323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Gastrointes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softHyphen/>
              <w:t>tinalis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vérzés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g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, hasmenés, hányinger,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dyspepsia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, székrekedés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9DA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Retroperitonealis</w:t>
            </w:r>
            <w:proofErr w:type="spellEnd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vérzés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BBE76F9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68CF994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0CF8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A bőr és a bőr alatti szövet betegségei és tünetei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DA0A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A785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Subcutan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vagy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dermalis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vérzés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h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, bőrkiütés,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pruritus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8739C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3F7E9C2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1328A97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546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lastRenderedPageBreak/>
              <w:t>A csont- és izomrendszer, valamint a kötőszövet betegségei és tünetei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D4AE3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8FBF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D95C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Izomvérzések</w:t>
            </w:r>
            <w:r>
              <w:rPr>
                <w:rFonts w:eastAsia="Times New Roman"/>
                <w:snapToGrid/>
                <w:spacing w:val="-2"/>
                <w:szCs w:val="22"/>
                <w:vertAlign w:val="superscript"/>
                <w:lang w:val="hu-HU" w:eastAsia="hu-HU"/>
              </w:rPr>
              <w:t>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2E9171F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3BEC508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A5D0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476"/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 xml:space="preserve">Vese- és </w:t>
            </w:r>
            <w:proofErr w:type="spellStart"/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>húgyúti</w:t>
            </w:r>
            <w:proofErr w:type="spellEnd"/>
            <w:r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  <w:t xml:space="preserve"> betegségek és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8A40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47A8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Húgyúti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vérzés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j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CD573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6C558CB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28F7736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AB47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A nemi szervekkel és az emlőkkel kapcsolatos betegségek és tünetek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4BFD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4E2FB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884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Reproduktív rendszeri </w:t>
            </w:r>
            <w:proofErr w:type="spellStart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vérzések</w:t>
            </w:r>
            <w:r>
              <w:rPr>
                <w:rFonts w:eastAsia="Times New Roman"/>
                <w:snapToGrid/>
                <w:spacing w:val="-2"/>
                <w:szCs w:val="22"/>
                <w:vertAlign w:val="superscript"/>
                <w:lang w:val="hu-HU" w:eastAsia="hu-HU"/>
              </w:rPr>
              <w:t>k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FDC13FC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4F9802D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18F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Laboratóriumi és egyéb vizsgálatok eredményei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B06D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E0B8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2" w:line="240" w:lineRule="auto"/>
              <w:ind w:left="77" w:right="135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Emelkedett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kreatininszint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a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vérben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C3FC2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B56E4E4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543EA79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2412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 w:right="121"/>
              <w:rPr>
                <w:rFonts w:eastAsia="Times New Roman"/>
                <w:i/>
                <w:iCs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i/>
                <w:iCs/>
                <w:snapToGrid/>
                <w:spacing w:val="-2"/>
                <w:szCs w:val="22"/>
                <w:lang w:val="hu-HU" w:eastAsia="hu-HU"/>
              </w:rPr>
              <w:t>Sérülés, mérgezés és a beavatkozással kapcsolatos szövődmények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8A51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C44E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7"/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Beavatkozás utáni vérzés, traumás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vérzések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B4487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570D240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left="57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</w:tbl>
    <w:p w14:paraId="02B0D4A8" w14:textId="77777777" w:rsidR="00284377" w:rsidRDefault="00284377">
      <w:pPr>
        <w:spacing w:line="240" w:lineRule="auto"/>
        <w:rPr>
          <w:rFonts w:eastAsia="Times New Roman"/>
          <w:szCs w:val="22"/>
          <w:lang w:val="hu-HU" w:eastAsia="hu-HU"/>
        </w:rPr>
      </w:pPr>
    </w:p>
    <w:p w14:paraId="54DAE15C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position w:val="6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a pl. húgyhólyagrákból, gyomorrákból, vastagbélrákból eredő vérzés</w:t>
      </w:r>
    </w:p>
    <w:p w14:paraId="6C046654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b</w:t>
      </w:r>
      <w:r>
        <w:rPr>
          <w:b w:val="0"/>
          <w:i w:val="0"/>
          <w:spacing w:val="27"/>
          <w:position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pl.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véraláfutásra,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spontán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kialakuló</w:t>
      </w:r>
      <w:r>
        <w:rPr>
          <w:b w:val="0"/>
          <w:i w:val="0"/>
          <w:spacing w:val="5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2"/>
          <w:sz w:val="18"/>
          <w:szCs w:val="18"/>
        </w:rPr>
        <w:t>haematomára</w:t>
      </w:r>
      <w:proofErr w:type="spellEnd"/>
      <w:r>
        <w:rPr>
          <w:b w:val="0"/>
          <w:i w:val="0"/>
          <w:spacing w:val="-2"/>
          <w:sz w:val="18"/>
          <w:szCs w:val="18"/>
        </w:rPr>
        <w:t>,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haemorrhagiás</w:t>
      </w:r>
      <w:proofErr w:type="spellEnd"/>
      <w:r>
        <w:rPr>
          <w:b w:val="0"/>
          <w:i w:val="0"/>
          <w:spacing w:val="5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diathesisre</w:t>
      </w:r>
      <w:proofErr w:type="spellEnd"/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való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fokozott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hajlam</w:t>
      </w:r>
    </w:p>
    <w:p w14:paraId="7FD6A889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c</w:t>
      </w:r>
      <w:r>
        <w:rPr>
          <w:b w:val="0"/>
          <w:i w:val="0"/>
          <w:spacing w:val="23"/>
          <w:position w:val="6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forgalomba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hozatalt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követően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azonosították.</w:t>
      </w:r>
    </w:p>
    <w:p w14:paraId="690C9211" w14:textId="77777777" w:rsidR="00284377" w:rsidRDefault="00D321AB">
      <w:pPr>
        <w:pStyle w:val="Szvegtrzs"/>
        <w:kinsoku w:val="0"/>
        <w:overflowPunct w:val="0"/>
        <w:spacing w:before="5" w:line="240" w:lineRule="auto"/>
        <w:ind w:right="1572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d</w:t>
      </w:r>
      <w:r>
        <w:rPr>
          <w:b w:val="0"/>
          <w:i w:val="0"/>
          <w:spacing w:val="4"/>
          <w:position w:val="6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gyakoriságok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laboratóriumi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megfigyelésekből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származnak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(a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kezelés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elkezdésekor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referencia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tartományon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belüli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vagy</w:t>
      </w:r>
      <w:r>
        <w:rPr>
          <w:b w:val="0"/>
          <w:i w:val="0"/>
          <w:spacing w:val="36"/>
          <w:w w:val="101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annál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alacsonyabb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húgysavszint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emelkedése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normálérték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felső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határa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fölé.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kreatininszintnek</w:t>
      </w:r>
      <w:proofErr w:type="spellEnd"/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vizsgálat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megkezdésekor</w:t>
      </w:r>
      <w:r>
        <w:rPr>
          <w:b w:val="0"/>
          <w:i w:val="0"/>
          <w:spacing w:val="32"/>
          <w:w w:val="101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mérthez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viszonyított,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több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mint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50%-os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emelkedése),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és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nem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nyers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nemkívánatos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esemény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jelentési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gyakoriság.</w:t>
      </w:r>
    </w:p>
    <w:p w14:paraId="224C9196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e</w:t>
      </w:r>
      <w:r>
        <w:rPr>
          <w:b w:val="0"/>
          <w:i w:val="0"/>
          <w:spacing w:val="23"/>
          <w:position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pl.</w:t>
      </w:r>
      <w:r>
        <w:rPr>
          <w:b w:val="0"/>
          <w:i w:val="0"/>
          <w:spacing w:val="5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conjunctivalis</w:t>
      </w:r>
      <w:proofErr w:type="spellEnd"/>
      <w:r>
        <w:rPr>
          <w:b w:val="0"/>
          <w:i w:val="0"/>
          <w:spacing w:val="-1"/>
          <w:sz w:val="18"/>
          <w:szCs w:val="18"/>
        </w:rPr>
        <w:t>,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retinalis</w:t>
      </w:r>
      <w:proofErr w:type="spellEnd"/>
      <w:r>
        <w:rPr>
          <w:b w:val="0"/>
          <w:i w:val="0"/>
          <w:spacing w:val="-1"/>
          <w:sz w:val="18"/>
          <w:szCs w:val="18"/>
        </w:rPr>
        <w:t>,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intraocularis</w:t>
      </w:r>
      <w:proofErr w:type="spellEnd"/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vérzés</w:t>
      </w:r>
    </w:p>
    <w:p w14:paraId="6E79E12F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f</w:t>
      </w:r>
      <w:r>
        <w:rPr>
          <w:b w:val="0"/>
          <w:i w:val="0"/>
          <w:spacing w:val="21"/>
          <w:position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pl.</w:t>
      </w:r>
      <w:r>
        <w:rPr>
          <w:b w:val="0"/>
          <w:i w:val="0"/>
          <w:spacing w:val="5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2"/>
          <w:sz w:val="18"/>
          <w:szCs w:val="18"/>
        </w:rPr>
        <w:t>epistaxis</w:t>
      </w:r>
      <w:proofErr w:type="spellEnd"/>
      <w:r>
        <w:rPr>
          <w:b w:val="0"/>
          <w:i w:val="0"/>
          <w:spacing w:val="-2"/>
          <w:sz w:val="18"/>
          <w:szCs w:val="18"/>
        </w:rPr>
        <w:t>,</w:t>
      </w:r>
      <w:r>
        <w:rPr>
          <w:b w:val="0"/>
          <w:i w:val="0"/>
          <w:spacing w:val="3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2"/>
          <w:sz w:val="18"/>
          <w:szCs w:val="18"/>
        </w:rPr>
        <w:t>haemoptoe</w:t>
      </w:r>
      <w:proofErr w:type="spellEnd"/>
    </w:p>
    <w:p w14:paraId="54C0C308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g</w:t>
      </w:r>
      <w:r>
        <w:rPr>
          <w:b w:val="0"/>
          <w:i w:val="0"/>
          <w:spacing w:val="20"/>
          <w:position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pl.</w:t>
      </w:r>
      <w:r>
        <w:rPr>
          <w:b w:val="0"/>
          <w:i w:val="0"/>
          <w:spacing w:val="3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gingiva</w:t>
      </w:r>
      <w:proofErr w:type="spellEnd"/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vérzés,</w:t>
      </w:r>
      <w:r>
        <w:rPr>
          <w:b w:val="0"/>
          <w:i w:val="0"/>
          <w:spacing w:val="3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rectalis</w:t>
      </w:r>
      <w:proofErr w:type="spellEnd"/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vérzés,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gyomorfekély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vérzés</w:t>
      </w:r>
    </w:p>
    <w:p w14:paraId="0206E699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proofErr w:type="gramStart"/>
      <w:r>
        <w:rPr>
          <w:b w:val="0"/>
          <w:i w:val="0"/>
          <w:position w:val="6"/>
          <w:sz w:val="18"/>
          <w:szCs w:val="18"/>
        </w:rPr>
        <w:t>h</w:t>
      </w:r>
      <w:proofErr w:type="gramEnd"/>
      <w:r>
        <w:rPr>
          <w:b w:val="0"/>
          <w:i w:val="0"/>
          <w:spacing w:val="27"/>
          <w:position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pl.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ecchymosis</w:t>
      </w:r>
      <w:proofErr w:type="spellEnd"/>
      <w:r>
        <w:rPr>
          <w:b w:val="0"/>
          <w:i w:val="0"/>
          <w:spacing w:val="-1"/>
          <w:sz w:val="18"/>
          <w:szCs w:val="18"/>
        </w:rPr>
        <w:t>,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bőrvérzés,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petechiák</w:t>
      </w:r>
      <w:proofErr w:type="spellEnd"/>
    </w:p>
    <w:p w14:paraId="5DC92325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i</w:t>
      </w:r>
      <w:r>
        <w:rPr>
          <w:b w:val="0"/>
          <w:i w:val="0"/>
          <w:spacing w:val="19"/>
          <w:position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pl.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haemarthrosis</w:t>
      </w:r>
      <w:proofErr w:type="spellEnd"/>
      <w:r>
        <w:rPr>
          <w:b w:val="0"/>
          <w:i w:val="0"/>
          <w:spacing w:val="-1"/>
          <w:sz w:val="18"/>
          <w:szCs w:val="18"/>
        </w:rPr>
        <w:t>,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izomvérzés</w:t>
      </w:r>
    </w:p>
    <w:p w14:paraId="085618B1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j</w:t>
      </w:r>
      <w:r>
        <w:rPr>
          <w:b w:val="0"/>
          <w:i w:val="0"/>
          <w:spacing w:val="25"/>
          <w:position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pl.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haematuria</w:t>
      </w:r>
      <w:proofErr w:type="spellEnd"/>
      <w:r>
        <w:rPr>
          <w:b w:val="0"/>
          <w:i w:val="0"/>
          <w:spacing w:val="-1"/>
          <w:sz w:val="18"/>
          <w:szCs w:val="18"/>
        </w:rPr>
        <w:t>,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haemorrhagiás</w:t>
      </w:r>
      <w:proofErr w:type="spellEnd"/>
      <w:r>
        <w:rPr>
          <w:b w:val="0"/>
          <w:i w:val="0"/>
          <w:spacing w:val="5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cystitis</w:t>
      </w:r>
      <w:proofErr w:type="spellEnd"/>
    </w:p>
    <w:p w14:paraId="69FDE509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k</w:t>
      </w:r>
      <w:r>
        <w:rPr>
          <w:b w:val="0"/>
          <w:i w:val="0"/>
          <w:spacing w:val="22"/>
          <w:position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pl.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hüvelyi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vérzés,</w:t>
      </w:r>
      <w:r>
        <w:rPr>
          <w:b w:val="0"/>
          <w:i w:val="0"/>
          <w:spacing w:val="5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haematospermia</w:t>
      </w:r>
      <w:proofErr w:type="spellEnd"/>
      <w:r>
        <w:rPr>
          <w:b w:val="0"/>
          <w:i w:val="0"/>
          <w:spacing w:val="-1"/>
          <w:sz w:val="18"/>
          <w:szCs w:val="18"/>
        </w:rPr>
        <w:t>,</w:t>
      </w:r>
      <w:r>
        <w:rPr>
          <w:b w:val="0"/>
          <w:i w:val="0"/>
          <w:spacing w:val="5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postmenopausalis</w:t>
      </w:r>
      <w:proofErr w:type="spellEnd"/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vérzés</w:t>
      </w:r>
    </w:p>
    <w:p w14:paraId="4C4886F3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pacing w:val="-2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l</w:t>
      </w:r>
      <w:r>
        <w:rPr>
          <w:b w:val="0"/>
          <w:i w:val="0"/>
          <w:spacing w:val="18"/>
          <w:position w:val="6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pl.</w:t>
      </w:r>
      <w:r>
        <w:rPr>
          <w:b w:val="0"/>
          <w:i w:val="0"/>
          <w:spacing w:val="6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2"/>
          <w:sz w:val="18"/>
          <w:szCs w:val="18"/>
        </w:rPr>
        <w:t>contusio</w:t>
      </w:r>
      <w:proofErr w:type="spellEnd"/>
      <w:r>
        <w:rPr>
          <w:b w:val="0"/>
          <w:i w:val="0"/>
          <w:spacing w:val="-2"/>
          <w:sz w:val="18"/>
          <w:szCs w:val="18"/>
        </w:rPr>
        <w:t>,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traumás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2"/>
          <w:sz w:val="18"/>
          <w:szCs w:val="18"/>
        </w:rPr>
        <w:t>haematoma</w:t>
      </w:r>
      <w:proofErr w:type="spellEnd"/>
      <w:r>
        <w:rPr>
          <w:b w:val="0"/>
          <w:i w:val="0"/>
          <w:spacing w:val="-2"/>
          <w:sz w:val="18"/>
          <w:szCs w:val="18"/>
        </w:rPr>
        <w:t>,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traumás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vérzés</w:t>
      </w:r>
    </w:p>
    <w:p w14:paraId="156DFBB6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position w:val="6"/>
          <w:sz w:val="18"/>
          <w:szCs w:val="18"/>
        </w:rPr>
        <w:t>m</w:t>
      </w:r>
      <w:r>
        <w:rPr>
          <w:b w:val="0"/>
          <w:i w:val="0"/>
          <w:sz w:val="18"/>
          <w:szCs w:val="18"/>
        </w:rPr>
        <w:t xml:space="preserve"> pl. a beavatkozással összefüggő, spontán vagy traumás </w:t>
      </w:r>
      <w:proofErr w:type="spellStart"/>
      <w:r>
        <w:rPr>
          <w:b w:val="0"/>
          <w:i w:val="0"/>
          <w:sz w:val="18"/>
          <w:szCs w:val="18"/>
        </w:rPr>
        <w:t>intracraniális</w:t>
      </w:r>
      <w:proofErr w:type="spellEnd"/>
      <w:r>
        <w:rPr>
          <w:b w:val="0"/>
          <w:i w:val="0"/>
          <w:sz w:val="18"/>
          <w:szCs w:val="18"/>
        </w:rPr>
        <w:t xml:space="preserve"> vérzés</w:t>
      </w:r>
    </w:p>
    <w:p w14:paraId="375E2A04" w14:textId="77777777" w:rsidR="00284377" w:rsidRDefault="00284377">
      <w:pPr>
        <w:spacing w:line="240" w:lineRule="auto"/>
        <w:rPr>
          <w:szCs w:val="22"/>
          <w:u w:val="single"/>
          <w:lang w:val="hu-HU"/>
        </w:rPr>
      </w:pPr>
    </w:p>
    <w:p w14:paraId="327EBE6F" w14:textId="77777777" w:rsidR="00284377" w:rsidRDefault="00D321AB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Kiválasztott mellékhatások leírása</w:t>
      </w:r>
    </w:p>
    <w:p w14:paraId="435C8024" w14:textId="77777777" w:rsidR="00284377" w:rsidRDefault="00284377">
      <w:pPr>
        <w:spacing w:line="240" w:lineRule="auto"/>
        <w:ind w:left="567" w:hanging="567"/>
        <w:rPr>
          <w:szCs w:val="22"/>
          <w:u w:val="single"/>
          <w:lang w:val="hu-HU"/>
        </w:rPr>
      </w:pPr>
    </w:p>
    <w:p w14:paraId="4EACBA6C" w14:textId="77777777" w:rsidR="00284377" w:rsidRDefault="00D321AB">
      <w:pPr>
        <w:spacing w:line="240" w:lineRule="auto"/>
        <w:ind w:left="567" w:hanging="567"/>
        <w:rPr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Vérzés</w:t>
      </w:r>
    </w:p>
    <w:p w14:paraId="537896CD" w14:textId="77777777" w:rsidR="00284377" w:rsidRDefault="00D321AB">
      <w:pPr>
        <w:spacing w:line="240" w:lineRule="auto"/>
        <w:ind w:left="567" w:hanging="567"/>
        <w:rPr>
          <w:szCs w:val="22"/>
          <w:lang w:val="hu-HU"/>
        </w:rPr>
      </w:pPr>
      <w:r>
        <w:rPr>
          <w:i/>
          <w:iCs/>
          <w:szCs w:val="22"/>
          <w:lang w:val="hu-HU"/>
        </w:rPr>
        <w:t>Vérzéssel kapcsolatos megállapítások a PLATO vizsgálatban</w:t>
      </w:r>
    </w:p>
    <w:p w14:paraId="543E20F2" w14:textId="77777777" w:rsidR="00284377" w:rsidRDefault="00D321AB">
      <w:pPr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A PLATO-vizsgálatban előforduló vérzési arányok összefoglaló eredményét a 2. táblázat mutatja.</w:t>
      </w:r>
    </w:p>
    <w:p w14:paraId="6E82C205" w14:textId="77777777" w:rsidR="00284377" w:rsidRDefault="00284377">
      <w:pPr>
        <w:spacing w:line="240" w:lineRule="auto"/>
        <w:ind w:left="567" w:hanging="567"/>
        <w:rPr>
          <w:szCs w:val="22"/>
          <w:u w:val="single"/>
          <w:lang w:val="hu-HU"/>
        </w:rPr>
      </w:pPr>
    </w:p>
    <w:p w14:paraId="295A3F6A" w14:textId="77777777" w:rsidR="00284377" w:rsidRDefault="00D321AB">
      <w:pPr>
        <w:spacing w:line="240" w:lineRule="auto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2. táblázat -Az összesített vérzéses események Kaplan-</w:t>
      </w:r>
      <w:proofErr w:type="spellStart"/>
      <w:r>
        <w:rPr>
          <w:b/>
          <w:bCs/>
          <w:szCs w:val="22"/>
          <w:lang w:val="hu-HU"/>
        </w:rPr>
        <w:t>Meier</w:t>
      </w:r>
      <w:proofErr w:type="spellEnd"/>
      <w:r>
        <w:rPr>
          <w:b/>
          <w:bCs/>
          <w:szCs w:val="22"/>
          <w:lang w:val="hu-HU"/>
        </w:rPr>
        <w:t xml:space="preserve"> féle becslése a 12. hónapban (PLATO)</w:t>
      </w:r>
    </w:p>
    <w:p w14:paraId="063F9A41" w14:textId="77777777" w:rsidR="00284377" w:rsidRDefault="00284377">
      <w:pPr>
        <w:spacing w:line="240" w:lineRule="auto"/>
        <w:ind w:left="567" w:hanging="567"/>
        <w:rPr>
          <w:szCs w:val="22"/>
          <w:lang w:val="hu-HU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1459"/>
        <w:gridCol w:w="1450"/>
        <w:gridCol w:w="1128"/>
      </w:tblGrid>
      <w:tr w:rsidR="00284377" w14:paraId="40EC9474" w14:textId="77777777">
        <w:trPr>
          <w:trHeight w:hRule="exact" w:val="127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D73CC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03E3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47" w:right="100" w:hanging="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90</w:t>
            </w:r>
            <w:r>
              <w:rPr>
                <w:b/>
                <w:bCs/>
                <w:szCs w:val="22"/>
                <w:lang w:val="hu-HU"/>
              </w:rPr>
              <w:t> </w:t>
            </w:r>
            <w:r>
              <w:rPr>
                <w:rFonts w:eastAsia="Times New Roman"/>
                <w:b/>
                <w:bCs/>
                <w:snapToGrid/>
                <w:spacing w:val="-12"/>
                <w:szCs w:val="22"/>
                <w:lang w:val="hu-HU" w:eastAsia="hu-HU"/>
              </w:rPr>
              <w:t>mg</w:t>
            </w:r>
            <w:r>
              <w:rPr>
                <w:rFonts w:eastAsia="Times New Roman"/>
                <w:b/>
                <w:bCs/>
                <w:snapToGrid/>
                <w:spacing w:val="9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tikagrelor</w:t>
            </w:r>
            <w:proofErr w:type="spellEnd"/>
            <w:r>
              <w:rPr>
                <w:rFonts w:eastAsia="Times New Roman"/>
                <w:b/>
                <w:bCs/>
                <w:snapToGrid/>
                <w:spacing w:val="29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naponta</w:t>
            </w:r>
            <w:r>
              <w:rPr>
                <w:rFonts w:eastAsia="Times New Roman"/>
                <w:b/>
                <w:bCs/>
                <w:snapToGrid/>
                <w:spacing w:val="21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kétszer</w:t>
            </w:r>
          </w:p>
          <w:p w14:paraId="4BFE928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8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N = 9235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9004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01" w:right="156" w:hanging="144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klopidogrel</w:t>
            </w:r>
            <w:proofErr w:type="spellEnd"/>
            <w:r>
              <w:rPr>
                <w:rFonts w:eastAsia="Times New Roman"/>
                <w:b/>
                <w:bCs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N = 9186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C10C4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7D3BDD6F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0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7CAAD64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29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i/>
                <w:iCs/>
                <w:snapToGrid/>
                <w:spacing w:val="-2"/>
                <w:szCs w:val="22"/>
                <w:lang w:val="hu-HU" w:eastAsia="hu-HU"/>
              </w:rPr>
              <w:t>p-</w:t>
            </w:r>
            <w:r>
              <w:rPr>
                <w:rFonts w:eastAsia="Times New Roman"/>
                <w:b/>
                <w:bCs/>
                <w:iCs/>
                <w:snapToGrid/>
                <w:spacing w:val="-2"/>
                <w:szCs w:val="22"/>
                <w:lang w:val="hu-HU" w:eastAsia="hu-HU"/>
              </w:rPr>
              <w:t>érték*</w:t>
            </w:r>
          </w:p>
        </w:tc>
      </w:tr>
      <w:tr w:rsidR="00284377" w14:paraId="65FB98A9" w14:textId="77777777">
        <w:trPr>
          <w:trHeight w:hRule="exact" w:val="26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F47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PLATO összes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965C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-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11,6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224C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11,2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145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0,4336</w:t>
            </w:r>
          </w:p>
        </w:tc>
      </w:tr>
      <w:tr w:rsidR="00284377" w14:paraId="4F100058" w14:textId="77777777">
        <w:trPr>
          <w:trHeight w:hRule="exact" w:val="35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6EA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38"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PLATO összes jelentős, halálos/életveszélyes 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EB02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-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5,8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9733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5,8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59DB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0,6988</w:t>
            </w:r>
          </w:p>
        </w:tc>
      </w:tr>
      <w:tr w:rsidR="00284377" w14:paraId="306A2488" w14:textId="77777777">
        <w:trPr>
          <w:trHeight w:hRule="exact" w:val="26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A16C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Nem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CABG, PLATO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86580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-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4,5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AA27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3,8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57B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0,0264</w:t>
            </w:r>
          </w:p>
        </w:tc>
      </w:tr>
      <w:tr w:rsidR="00284377" w14:paraId="737308C6" w14:textId="77777777">
        <w:trPr>
          <w:trHeight w:hRule="exact" w:val="26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8447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Nem beavatkozásból eredő, PLATO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7082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-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3,1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B83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2,3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A25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0,0058</w:t>
            </w:r>
          </w:p>
        </w:tc>
      </w:tr>
      <w:tr w:rsidR="00284377" w14:paraId="1A98EB66" w14:textId="77777777">
        <w:trPr>
          <w:trHeight w:hRule="exact" w:val="31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4944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9"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lastRenderedPageBreak/>
              <w:t xml:space="preserve">PLATO összes jelentős </w:t>
            </w:r>
            <w:r>
              <w:rPr>
                <w:rFonts w:eastAsia="Times New Roman"/>
                <w:snapToGrid/>
                <w:szCs w:val="22"/>
                <w:lang w:val="hu-HU" w:eastAsia="hu-HU"/>
              </w:rPr>
              <w:t>+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kisebb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96DD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-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16,1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7A93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14,6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BA90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0,0084</w:t>
            </w:r>
          </w:p>
        </w:tc>
      </w:tr>
      <w:tr w:rsidR="00284377" w14:paraId="03F95808" w14:textId="77777777">
        <w:trPr>
          <w:trHeight w:hRule="exact" w:val="51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B6DA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 w:right="62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Nem beavatkozásból eredő, PLATO jelentős </w:t>
            </w:r>
            <w:r>
              <w:rPr>
                <w:rFonts w:eastAsia="Times New Roman"/>
                <w:snapToGrid/>
                <w:szCs w:val="22"/>
                <w:lang w:val="hu-HU" w:eastAsia="hu-HU"/>
              </w:rPr>
              <w:t>+</w:t>
            </w:r>
            <w:r>
              <w:rPr>
                <w:rFonts w:eastAsia="Times New Roman"/>
                <w:snapToGrid/>
                <w:spacing w:val="26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kisebb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AE2C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-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5,9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EC3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4,3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4165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szCs w:val="22"/>
              </w:rPr>
              <w:t>&lt; 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0,0001</w:t>
            </w:r>
          </w:p>
        </w:tc>
      </w:tr>
      <w:tr w:rsidR="00284377" w14:paraId="14C2E881" w14:textId="77777777">
        <w:trPr>
          <w:trHeight w:hRule="exact"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2D15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43"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TIMI definíció szerinti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5FDC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-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7,9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588D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7,7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A03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0,5669</w:t>
            </w:r>
          </w:p>
        </w:tc>
      </w:tr>
      <w:tr w:rsidR="00284377" w14:paraId="56D036CF" w14:textId="77777777">
        <w:trPr>
          <w:trHeight w:hRule="exact" w:val="34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E540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33"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TIMI definíció szerinti jelentős </w:t>
            </w:r>
            <w:r>
              <w:rPr>
                <w:rFonts w:eastAsia="Times New Roman"/>
                <w:snapToGrid/>
                <w:szCs w:val="22"/>
                <w:lang w:val="hu-HU" w:eastAsia="hu-HU"/>
              </w:rPr>
              <w:t>+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kisebb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9C4F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-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11,4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520D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10,9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91F3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0,3272</w:t>
            </w:r>
          </w:p>
        </w:tc>
      </w:tr>
    </w:tbl>
    <w:p w14:paraId="0CD3804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 xml:space="preserve"> vérzési kategóriák meghatározásai:</w:t>
      </w:r>
    </w:p>
    <w:p w14:paraId="28EC54BF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Jelentős</w:t>
      </w:r>
      <w:r>
        <w:rPr>
          <w:rFonts w:eastAsia="Times New Roman"/>
          <w:b/>
          <w:bCs/>
          <w:snapToGrid/>
          <w:spacing w:val="-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halálos/életveszélyes</w:t>
      </w:r>
      <w:r>
        <w:rPr>
          <w:rFonts w:eastAsia="Times New Roman"/>
          <w:b/>
          <w:bCs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vérzés:</w:t>
      </w:r>
      <w:r>
        <w:rPr>
          <w:rFonts w:eastAsia="Times New Roman"/>
          <w:b/>
          <w:bCs/>
          <w:snapToGrid/>
          <w:spacing w:val="-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klinikailag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nyilvánvaló,</w:t>
      </w:r>
      <w:r>
        <w:rPr>
          <w:rFonts w:eastAsia="Times New Roman"/>
          <w:snapToGrid/>
          <w:spacing w:val="-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 w:val="18"/>
          <w:szCs w:val="18"/>
          <w:lang w:val="hu-HU" w:eastAsia="hu-HU"/>
        </w:rPr>
        <w:t>haemoglobinszint</w:t>
      </w:r>
      <w:proofErr w:type="spellEnd"/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&gt; 50 g/l-es</w:t>
      </w:r>
      <w:r>
        <w:rPr>
          <w:rFonts w:eastAsia="Times New Roman"/>
          <w:snapToGrid/>
          <w:spacing w:val="-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csökkenésével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járó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-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≥ 4 </w:t>
      </w:r>
      <w:r>
        <w:rPr>
          <w:rFonts w:eastAsia="Times New Roman"/>
          <w:snapToGrid/>
          <w:sz w:val="18"/>
          <w:szCs w:val="18"/>
          <w:lang w:val="hu-HU" w:eastAsia="hu-HU"/>
        </w:rPr>
        <w:t>egység</w:t>
      </w:r>
      <w:r>
        <w:rPr>
          <w:rFonts w:eastAsia="Times New Roman"/>
          <w:snapToGrid/>
          <w:spacing w:val="25"/>
          <w:w w:val="99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vörösvértest</w:t>
      </w:r>
      <w:r>
        <w:rPr>
          <w:rFonts w:eastAsia="Times New Roman"/>
          <w:snapToGrid/>
          <w:spacing w:val="-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transzfúziót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igénylő</w:t>
      </w:r>
      <w:r>
        <w:rPr>
          <w:rFonts w:eastAsia="Times New Roman"/>
          <w:snapToGrid/>
          <w:spacing w:val="-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u w:val="single"/>
          <w:lang w:val="hu-HU" w:eastAsia="hu-HU"/>
        </w:rPr>
        <w:t>vagy</w:t>
      </w:r>
      <w:r>
        <w:rPr>
          <w:rFonts w:eastAsia="Times New Roman"/>
          <w:snapToGrid/>
          <w:spacing w:val="-5"/>
          <w:sz w:val="18"/>
          <w:szCs w:val="18"/>
          <w:u w:val="single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halálos</w:t>
      </w:r>
      <w:r>
        <w:rPr>
          <w:rFonts w:eastAsia="Times New Roman"/>
          <w:snapToGrid/>
          <w:spacing w:val="-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kimenetelű;</w:t>
      </w:r>
      <w:r>
        <w:rPr>
          <w:rFonts w:eastAsia="Times New Roman"/>
          <w:snapToGrid/>
          <w:spacing w:val="-7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u w:val="single"/>
          <w:lang w:val="hu-HU" w:eastAsia="hu-HU"/>
        </w:rPr>
        <w:t>vagy</w:t>
      </w:r>
      <w:r>
        <w:rPr>
          <w:rFonts w:eastAsia="Times New Roman"/>
          <w:snapToGrid/>
          <w:spacing w:val="-5"/>
          <w:sz w:val="18"/>
          <w:szCs w:val="18"/>
          <w:u w:val="single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 w:val="18"/>
          <w:szCs w:val="18"/>
          <w:lang w:val="hu-HU" w:eastAsia="hu-HU"/>
        </w:rPr>
        <w:t>intracranialis</w:t>
      </w:r>
      <w:proofErr w:type="spellEnd"/>
      <w:r>
        <w:rPr>
          <w:rFonts w:eastAsia="Times New Roman"/>
          <w:snapToGrid/>
          <w:sz w:val="18"/>
          <w:szCs w:val="18"/>
          <w:lang w:val="hu-HU" w:eastAsia="hu-HU"/>
        </w:rPr>
        <w:t>;</w:t>
      </w:r>
      <w:r>
        <w:rPr>
          <w:rFonts w:eastAsia="Times New Roman"/>
          <w:snapToGrid/>
          <w:spacing w:val="-7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u w:val="single"/>
          <w:lang w:val="hu-HU" w:eastAsia="hu-HU"/>
        </w:rPr>
        <w:t>vagy</w:t>
      </w:r>
      <w:r>
        <w:rPr>
          <w:rFonts w:eastAsia="Times New Roman"/>
          <w:snapToGrid/>
          <w:spacing w:val="-1"/>
          <w:sz w:val="18"/>
          <w:szCs w:val="18"/>
          <w:u w:val="single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 w:val="18"/>
          <w:szCs w:val="18"/>
          <w:lang w:val="hu-HU" w:eastAsia="hu-HU"/>
        </w:rPr>
        <w:t>szívtamponáddal</w:t>
      </w:r>
      <w:proofErr w:type="spellEnd"/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járó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 w:val="18"/>
          <w:szCs w:val="18"/>
          <w:lang w:val="hu-HU" w:eastAsia="hu-HU"/>
        </w:rPr>
        <w:t>intrapericardialis</w:t>
      </w:r>
      <w:proofErr w:type="spellEnd"/>
      <w:r>
        <w:rPr>
          <w:rFonts w:eastAsia="Times New Roman"/>
          <w:snapToGrid/>
          <w:sz w:val="18"/>
          <w:szCs w:val="18"/>
          <w:lang w:val="hu-HU" w:eastAsia="hu-HU"/>
        </w:rPr>
        <w:t>;</w:t>
      </w:r>
      <w:r>
        <w:rPr>
          <w:rFonts w:eastAsia="Times New Roman"/>
          <w:snapToGrid/>
          <w:spacing w:val="-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u w:val="single"/>
          <w:lang w:val="hu-HU" w:eastAsia="hu-HU"/>
        </w:rPr>
        <w:t>vagy</w:t>
      </w:r>
      <w:r>
        <w:rPr>
          <w:rFonts w:eastAsia="Times New Roman"/>
          <w:snapToGrid/>
          <w:w w:val="99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pressor</w:t>
      </w:r>
      <w:proofErr w:type="spellEnd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-kezelést</w:t>
      </w:r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műtétet</w:t>
      </w:r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igénylő</w:t>
      </w:r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 w:val="18"/>
          <w:szCs w:val="18"/>
          <w:lang w:val="hu-HU" w:eastAsia="hu-HU"/>
        </w:rPr>
        <w:t>hypovolaemiás</w:t>
      </w:r>
      <w:proofErr w:type="spellEnd"/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proofErr w:type="gramStart"/>
      <w:r>
        <w:rPr>
          <w:rFonts w:eastAsia="Times New Roman"/>
          <w:snapToGrid/>
          <w:sz w:val="18"/>
          <w:szCs w:val="18"/>
          <w:lang w:val="hu-HU" w:eastAsia="hu-HU"/>
        </w:rPr>
        <w:t>sokkal</w:t>
      </w:r>
      <w:proofErr w:type="gramEnd"/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súlyos</w:t>
      </w:r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 w:val="18"/>
          <w:szCs w:val="18"/>
          <w:lang w:val="hu-HU" w:eastAsia="hu-HU"/>
        </w:rPr>
        <w:t>hypotoniával</w:t>
      </w:r>
      <w:proofErr w:type="spellEnd"/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járó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1"/>
          <w:sz w:val="18"/>
          <w:szCs w:val="18"/>
          <w:lang w:val="hu-HU" w:eastAsia="hu-HU"/>
        </w:rPr>
        <w:t>vérzés.</w:t>
      </w:r>
    </w:p>
    <w:p w14:paraId="0D7BE507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Egyéb</w:t>
      </w:r>
      <w:r>
        <w:rPr>
          <w:rFonts w:eastAsia="Times New Roman"/>
          <w:b/>
          <w:bCs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jelentős</w:t>
      </w:r>
      <w:r>
        <w:rPr>
          <w:rFonts w:eastAsia="Times New Roman"/>
          <w:b/>
          <w:bCs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vérzés:</w:t>
      </w:r>
      <w:r>
        <w:rPr>
          <w:rFonts w:eastAsia="Times New Roman"/>
          <w:b/>
          <w:bCs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klinikailag</w:t>
      </w:r>
      <w:r>
        <w:rPr>
          <w:rFonts w:eastAsia="Times New Roman"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nyilvánvaló,</w:t>
      </w:r>
      <w:r>
        <w:rPr>
          <w:rFonts w:eastAsia="Times New Roman"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-9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 w:val="18"/>
          <w:szCs w:val="18"/>
          <w:lang w:val="hu-HU" w:eastAsia="hu-HU"/>
        </w:rPr>
        <w:t>haemoglobinszint</w:t>
      </w:r>
      <w:proofErr w:type="spellEnd"/>
      <w:r>
        <w:rPr>
          <w:rFonts w:eastAsia="Times New Roman"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30-50 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g/l-es</w:t>
      </w:r>
      <w:r>
        <w:rPr>
          <w:rFonts w:eastAsia="Times New Roman"/>
          <w:snapToGrid/>
          <w:spacing w:val="-9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csökkenésével</w:t>
      </w:r>
      <w:r>
        <w:rPr>
          <w:rFonts w:eastAsia="Times New Roman"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járó</w:t>
      </w:r>
      <w:r>
        <w:rPr>
          <w:rFonts w:eastAsia="Times New Roman"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2–3 egység</w:t>
      </w:r>
      <w:r>
        <w:rPr>
          <w:rFonts w:eastAsia="Times New Roman"/>
          <w:snapToGrid/>
          <w:spacing w:val="-9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vörösvértest</w:t>
      </w:r>
      <w:r>
        <w:rPr>
          <w:rFonts w:eastAsia="Times New Roman"/>
          <w:snapToGrid/>
          <w:spacing w:val="27"/>
          <w:w w:val="98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transzfúziót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proofErr w:type="gramStart"/>
      <w:r>
        <w:rPr>
          <w:rFonts w:eastAsia="Times New Roman"/>
          <w:snapToGrid/>
          <w:sz w:val="18"/>
          <w:szCs w:val="18"/>
          <w:lang w:val="hu-HU" w:eastAsia="hu-HU"/>
        </w:rPr>
        <w:t>igénylő</w:t>
      </w:r>
      <w:proofErr w:type="gramEnd"/>
      <w:r>
        <w:rPr>
          <w:rFonts w:eastAsia="Times New Roman"/>
          <w:snapToGrid/>
          <w:spacing w:val="-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u w:val="single"/>
          <w:lang w:val="hu-HU" w:eastAsia="hu-HU"/>
        </w:rPr>
        <w:t>vagy</w:t>
      </w:r>
      <w:r>
        <w:rPr>
          <w:rFonts w:eastAsia="Times New Roman"/>
          <w:snapToGrid/>
          <w:spacing w:val="-9"/>
          <w:sz w:val="18"/>
          <w:szCs w:val="18"/>
          <w:u w:val="single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beteg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állapotát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jelentősen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rontó</w:t>
      </w:r>
      <w:r>
        <w:rPr>
          <w:rFonts w:eastAsia="Times New Roman"/>
          <w:snapToGrid/>
          <w:spacing w:val="-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vérzés.</w:t>
      </w:r>
    </w:p>
    <w:p w14:paraId="650DF58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Kisebb</w:t>
      </w:r>
      <w:r>
        <w:rPr>
          <w:rFonts w:eastAsia="Times New Roman"/>
          <w:b/>
          <w:bCs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vérzés:</w:t>
      </w:r>
      <w:r>
        <w:rPr>
          <w:rFonts w:eastAsia="Times New Roman"/>
          <w:b/>
          <w:bCs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vérzés</w:t>
      </w:r>
      <w:r>
        <w:rPr>
          <w:rFonts w:eastAsia="Times New Roman"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megállításához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kezeléséhez</w:t>
      </w:r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orvosi</w:t>
      </w:r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beavatkozás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szükséges.</w:t>
      </w:r>
    </w:p>
    <w:p w14:paraId="639096BA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TIMI</w:t>
      </w:r>
      <w:r>
        <w:rPr>
          <w:rFonts w:eastAsia="Times New Roman"/>
          <w:b/>
          <w:bCs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definíció</w:t>
      </w:r>
      <w:r>
        <w:rPr>
          <w:rFonts w:eastAsia="Times New Roman"/>
          <w:b/>
          <w:bCs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szerinti</w:t>
      </w:r>
      <w:r>
        <w:rPr>
          <w:rFonts w:eastAsia="Times New Roman"/>
          <w:b/>
          <w:bCs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jelentős</w:t>
      </w:r>
      <w:r>
        <w:rPr>
          <w:rFonts w:eastAsia="Times New Roman"/>
          <w:b/>
          <w:bCs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vérzés:</w:t>
      </w:r>
      <w:r>
        <w:rPr>
          <w:rFonts w:eastAsia="Times New Roman"/>
          <w:b/>
          <w:bCs/>
          <w:snapToGrid/>
          <w:spacing w:val="-1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klinikailag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nyilvánvaló,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-10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 w:val="18"/>
          <w:szCs w:val="18"/>
          <w:lang w:val="hu-HU" w:eastAsia="hu-HU"/>
        </w:rPr>
        <w:t>haemoglobinszint</w:t>
      </w:r>
      <w:proofErr w:type="spellEnd"/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&gt; 50 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g/l-es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csökkenésével</w:t>
      </w:r>
      <w:r>
        <w:rPr>
          <w:rFonts w:eastAsia="Times New Roman"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járó</w:t>
      </w:r>
      <w:r>
        <w:rPr>
          <w:rFonts w:eastAsia="Times New Roman"/>
          <w:snapToGrid/>
          <w:spacing w:val="-9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u w:val="single"/>
          <w:lang w:val="hu-HU" w:eastAsia="hu-HU"/>
        </w:rPr>
        <w:t>vagy</w:t>
      </w:r>
      <w:r>
        <w:rPr>
          <w:rFonts w:eastAsia="Times New Roman"/>
          <w:snapToGrid/>
          <w:spacing w:val="-11"/>
          <w:sz w:val="18"/>
          <w:szCs w:val="18"/>
          <w:u w:val="single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 w:val="18"/>
          <w:szCs w:val="18"/>
          <w:lang w:val="hu-HU" w:eastAsia="hu-HU"/>
        </w:rPr>
        <w:t>intracranialis</w:t>
      </w:r>
      <w:proofErr w:type="spellEnd"/>
      <w:r>
        <w:rPr>
          <w:rFonts w:eastAsia="Times New Roman"/>
          <w:snapToGrid/>
          <w:spacing w:val="25"/>
          <w:w w:val="98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vérzés.</w:t>
      </w:r>
    </w:p>
    <w:p w14:paraId="3CF34C3D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3"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TIMI</w:t>
      </w:r>
      <w:r>
        <w:rPr>
          <w:rFonts w:eastAsia="Times New Roman"/>
          <w:b/>
          <w:bCs/>
          <w:snapToGrid/>
          <w:spacing w:val="-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definíció</w:t>
      </w:r>
      <w:r>
        <w:rPr>
          <w:rFonts w:eastAsia="Times New Roman"/>
          <w:b/>
          <w:bCs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szerinti</w:t>
      </w:r>
      <w:r>
        <w:rPr>
          <w:rFonts w:eastAsia="Times New Roman"/>
          <w:b/>
          <w:bCs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kisebb</w:t>
      </w:r>
      <w:r>
        <w:rPr>
          <w:rFonts w:eastAsia="Times New Roman"/>
          <w:b/>
          <w:bCs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z w:val="18"/>
          <w:szCs w:val="18"/>
          <w:lang w:val="hu-HU" w:eastAsia="hu-HU"/>
        </w:rPr>
        <w:t>vérzés:</w:t>
      </w:r>
      <w:r>
        <w:rPr>
          <w:rFonts w:eastAsia="Times New Roman"/>
          <w:b/>
          <w:bCs/>
          <w:snapToGrid/>
          <w:spacing w:val="-10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klinikailag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nyilvánvaló,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haemoglobinszint</w:t>
      </w:r>
      <w:proofErr w:type="spellEnd"/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30-50 g/l-es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csökkenésével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járó</w:t>
      </w:r>
      <w:r>
        <w:rPr>
          <w:rFonts w:eastAsia="Times New Roman"/>
          <w:snapToGrid/>
          <w:spacing w:val="-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vérzés.</w:t>
      </w:r>
    </w:p>
    <w:p w14:paraId="5CC0A4DD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*</w:t>
      </w:r>
      <w:r>
        <w:rPr>
          <w:rFonts w:eastAsia="Times New Roman"/>
          <w:i/>
          <w:iCs/>
          <w:snapToGrid/>
          <w:spacing w:val="-2"/>
          <w:sz w:val="18"/>
          <w:szCs w:val="18"/>
          <w:lang w:val="hu-HU" w:eastAsia="hu-HU"/>
        </w:rPr>
        <w:t>p-érték:</w:t>
      </w:r>
      <w:r>
        <w:rPr>
          <w:rFonts w:eastAsia="Times New Roman"/>
          <w:i/>
          <w:iCs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Cox</w:t>
      </w:r>
      <w:proofErr w:type="spellEnd"/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>-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féle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arányos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hazárd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modellből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került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számításra,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úgy,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hogy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terápiás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csoport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volt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az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egyetlen,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feltáró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jellegű</w:t>
      </w:r>
      <w:r>
        <w:rPr>
          <w:rFonts w:eastAsia="Times New Roman"/>
          <w:snapToGrid/>
          <w:spacing w:val="42"/>
          <w:w w:val="10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változó.</w:t>
      </w:r>
    </w:p>
    <w:p w14:paraId="658190EB" w14:textId="77777777" w:rsidR="00284377" w:rsidRDefault="00284377">
      <w:pPr>
        <w:pStyle w:val="Default"/>
        <w:rPr>
          <w:sz w:val="22"/>
          <w:szCs w:val="22"/>
        </w:rPr>
      </w:pPr>
    </w:p>
    <w:p w14:paraId="36A17105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között nem volt különbség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PLATO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jelentős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halálos/életveszélyes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vérzések,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PLATO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összes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jelentős</w:t>
      </w:r>
      <w:r>
        <w:rPr>
          <w:rFonts w:eastAsia="Times New Roman"/>
          <w:snapToGrid/>
          <w:spacing w:val="7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vérzések, </w:t>
      </w:r>
      <w:r>
        <w:rPr>
          <w:rFonts w:eastAsia="Times New Roman"/>
          <w:snapToGrid/>
          <w:szCs w:val="22"/>
          <w:lang w:val="hu-HU" w:eastAsia="hu-HU"/>
        </w:rPr>
        <w:t xml:space="preserve">a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TIMI definíció szerinti jelentős vérzések vagy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TIMI</w:t>
      </w:r>
      <w:r>
        <w:rPr>
          <w:rFonts w:eastAsia="Times New Roman"/>
          <w:snapToGrid/>
          <w:spacing w:val="2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definíció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szerinti</w:t>
      </w:r>
      <w:r>
        <w:rPr>
          <w:rFonts w:eastAsia="Times New Roman"/>
          <w:snapToGrid/>
          <w:spacing w:val="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kisebb vérzések arányában (2. táblázat). Ugyanakkor több PLATO kombinált</w:t>
      </w:r>
      <w:r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jelentős </w:t>
      </w:r>
      <w:r>
        <w:rPr>
          <w:rFonts w:eastAsia="Times New Roman"/>
          <w:snapToGrid/>
          <w:szCs w:val="22"/>
          <w:lang w:val="hu-HU" w:eastAsia="hu-HU"/>
        </w:rPr>
        <w:t>+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kisebb vérzés alakult ki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mint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PLATO-vizsgálatban</w:t>
      </w:r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résztvevő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néhány betegnek halálos kimenetelű vérzése volt: 20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(0,2%)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23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(0,3%)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4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 (lásd 4.4</w:t>
      </w:r>
      <w:r>
        <w:rPr>
          <w:rFonts w:eastAsia="Times New Roman"/>
          <w:snapToGrid/>
          <w:spacing w:val="1"/>
          <w:szCs w:val="22"/>
          <w:lang w:val="hu-HU" w:eastAsia="hu-HU"/>
        </w:rPr>
        <w:t> </w:t>
      </w:r>
      <w:r>
        <w:rPr>
          <w:rFonts w:eastAsia="Times New Roman"/>
          <w:snapToGrid/>
          <w:spacing w:val="-2"/>
          <w:szCs w:val="22"/>
          <w:lang w:val="hu-HU" w:eastAsia="hu-HU"/>
        </w:rPr>
        <w:t>pont).</w:t>
      </w:r>
    </w:p>
    <w:p w14:paraId="6A79AB00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4" w:line="240" w:lineRule="auto"/>
        <w:rPr>
          <w:rFonts w:eastAsia="Times New Roman"/>
          <w:snapToGrid/>
          <w:szCs w:val="22"/>
          <w:lang w:val="hu-HU" w:eastAsia="hu-HU"/>
        </w:rPr>
      </w:pPr>
    </w:p>
    <w:p w14:paraId="58A2053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2"/>
          <w:szCs w:val="22"/>
          <w:lang w:val="hu-HU" w:eastAsia="hu-HU"/>
        </w:rPr>
        <w:t>Az</w:t>
      </w:r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életkor,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nem,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testtömeg,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rassz,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földrajzi régió,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kísérőbetegségek, az egyidejű kezelés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kórelőzmény, beleértve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korábbi </w:t>
      </w:r>
      <w:r>
        <w:rPr>
          <w:rFonts w:eastAsia="Times New Roman"/>
          <w:snapToGrid/>
          <w:spacing w:val="-2"/>
          <w:szCs w:val="22"/>
          <w:lang w:val="hu-HU" w:eastAsia="hu-HU"/>
        </w:rPr>
        <w:t>stroke-ot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vagy átmeneti agyi keringési zavart is, egyike sem volt</w:t>
      </w:r>
      <w:r>
        <w:rPr>
          <w:rFonts w:eastAsia="Times New Roman"/>
          <w:snapToGrid/>
          <w:spacing w:val="3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sem az összes, sem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beavatkozással nem összefüggő, PLATO jelentős vérzés prediktív tényezője.</w:t>
      </w:r>
    </w:p>
    <w:p w14:paraId="5AAE6C7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 xml:space="preserve">Ennélfogva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vérzés bármely altípusa által veszélyeztetett, konkrét csoportot nem azonosítottak.</w:t>
      </w:r>
    </w:p>
    <w:p w14:paraId="7082E8A4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0" w:line="240" w:lineRule="auto"/>
        <w:rPr>
          <w:rFonts w:eastAsia="Times New Roman"/>
          <w:snapToGrid/>
          <w:szCs w:val="22"/>
          <w:lang w:val="hu-HU" w:eastAsia="hu-HU"/>
        </w:rPr>
      </w:pPr>
    </w:p>
    <w:p w14:paraId="6923C141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2"/>
          <w:szCs w:val="22"/>
          <w:lang w:val="hu-HU" w:eastAsia="hu-HU"/>
        </w:rPr>
        <w:t>CABG-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tal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összefüggő vérzés:</w:t>
      </w:r>
    </w:p>
    <w:p w14:paraId="1BB9C73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" w:line="240" w:lineRule="auto"/>
        <w:rPr>
          <w:rFonts w:eastAsia="Times New Roman"/>
          <w:snapToGrid/>
          <w:spacing w:val="-3"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PLATO-vizsgálatban</w:t>
      </w:r>
      <w:r>
        <w:rPr>
          <w:rFonts w:eastAsia="Times New Roman"/>
          <w:snapToGrid/>
          <w:szCs w:val="22"/>
          <w:lang w:val="hu-HU" w:eastAsia="hu-HU"/>
        </w:rPr>
        <w:t xml:space="preserve"> 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coronaria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by-pass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graft</w:t>
      </w:r>
      <w:proofErr w:type="spellEnd"/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(CABG)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műtéten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átesett 1584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beteg (a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kohorsz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12%</w:t>
      </w:r>
      <w:r>
        <w:rPr>
          <w:rFonts w:eastAsia="Times New Roman"/>
          <w:snapToGrid/>
          <w:spacing w:val="-1"/>
          <w:szCs w:val="22"/>
          <w:lang w:val="hu-HU" w:eastAsia="hu-HU"/>
        </w:rPr>
        <w:noBreakHyphen/>
      </w:r>
      <w:r>
        <w:rPr>
          <w:rFonts w:eastAsia="Times New Roman"/>
          <w:snapToGrid/>
          <w:szCs w:val="22"/>
          <w:lang w:val="hu-HU" w:eastAsia="hu-HU"/>
        </w:rPr>
        <w:t>a)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42%-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ának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volt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PLATO jelentős halálos/életveszélyes vérzése, és nem volt különbség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terápiás</w:t>
      </w:r>
      <w:r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csoportok között. Halálos kimenetelű CABG-vérzés mindkét terápiás csoportban </w:t>
      </w:r>
      <w:r>
        <w:rPr>
          <w:rFonts w:eastAsia="Times New Roman"/>
          <w:snapToGrid/>
          <w:szCs w:val="22"/>
          <w:lang w:val="hu-HU" w:eastAsia="hu-HU"/>
        </w:rPr>
        <w:t>6 </w:t>
      </w:r>
      <w:r>
        <w:rPr>
          <w:rFonts w:eastAsia="Times New Roman"/>
          <w:snapToGrid/>
          <w:spacing w:val="-1"/>
          <w:szCs w:val="22"/>
          <w:lang w:val="hu-HU" w:eastAsia="hu-HU"/>
        </w:rPr>
        <w:t>betegnél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alakult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ki</w:t>
      </w:r>
      <w:r>
        <w:rPr>
          <w:rFonts w:eastAsia="Times New Roman"/>
          <w:snapToGrid/>
          <w:spacing w:val="3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(lásd 4.4 </w:t>
      </w:r>
      <w:r>
        <w:rPr>
          <w:rFonts w:eastAsia="Times New Roman"/>
          <w:snapToGrid/>
          <w:spacing w:val="-3"/>
          <w:szCs w:val="22"/>
          <w:lang w:val="hu-HU" w:eastAsia="hu-HU"/>
        </w:rPr>
        <w:t>pont).</w:t>
      </w:r>
    </w:p>
    <w:p w14:paraId="411B377B" w14:textId="77777777" w:rsidR="00284377" w:rsidRDefault="00284377">
      <w:pPr>
        <w:pStyle w:val="Default"/>
        <w:rPr>
          <w:sz w:val="22"/>
          <w:szCs w:val="22"/>
        </w:rPr>
      </w:pPr>
    </w:p>
    <w:p w14:paraId="4C2C489E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Nem CABG-</w:t>
      </w:r>
      <w:proofErr w:type="spellStart"/>
      <w:r>
        <w:rPr>
          <w:sz w:val="22"/>
          <w:szCs w:val="22"/>
        </w:rPr>
        <w:t>tal</w:t>
      </w:r>
      <w:proofErr w:type="spellEnd"/>
      <w:r>
        <w:rPr>
          <w:sz w:val="22"/>
          <w:szCs w:val="22"/>
        </w:rPr>
        <w:t xml:space="preserve"> összefüggő vérzés és nem beavatkozásból eredő vérzés:</w:t>
      </w:r>
    </w:p>
    <w:p w14:paraId="59EAB48E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Nem volt különbség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és a </w:t>
      </w:r>
      <w:proofErr w:type="spellStart"/>
      <w:r>
        <w:rPr>
          <w:sz w:val="22"/>
          <w:szCs w:val="22"/>
        </w:rPr>
        <w:t>klopidogrel</w:t>
      </w:r>
      <w:proofErr w:type="spellEnd"/>
      <w:r>
        <w:rPr>
          <w:sz w:val="22"/>
          <w:szCs w:val="22"/>
        </w:rPr>
        <w:t xml:space="preserve"> között a nem CABG-</w:t>
      </w:r>
      <w:proofErr w:type="spellStart"/>
      <w:r>
        <w:rPr>
          <w:sz w:val="22"/>
          <w:szCs w:val="22"/>
        </w:rPr>
        <w:t>tal</w:t>
      </w:r>
      <w:proofErr w:type="spellEnd"/>
      <w:r>
        <w:rPr>
          <w:sz w:val="22"/>
          <w:szCs w:val="22"/>
        </w:rPr>
        <w:t xml:space="preserve"> összefüggő PLATO definíció szerinti jelentős halálos/életveszélyes vérzésekben, de a PLATO definíció szerinti összes jelentős, a TIMI definíció szerinti jelentős és a TIMI definíció szerinti jelentős + kisebb vérzés gyakoribb volt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mellett. Hasonlóképpen, amikor minden, beavatkozással összefüggő vérzés eltávolításra került, akkor több volt a vérzés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, mint a </w:t>
      </w:r>
      <w:proofErr w:type="spellStart"/>
      <w:r>
        <w:rPr>
          <w:sz w:val="22"/>
          <w:szCs w:val="22"/>
        </w:rPr>
        <w:t>klopidogrel</w:t>
      </w:r>
      <w:proofErr w:type="spellEnd"/>
      <w:r>
        <w:rPr>
          <w:sz w:val="22"/>
          <w:szCs w:val="22"/>
        </w:rPr>
        <w:t xml:space="preserve"> mellett (2. táblázat). A kezelésnek beavatkozással nem összefüggő vérzés miatti felfüggesztése gyakoribb volt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(2,9%), mint a </w:t>
      </w:r>
      <w:proofErr w:type="spellStart"/>
      <w:r>
        <w:rPr>
          <w:sz w:val="22"/>
          <w:szCs w:val="22"/>
        </w:rPr>
        <w:t>klopidogrel</w:t>
      </w:r>
      <w:proofErr w:type="spellEnd"/>
      <w:r>
        <w:rPr>
          <w:sz w:val="22"/>
          <w:szCs w:val="22"/>
        </w:rPr>
        <w:t xml:space="preserve"> esetén (1,2%; p </w:t>
      </w:r>
      <w:proofErr w:type="gramStart"/>
      <w:r>
        <w:rPr>
          <w:sz w:val="22"/>
          <w:szCs w:val="22"/>
        </w:rPr>
        <w:t>&lt; 0,001</w:t>
      </w:r>
      <w:proofErr w:type="gramEnd"/>
      <w:r>
        <w:rPr>
          <w:sz w:val="22"/>
          <w:szCs w:val="22"/>
        </w:rPr>
        <w:t>).</w:t>
      </w:r>
    </w:p>
    <w:p w14:paraId="1C1D9FA7" w14:textId="77777777" w:rsidR="00284377" w:rsidRDefault="00284377">
      <w:pPr>
        <w:pStyle w:val="Default"/>
        <w:rPr>
          <w:sz w:val="22"/>
          <w:szCs w:val="22"/>
        </w:rPr>
      </w:pPr>
    </w:p>
    <w:p w14:paraId="37828B02" w14:textId="77777777" w:rsidR="00284377" w:rsidRDefault="00D321AB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Intracranialis</w:t>
      </w:r>
      <w:proofErr w:type="spellEnd"/>
      <w:r>
        <w:rPr>
          <w:sz w:val="22"/>
          <w:szCs w:val="22"/>
        </w:rPr>
        <w:t xml:space="preserve"> vérzés:</w:t>
      </w:r>
    </w:p>
    <w:p w14:paraId="261B8E31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Több </w:t>
      </w:r>
      <w:proofErr w:type="spellStart"/>
      <w:r>
        <w:rPr>
          <w:sz w:val="22"/>
          <w:szCs w:val="22"/>
        </w:rPr>
        <w:t>intracranialis</w:t>
      </w:r>
      <w:proofErr w:type="spellEnd"/>
      <w:r>
        <w:rPr>
          <w:sz w:val="22"/>
          <w:szCs w:val="22"/>
        </w:rPr>
        <w:t xml:space="preserve">, beavatkozással nem összefüggő vérzés volt a </w:t>
      </w:r>
      <w:proofErr w:type="spellStart"/>
      <w:r>
        <w:rPr>
          <w:sz w:val="22"/>
          <w:szCs w:val="22"/>
        </w:rPr>
        <w:t>tikagrelorral</w:t>
      </w:r>
      <w:proofErr w:type="spellEnd"/>
      <w:r>
        <w:rPr>
          <w:sz w:val="22"/>
          <w:szCs w:val="22"/>
        </w:rPr>
        <w:t xml:space="preserve"> (n = 27 vérzés 26 betegnél, 0,3%) mint a </w:t>
      </w:r>
      <w:proofErr w:type="spellStart"/>
      <w:r>
        <w:rPr>
          <w:sz w:val="22"/>
          <w:szCs w:val="22"/>
        </w:rPr>
        <w:t>klopidogrellel</w:t>
      </w:r>
      <w:proofErr w:type="spellEnd"/>
      <w:r>
        <w:rPr>
          <w:sz w:val="22"/>
          <w:szCs w:val="22"/>
        </w:rPr>
        <w:t xml:space="preserve"> (n = 14 vérzés, 0,2%), melyek közül 11 </w:t>
      </w:r>
      <w:proofErr w:type="spellStart"/>
      <w:r>
        <w:rPr>
          <w:sz w:val="22"/>
          <w:szCs w:val="22"/>
        </w:rPr>
        <w:t>tikagrelorral</w:t>
      </w:r>
      <w:proofErr w:type="spellEnd"/>
      <w:r>
        <w:rPr>
          <w:sz w:val="22"/>
          <w:szCs w:val="22"/>
        </w:rPr>
        <w:t xml:space="preserve"> és 1 </w:t>
      </w:r>
      <w:proofErr w:type="spellStart"/>
      <w:r>
        <w:rPr>
          <w:sz w:val="22"/>
          <w:szCs w:val="22"/>
        </w:rPr>
        <w:t>klopidogrellel</w:t>
      </w:r>
      <w:proofErr w:type="spellEnd"/>
      <w:r>
        <w:rPr>
          <w:sz w:val="22"/>
          <w:szCs w:val="22"/>
        </w:rPr>
        <w:t xml:space="preserve"> összefüggő vérzés halálos kimenetelű volt. Az összes halálos kimenetelű vérzésben nem volt különbség.</w:t>
      </w:r>
    </w:p>
    <w:p w14:paraId="0A2AA5B3" w14:textId="77777777" w:rsidR="00284377" w:rsidRDefault="00284377">
      <w:pPr>
        <w:pStyle w:val="Default"/>
        <w:rPr>
          <w:sz w:val="22"/>
          <w:szCs w:val="22"/>
        </w:rPr>
      </w:pPr>
    </w:p>
    <w:p w14:paraId="21238AD6" w14:textId="77777777" w:rsidR="00284377" w:rsidRDefault="00D321AB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>Vérzéssel kapcsolatos eredmények a PEGASUS-vizsgálatban</w:t>
      </w:r>
    </w:p>
    <w:p w14:paraId="6B92002B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PEGASUS-vizsgálatban észlelt vérzéses események összesített eredményeit a 3. táblázat mutatja.</w:t>
      </w:r>
    </w:p>
    <w:p w14:paraId="5B1D55F3" w14:textId="77777777" w:rsidR="00284377" w:rsidRDefault="00284377">
      <w:pPr>
        <w:pStyle w:val="Default"/>
        <w:rPr>
          <w:sz w:val="22"/>
          <w:szCs w:val="22"/>
        </w:rPr>
      </w:pPr>
    </w:p>
    <w:p w14:paraId="0F772D83" w14:textId="77777777" w:rsidR="00284377" w:rsidRDefault="00D321AB">
      <w:pPr>
        <w:spacing w:line="240" w:lineRule="auto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3. táblázat - Az összesített vérzéses események analízise, Kaplan-</w:t>
      </w:r>
      <w:proofErr w:type="spellStart"/>
      <w:r>
        <w:rPr>
          <w:b/>
          <w:bCs/>
          <w:szCs w:val="22"/>
          <w:lang w:val="hu-HU"/>
        </w:rPr>
        <w:t>Meier</w:t>
      </w:r>
      <w:proofErr w:type="spellEnd"/>
      <w:r>
        <w:rPr>
          <w:b/>
          <w:szCs w:val="22"/>
          <w:lang w:val="hu-HU"/>
        </w:rPr>
        <w:t>–féle becslések a 36. hónapban (PEGASUS)</w:t>
      </w:r>
    </w:p>
    <w:p w14:paraId="6A19B315" w14:textId="77777777" w:rsidR="00284377" w:rsidRDefault="00284377">
      <w:pPr>
        <w:spacing w:line="240" w:lineRule="auto"/>
        <w:rPr>
          <w:b/>
          <w:bCs/>
          <w:szCs w:val="22"/>
          <w:lang w:val="hu-HU"/>
        </w:rPr>
      </w:pPr>
    </w:p>
    <w:tbl>
      <w:tblPr>
        <w:tblW w:w="928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53"/>
        <w:gridCol w:w="1296"/>
        <w:gridCol w:w="1540"/>
        <w:gridCol w:w="1512"/>
        <w:gridCol w:w="1287"/>
      </w:tblGrid>
      <w:tr w:rsidR="00284377" w14:paraId="615CF5A6" w14:textId="77777777">
        <w:trPr>
          <w:trHeight w:hRule="exact" w:val="76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82B2E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D7BE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ind w:left="363" w:right="32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Naponta kétszer 60</w:t>
            </w:r>
            <w:r>
              <w:rPr>
                <w:szCs w:val="22"/>
                <w:lang w:val="hu-HU"/>
              </w:rPr>
              <w:t> </w:t>
            </w:r>
            <w:r>
              <w:rPr>
                <w:rFonts w:eastAsia="Times New Roman"/>
                <w:b/>
                <w:bCs/>
                <w:snapToGrid/>
                <w:spacing w:val="-12"/>
                <w:szCs w:val="22"/>
                <w:lang w:val="hu-HU" w:eastAsia="hu-HU"/>
              </w:rPr>
              <w:t>mg</w:t>
            </w:r>
            <w:r>
              <w:rPr>
                <w:rFonts w:eastAsia="Times New Roman"/>
                <w:b/>
                <w:bCs/>
                <w:snapToGrid/>
                <w:spacing w:val="12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tikagrelor</w:t>
            </w:r>
            <w:proofErr w:type="spellEnd"/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 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+ 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ASA</w:t>
            </w:r>
          </w:p>
          <w:p w14:paraId="19A6E78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N</w:t>
            </w:r>
            <w:r>
              <w:rPr>
                <w:rFonts w:eastAsia="Times New Roman"/>
                <w:b/>
                <w:bCs/>
                <w:snapToGrid/>
                <w:spacing w:val="1"/>
                <w:szCs w:val="22"/>
                <w:lang w:val="hu-HU" w:eastAsia="hu-HU"/>
              </w:rPr>
              <w:t> 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= 6958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0C9F4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right="2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ASA-</w:t>
            </w:r>
          </w:p>
          <w:p w14:paraId="0648197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52" w:right="15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monoterápia</w:t>
            </w:r>
            <w:proofErr w:type="spellEnd"/>
            <w:r>
              <w:rPr>
                <w:rFonts w:eastAsia="Times New Roman"/>
                <w:b/>
                <w:bCs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N</w:t>
            </w:r>
            <w:r>
              <w:rPr>
                <w:rFonts w:eastAsia="Times New Roman"/>
                <w:b/>
                <w:bCs/>
                <w:snapToGrid/>
                <w:spacing w:val="1"/>
                <w:szCs w:val="22"/>
                <w:lang w:val="hu-HU" w:eastAsia="hu-HU"/>
              </w:rPr>
              <w:t> 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= 6996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2242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</w:tr>
      <w:tr w:rsidR="00284377" w14:paraId="13DDDEE3" w14:textId="77777777">
        <w:trPr>
          <w:trHeight w:hRule="exact" w:val="88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B992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/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</w:pPr>
          </w:p>
          <w:p w14:paraId="6F03EED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Biztonságossági végpontok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E1E3A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44"/>
              <w:rPr>
                <w:rFonts w:eastAsia="Times New Roman"/>
                <w:b/>
                <w:bCs/>
                <w:snapToGrid/>
                <w:spacing w:val="-3"/>
                <w:szCs w:val="22"/>
                <w:lang w:val="hu-HU" w:eastAsia="hu-HU"/>
              </w:rPr>
            </w:pPr>
          </w:p>
          <w:p w14:paraId="3E0A371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4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3"/>
                <w:szCs w:val="22"/>
                <w:lang w:val="hu-HU" w:eastAsia="hu-HU"/>
              </w:rPr>
              <w:t>KM%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F502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63" w:line="240" w:lineRule="auto"/>
              <w:ind w:left="186" w:right="183" w:hanging="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Relatív</w:t>
            </w:r>
            <w:r>
              <w:rPr>
                <w:rFonts w:eastAsia="Times New Roman"/>
                <w:b/>
                <w:bCs/>
                <w:snapToGrid/>
                <w:spacing w:val="19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hazárd</w:t>
            </w:r>
          </w:p>
          <w:p w14:paraId="7FE2E53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61" w:line="240" w:lineRule="auto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(95%-os CI)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809B9E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50"/>
              <w:rPr>
                <w:rFonts w:eastAsia="Times New Roman"/>
                <w:b/>
                <w:bCs/>
                <w:snapToGrid/>
                <w:spacing w:val="-3"/>
                <w:szCs w:val="22"/>
                <w:lang w:val="hu-HU" w:eastAsia="hu-HU"/>
              </w:rPr>
            </w:pPr>
          </w:p>
          <w:p w14:paraId="66DEC30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50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3"/>
                <w:szCs w:val="22"/>
                <w:lang w:val="hu-HU" w:eastAsia="hu-HU"/>
              </w:rPr>
              <w:t>KM%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D4F1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01"/>
              <w:rPr>
                <w:rFonts w:eastAsia="Times New Roman"/>
                <w:b/>
                <w:bCs/>
                <w:i/>
                <w:iCs/>
                <w:snapToGrid/>
                <w:spacing w:val="-1"/>
                <w:szCs w:val="22"/>
                <w:lang w:val="hu-HU" w:eastAsia="hu-HU"/>
              </w:rPr>
            </w:pPr>
          </w:p>
          <w:p w14:paraId="610EE7C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01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i/>
                <w:iCs/>
                <w:snapToGrid/>
                <w:spacing w:val="-1"/>
                <w:szCs w:val="22"/>
                <w:lang w:val="hu-HU" w:eastAsia="hu-HU"/>
              </w:rPr>
              <w:t>p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-érték</w:t>
            </w:r>
          </w:p>
        </w:tc>
      </w:tr>
      <w:tr w:rsidR="00284377" w14:paraId="73302F6D" w14:textId="77777777">
        <w:trPr>
          <w:trHeight w:hRule="exact" w:val="264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C630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TIMI-definíció szerinti vérzési kategóriák</w:t>
            </w:r>
          </w:p>
        </w:tc>
      </w:tr>
      <w:tr w:rsidR="00284377" w14:paraId="4DA17E26" w14:textId="77777777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85CAA" w14:textId="77777777" w:rsidR="00284377" w:rsidRDefault="00D321AB">
            <w:pPr>
              <w:widowControl w:val="0"/>
              <w:tabs>
                <w:tab w:val="clear" w:pos="567"/>
                <w:tab w:val="left" w:pos="798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w w:val="95"/>
                <w:szCs w:val="22"/>
                <w:lang w:val="hu-HU" w:eastAsia="hu-HU"/>
              </w:rPr>
              <w:t>TIMI</w:t>
            </w:r>
            <w:r>
              <w:rPr>
                <w:rFonts w:eastAsia="Times New Roman"/>
                <w:snapToGrid/>
                <w:spacing w:val="-1"/>
                <w:w w:val="95"/>
                <w:szCs w:val="22"/>
                <w:lang w:val="hu-HU" w:eastAsia="hu-HU"/>
              </w:rPr>
              <w:tab/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7A72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2,3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50C6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2,32</w:t>
            </w:r>
          </w:p>
          <w:p w14:paraId="41FA18A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(1,68, 3,21)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05F7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1,1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C0750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72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gramStart"/>
            <w:r>
              <w:rPr>
                <w:rFonts w:eastAsia="Times New Roman"/>
                <w:snapToGrid/>
                <w:szCs w:val="22"/>
                <w:lang w:val="hu-HU" w:eastAsia="hu-HU"/>
              </w:rPr>
              <w:t>&lt; 0</w:t>
            </w:r>
            <w:proofErr w:type="gramEnd"/>
            <w:r>
              <w:rPr>
                <w:rFonts w:eastAsia="Times New Roman"/>
                <w:snapToGrid/>
                <w:szCs w:val="22"/>
                <w:lang w:val="hu-HU" w:eastAsia="hu-HU"/>
              </w:rPr>
              <w:t>,0001</w:t>
            </w:r>
          </w:p>
        </w:tc>
      </w:tr>
      <w:tr w:rsidR="00284377" w14:paraId="01F9265E" w14:textId="77777777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5BD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82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Végzetes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kimenetelű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CE70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0,3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7B98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1,00</w:t>
            </w:r>
          </w:p>
          <w:p w14:paraId="0AB6576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(0,44, 2,27)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3C39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0,3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3420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1,0000</w:t>
            </w:r>
          </w:p>
        </w:tc>
      </w:tr>
      <w:tr w:rsidR="00284377" w14:paraId="01AEDFC8" w14:textId="77777777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1A87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824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Intracranialis</w:t>
            </w:r>
            <w:proofErr w:type="spellEnd"/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vérzés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969B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0,6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8E1E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1,33</w:t>
            </w:r>
          </w:p>
          <w:p w14:paraId="7E4F27A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(0,77, 2,31)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0BEC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0,5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3D06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0,3130</w:t>
            </w:r>
          </w:p>
        </w:tc>
      </w:tr>
      <w:tr w:rsidR="00284377" w14:paraId="1A89686A" w14:textId="77777777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B9F6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82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Egyéb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TIMI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ED830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8628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3,61</w:t>
            </w:r>
          </w:p>
          <w:p w14:paraId="16D8E4F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(2,31, 5,65)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5486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0,5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75B6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72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gramStart"/>
            <w:r>
              <w:rPr>
                <w:rFonts w:eastAsia="Times New Roman"/>
                <w:snapToGrid/>
                <w:szCs w:val="22"/>
                <w:lang w:val="hu-HU" w:eastAsia="hu-HU"/>
              </w:rPr>
              <w:t>&lt; 0</w:t>
            </w:r>
            <w:proofErr w:type="gramEnd"/>
            <w:r>
              <w:rPr>
                <w:rFonts w:eastAsia="Times New Roman"/>
                <w:snapToGrid/>
                <w:szCs w:val="22"/>
                <w:lang w:val="hu-HU" w:eastAsia="hu-HU"/>
              </w:rPr>
              <w:t>,0001</w:t>
            </w:r>
          </w:p>
        </w:tc>
      </w:tr>
      <w:tr w:rsidR="00284377" w14:paraId="5C8771D6" w14:textId="77777777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76B9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TIMI jelentős vagy kisebb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886A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3,4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3ABD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2,54</w:t>
            </w:r>
          </w:p>
          <w:p w14:paraId="6CE3F66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(1,93,</w:t>
            </w: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zCs w:val="22"/>
                <w:lang w:val="hu-HU" w:eastAsia="hu-HU"/>
              </w:rPr>
              <w:t>3,35)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8A9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1,4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E985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72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gramStart"/>
            <w:r>
              <w:rPr>
                <w:rFonts w:eastAsia="Times New Roman"/>
                <w:snapToGrid/>
                <w:szCs w:val="22"/>
                <w:lang w:val="hu-HU" w:eastAsia="hu-HU"/>
              </w:rPr>
              <w:t>&lt; 0</w:t>
            </w:r>
            <w:proofErr w:type="gramEnd"/>
            <w:r>
              <w:rPr>
                <w:rFonts w:eastAsia="Times New Roman"/>
                <w:snapToGrid/>
                <w:szCs w:val="22"/>
                <w:lang w:val="hu-HU" w:eastAsia="hu-HU"/>
              </w:rPr>
              <w:t>,0001</w:t>
            </w:r>
          </w:p>
        </w:tc>
      </w:tr>
      <w:tr w:rsidR="00284377" w14:paraId="203BC943" w14:textId="77777777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0C7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 w:right="620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TIMI jelentős vagy kisebb vagy</w:t>
            </w:r>
            <w:r>
              <w:rPr>
                <w:rFonts w:eastAsia="Times New Roman"/>
                <w:snapToGrid/>
                <w:spacing w:val="24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orvosi kezelést igénylő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66B8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7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16,6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FCC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2,64</w:t>
            </w:r>
          </w:p>
          <w:p w14:paraId="29BBE14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(2,35, 2,97)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EB7E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7,0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24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72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gramStart"/>
            <w:r>
              <w:rPr>
                <w:rFonts w:eastAsia="Times New Roman"/>
                <w:snapToGrid/>
                <w:szCs w:val="22"/>
                <w:lang w:val="hu-HU" w:eastAsia="hu-HU"/>
              </w:rPr>
              <w:t>&lt; 0</w:t>
            </w:r>
            <w:proofErr w:type="gramEnd"/>
            <w:r>
              <w:rPr>
                <w:rFonts w:eastAsia="Times New Roman"/>
                <w:snapToGrid/>
                <w:szCs w:val="22"/>
                <w:lang w:val="hu-HU" w:eastAsia="hu-HU"/>
              </w:rPr>
              <w:t>,0001</w:t>
            </w:r>
          </w:p>
        </w:tc>
      </w:tr>
      <w:tr w:rsidR="00284377" w14:paraId="3BF7FBEB" w14:textId="77777777">
        <w:trPr>
          <w:trHeight w:hRule="exact" w:val="264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4C3C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PLATO-definíció szerinti vérzési kategóriák</w:t>
            </w:r>
          </w:p>
        </w:tc>
      </w:tr>
      <w:tr w:rsidR="00284377" w14:paraId="506A4D3D" w14:textId="77777777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8308D" w14:textId="77777777" w:rsidR="00284377" w:rsidRDefault="00D321AB">
            <w:pPr>
              <w:widowControl w:val="0"/>
              <w:tabs>
                <w:tab w:val="clear" w:pos="567"/>
                <w:tab w:val="left" w:pos="882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PLATO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ab/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B645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3,5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4621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2,57</w:t>
            </w:r>
          </w:p>
          <w:p w14:paraId="0D35324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(1,95, 3,37)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A0A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1,4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E6F8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72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gramStart"/>
            <w:r>
              <w:rPr>
                <w:rFonts w:eastAsia="Times New Roman"/>
                <w:snapToGrid/>
                <w:szCs w:val="22"/>
                <w:lang w:val="hu-HU" w:eastAsia="hu-HU"/>
              </w:rPr>
              <w:t>&lt; 0</w:t>
            </w:r>
            <w:proofErr w:type="gramEnd"/>
            <w:r>
              <w:rPr>
                <w:rFonts w:eastAsia="Times New Roman"/>
                <w:snapToGrid/>
                <w:szCs w:val="22"/>
                <w:lang w:val="hu-HU" w:eastAsia="hu-HU"/>
              </w:rPr>
              <w:t>,0001</w:t>
            </w:r>
          </w:p>
        </w:tc>
      </w:tr>
      <w:tr w:rsidR="00284377" w14:paraId="1F131691" w14:textId="77777777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1EEE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5" w:line="240" w:lineRule="auto"/>
              <w:ind w:left="882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Végzetes/életveszélyes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71AA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2,4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5CFA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2,38</w:t>
            </w:r>
          </w:p>
          <w:p w14:paraId="0D9D38B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(1,73, 3,26)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519D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1,1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D661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72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gramStart"/>
            <w:r>
              <w:rPr>
                <w:rFonts w:eastAsia="Times New Roman"/>
                <w:snapToGrid/>
                <w:szCs w:val="22"/>
                <w:lang w:val="hu-HU" w:eastAsia="hu-HU"/>
              </w:rPr>
              <w:t>&lt; 0</w:t>
            </w:r>
            <w:proofErr w:type="gramEnd"/>
            <w:r>
              <w:rPr>
                <w:rFonts w:eastAsia="Times New Roman"/>
                <w:snapToGrid/>
                <w:szCs w:val="22"/>
                <w:lang w:val="hu-HU" w:eastAsia="hu-HU"/>
              </w:rPr>
              <w:t>,0001</w:t>
            </w:r>
          </w:p>
        </w:tc>
      </w:tr>
      <w:tr w:rsidR="00284377" w14:paraId="51CFCA98" w14:textId="77777777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57CB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882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Egyéb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PLATO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E294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9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1,1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AC5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3,37</w:t>
            </w:r>
          </w:p>
          <w:p w14:paraId="075D0D5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(1,95, 5,83)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4F7D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0,3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44F3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72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gramStart"/>
            <w:r>
              <w:rPr>
                <w:rFonts w:eastAsia="Times New Roman"/>
                <w:snapToGrid/>
                <w:szCs w:val="22"/>
                <w:lang w:val="hu-HU" w:eastAsia="hu-HU"/>
              </w:rPr>
              <w:t>&lt; 0</w:t>
            </w:r>
            <w:proofErr w:type="gramEnd"/>
            <w:r>
              <w:rPr>
                <w:rFonts w:eastAsia="Times New Roman"/>
                <w:snapToGrid/>
                <w:szCs w:val="22"/>
                <w:lang w:val="hu-HU" w:eastAsia="hu-HU"/>
              </w:rPr>
              <w:t>,0001</w:t>
            </w:r>
          </w:p>
        </w:tc>
      </w:tr>
      <w:tr w:rsidR="00284377" w14:paraId="596397DD" w14:textId="77777777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0C5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5"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PLATO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jelentős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vagy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kisebb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981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47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15,2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1511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2,71</w:t>
            </w:r>
          </w:p>
          <w:p w14:paraId="64F0DC0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1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(2,40, 3,08)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628B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6,2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4364A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72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gramStart"/>
            <w:r>
              <w:rPr>
                <w:rFonts w:eastAsia="Times New Roman"/>
                <w:snapToGrid/>
                <w:szCs w:val="22"/>
                <w:lang w:val="hu-HU" w:eastAsia="hu-HU"/>
              </w:rPr>
              <w:t>&lt; 0</w:t>
            </w:r>
            <w:proofErr w:type="gramEnd"/>
            <w:r>
              <w:rPr>
                <w:rFonts w:eastAsia="Times New Roman"/>
                <w:snapToGrid/>
                <w:szCs w:val="22"/>
                <w:lang w:val="hu-HU" w:eastAsia="hu-HU"/>
              </w:rPr>
              <w:t>,0001</w:t>
            </w:r>
          </w:p>
        </w:tc>
      </w:tr>
    </w:tbl>
    <w:p w14:paraId="5CC5D11A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Vérzési</w:t>
      </w:r>
      <w:r>
        <w:rPr>
          <w:rFonts w:eastAsia="Times New Roman"/>
          <w:b/>
          <w:bCs/>
          <w:snapToGrid/>
          <w:spacing w:val="8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kategória</w:t>
      </w:r>
      <w:r>
        <w:rPr>
          <w:rFonts w:eastAsia="Times New Roman"/>
          <w:b/>
          <w:bCs/>
          <w:snapToGrid/>
          <w:spacing w:val="9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definíciók:</w:t>
      </w:r>
    </w:p>
    <w:p w14:paraId="2BF3A7CA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TIMI</w:t>
      </w:r>
      <w:r>
        <w:rPr>
          <w:rFonts w:eastAsia="Times New Roman"/>
          <w:b/>
          <w:bCs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jelentős:</w:t>
      </w:r>
      <w:r>
        <w:rPr>
          <w:rFonts w:eastAsia="Times New Roman"/>
          <w:b/>
          <w:bCs/>
          <w:snapToGrid/>
          <w:spacing w:val="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végzetes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kimenetelű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vérzés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bármilyen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intracranialis</w:t>
      </w:r>
      <w:proofErr w:type="spellEnd"/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vérzés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vérzés</w:t>
      </w:r>
      <w:r>
        <w:rPr>
          <w:rFonts w:eastAsia="Times New Roman"/>
          <w:snapToGrid/>
          <w:spacing w:val="8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klinikailag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nyilvánvaló</w:t>
      </w:r>
      <w:r>
        <w:rPr>
          <w:rFonts w:eastAsia="Times New Roman"/>
          <w:snapToGrid/>
          <w:spacing w:val="52"/>
          <w:w w:val="10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jelei,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3"/>
          <w:sz w:val="18"/>
          <w:szCs w:val="18"/>
          <w:lang w:val="hu-HU" w:eastAsia="hu-HU"/>
        </w:rPr>
        <w:t>amelyek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haemoglobinszint</w:t>
      </w:r>
      <w:proofErr w:type="spellEnd"/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(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Hgb</w:t>
      </w:r>
      <w:proofErr w:type="spellEnd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)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≥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> </w:t>
      </w:r>
      <w:r>
        <w:rPr>
          <w:rFonts w:eastAsia="Times New Roman"/>
          <w:snapToGrid/>
          <w:sz w:val="18"/>
          <w:szCs w:val="18"/>
          <w:lang w:val="hu-HU" w:eastAsia="hu-HU"/>
        </w:rPr>
        <w:t>50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> 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g/l-es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esésével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járnak,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amikor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Hgb</w:t>
      </w:r>
      <w:proofErr w:type="spellEnd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-érték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nem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áll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rendelkezésre,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akkor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57"/>
          <w:w w:val="101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haematocrit</w:t>
      </w:r>
      <w:proofErr w:type="spellEnd"/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(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Hct</w:t>
      </w:r>
      <w:proofErr w:type="spellEnd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)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15%-os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esése.</w:t>
      </w:r>
    </w:p>
    <w:p w14:paraId="3D78C5F4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Végzetes</w:t>
      </w:r>
      <w:r>
        <w:rPr>
          <w:rFonts w:eastAsia="Times New Roman"/>
          <w:b/>
          <w:bCs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kimenetelű:</w:t>
      </w:r>
      <w:r>
        <w:rPr>
          <w:rFonts w:eastAsia="Times New Roman"/>
          <w:b/>
          <w:bCs/>
          <w:snapToGrid/>
          <w:spacing w:val="1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Olyan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vérzéses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esemény,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ami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7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> 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napon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belül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közvetlenül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halálhoz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vezetett</w:t>
      </w:r>
    </w:p>
    <w:p w14:paraId="5D4EE5C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4"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ICH:</w:t>
      </w:r>
      <w:r>
        <w:rPr>
          <w:rFonts w:eastAsia="Times New Roman"/>
          <w:b/>
          <w:bCs/>
          <w:snapToGrid/>
          <w:spacing w:val="13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Intracraniális</w:t>
      </w:r>
      <w:proofErr w:type="spellEnd"/>
      <w:r>
        <w:rPr>
          <w:rFonts w:eastAsia="Times New Roman"/>
          <w:snapToGrid/>
          <w:spacing w:val="7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vérzés.</w:t>
      </w:r>
    </w:p>
    <w:p w14:paraId="36D0D4DC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Egyéb</w:t>
      </w:r>
      <w:r>
        <w:rPr>
          <w:rFonts w:eastAsia="Times New Roman"/>
          <w:b/>
          <w:bCs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TIMI</w:t>
      </w:r>
      <w:r>
        <w:rPr>
          <w:rFonts w:eastAsia="Times New Roman"/>
          <w:b/>
          <w:bCs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jelentős:</w:t>
      </w:r>
      <w:r>
        <w:rPr>
          <w:rFonts w:eastAsia="Times New Roman"/>
          <w:b/>
          <w:bCs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nem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végzetes,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nem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intracranialis</w:t>
      </w:r>
      <w:proofErr w:type="spellEnd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,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TIMI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jelentős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vérzés</w:t>
      </w:r>
    </w:p>
    <w:p w14:paraId="0482DB29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TIMI</w:t>
      </w:r>
      <w:r>
        <w:rPr>
          <w:rFonts w:eastAsia="Times New Roman"/>
          <w:b/>
          <w:bCs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kisebb</w:t>
      </w:r>
      <w:r>
        <w:rPr>
          <w:rFonts w:eastAsia="Times New Roman"/>
          <w:b/>
          <w:bCs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vérzés:</w:t>
      </w:r>
      <w:r>
        <w:rPr>
          <w:rFonts w:eastAsia="Times New Roman"/>
          <w:b/>
          <w:bCs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3"/>
          <w:sz w:val="18"/>
          <w:szCs w:val="18"/>
          <w:lang w:val="hu-HU" w:eastAsia="hu-HU"/>
        </w:rPr>
        <w:t>haemoglobinszint</w:t>
      </w:r>
      <w:proofErr w:type="spellEnd"/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klinikailag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nyilvánvaló,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30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noBreakHyphen/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50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> 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g/l-es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csökkenése.</w:t>
      </w:r>
    </w:p>
    <w:p w14:paraId="2B1E6234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TIMI</w:t>
      </w:r>
      <w:r>
        <w:rPr>
          <w:rFonts w:eastAsia="Times New Roman"/>
          <w:b/>
          <w:bCs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orvosi</w:t>
      </w:r>
      <w:r>
        <w:rPr>
          <w:rFonts w:eastAsia="Times New Roman"/>
          <w:b/>
          <w:bCs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kezelést</w:t>
      </w:r>
      <w:r>
        <w:rPr>
          <w:rFonts w:eastAsia="Times New Roman"/>
          <w:b/>
          <w:bCs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igénylő:</w:t>
      </w:r>
      <w:r>
        <w:rPr>
          <w:rFonts w:eastAsia="Times New Roman"/>
          <w:b/>
          <w:bCs/>
          <w:snapToGrid/>
          <w:spacing w:val="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Beavatkozást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igénylő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hospitalizációhoz</w:t>
      </w:r>
      <w:proofErr w:type="spellEnd"/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vezető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vizsgálatra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sarkalló.</w:t>
      </w:r>
    </w:p>
    <w:p w14:paraId="47AA221B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PLATO</w:t>
      </w:r>
      <w:r>
        <w:rPr>
          <w:rFonts w:eastAsia="Times New Roman"/>
          <w:b/>
          <w:bCs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jelentős</w:t>
      </w:r>
      <w:r>
        <w:rPr>
          <w:rFonts w:eastAsia="Times New Roman"/>
          <w:b/>
          <w:bCs/>
          <w:snapToGrid/>
          <w:spacing w:val="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végzetes/életveszélyes:</w:t>
      </w:r>
      <w:r>
        <w:rPr>
          <w:rFonts w:eastAsia="Times New Roman"/>
          <w:b/>
          <w:bCs/>
          <w:snapToGrid/>
          <w:spacing w:val="1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Végzetes</w:t>
      </w:r>
      <w:r>
        <w:rPr>
          <w:rFonts w:eastAsia="Times New Roman"/>
          <w:snapToGrid/>
          <w:spacing w:val="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kimenetelű</w:t>
      </w:r>
      <w:r>
        <w:rPr>
          <w:rFonts w:eastAsia="Times New Roman"/>
          <w:snapToGrid/>
          <w:spacing w:val="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vérzés</w:t>
      </w:r>
      <w:r>
        <w:rPr>
          <w:rFonts w:eastAsia="Times New Roman"/>
          <w:snapToGrid/>
          <w:spacing w:val="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bármilyen</w:t>
      </w:r>
      <w:r>
        <w:rPr>
          <w:rFonts w:eastAsia="Times New Roman"/>
          <w:snapToGrid/>
          <w:spacing w:val="6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intracranialis</w:t>
      </w:r>
      <w:proofErr w:type="spellEnd"/>
      <w:r>
        <w:rPr>
          <w:rFonts w:eastAsia="Times New Roman"/>
          <w:snapToGrid/>
          <w:spacing w:val="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vérzés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40"/>
          <w:w w:val="101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intrapericardialis</w:t>
      </w:r>
      <w:proofErr w:type="spellEnd"/>
      <w:r>
        <w:rPr>
          <w:rFonts w:eastAsia="Times New Roman"/>
          <w:snapToGrid/>
          <w:spacing w:val="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vérzés,</w:t>
      </w:r>
      <w:r>
        <w:rPr>
          <w:rFonts w:eastAsia="Times New Roman"/>
          <w:snapToGrid/>
          <w:spacing w:val="7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szívtamponáddal</w:t>
      </w:r>
      <w:proofErr w:type="spellEnd"/>
      <w:r>
        <w:rPr>
          <w:rFonts w:eastAsia="Times New Roman"/>
          <w:snapToGrid/>
          <w:spacing w:val="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7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hypovolaemiás</w:t>
      </w:r>
      <w:proofErr w:type="spellEnd"/>
      <w:r>
        <w:rPr>
          <w:rFonts w:eastAsia="Times New Roman"/>
          <w:snapToGrid/>
          <w:spacing w:val="7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shock</w:t>
      </w:r>
      <w:proofErr w:type="spellEnd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-kal</w:t>
      </w:r>
      <w:r>
        <w:rPr>
          <w:rFonts w:eastAsia="Times New Roman"/>
          <w:snapToGrid/>
          <w:spacing w:val="9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 xml:space="preserve"> súlyos,</w:t>
      </w:r>
      <w:r>
        <w:rPr>
          <w:rFonts w:eastAsia="Times New Roman"/>
          <w:snapToGrid/>
          <w:spacing w:val="7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presszorokat</w:t>
      </w:r>
      <w:proofErr w:type="spellEnd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/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inotróp</w:t>
      </w:r>
      <w:proofErr w:type="spellEnd"/>
      <w:r>
        <w:rPr>
          <w:rFonts w:eastAsia="Times New Roman"/>
          <w:snapToGrid/>
          <w:spacing w:val="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szereket</w:t>
      </w:r>
      <w:r>
        <w:rPr>
          <w:rFonts w:eastAsia="Times New Roman"/>
          <w:snapToGrid/>
          <w:spacing w:val="7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38"/>
          <w:w w:val="10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műtétet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igénylő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hypotonia</w:t>
      </w:r>
      <w:proofErr w:type="spellEnd"/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haemoglobinszint</w:t>
      </w:r>
      <w:proofErr w:type="spellEnd"/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klinikailag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nyilvánvaló,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&gt; 50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> 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g/l-es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csökkenése,</w:t>
      </w:r>
      <w:r>
        <w:rPr>
          <w:rFonts w:eastAsia="Times New Roman"/>
          <w:snapToGrid/>
          <w:spacing w:val="2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8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≥ 4</w:t>
      </w:r>
      <w:r>
        <w:rPr>
          <w:rFonts w:eastAsia="Times New Roman"/>
          <w:snapToGrid/>
          <w:spacing w:val="9"/>
          <w:sz w:val="18"/>
          <w:szCs w:val="18"/>
          <w:lang w:val="hu-HU" w:eastAsia="hu-HU"/>
        </w:rPr>
        <w:t> </w:t>
      </w:r>
      <w:r>
        <w:rPr>
          <w:rFonts w:eastAsia="Times New Roman"/>
          <w:snapToGrid/>
          <w:spacing w:val="-3"/>
          <w:sz w:val="18"/>
          <w:szCs w:val="18"/>
          <w:lang w:val="hu-HU" w:eastAsia="hu-HU"/>
        </w:rPr>
        <w:t>egység</w:t>
      </w:r>
      <w:r>
        <w:rPr>
          <w:rFonts w:eastAsia="Times New Roman"/>
          <w:snapToGrid/>
          <w:spacing w:val="35"/>
          <w:w w:val="10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vörösvértest</w:t>
      </w:r>
      <w:r>
        <w:rPr>
          <w:rFonts w:eastAsia="Times New Roman"/>
          <w:snapToGrid/>
          <w:spacing w:val="16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transzfúziója.</w:t>
      </w:r>
    </w:p>
    <w:p w14:paraId="64EB4F02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4"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PLATO</w:t>
      </w:r>
      <w:r>
        <w:rPr>
          <w:rFonts w:eastAsia="Times New Roman"/>
          <w:b/>
          <w:bCs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egyéb</w:t>
      </w:r>
      <w:r>
        <w:rPr>
          <w:rFonts w:eastAsia="Times New Roman"/>
          <w:b/>
          <w:bCs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1"/>
          <w:sz w:val="18"/>
          <w:szCs w:val="18"/>
          <w:lang w:val="hu-HU" w:eastAsia="hu-HU"/>
        </w:rPr>
        <w:t>jelentős:</w:t>
      </w:r>
      <w:r>
        <w:rPr>
          <w:rFonts w:eastAsia="Times New Roman"/>
          <w:b/>
          <w:bCs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Jelentős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funkcióvesztést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okozó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haemoglobinszint</w:t>
      </w:r>
      <w:proofErr w:type="spellEnd"/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klinikailag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nyilvánvaló,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t>30</w:t>
      </w:r>
      <w:r>
        <w:rPr>
          <w:rFonts w:eastAsia="Times New Roman"/>
          <w:snapToGrid/>
          <w:spacing w:val="-1"/>
          <w:sz w:val="18"/>
          <w:szCs w:val="18"/>
          <w:lang w:val="hu-HU" w:eastAsia="hu-HU"/>
        </w:rPr>
        <w:noBreakHyphen/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50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> 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g/l-es</w:t>
      </w:r>
      <w:r>
        <w:rPr>
          <w:rFonts w:eastAsia="Times New Roman"/>
          <w:snapToGrid/>
          <w:spacing w:val="46"/>
          <w:w w:val="101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csökkenése,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2</w:t>
      </w:r>
      <w:r>
        <w:rPr>
          <w:rFonts w:eastAsia="Times New Roman"/>
          <w:snapToGrid/>
          <w:sz w:val="18"/>
          <w:szCs w:val="18"/>
          <w:lang w:val="hu-HU" w:eastAsia="hu-HU"/>
        </w:rPr>
        <w:noBreakHyphen/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3</w:t>
      </w:r>
      <w:r>
        <w:rPr>
          <w:rFonts w:eastAsia="Times New Roman"/>
          <w:snapToGrid/>
          <w:spacing w:val="10"/>
          <w:sz w:val="18"/>
          <w:szCs w:val="18"/>
          <w:lang w:val="hu-HU" w:eastAsia="hu-HU"/>
        </w:rPr>
        <w:t> 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egység</w:t>
      </w:r>
      <w:r>
        <w:rPr>
          <w:rFonts w:eastAsia="Times New Roman"/>
          <w:snapToGrid/>
          <w:spacing w:val="5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vörösvértest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transzfúziója.</w:t>
      </w:r>
    </w:p>
    <w:p w14:paraId="3242DA77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 w:val="18"/>
          <w:szCs w:val="18"/>
          <w:lang w:val="hu-HU" w:eastAsia="hu-HU"/>
        </w:rPr>
      </w:pP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PLATO</w:t>
      </w:r>
      <w:r>
        <w:rPr>
          <w:rFonts w:eastAsia="Times New Roman"/>
          <w:b/>
          <w:bCs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kisebb</w:t>
      </w:r>
      <w:r>
        <w:rPr>
          <w:rFonts w:eastAsia="Times New Roman"/>
          <w:b/>
          <w:bCs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b/>
          <w:bCs/>
          <w:snapToGrid/>
          <w:spacing w:val="-2"/>
          <w:sz w:val="18"/>
          <w:szCs w:val="18"/>
          <w:lang w:val="hu-HU" w:eastAsia="hu-HU"/>
        </w:rPr>
        <w:t>vérzés:</w:t>
      </w:r>
      <w:r>
        <w:rPr>
          <w:rFonts w:eastAsia="Times New Roman"/>
          <w:b/>
          <w:bCs/>
          <w:snapToGrid/>
          <w:spacing w:val="8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z w:val="18"/>
          <w:szCs w:val="18"/>
          <w:lang w:val="hu-HU" w:eastAsia="hu-HU"/>
        </w:rPr>
        <w:t>A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vérzés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megállítása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vagy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kezelése</w:t>
      </w:r>
      <w:r>
        <w:rPr>
          <w:rFonts w:eastAsia="Times New Roman"/>
          <w:snapToGrid/>
          <w:spacing w:val="3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orvosi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beavatkozást</w:t>
      </w:r>
      <w:r>
        <w:rPr>
          <w:rFonts w:eastAsia="Times New Roman"/>
          <w:snapToGrid/>
          <w:spacing w:val="4"/>
          <w:sz w:val="18"/>
          <w:szCs w:val="18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 w:val="18"/>
          <w:szCs w:val="18"/>
          <w:lang w:val="hu-HU" w:eastAsia="hu-HU"/>
        </w:rPr>
        <w:t>igényel.</w:t>
      </w:r>
    </w:p>
    <w:p w14:paraId="49C3DFCC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</w:p>
    <w:p w14:paraId="7A6D6368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PEGASUS-vizsgálatban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naponta kétszer 60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mg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TIMI jelentős vérzés aránya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magasabb volt, mint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acetilszalicilsav-monoterápia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végzetes kimenetelű vérzés esetén nem</w:t>
      </w:r>
      <w:r>
        <w:rPr>
          <w:rFonts w:eastAsia="Times New Roman"/>
          <w:snapToGrid/>
          <w:spacing w:val="2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észleltek megnövekedett vérzési kockázatot, és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intracranialis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vérzések esetén csak kisfokú emelkedést figyeltek meg az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acetilszalicilsav</w:t>
      </w:r>
      <w:r>
        <w:rPr>
          <w:rFonts w:eastAsia="Times New Roman"/>
          <w:snapToGrid/>
          <w:spacing w:val="-1"/>
          <w:szCs w:val="22"/>
          <w:lang w:val="hu-HU" w:eastAsia="hu-HU"/>
        </w:rPr>
        <w:t>-monoterápiához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képest. Volt néhány végzetes</w:t>
      </w:r>
      <w:r>
        <w:rPr>
          <w:rFonts w:eastAsia="Times New Roman"/>
          <w:snapToGrid/>
          <w:spacing w:val="4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kimenetelű vérzéses esemény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vizsgálatban, 11 (0,3%)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60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2"/>
          <w:szCs w:val="22"/>
          <w:lang w:val="hu-HU" w:eastAsia="hu-HU"/>
        </w:rPr>
        <w:t>mg</w:t>
      </w:r>
      <w:r>
        <w:rPr>
          <w:rFonts w:eastAsia="Times New Roman"/>
          <w:snapToGrid/>
          <w:spacing w:val="-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 és 12 (0,3%) az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acetilszalicilsav-monoterápia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TIMI jelentős vérzés 60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mg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mellett megfigyelt</w:t>
      </w:r>
      <w:r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emelkedett kockázata elsősorban az egyéb TIMI jelentős vérzések magasabb gyakoriságának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7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következménye volt, amit az emésztőrendszeri szervrendszeri kategórián belüli események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eredményeztek.</w:t>
      </w:r>
    </w:p>
    <w:p w14:paraId="518B85DD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3" w:line="240" w:lineRule="auto"/>
        <w:rPr>
          <w:rFonts w:eastAsia="Times New Roman"/>
          <w:snapToGrid/>
          <w:szCs w:val="22"/>
          <w:lang w:val="hu-HU" w:eastAsia="hu-HU"/>
        </w:rPr>
      </w:pPr>
    </w:p>
    <w:p w14:paraId="709B5D81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TIMI jelentős vérzésekéhez hasonló, emelkedett vérzési mintázatot észleltek</w:t>
      </w:r>
      <w:r>
        <w:rPr>
          <w:rFonts w:eastAsia="Times New Roman"/>
          <w:snapToGrid/>
          <w:szCs w:val="22"/>
          <w:lang w:val="hu-HU" w:eastAsia="hu-HU"/>
        </w:rPr>
        <w:t xml:space="preserve"> 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TIMI jelentős vagy</w:t>
      </w:r>
      <w:r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kisebb, valamint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PLATO jelentős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PLATO jelentős vagy kisebb vérzési kategóriák esetén is (lásd </w:t>
      </w:r>
      <w:r>
        <w:rPr>
          <w:rFonts w:eastAsia="Times New Roman"/>
          <w:snapToGrid/>
          <w:szCs w:val="22"/>
          <w:lang w:val="hu-HU" w:eastAsia="hu-HU"/>
        </w:rPr>
        <w:t>3. 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táblázat).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kezelés vérzés miatti abbahagyása gyakoribb volt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60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mg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-, mint az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acetilszalicilsav-monoterápia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 (sorrendben 6,2% és 1,5%). Ezeknek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vérzéseknek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többsége</w:t>
      </w:r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lastRenderedPageBreak/>
        <w:t xml:space="preserve">kevésbé súlyos volt (TIMI orvosi kezelést igénylő besorolást kapott), például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epistaxis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, véraláfutás és</w:t>
      </w:r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haematoma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>.</w:t>
      </w:r>
    </w:p>
    <w:p w14:paraId="135EFF20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3" w:line="240" w:lineRule="auto"/>
        <w:rPr>
          <w:rFonts w:eastAsia="Times New Roman"/>
          <w:snapToGrid/>
          <w:szCs w:val="22"/>
          <w:lang w:val="hu-HU" w:eastAsia="hu-HU"/>
        </w:rPr>
      </w:pPr>
    </w:p>
    <w:p w14:paraId="3E6E1969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60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mg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vérzési profilja több, előre meghatározott alcsoportban (például életkor,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nemi</w:t>
      </w:r>
      <w:r>
        <w:rPr>
          <w:rFonts w:eastAsia="Times New Roman"/>
          <w:snapToGrid/>
          <w:spacing w:val="2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hovatartozás, testtömeg, rassz, földrajzi régió, kísérőbetegségek, egyidejű kezelés és anamnézis)</w:t>
      </w:r>
      <w:r>
        <w:rPr>
          <w:rFonts w:eastAsia="Times New Roman"/>
          <w:snapToGrid/>
          <w:spacing w:val="29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konzisztens volt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TIMI jelentős,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TIMI jelentős vagy kisebb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PLATO jelentős vérzéses</w:t>
      </w:r>
      <w:r>
        <w:rPr>
          <w:rFonts w:eastAsia="Times New Roman"/>
          <w:snapToGrid/>
          <w:spacing w:val="2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események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esetén.</w:t>
      </w:r>
    </w:p>
    <w:p w14:paraId="20D1A01F" w14:textId="77777777" w:rsidR="00284377" w:rsidRPr="005B1D39" w:rsidRDefault="00284377">
      <w:pPr>
        <w:spacing w:line="240" w:lineRule="auto"/>
        <w:rPr>
          <w:szCs w:val="22"/>
          <w:lang w:val="hu-HU"/>
        </w:rPr>
      </w:pPr>
    </w:p>
    <w:p w14:paraId="24F889F9" w14:textId="77777777" w:rsidR="00284377" w:rsidRDefault="00D321AB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Intracranialis</w:t>
      </w:r>
      <w:proofErr w:type="spellEnd"/>
      <w:r>
        <w:rPr>
          <w:szCs w:val="22"/>
          <w:lang w:val="hu-HU"/>
        </w:rPr>
        <w:t xml:space="preserve"> vérzés:</w:t>
      </w:r>
    </w:p>
    <w:p w14:paraId="6DD1DE96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Spontán </w:t>
      </w:r>
      <w:proofErr w:type="spellStart"/>
      <w:r>
        <w:rPr>
          <w:szCs w:val="22"/>
          <w:lang w:val="hu-HU"/>
        </w:rPr>
        <w:t>intracranialis</w:t>
      </w:r>
      <w:proofErr w:type="spellEnd"/>
      <w:r>
        <w:rPr>
          <w:szCs w:val="22"/>
          <w:lang w:val="hu-HU"/>
        </w:rPr>
        <w:t xml:space="preserve"> vérzésekről hasonló arányokban számoltak be a 60 mg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és az </w:t>
      </w:r>
      <w:proofErr w:type="spellStart"/>
      <w:r>
        <w:rPr>
          <w:szCs w:val="22"/>
          <w:lang w:val="hu-HU"/>
        </w:rPr>
        <w:t>acetilszalicilsav-monoterápia</w:t>
      </w:r>
      <w:proofErr w:type="spellEnd"/>
      <w:r>
        <w:rPr>
          <w:szCs w:val="22"/>
          <w:lang w:val="hu-HU"/>
        </w:rPr>
        <w:t xml:space="preserve"> esetén (n = 13, 0,2% mindkét terápiás csoportban). A traumás és beavatkozást követő </w:t>
      </w:r>
      <w:proofErr w:type="spellStart"/>
      <w:r>
        <w:rPr>
          <w:szCs w:val="22"/>
          <w:lang w:val="hu-HU"/>
        </w:rPr>
        <w:t>intracranialis</w:t>
      </w:r>
      <w:proofErr w:type="spellEnd"/>
      <w:r>
        <w:rPr>
          <w:szCs w:val="22"/>
          <w:lang w:val="hu-HU"/>
        </w:rPr>
        <w:t xml:space="preserve"> vérzések egy kisfokú emelkedést mutattak a 60 mg-os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kezelés mellett (n = 15, 0,2%), az </w:t>
      </w:r>
      <w:proofErr w:type="spellStart"/>
      <w:r>
        <w:rPr>
          <w:szCs w:val="22"/>
          <w:lang w:val="hu-HU"/>
        </w:rPr>
        <w:t>acetilszalicilsav-monoterápiához</w:t>
      </w:r>
      <w:proofErr w:type="spellEnd"/>
      <w:r>
        <w:rPr>
          <w:szCs w:val="22"/>
          <w:lang w:val="hu-HU"/>
        </w:rPr>
        <w:t xml:space="preserve"> képest (n = 10, 0,1%). 6 végzetes kimenetelű </w:t>
      </w:r>
      <w:proofErr w:type="spellStart"/>
      <w:r>
        <w:rPr>
          <w:szCs w:val="22"/>
          <w:lang w:val="hu-HU"/>
        </w:rPr>
        <w:t>intracranialis</w:t>
      </w:r>
      <w:proofErr w:type="spellEnd"/>
      <w:r>
        <w:rPr>
          <w:szCs w:val="22"/>
          <w:lang w:val="hu-HU"/>
        </w:rPr>
        <w:t xml:space="preserve"> vérzés volt a 60 mg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, és 5 fatális </w:t>
      </w:r>
      <w:proofErr w:type="spellStart"/>
      <w:r>
        <w:rPr>
          <w:szCs w:val="22"/>
          <w:lang w:val="hu-HU"/>
        </w:rPr>
        <w:t>intracranialis</w:t>
      </w:r>
      <w:proofErr w:type="spellEnd"/>
      <w:r>
        <w:rPr>
          <w:szCs w:val="22"/>
          <w:lang w:val="hu-HU"/>
        </w:rPr>
        <w:t xml:space="preserve"> vérzés volt az </w:t>
      </w:r>
      <w:proofErr w:type="spellStart"/>
      <w:r>
        <w:rPr>
          <w:szCs w:val="22"/>
          <w:lang w:val="hu-HU"/>
        </w:rPr>
        <w:t>acetilszalicilsav-monoterápia</w:t>
      </w:r>
      <w:proofErr w:type="spellEnd"/>
      <w:r>
        <w:rPr>
          <w:szCs w:val="22"/>
          <w:lang w:val="hu-HU"/>
        </w:rPr>
        <w:t xml:space="preserve"> mellett. Figyelembe véve a vizsgált populáció jelentős kísérőbetegségeit és </w:t>
      </w:r>
      <w:proofErr w:type="spellStart"/>
      <w:r>
        <w:rPr>
          <w:szCs w:val="22"/>
          <w:lang w:val="hu-HU"/>
        </w:rPr>
        <w:t>cardiovascularis</w:t>
      </w:r>
      <w:proofErr w:type="spellEnd"/>
      <w:r>
        <w:rPr>
          <w:szCs w:val="22"/>
          <w:lang w:val="hu-HU"/>
        </w:rPr>
        <w:t xml:space="preserve"> rizikótényezőit, az </w:t>
      </w:r>
      <w:proofErr w:type="spellStart"/>
      <w:r>
        <w:rPr>
          <w:szCs w:val="22"/>
          <w:lang w:val="hu-HU"/>
        </w:rPr>
        <w:t>intracranialis</w:t>
      </w:r>
      <w:proofErr w:type="spellEnd"/>
      <w:r>
        <w:rPr>
          <w:szCs w:val="22"/>
          <w:lang w:val="hu-HU"/>
        </w:rPr>
        <w:t xml:space="preserve"> vérzés </w:t>
      </w:r>
      <w:proofErr w:type="spellStart"/>
      <w:r>
        <w:rPr>
          <w:szCs w:val="22"/>
          <w:lang w:val="hu-HU"/>
        </w:rPr>
        <w:t>incidenciája</w:t>
      </w:r>
      <w:proofErr w:type="spellEnd"/>
      <w:r>
        <w:rPr>
          <w:szCs w:val="22"/>
          <w:lang w:val="hu-HU"/>
        </w:rPr>
        <w:t xml:space="preserve"> mindkét terápiás csoportban alacsony volt.</w:t>
      </w:r>
    </w:p>
    <w:p w14:paraId="2755051F" w14:textId="77777777" w:rsidR="00284377" w:rsidRDefault="00284377">
      <w:pPr>
        <w:spacing w:line="240" w:lineRule="auto"/>
        <w:rPr>
          <w:i/>
          <w:iCs/>
          <w:szCs w:val="22"/>
          <w:u w:val="single"/>
          <w:lang w:val="hu-HU"/>
        </w:rPr>
      </w:pPr>
    </w:p>
    <w:p w14:paraId="03B24E02" w14:textId="77777777" w:rsidR="00284377" w:rsidRDefault="00D321AB">
      <w:pPr>
        <w:spacing w:line="240" w:lineRule="auto"/>
        <w:rPr>
          <w:szCs w:val="22"/>
          <w:lang w:val="hu-HU"/>
        </w:rPr>
      </w:pPr>
      <w:proofErr w:type="spellStart"/>
      <w:r>
        <w:rPr>
          <w:i/>
          <w:iCs/>
          <w:szCs w:val="22"/>
          <w:u w:val="single"/>
          <w:lang w:val="hu-HU"/>
        </w:rPr>
        <w:t>Dyspnoe</w:t>
      </w:r>
      <w:proofErr w:type="spellEnd"/>
    </w:p>
    <w:p w14:paraId="6A674ABC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tikagrelorral</w:t>
      </w:r>
      <w:proofErr w:type="spellEnd"/>
      <w:r>
        <w:rPr>
          <w:szCs w:val="22"/>
          <w:lang w:val="hu-HU"/>
        </w:rPr>
        <w:t xml:space="preserve"> kezelt betegek </w:t>
      </w:r>
      <w:proofErr w:type="spellStart"/>
      <w:r>
        <w:rPr>
          <w:szCs w:val="22"/>
          <w:lang w:val="hu-HU"/>
        </w:rPr>
        <w:t>dyspnoéról</w:t>
      </w:r>
      <w:proofErr w:type="spellEnd"/>
      <w:r>
        <w:rPr>
          <w:szCs w:val="22"/>
          <w:lang w:val="hu-HU"/>
        </w:rPr>
        <w:t xml:space="preserve">, fulladásérzésről számoltak be. A PLATO vizsgálatban </w:t>
      </w:r>
      <w:proofErr w:type="spellStart"/>
      <w:r>
        <w:rPr>
          <w:szCs w:val="22"/>
          <w:lang w:val="hu-HU"/>
        </w:rPr>
        <w:t>dyspnoéról</w:t>
      </w:r>
      <w:proofErr w:type="spellEnd"/>
      <w:r>
        <w:rPr>
          <w:szCs w:val="22"/>
          <w:lang w:val="hu-HU"/>
        </w:rPr>
        <w:t>, mint nemkívánatos eseményről (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, nyugalmi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, terheléses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paroxysmalis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nocturnalis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nocturnalis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) összesítve a </w:t>
      </w:r>
      <w:proofErr w:type="spellStart"/>
      <w:r>
        <w:rPr>
          <w:szCs w:val="22"/>
          <w:lang w:val="hu-HU"/>
        </w:rPr>
        <w:t>tikagrelorral</w:t>
      </w:r>
      <w:proofErr w:type="spellEnd"/>
      <w:r>
        <w:rPr>
          <w:szCs w:val="22"/>
          <w:lang w:val="hu-HU"/>
        </w:rPr>
        <w:t xml:space="preserve"> kezelt betegek 13,8%-</w:t>
      </w:r>
      <w:proofErr w:type="spellStart"/>
      <w:r>
        <w:rPr>
          <w:szCs w:val="22"/>
          <w:lang w:val="hu-HU"/>
        </w:rPr>
        <w:t>ánál</w:t>
      </w:r>
      <w:proofErr w:type="spellEnd"/>
      <w:r>
        <w:rPr>
          <w:szCs w:val="22"/>
          <w:lang w:val="hu-HU"/>
        </w:rPr>
        <w:t xml:space="preserve"> és a </w:t>
      </w:r>
      <w:proofErr w:type="spellStart"/>
      <w:r>
        <w:rPr>
          <w:szCs w:val="22"/>
          <w:lang w:val="hu-HU"/>
        </w:rPr>
        <w:t>klopidogrellel</w:t>
      </w:r>
      <w:proofErr w:type="spellEnd"/>
      <w:r>
        <w:rPr>
          <w:szCs w:val="22"/>
          <w:lang w:val="hu-HU"/>
        </w:rPr>
        <w:t xml:space="preserve"> kezelt betegek 7,8%-</w:t>
      </w:r>
      <w:proofErr w:type="spellStart"/>
      <w:r>
        <w:rPr>
          <w:szCs w:val="22"/>
          <w:lang w:val="hu-HU"/>
        </w:rPr>
        <w:t>ánál</w:t>
      </w:r>
      <w:proofErr w:type="spellEnd"/>
      <w:r>
        <w:rPr>
          <w:szCs w:val="22"/>
          <w:lang w:val="hu-HU"/>
        </w:rPr>
        <w:t xml:space="preserve"> számoltak be. A PLATO-vizsgálatban a vizsgálatot végzők a </w:t>
      </w:r>
      <w:proofErr w:type="spellStart"/>
      <w:r>
        <w:rPr>
          <w:szCs w:val="22"/>
          <w:lang w:val="hu-HU"/>
        </w:rPr>
        <w:t>tikagrelort</w:t>
      </w:r>
      <w:proofErr w:type="spellEnd"/>
      <w:r>
        <w:rPr>
          <w:szCs w:val="22"/>
          <w:lang w:val="hu-HU"/>
        </w:rPr>
        <w:t xml:space="preserve"> szedő betegek 2,2%-</w:t>
      </w:r>
      <w:proofErr w:type="spellStart"/>
      <w:r>
        <w:rPr>
          <w:szCs w:val="22"/>
          <w:lang w:val="hu-HU"/>
        </w:rPr>
        <w:t>ánál</w:t>
      </w:r>
      <w:proofErr w:type="spellEnd"/>
      <w:r>
        <w:rPr>
          <w:szCs w:val="22"/>
          <w:lang w:val="hu-HU"/>
        </w:rPr>
        <w:t xml:space="preserve">, a </w:t>
      </w:r>
      <w:proofErr w:type="spellStart"/>
      <w:r>
        <w:rPr>
          <w:szCs w:val="22"/>
          <w:lang w:val="hu-HU"/>
        </w:rPr>
        <w:t>klopidogrelt</w:t>
      </w:r>
      <w:proofErr w:type="spellEnd"/>
      <w:r>
        <w:rPr>
          <w:szCs w:val="22"/>
          <w:lang w:val="hu-HU"/>
        </w:rPr>
        <w:t xml:space="preserve"> szedő betegek 0,6%-</w:t>
      </w:r>
      <w:proofErr w:type="spellStart"/>
      <w:r>
        <w:rPr>
          <w:szCs w:val="22"/>
          <w:lang w:val="hu-HU"/>
        </w:rPr>
        <w:t>ánál</w:t>
      </w:r>
      <w:proofErr w:type="spellEnd"/>
      <w:r>
        <w:rPr>
          <w:szCs w:val="22"/>
          <w:lang w:val="hu-HU"/>
        </w:rPr>
        <w:t xml:space="preserve"> gondolták úgy, hogy a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 ok-okozati összefüggésben van a kezeléssel és csak néhány volt súlyos (0,14%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; 0,02% </w:t>
      </w:r>
      <w:proofErr w:type="spellStart"/>
      <w:r>
        <w:rPr>
          <w:szCs w:val="22"/>
          <w:lang w:val="hu-HU"/>
        </w:rPr>
        <w:t>klopidogrel</w:t>
      </w:r>
      <w:proofErr w:type="spellEnd"/>
      <w:r>
        <w:rPr>
          <w:szCs w:val="22"/>
          <w:lang w:val="hu-HU"/>
        </w:rPr>
        <w:t xml:space="preserve">) (lásd 4.4 pont). A legtöbb jelentett </w:t>
      </w:r>
      <w:proofErr w:type="spellStart"/>
      <w:r>
        <w:rPr>
          <w:szCs w:val="22"/>
          <w:lang w:val="hu-HU"/>
        </w:rPr>
        <w:t>dyspnoés</w:t>
      </w:r>
      <w:proofErr w:type="spellEnd"/>
      <w:r>
        <w:rPr>
          <w:szCs w:val="22"/>
          <w:lang w:val="hu-HU"/>
        </w:rPr>
        <w:t xml:space="preserve"> tünet intenzitása enyhe vagy közepesen súlyos volt, és a legtöbbről, mint a kezelés megkezdése után röviddel jelentkező egyetlen epizódról számoltak be.</w:t>
      </w:r>
    </w:p>
    <w:p w14:paraId="17AB0E5A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1852566F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klopidogrelhez</w:t>
      </w:r>
      <w:proofErr w:type="spellEnd"/>
      <w:r>
        <w:rPr>
          <w:szCs w:val="22"/>
          <w:lang w:val="hu-HU"/>
        </w:rPr>
        <w:t xml:space="preserve"> viszonyítva, a </w:t>
      </w:r>
      <w:proofErr w:type="spellStart"/>
      <w:r>
        <w:rPr>
          <w:szCs w:val="22"/>
          <w:lang w:val="hu-HU"/>
        </w:rPr>
        <w:t>tikagrelorral</w:t>
      </w:r>
      <w:proofErr w:type="spellEnd"/>
      <w:r>
        <w:rPr>
          <w:szCs w:val="22"/>
          <w:lang w:val="hu-HU"/>
        </w:rPr>
        <w:t xml:space="preserve"> kezelt </w:t>
      </w:r>
      <w:proofErr w:type="spellStart"/>
      <w:r>
        <w:rPr>
          <w:szCs w:val="22"/>
          <w:lang w:val="hu-HU"/>
        </w:rPr>
        <w:t>asthmás</w:t>
      </w:r>
      <w:proofErr w:type="spellEnd"/>
      <w:r>
        <w:rPr>
          <w:szCs w:val="22"/>
          <w:lang w:val="hu-HU"/>
        </w:rPr>
        <w:t xml:space="preserve">/COPD-s betegeknél magasabb lehet a nem súlyos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 (3,29%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, illetve 0,53% a </w:t>
      </w:r>
      <w:proofErr w:type="spellStart"/>
      <w:r>
        <w:rPr>
          <w:szCs w:val="22"/>
          <w:lang w:val="hu-HU"/>
        </w:rPr>
        <w:t>klopidogrel</w:t>
      </w:r>
      <w:proofErr w:type="spellEnd"/>
      <w:r>
        <w:rPr>
          <w:szCs w:val="22"/>
          <w:lang w:val="hu-HU"/>
        </w:rPr>
        <w:t xml:space="preserve"> esetén) és a súlyos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 (0,38%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, illetve 0,00% a </w:t>
      </w:r>
      <w:proofErr w:type="spellStart"/>
      <w:r>
        <w:rPr>
          <w:szCs w:val="22"/>
          <w:lang w:val="hu-HU"/>
        </w:rPr>
        <w:t>klopidogrel</w:t>
      </w:r>
      <w:proofErr w:type="spellEnd"/>
      <w:r>
        <w:rPr>
          <w:szCs w:val="22"/>
          <w:lang w:val="hu-HU"/>
        </w:rPr>
        <w:t xml:space="preserve"> esetén) kialakulásának a kockázata. Abszolút értelemben ez a kockázat magasabb volt, mint a teljes PLATO populációban. A </w:t>
      </w:r>
      <w:proofErr w:type="spellStart"/>
      <w:r>
        <w:rPr>
          <w:szCs w:val="22"/>
          <w:lang w:val="hu-HU"/>
        </w:rPr>
        <w:t>tikagrelort</w:t>
      </w:r>
      <w:proofErr w:type="spellEnd"/>
      <w:r>
        <w:rPr>
          <w:szCs w:val="22"/>
          <w:lang w:val="hu-HU"/>
        </w:rPr>
        <w:t xml:space="preserve"> az olyan betegeknél, akiknek az anamnézisében </w:t>
      </w:r>
      <w:proofErr w:type="spellStart"/>
      <w:r>
        <w:rPr>
          <w:szCs w:val="22"/>
          <w:lang w:val="hu-HU"/>
        </w:rPr>
        <w:t>asthma</w:t>
      </w:r>
      <w:proofErr w:type="spellEnd"/>
      <w:r>
        <w:rPr>
          <w:szCs w:val="22"/>
          <w:lang w:val="hu-HU"/>
        </w:rPr>
        <w:t xml:space="preserve"> és/vagy COPD szerepel, óvatosan kell alkalmazni (lásd 4.4 pont).</w:t>
      </w:r>
    </w:p>
    <w:p w14:paraId="29CA9B98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5CBFE3B1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Az esetek 30%-a 7 napon belül elmúlt. A PLATO-vizsgálatban olyan betegek is részt vettek, akiknek a vizsgálat megkezdésekor </w:t>
      </w:r>
      <w:proofErr w:type="spellStart"/>
      <w:r>
        <w:rPr>
          <w:szCs w:val="22"/>
          <w:lang w:val="hu-HU"/>
        </w:rPr>
        <w:t>pangásos</w:t>
      </w:r>
      <w:proofErr w:type="spellEnd"/>
      <w:r>
        <w:rPr>
          <w:szCs w:val="22"/>
          <w:lang w:val="hu-HU"/>
        </w:rPr>
        <w:t xml:space="preserve"> szívelégtelenségük, COPD-</w:t>
      </w:r>
      <w:proofErr w:type="spellStart"/>
      <w:r>
        <w:rPr>
          <w:szCs w:val="22"/>
          <w:lang w:val="hu-HU"/>
        </w:rPr>
        <w:t>jük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asthmájuk</w:t>
      </w:r>
      <w:proofErr w:type="spellEnd"/>
      <w:r>
        <w:rPr>
          <w:szCs w:val="22"/>
          <w:lang w:val="hu-HU"/>
        </w:rPr>
        <w:t xml:space="preserve"> volt. Ezek a betegek, valamint az idősek nagyobb valószínűséggel számoltak be </w:t>
      </w:r>
      <w:proofErr w:type="spellStart"/>
      <w:r>
        <w:rPr>
          <w:szCs w:val="22"/>
          <w:lang w:val="hu-HU"/>
        </w:rPr>
        <w:t>dyspnoéról</w:t>
      </w:r>
      <w:proofErr w:type="spellEnd"/>
      <w:r>
        <w:rPr>
          <w:szCs w:val="22"/>
          <w:lang w:val="hu-HU"/>
        </w:rPr>
        <w:t xml:space="preserve">.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esetén a betegek 0,9%-a hagyta abba a vizsgálati hatóanyag szedését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 miatt, szemben a </w:t>
      </w:r>
      <w:proofErr w:type="spellStart"/>
      <w:r>
        <w:rPr>
          <w:szCs w:val="22"/>
          <w:lang w:val="hu-HU"/>
        </w:rPr>
        <w:t>klopidogrelt</w:t>
      </w:r>
      <w:proofErr w:type="spellEnd"/>
      <w:r>
        <w:rPr>
          <w:szCs w:val="22"/>
          <w:lang w:val="hu-HU"/>
        </w:rPr>
        <w:t xml:space="preserve"> szedő betegek 0,1%-</w:t>
      </w:r>
      <w:proofErr w:type="spellStart"/>
      <w:r>
        <w:rPr>
          <w:szCs w:val="22"/>
          <w:lang w:val="hu-HU"/>
        </w:rPr>
        <w:t>ával</w:t>
      </w:r>
      <w:proofErr w:type="spellEnd"/>
      <w:r>
        <w:rPr>
          <w:szCs w:val="22"/>
          <w:lang w:val="hu-HU"/>
        </w:rPr>
        <w:t xml:space="preserve">. A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melletti magasabb előfordulási gyakorisága nem járt új vagy súlyosbodó szív- vagy tüdőbetegséggel (lásd 4.4 pont). A </w:t>
      </w:r>
      <w:proofErr w:type="spellStart"/>
      <w:r>
        <w:rPr>
          <w:szCs w:val="22"/>
          <w:lang w:val="hu-HU"/>
        </w:rPr>
        <w:t>tikagrelor</w:t>
      </w:r>
      <w:proofErr w:type="spellEnd"/>
      <w:r>
        <w:rPr>
          <w:szCs w:val="22"/>
          <w:lang w:val="hu-HU"/>
        </w:rPr>
        <w:t xml:space="preserve"> nincs hatással a légzésfunkciós vizsgálatokra.</w:t>
      </w:r>
    </w:p>
    <w:p w14:paraId="488EF676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2F91DBB1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PEGASUS-vizsgálatban </w:t>
      </w:r>
      <w:proofErr w:type="spellStart"/>
      <w:r>
        <w:rPr>
          <w:szCs w:val="22"/>
          <w:lang w:val="hu-HU"/>
        </w:rPr>
        <w:t>dyspnoéról</w:t>
      </w:r>
      <w:proofErr w:type="spellEnd"/>
      <w:r>
        <w:rPr>
          <w:szCs w:val="22"/>
          <w:lang w:val="hu-HU"/>
        </w:rPr>
        <w:t xml:space="preserve"> a naponta kétszer 60 mg </w:t>
      </w:r>
      <w:proofErr w:type="spellStart"/>
      <w:r>
        <w:rPr>
          <w:szCs w:val="22"/>
          <w:lang w:val="hu-HU"/>
        </w:rPr>
        <w:t>tikagrelort</w:t>
      </w:r>
      <w:proofErr w:type="spellEnd"/>
      <w:r>
        <w:rPr>
          <w:szCs w:val="22"/>
          <w:lang w:val="hu-HU"/>
        </w:rPr>
        <w:t xml:space="preserve"> szedő betegek 14,2%-</w:t>
      </w:r>
      <w:proofErr w:type="spellStart"/>
      <w:r>
        <w:rPr>
          <w:szCs w:val="22"/>
          <w:lang w:val="hu-HU"/>
        </w:rPr>
        <w:t>ánál</w:t>
      </w:r>
      <w:proofErr w:type="spellEnd"/>
      <w:r>
        <w:rPr>
          <w:szCs w:val="22"/>
          <w:lang w:val="hu-HU"/>
        </w:rPr>
        <w:t xml:space="preserve"> és az </w:t>
      </w:r>
      <w:proofErr w:type="spellStart"/>
      <w:r>
        <w:rPr>
          <w:szCs w:val="22"/>
          <w:lang w:val="hu-HU"/>
        </w:rPr>
        <w:t>acetilszalicilsav-monoterápiát</w:t>
      </w:r>
      <w:proofErr w:type="spellEnd"/>
      <w:r>
        <w:rPr>
          <w:szCs w:val="22"/>
          <w:lang w:val="hu-HU"/>
        </w:rPr>
        <w:t xml:space="preserve"> kapó betegek 5,5%-</w:t>
      </w:r>
      <w:proofErr w:type="spellStart"/>
      <w:r>
        <w:rPr>
          <w:szCs w:val="22"/>
          <w:lang w:val="hu-HU"/>
        </w:rPr>
        <w:t>ánál</w:t>
      </w:r>
      <w:proofErr w:type="spellEnd"/>
      <w:r>
        <w:rPr>
          <w:szCs w:val="22"/>
          <w:lang w:val="hu-HU"/>
        </w:rPr>
        <w:t xml:space="preserve"> számoltak be. A PLATO-vizsgálathoz hasonlóan a legtöbb </w:t>
      </w:r>
      <w:proofErr w:type="spellStart"/>
      <w:r>
        <w:rPr>
          <w:szCs w:val="22"/>
          <w:lang w:val="hu-HU"/>
        </w:rPr>
        <w:t>dyspnoe</w:t>
      </w:r>
      <w:proofErr w:type="spellEnd"/>
      <w:r>
        <w:rPr>
          <w:szCs w:val="22"/>
          <w:lang w:val="hu-HU"/>
        </w:rPr>
        <w:t xml:space="preserve"> intenzitása enyhe - közepesen súlyos volt (lásd 4.4 pont). A </w:t>
      </w:r>
      <w:proofErr w:type="spellStart"/>
      <w:r>
        <w:rPr>
          <w:szCs w:val="22"/>
          <w:lang w:val="hu-HU"/>
        </w:rPr>
        <w:t>dyspnoét</w:t>
      </w:r>
      <w:proofErr w:type="spellEnd"/>
      <w:r>
        <w:rPr>
          <w:szCs w:val="22"/>
          <w:lang w:val="hu-HU"/>
        </w:rPr>
        <w:t xml:space="preserve"> jelentett betegek tendenciózusan idősebbek voltak, és a vizsgálat megkezdésekor gyakrabban volt </w:t>
      </w:r>
      <w:proofErr w:type="spellStart"/>
      <w:r>
        <w:rPr>
          <w:szCs w:val="22"/>
          <w:lang w:val="hu-HU"/>
        </w:rPr>
        <w:t>dyspnoéjuk</w:t>
      </w:r>
      <w:proofErr w:type="spellEnd"/>
      <w:r>
        <w:rPr>
          <w:szCs w:val="22"/>
          <w:lang w:val="hu-HU"/>
        </w:rPr>
        <w:t>, COPD-</w:t>
      </w:r>
      <w:proofErr w:type="spellStart"/>
      <w:r>
        <w:rPr>
          <w:szCs w:val="22"/>
          <w:lang w:val="hu-HU"/>
        </w:rPr>
        <w:t>jük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asthmájuk</w:t>
      </w:r>
      <w:proofErr w:type="spellEnd"/>
      <w:r>
        <w:rPr>
          <w:szCs w:val="22"/>
          <w:lang w:val="hu-HU"/>
        </w:rPr>
        <w:t>.</w:t>
      </w:r>
    </w:p>
    <w:p w14:paraId="09A5F271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3E52840F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Laboratóriumi és egyéb vizsgálatok </w:t>
      </w:r>
      <w:r>
        <w:rPr>
          <w:rFonts w:eastAsia="Times New Roman"/>
          <w:i/>
          <w:iCs/>
          <w:snapToGrid/>
          <w:spacing w:val="-2"/>
          <w:szCs w:val="22"/>
          <w:u w:val="single"/>
          <w:lang w:val="hu-HU" w:eastAsia="hu-HU"/>
        </w:rPr>
        <w:t>eredményei</w:t>
      </w:r>
    </w:p>
    <w:p w14:paraId="7EA1175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 xml:space="preserve">Húgysavszint emelkedés: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PLATO-vizsgálatban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szérum </w:t>
      </w:r>
      <w:r>
        <w:rPr>
          <w:rFonts w:eastAsia="Times New Roman"/>
          <w:snapToGrid/>
          <w:spacing w:val="-2"/>
          <w:szCs w:val="22"/>
          <w:lang w:val="hu-HU" w:eastAsia="hu-HU"/>
        </w:rPr>
        <w:t>húgysavszint</w:t>
      </w:r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kapó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betegek</w:t>
      </w:r>
      <w:r>
        <w:rPr>
          <w:rFonts w:eastAsia="Times New Roman"/>
          <w:snapToGrid/>
          <w:spacing w:val="6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22%-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ánál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emelkedett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normálérték felső határa fölé, szemben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kapó betegek </w:t>
      </w:r>
      <w:r>
        <w:rPr>
          <w:rFonts w:eastAsia="Times New Roman"/>
          <w:snapToGrid/>
          <w:spacing w:val="-2"/>
          <w:szCs w:val="22"/>
          <w:lang w:val="hu-HU" w:eastAsia="hu-HU"/>
        </w:rPr>
        <w:t>13%-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ával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>.</w:t>
      </w:r>
      <w:r>
        <w:rPr>
          <w:rFonts w:eastAsia="Times New Roman"/>
          <w:snapToGrid/>
          <w:spacing w:val="3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PEGASUS-vizsgálatban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megfelelő számok sorrendben 9,1%, 8,8% és 5,5% voltak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90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7"/>
          <w:szCs w:val="22"/>
          <w:lang w:val="hu-HU" w:eastAsia="hu-HU"/>
        </w:rPr>
        <w:t>mg</w:t>
      </w:r>
      <w:r>
        <w:rPr>
          <w:rFonts w:eastAsia="Times New Roman"/>
          <w:snapToGrid/>
          <w:spacing w:val="16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,</w:t>
      </w:r>
      <w:r>
        <w:rPr>
          <w:rFonts w:eastAsia="Times New Roman"/>
          <w:snapToGrid/>
          <w:szCs w:val="22"/>
          <w:lang w:val="hu-HU" w:eastAsia="hu-HU"/>
        </w:rPr>
        <w:t xml:space="preserve"> a </w:t>
      </w:r>
      <w:r>
        <w:rPr>
          <w:rFonts w:eastAsia="Times New Roman"/>
          <w:snapToGrid/>
          <w:spacing w:val="-1"/>
          <w:szCs w:val="22"/>
          <w:lang w:val="hu-HU" w:eastAsia="hu-HU"/>
        </w:rPr>
        <w:t>60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2"/>
          <w:szCs w:val="22"/>
          <w:lang w:val="hu-HU" w:eastAsia="hu-HU"/>
        </w:rPr>
        <w:t>mg</w:t>
      </w:r>
      <w:r>
        <w:rPr>
          <w:rFonts w:eastAsia="Times New Roman"/>
          <w:snapToGrid/>
          <w:spacing w:val="-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placebo esetén.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Az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átlagos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szérum </w:t>
      </w:r>
      <w:r>
        <w:rPr>
          <w:rFonts w:eastAsia="Times New Roman"/>
          <w:snapToGrid/>
          <w:spacing w:val="-2"/>
          <w:szCs w:val="22"/>
          <w:lang w:val="hu-HU" w:eastAsia="hu-HU"/>
        </w:rPr>
        <w:t>húgysavszint</w:t>
      </w:r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pacing w:val="4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kapóknál mintegy 15%-kal,</w:t>
      </w:r>
      <w:r>
        <w:rPr>
          <w:rFonts w:eastAsia="Times New Roman"/>
          <w:snapToGrid/>
          <w:szCs w:val="22"/>
          <w:lang w:val="hu-HU" w:eastAsia="hu-HU"/>
        </w:rPr>
        <w:t xml:space="preserve"> míg 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klopidogrelt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kapóknál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mintegy </w:t>
      </w:r>
      <w:r>
        <w:rPr>
          <w:rFonts w:eastAsia="Times New Roman"/>
          <w:snapToGrid/>
          <w:spacing w:val="-2"/>
          <w:szCs w:val="22"/>
          <w:lang w:val="hu-HU" w:eastAsia="hu-HU"/>
        </w:rPr>
        <w:t>7,5%-kal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emelkedett,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kezelés</w:t>
      </w:r>
      <w:r>
        <w:rPr>
          <w:rFonts w:eastAsia="Times New Roman"/>
          <w:snapToGrid/>
          <w:spacing w:val="3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leállítását követően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kapóknál mintegy </w:t>
      </w:r>
      <w:r>
        <w:rPr>
          <w:rFonts w:eastAsia="Times New Roman"/>
          <w:snapToGrid/>
          <w:spacing w:val="-2"/>
          <w:szCs w:val="22"/>
          <w:lang w:val="hu-HU" w:eastAsia="hu-HU"/>
        </w:rPr>
        <w:t>7%-kal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csökkent, de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klopidogrelt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kapóknál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nem</w:t>
      </w:r>
      <w:r>
        <w:rPr>
          <w:rFonts w:eastAsia="Times New Roman"/>
          <w:snapToGrid/>
          <w:spacing w:val="4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lastRenderedPageBreak/>
        <w:t>észleltek csökkenést.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PEGASUS-vizsgálatban az átlagos szérum húgysavszint </w:t>
      </w:r>
      <w:r>
        <w:rPr>
          <w:rFonts w:eastAsia="Times New Roman"/>
          <w:snapToGrid/>
          <w:spacing w:val="-2"/>
          <w:szCs w:val="22"/>
          <w:lang w:val="hu-HU" w:eastAsia="hu-HU"/>
        </w:rPr>
        <w:t>reverzibilis</w:t>
      </w:r>
      <w:r>
        <w:rPr>
          <w:rFonts w:eastAsia="Times New Roman"/>
          <w:snapToGrid/>
          <w:spacing w:val="4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emelkedése sorrendben 6,3% és 5,6% volt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90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2"/>
          <w:szCs w:val="22"/>
          <w:lang w:val="hu-HU" w:eastAsia="hu-HU"/>
        </w:rPr>
        <w:t>mg</w:t>
      </w:r>
      <w:r>
        <w:rPr>
          <w:rFonts w:eastAsia="Times New Roman"/>
          <w:snapToGrid/>
          <w:spacing w:val="-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60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2"/>
          <w:szCs w:val="22"/>
          <w:lang w:val="hu-HU" w:eastAsia="hu-HU"/>
        </w:rPr>
        <w:t>mg</w:t>
      </w:r>
      <w:r>
        <w:rPr>
          <w:rFonts w:eastAsia="Times New Roman"/>
          <w:snapToGrid/>
          <w:spacing w:val="-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esetén, szemben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49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placebocsoportban</w:t>
      </w:r>
      <w:r>
        <w:rPr>
          <w:rFonts w:eastAsia="Times New Roman"/>
          <w:snapToGrid/>
          <w:szCs w:val="22"/>
          <w:lang w:val="hu-HU" w:eastAsia="hu-HU"/>
        </w:rPr>
        <w:t xml:space="preserve"> észlelt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1,5%-os csökkenéssel.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PLATO-vizsgálatban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köszvényes ízületi</w:t>
      </w:r>
      <w:r>
        <w:rPr>
          <w:rFonts w:eastAsia="Times New Roman"/>
          <w:snapToGrid/>
          <w:spacing w:val="6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gyulladás gyakorisága 0,2% volt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</w:t>
      </w:r>
      <w:r>
        <w:rPr>
          <w:rFonts w:eastAsia="Times New Roman"/>
          <w:snapToGrid/>
          <w:spacing w:val="-2"/>
          <w:szCs w:val="22"/>
          <w:lang w:val="hu-HU" w:eastAsia="hu-HU"/>
        </w:rPr>
        <w:t>illetve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0,1% volt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esetén. </w:t>
      </w:r>
      <w:r>
        <w:rPr>
          <w:rFonts w:eastAsia="Times New Roman"/>
          <w:snapToGrid/>
          <w:szCs w:val="22"/>
          <w:lang w:val="hu-HU" w:eastAsia="hu-HU"/>
        </w:rPr>
        <w:t xml:space="preserve">A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PEGASUS-vizsgálatban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köszvényre/köszvényes ízületi gyulladásra vonatkozó </w:t>
      </w:r>
      <w:r>
        <w:rPr>
          <w:rFonts w:eastAsia="Times New Roman"/>
          <w:snapToGrid/>
          <w:spacing w:val="-2"/>
          <w:szCs w:val="22"/>
          <w:lang w:val="hu-HU" w:eastAsia="hu-HU"/>
        </w:rPr>
        <w:t>megfelelő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számok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sorrendben 1,6%, 1,5% és 1,1% voltak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90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mg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60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mg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placebo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esetén.</w:t>
      </w:r>
    </w:p>
    <w:p w14:paraId="0508D03B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3E290B53" w14:textId="77777777" w:rsidR="00284377" w:rsidRDefault="00D321AB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Feltételezett mellékhatások bejelentése</w:t>
      </w:r>
    </w:p>
    <w:p w14:paraId="47A44937" w14:textId="5F3DA946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>
        <w:rPr>
          <w:szCs w:val="22"/>
          <w:highlight w:val="lightGray"/>
          <w:lang w:val="hu-HU"/>
        </w:rPr>
        <w:t xml:space="preserve"> található elérhetőségek valamelyikén keresztül</w:t>
      </w:r>
      <w:r>
        <w:rPr>
          <w:color w:val="008000"/>
          <w:szCs w:val="22"/>
          <w:lang w:val="hu-HU"/>
        </w:rPr>
        <w:t>.</w:t>
      </w:r>
    </w:p>
    <w:p w14:paraId="0499A990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160A9FFA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30A8092C" w14:textId="77777777" w:rsidR="00284377" w:rsidRPr="005B1D39" w:rsidRDefault="00284377">
      <w:pPr>
        <w:pStyle w:val="Default"/>
        <w:rPr>
          <w:bCs/>
          <w:snapToGrid w:val="0"/>
          <w:color w:val="auto"/>
          <w:sz w:val="22"/>
          <w:szCs w:val="22"/>
          <w:lang w:eastAsia="zh-CN"/>
        </w:rPr>
      </w:pPr>
    </w:p>
    <w:p w14:paraId="39749E2C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egyszeri, legfeljebb 900 mg-os dózisig jól tolerálható. Egy egyszeri, emelkedő dózisokkal végzett vizsgálatban a </w:t>
      </w:r>
      <w:proofErr w:type="spellStart"/>
      <w:r>
        <w:rPr>
          <w:sz w:val="22"/>
          <w:szCs w:val="22"/>
        </w:rPr>
        <w:t>gastrointestinális</w:t>
      </w:r>
      <w:proofErr w:type="spellEnd"/>
      <w:r>
        <w:rPr>
          <w:sz w:val="22"/>
          <w:szCs w:val="22"/>
        </w:rPr>
        <w:t xml:space="preserve"> toxicitás volt a dóziskorlátozó tényező. A túladagolást esetleg kísérő egyéb, klinikailag jelentős mellékhatások közé tartozik a </w:t>
      </w:r>
      <w:proofErr w:type="spellStart"/>
      <w:r>
        <w:rPr>
          <w:sz w:val="22"/>
          <w:szCs w:val="22"/>
        </w:rPr>
        <w:t>dyspnoe</w:t>
      </w:r>
      <w:proofErr w:type="spellEnd"/>
      <w:r>
        <w:rPr>
          <w:sz w:val="22"/>
          <w:szCs w:val="22"/>
        </w:rPr>
        <w:t xml:space="preserve"> és a </w:t>
      </w:r>
      <w:proofErr w:type="spellStart"/>
      <w:r>
        <w:rPr>
          <w:sz w:val="22"/>
          <w:szCs w:val="22"/>
        </w:rPr>
        <w:t>ventricularis</w:t>
      </w:r>
      <w:proofErr w:type="spellEnd"/>
      <w:r>
        <w:rPr>
          <w:sz w:val="22"/>
          <w:szCs w:val="22"/>
        </w:rPr>
        <w:t xml:space="preserve"> pauza (lásd 4.8</w:t>
      </w:r>
      <w:r>
        <w:t> </w:t>
      </w:r>
      <w:r>
        <w:rPr>
          <w:sz w:val="22"/>
          <w:szCs w:val="22"/>
        </w:rPr>
        <w:t>pont).</w:t>
      </w:r>
    </w:p>
    <w:p w14:paraId="49E4D8DF" w14:textId="77777777" w:rsidR="00284377" w:rsidRDefault="00284377">
      <w:pPr>
        <w:pStyle w:val="Default"/>
        <w:rPr>
          <w:sz w:val="22"/>
          <w:szCs w:val="22"/>
        </w:rPr>
      </w:pPr>
    </w:p>
    <w:p w14:paraId="6B60C983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Túladagolás esetén a fenti potenciális mellékhatások jelentkezhetnek, és mérlegelni kell az EKG monitorozását.</w:t>
      </w:r>
    </w:p>
    <w:p w14:paraId="7B1F9302" w14:textId="7F954A1E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Jelenleg nem ismert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hatását visszafordító </w:t>
      </w:r>
      <w:proofErr w:type="spellStart"/>
      <w:r>
        <w:rPr>
          <w:sz w:val="22"/>
          <w:szCs w:val="22"/>
        </w:rPr>
        <w:t>antidotum</w:t>
      </w:r>
      <w:proofErr w:type="spellEnd"/>
      <w:r>
        <w:rPr>
          <w:sz w:val="22"/>
          <w:szCs w:val="22"/>
        </w:rPr>
        <w:t xml:space="preserve">, és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nem </w:t>
      </w:r>
      <w:proofErr w:type="spellStart"/>
      <w:r>
        <w:rPr>
          <w:sz w:val="22"/>
          <w:szCs w:val="22"/>
        </w:rPr>
        <w:t>dializálható</w:t>
      </w:r>
      <w:proofErr w:type="spellEnd"/>
      <w:r>
        <w:rPr>
          <w:sz w:val="22"/>
          <w:szCs w:val="22"/>
        </w:rPr>
        <w:t xml:space="preserve"> (lásd 5.2 pont). A túladagolás kezelésének a helyi standard orvosi gyakorlatot kell követnie.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túladagolás várható hatása a </w:t>
      </w:r>
      <w:proofErr w:type="spellStart"/>
      <w:r>
        <w:rPr>
          <w:sz w:val="22"/>
          <w:szCs w:val="22"/>
        </w:rPr>
        <w:t>thrombocyta</w:t>
      </w:r>
      <w:r w:rsidR="009C2D29">
        <w:rPr>
          <w:sz w:val="22"/>
          <w:szCs w:val="22"/>
        </w:rPr>
        <w:t>aggregáció</w:t>
      </w:r>
      <w:proofErr w:type="spellEnd"/>
      <w:r>
        <w:rPr>
          <w:sz w:val="22"/>
          <w:szCs w:val="22"/>
        </w:rPr>
        <w:t xml:space="preserve">-gátlásból eredő, elhúzódó vérzési kockázat. Nem valószínű, hogy a </w:t>
      </w:r>
      <w:proofErr w:type="spellStart"/>
      <w:r>
        <w:rPr>
          <w:sz w:val="22"/>
          <w:szCs w:val="22"/>
        </w:rPr>
        <w:t>thrombocyta</w:t>
      </w:r>
      <w:proofErr w:type="spellEnd"/>
      <w:r>
        <w:rPr>
          <w:sz w:val="22"/>
          <w:szCs w:val="22"/>
        </w:rPr>
        <w:t>-transzfúzió klinikai előnnyel jár az olyan betegeknél, akiknél vérzés áll fenn (lásd 4.4 pont). Vérzés kialakulása esetén egyéb megfelelő szupportív intézkedéseket kell tenni.</w:t>
      </w:r>
    </w:p>
    <w:p w14:paraId="0557ADA4" w14:textId="77777777" w:rsidR="00284377" w:rsidRDefault="00284377">
      <w:pPr>
        <w:pStyle w:val="Default"/>
        <w:rPr>
          <w:sz w:val="22"/>
          <w:szCs w:val="22"/>
        </w:rPr>
      </w:pPr>
    </w:p>
    <w:p w14:paraId="0FAD0E13" w14:textId="77777777" w:rsidR="00284377" w:rsidRDefault="00284377">
      <w:pPr>
        <w:pStyle w:val="Default"/>
        <w:rPr>
          <w:sz w:val="22"/>
          <w:szCs w:val="22"/>
        </w:rPr>
      </w:pPr>
    </w:p>
    <w:p w14:paraId="7D01A9CB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43DBC81B" w14:textId="77777777" w:rsidR="00284377" w:rsidRPr="005B1D39" w:rsidRDefault="00284377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61989B48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368A1371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189A4F" w14:textId="77777777" w:rsidR="00284377" w:rsidRDefault="00D321AB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Farmakoterápiás</w:t>
      </w:r>
      <w:proofErr w:type="spellEnd"/>
      <w:r>
        <w:rPr>
          <w:sz w:val="22"/>
          <w:szCs w:val="22"/>
        </w:rPr>
        <w:t xml:space="preserve"> csoport: </w:t>
      </w:r>
      <w:proofErr w:type="spellStart"/>
      <w:r>
        <w:rPr>
          <w:sz w:val="22"/>
          <w:szCs w:val="22"/>
        </w:rPr>
        <w:t>Thrombocyta-aggregáció</w:t>
      </w:r>
      <w:proofErr w:type="spellEnd"/>
      <w:r>
        <w:rPr>
          <w:sz w:val="22"/>
          <w:szCs w:val="22"/>
        </w:rPr>
        <w:t xml:space="preserve"> gátlók, kivéve </w:t>
      </w:r>
      <w:proofErr w:type="spellStart"/>
      <w:r>
        <w:rPr>
          <w:sz w:val="22"/>
          <w:szCs w:val="22"/>
        </w:rPr>
        <w:t>heparin</w:t>
      </w:r>
      <w:proofErr w:type="spellEnd"/>
      <w:r>
        <w:rPr>
          <w:sz w:val="22"/>
          <w:szCs w:val="22"/>
        </w:rPr>
        <w:t>, ATC kód: B01AC24</w:t>
      </w:r>
    </w:p>
    <w:p w14:paraId="4CE4B4BF" w14:textId="77777777" w:rsidR="00284377" w:rsidRDefault="00284377">
      <w:pPr>
        <w:pStyle w:val="Default"/>
        <w:rPr>
          <w:sz w:val="22"/>
          <w:szCs w:val="22"/>
        </w:rPr>
      </w:pPr>
    </w:p>
    <w:p w14:paraId="7CF6DA60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  <w:u w:val="single"/>
        </w:rPr>
        <w:t>Hatásmechanizmus</w:t>
      </w:r>
    </w:p>
    <w:p w14:paraId="252490A9" w14:textId="77777777" w:rsidR="00284377" w:rsidRDefault="00D321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Ticagrelor</w:t>
      </w:r>
      <w:proofErr w:type="spellEnd"/>
      <w:r>
        <w:rPr>
          <w:sz w:val="22"/>
          <w:szCs w:val="22"/>
        </w:rPr>
        <w:t xml:space="preserve"> HCS-BV </w:t>
      </w:r>
      <w:proofErr w:type="spellStart"/>
      <w:r>
        <w:rPr>
          <w:sz w:val="22"/>
          <w:szCs w:val="22"/>
        </w:rPr>
        <w:t>tikagrelort</w:t>
      </w:r>
      <w:proofErr w:type="spellEnd"/>
      <w:r>
        <w:rPr>
          <w:sz w:val="22"/>
          <w:szCs w:val="22"/>
        </w:rPr>
        <w:t xml:space="preserve"> tartalmaz, amely a </w:t>
      </w:r>
      <w:proofErr w:type="spellStart"/>
      <w:r>
        <w:rPr>
          <w:sz w:val="22"/>
          <w:szCs w:val="22"/>
        </w:rPr>
        <w:t>ciklopentil-triazol-pirimidinek</w:t>
      </w:r>
      <w:proofErr w:type="spellEnd"/>
      <w:r>
        <w:rPr>
          <w:sz w:val="22"/>
          <w:szCs w:val="22"/>
        </w:rPr>
        <w:t xml:space="preserve"> (CPTP) kémiai osztályának tagja, és egy orális, közvetlen hatású, szelektív és reverzibilisen kötődő P2Y</w:t>
      </w:r>
      <w:r>
        <w:rPr>
          <w:sz w:val="22"/>
          <w:szCs w:val="22"/>
          <w:vertAlign w:val="subscript"/>
        </w:rPr>
        <w:t>12</w:t>
      </w:r>
      <w:r>
        <w:rPr>
          <w:sz w:val="22"/>
          <w:szCs w:val="22"/>
        </w:rPr>
        <w:t xml:space="preserve">-receptor-antagonista, amely megakadályozza az ADP-által </w:t>
      </w:r>
      <w:proofErr w:type="spellStart"/>
      <w:r>
        <w:rPr>
          <w:sz w:val="22"/>
          <w:szCs w:val="22"/>
        </w:rPr>
        <w:t>mediált</w:t>
      </w:r>
      <w:proofErr w:type="spellEnd"/>
      <w:r>
        <w:rPr>
          <w:sz w:val="22"/>
          <w:szCs w:val="22"/>
        </w:rPr>
        <w:t xml:space="preserve"> P2Y</w:t>
      </w:r>
      <w:r>
        <w:rPr>
          <w:sz w:val="22"/>
          <w:szCs w:val="22"/>
          <w:vertAlign w:val="subscript"/>
        </w:rPr>
        <w:t>12</w:t>
      </w:r>
      <w:r>
        <w:rPr>
          <w:sz w:val="22"/>
          <w:szCs w:val="22"/>
        </w:rPr>
        <w:t xml:space="preserve">-dependens </w:t>
      </w:r>
      <w:proofErr w:type="spellStart"/>
      <w:r>
        <w:rPr>
          <w:sz w:val="22"/>
          <w:szCs w:val="22"/>
        </w:rPr>
        <w:t>thrombocyta</w:t>
      </w:r>
      <w:proofErr w:type="spellEnd"/>
      <w:r>
        <w:rPr>
          <w:sz w:val="22"/>
          <w:szCs w:val="22"/>
        </w:rPr>
        <w:t xml:space="preserve">-aktivációt és- </w:t>
      </w:r>
      <w:proofErr w:type="spellStart"/>
      <w:r>
        <w:rPr>
          <w:sz w:val="22"/>
          <w:szCs w:val="22"/>
        </w:rPr>
        <w:t>aggregációt</w:t>
      </w:r>
      <w:proofErr w:type="spellEnd"/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tikagrelor</w:t>
      </w:r>
      <w:proofErr w:type="spellEnd"/>
      <w:r>
        <w:rPr>
          <w:sz w:val="22"/>
          <w:szCs w:val="22"/>
        </w:rPr>
        <w:t xml:space="preserve"> nem akadályozza meg az ADP kötődését, viszont a P2Y</w:t>
      </w:r>
      <w:r>
        <w:rPr>
          <w:sz w:val="22"/>
          <w:szCs w:val="22"/>
          <w:vertAlign w:val="subscript"/>
        </w:rPr>
        <w:t>12</w:t>
      </w:r>
      <w:r>
        <w:rPr>
          <w:sz w:val="22"/>
          <w:szCs w:val="22"/>
        </w:rPr>
        <w:t>-receptorhoz kötődve megakadályozza az ADP-indukálta szignál-</w:t>
      </w:r>
      <w:proofErr w:type="spellStart"/>
      <w:r>
        <w:rPr>
          <w:sz w:val="22"/>
          <w:szCs w:val="22"/>
        </w:rPr>
        <w:t>transzdukciót</w:t>
      </w:r>
      <w:proofErr w:type="spellEnd"/>
      <w:r>
        <w:rPr>
          <w:sz w:val="22"/>
          <w:szCs w:val="22"/>
        </w:rPr>
        <w:t xml:space="preserve">. Mivel a </w:t>
      </w:r>
      <w:proofErr w:type="spellStart"/>
      <w:r>
        <w:rPr>
          <w:sz w:val="22"/>
          <w:szCs w:val="22"/>
        </w:rPr>
        <w:t>thrombocyták</w:t>
      </w:r>
      <w:proofErr w:type="spellEnd"/>
      <w:r>
        <w:rPr>
          <w:sz w:val="22"/>
          <w:szCs w:val="22"/>
        </w:rPr>
        <w:t xml:space="preserve"> részt vesznek az </w:t>
      </w:r>
      <w:proofErr w:type="spellStart"/>
      <w:r>
        <w:rPr>
          <w:sz w:val="22"/>
          <w:szCs w:val="22"/>
        </w:rPr>
        <w:t>atheroscleroticus</w:t>
      </w:r>
      <w:proofErr w:type="spellEnd"/>
      <w:r>
        <w:rPr>
          <w:sz w:val="22"/>
          <w:szCs w:val="22"/>
        </w:rPr>
        <w:t xml:space="preserve"> betegség </w:t>
      </w:r>
      <w:proofErr w:type="spellStart"/>
      <w:r>
        <w:rPr>
          <w:sz w:val="22"/>
          <w:szCs w:val="22"/>
        </w:rPr>
        <w:t>thromboticus</w:t>
      </w:r>
      <w:proofErr w:type="spellEnd"/>
      <w:r>
        <w:rPr>
          <w:sz w:val="22"/>
          <w:szCs w:val="22"/>
        </w:rPr>
        <w:t xml:space="preserve"> szövődményeinek kialakulásában és/vagy kifejlődésében, a </w:t>
      </w:r>
      <w:proofErr w:type="spellStart"/>
      <w:r>
        <w:rPr>
          <w:sz w:val="22"/>
          <w:szCs w:val="22"/>
        </w:rPr>
        <w:t>thrombocyta</w:t>
      </w:r>
      <w:proofErr w:type="spellEnd"/>
      <w:r>
        <w:rPr>
          <w:sz w:val="22"/>
          <w:szCs w:val="22"/>
        </w:rPr>
        <w:t xml:space="preserve">-funkció gátlása kimutathatóan csökkenti a </w:t>
      </w:r>
      <w:proofErr w:type="spellStart"/>
      <w:r>
        <w:rPr>
          <w:sz w:val="22"/>
          <w:szCs w:val="22"/>
        </w:rPr>
        <w:t>cardiovascularis</w:t>
      </w:r>
      <w:proofErr w:type="spellEnd"/>
      <w:r>
        <w:rPr>
          <w:sz w:val="22"/>
          <w:szCs w:val="22"/>
        </w:rPr>
        <w:t xml:space="preserve"> események – így például a halál, a </w:t>
      </w:r>
      <w:proofErr w:type="spellStart"/>
      <w:r>
        <w:rPr>
          <w:sz w:val="22"/>
          <w:szCs w:val="22"/>
        </w:rPr>
        <w:t>myocardialis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infarctus</w:t>
      </w:r>
      <w:proofErr w:type="spellEnd"/>
      <w:r>
        <w:rPr>
          <w:sz w:val="22"/>
          <w:szCs w:val="22"/>
        </w:rPr>
        <w:t xml:space="preserve"> vagy a stroke – kockázatát.</w:t>
      </w:r>
    </w:p>
    <w:p w14:paraId="06CE5992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45" w:line="240" w:lineRule="auto"/>
        <w:rPr>
          <w:rFonts w:eastAsia="Times New Roman"/>
          <w:snapToGrid/>
          <w:szCs w:val="22"/>
          <w:lang w:val="hu-HU" w:eastAsia="hu-HU"/>
        </w:rPr>
      </w:pPr>
    </w:p>
    <w:p w14:paraId="354EF607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45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ekvilibratív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nukleozid-transzporter-1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(ENT-1)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gátlásával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lokális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endogén</w:t>
      </w:r>
      <w:r>
        <w:rPr>
          <w:rFonts w:eastAsia="Times New Roman"/>
          <w:snapToGrid/>
          <w:spacing w:val="70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adenozin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-szinteket szintén növeli.</w:t>
      </w:r>
    </w:p>
    <w:p w14:paraId="31414907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1" w:line="240" w:lineRule="auto"/>
        <w:rPr>
          <w:rFonts w:eastAsia="Times New Roman"/>
          <w:snapToGrid/>
          <w:szCs w:val="22"/>
          <w:lang w:val="hu-HU" w:eastAsia="hu-HU"/>
        </w:rPr>
      </w:pPr>
    </w:p>
    <w:p w14:paraId="309B6D42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egészséges vizsgálati alanyoknál és akut coronaria szindrómás betegeknél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dokumentáltan növeli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következő,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adenozin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-indukálta hatásokat: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vasodilatatio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(a koszorúerekben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észlelt véráramlás-növekedések segítségével mérve egészséges önkénteseknél és akut coronaria</w:t>
      </w:r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szindrómás betegeknél; fejfájás),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thrombocyta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-funkció gátlása (emberi teljes vérben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i/>
          <w:iCs/>
          <w:snapToGrid/>
          <w:szCs w:val="22"/>
          <w:lang w:val="hu-HU" w:eastAsia="hu-HU"/>
        </w:rPr>
        <w:t>in</w:t>
      </w:r>
      <w:r>
        <w:rPr>
          <w:rFonts w:eastAsia="Times New Roman"/>
          <w:i/>
          <w:iCs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i/>
          <w:iCs/>
          <w:snapToGrid/>
          <w:spacing w:val="-1"/>
          <w:szCs w:val="22"/>
          <w:lang w:val="hu-HU" w:eastAsia="hu-HU"/>
        </w:rPr>
        <w:t>vitro</w:t>
      </w:r>
      <w:r>
        <w:rPr>
          <w:rFonts w:eastAsia="Times New Roman"/>
          <w:snapToGrid/>
          <w:spacing w:val="-1"/>
          <w:szCs w:val="22"/>
          <w:lang w:val="hu-HU" w:eastAsia="hu-HU"/>
        </w:rPr>
        <w:t>),</w:t>
      </w:r>
      <w:r>
        <w:rPr>
          <w:rFonts w:eastAsia="Times New Roman"/>
          <w:snapToGrid/>
          <w:spacing w:val="2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valamint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dyspnoe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. Azonban,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megfigyelt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adenozinszint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-emelkedések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klinikai </w:t>
      </w:r>
      <w:r>
        <w:rPr>
          <w:rFonts w:eastAsia="Times New Roman"/>
          <w:snapToGrid/>
          <w:spacing w:val="-2"/>
          <w:szCs w:val="22"/>
          <w:lang w:val="hu-HU" w:eastAsia="hu-HU"/>
        </w:rPr>
        <w:t>kimenetel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közötti</w:t>
      </w:r>
      <w:r>
        <w:rPr>
          <w:rFonts w:eastAsia="Times New Roman"/>
          <w:snapToGrid/>
          <w:spacing w:val="3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kapcsolat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(például: morbiditás és mortalitás) nem teljesen tisztázott.</w:t>
      </w:r>
    </w:p>
    <w:p w14:paraId="55BB3D0A" w14:textId="77777777" w:rsidR="00284377" w:rsidRDefault="00284377">
      <w:pPr>
        <w:pStyle w:val="Default"/>
        <w:rPr>
          <w:sz w:val="22"/>
          <w:szCs w:val="22"/>
          <w:u w:val="single"/>
        </w:rPr>
      </w:pPr>
    </w:p>
    <w:p w14:paraId="0B218E17" w14:textId="77777777" w:rsidR="00284377" w:rsidRDefault="00D321AB">
      <w:pPr>
        <w:pStyle w:val="Default"/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Farmakodinámiás</w:t>
      </w:r>
      <w:proofErr w:type="spellEnd"/>
      <w:r>
        <w:rPr>
          <w:sz w:val="22"/>
          <w:szCs w:val="22"/>
          <w:u w:val="single"/>
        </w:rPr>
        <w:t xml:space="preserve"> hatások</w:t>
      </w:r>
    </w:p>
    <w:p w14:paraId="2154B996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6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zCs w:val="22"/>
          <w:u w:val="single"/>
          <w:lang w:val="hu-HU" w:eastAsia="hu-HU"/>
        </w:rPr>
        <w:lastRenderedPageBreak/>
        <w:t>A</w:t>
      </w: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 hatás kialakulása</w:t>
      </w:r>
    </w:p>
    <w:p w14:paraId="4A606FEE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6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 xml:space="preserve">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acetilszalicilsavat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kapó, stabil koszorúér-betegségben szenvedő betegeknél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29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farmakológiai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hatása gyorsan kialakul, amit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180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2"/>
          <w:szCs w:val="22"/>
          <w:lang w:val="hu-HU" w:eastAsia="hu-HU"/>
        </w:rPr>
        <w:t>mg-os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telítő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dózis után 0,5</w:t>
      </w:r>
      <w:r>
        <w:rPr>
          <w:rFonts w:eastAsia="Times New Roman"/>
          <w:snapToGrid/>
          <w:spacing w:val="-4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órával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5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mintegy 41%-os átlagos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thrombocyta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aggregáció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-gátlás (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inhibition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of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platelet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aggregation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–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IPA), és</w:t>
      </w:r>
      <w:r>
        <w:rPr>
          <w:rFonts w:eastAsia="Times New Roman"/>
          <w:snapToGrid/>
          <w:spacing w:val="37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az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adag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beadása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után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2</w:t>
      </w:r>
      <w:r>
        <w:rPr>
          <w:rFonts w:eastAsia="Times New Roman"/>
          <w:snapToGrid/>
          <w:spacing w:val="-1"/>
          <w:szCs w:val="22"/>
          <w:lang w:val="hu-HU" w:eastAsia="hu-HU"/>
        </w:rPr>
        <w:noBreakHyphen/>
        <w:t>4</w:t>
      </w:r>
      <w:r>
        <w:rPr>
          <w:rFonts w:eastAsia="Times New Roman"/>
          <w:snapToGrid/>
          <w:spacing w:val="-3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órával kialakuló, </w:t>
      </w:r>
      <w:r>
        <w:rPr>
          <w:rFonts w:eastAsia="Times New Roman"/>
          <w:snapToGrid/>
          <w:spacing w:val="-2"/>
          <w:szCs w:val="22"/>
          <w:lang w:val="hu-HU" w:eastAsia="hu-HU"/>
        </w:rPr>
        <w:t>89%-os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maximális </w:t>
      </w:r>
      <w:r>
        <w:rPr>
          <w:rFonts w:eastAsia="Times New Roman"/>
          <w:snapToGrid/>
          <w:spacing w:val="-2"/>
          <w:szCs w:val="22"/>
          <w:lang w:val="hu-HU" w:eastAsia="hu-HU"/>
        </w:rPr>
        <w:t>IPA-hatás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igazolt, ami 2</w:t>
      </w:r>
      <w:r>
        <w:rPr>
          <w:rFonts w:eastAsia="Times New Roman"/>
          <w:snapToGrid/>
          <w:spacing w:val="-1"/>
          <w:szCs w:val="22"/>
          <w:lang w:val="hu-HU" w:eastAsia="hu-HU"/>
        </w:rPr>
        <w:noBreakHyphen/>
        <w:t>8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órán át</w:t>
      </w:r>
      <w:r>
        <w:rPr>
          <w:rFonts w:eastAsia="Times New Roman"/>
          <w:snapToGrid/>
          <w:spacing w:val="4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fennmaradt.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betegek 90%-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ánál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az adag bevétele után </w:t>
      </w:r>
      <w:r>
        <w:rPr>
          <w:rFonts w:eastAsia="Times New Roman"/>
          <w:snapToGrid/>
          <w:szCs w:val="22"/>
          <w:lang w:val="hu-HU" w:eastAsia="hu-HU"/>
        </w:rPr>
        <w:t>2</w:t>
      </w:r>
      <w:r>
        <w:rPr>
          <w:rFonts w:eastAsia="Times New Roman"/>
          <w:snapToGrid/>
          <w:spacing w:val="1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órával az IPA legnagyobb mértéke </w:t>
      </w:r>
      <w:r>
        <w:rPr>
          <w:rFonts w:eastAsia="Times New Roman"/>
          <w:snapToGrid/>
          <w:szCs w:val="22"/>
          <w:lang w:val="hu-HU" w:eastAsia="hu-HU"/>
        </w:rPr>
        <w:t>&gt;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70%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volt.</w:t>
      </w:r>
    </w:p>
    <w:p w14:paraId="70B2DF64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6" w:line="240" w:lineRule="auto"/>
        <w:rPr>
          <w:rFonts w:eastAsia="Times New Roman"/>
          <w:snapToGrid/>
          <w:szCs w:val="22"/>
          <w:lang w:val="hu-HU" w:eastAsia="hu-HU"/>
        </w:rPr>
      </w:pPr>
    </w:p>
    <w:p w14:paraId="1930E8AE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zCs w:val="22"/>
          <w:u w:val="single"/>
          <w:lang w:val="hu-HU" w:eastAsia="hu-HU"/>
        </w:rPr>
        <w:t>A</w:t>
      </w: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 hatás megszűnése</w:t>
      </w:r>
    </w:p>
    <w:p w14:paraId="045B1DAD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1" w:line="240" w:lineRule="auto"/>
        <w:rPr>
          <w:rFonts w:eastAsia="Times New Roman"/>
          <w:snapToGrid/>
          <w:spacing w:val="-1"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 xml:space="preserve">Tervezett coronaria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by-pass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graft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műtét esetén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tikagrelorral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járó vérzés kockázata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klopidogreléhez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viszonyítva magasabb, ha azt a beavatkozás előtt kevesebb mint 96 órával függesztik fel.</w:t>
      </w:r>
    </w:p>
    <w:p w14:paraId="368E2DBF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6" w:line="240" w:lineRule="auto"/>
        <w:rPr>
          <w:rFonts w:eastAsia="Times New Roman"/>
          <w:snapToGrid/>
          <w:spacing w:val="-1"/>
          <w:szCs w:val="22"/>
          <w:lang w:val="hu-HU" w:eastAsia="hu-HU"/>
        </w:rPr>
      </w:pPr>
    </w:p>
    <w:p w14:paraId="077DBF3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zCs w:val="22"/>
          <w:u w:val="single"/>
          <w:lang w:val="hu-HU" w:eastAsia="hu-HU"/>
        </w:rPr>
        <w:t>Átállítási adatok</w:t>
      </w:r>
    </w:p>
    <w:p w14:paraId="7E1CAD96" w14:textId="4E902E7A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6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75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3"/>
          <w:szCs w:val="22"/>
          <w:lang w:val="hu-HU" w:eastAsia="hu-HU"/>
        </w:rPr>
        <w:t>mg</w:t>
      </w:r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klopidogrelről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naponta kétszer 90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3"/>
          <w:szCs w:val="22"/>
          <w:lang w:val="hu-HU" w:eastAsia="hu-HU"/>
        </w:rPr>
        <w:t>mg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tikagrelorra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történő átállás az IPA 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26,4%-os </w:t>
      </w:r>
      <w:r>
        <w:rPr>
          <w:rFonts w:eastAsia="Times New Roman"/>
          <w:snapToGrid/>
          <w:spacing w:val="-1"/>
          <w:szCs w:val="22"/>
          <w:lang w:val="hu-HU" w:eastAsia="hu-HU"/>
        </w:rPr>
        <w:t>abszolút</w:t>
      </w:r>
      <w:r>
        <w:rPr>
          <w:rFonts w:eastAsia="Times New Roman"/>
          <w:snapToGrid/>
          <w:spacing w:val="4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emelkedését, míg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tikagrelorról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klopidogrelre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történő átállás az IPA 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24,5%-os </w:t>
      </w:r>
      <w:r>
        <w:rPr>
          <w:rFonts w:eastAsia="Times New Roman"/>
          <w:snapToGrid/>
          <w:spacing w:val="-1"/>
          <w:szCs w:val="22"/>
          <w:lang w:val="hu-HU" w:eastAsia="hu-HU"/>
        </w:rPr>
        <w:t>abszolút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csökkenését</w:t>
      </w:r>
      <w:r>
        <w:rPr>
          <w:rFonts w:eastAsia="Times New Roman"/>
          <w:snapToGrid/>
          <w:spacing w:val="3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eredményezi.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betegek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thrombocyta</w:t>
      </w:r>
      <w:r w:rsidR="00555844">
        <w:rPr>
          <w:rFonts w:eastAsia="Times New Roman"/>
          <w:snapToGrid/>
          <w:spacing w:val="-1"/>
          <w:szCs w:val="22"/>
          <w:lang w:val="hu-HU" w:eastAsia="hu-HU"/>
        </w:rPr>
        <w:t>aggregáció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-gátló hatás megszűnése nélkül átállíthatók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klopidogrelről</w:t>
      </w:r>
      <w:proofErr w:type="spellEnd"/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tikagrelorra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(lásd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4.2 pont).</w:t>
      </w:r>
    </w:p>
    <w:p w14:paraId="2D3C5E30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5" w:line="240" w:lineRule="auto"/>
        <w:rPr>
          <w:rFonts w:eastAsia="Times New Roman"/>
          <w:snapToGrid/>
          <w:szCs w:val="22"/>
          <w:lang w:val="hu-HU" w:eastAsia="hu-HU"/>
        </w:rPr>
      </w:pPr>
    </w:p>
    <w:p w14:paraId="7FF6134D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>Klinikai hatásosság és biztonságosság</w:t>
      </w:r>
    </w:p>
    <w:p w14:paraId="69763481" w14:textId="5233C07D" w:rsidR="00284377" w:rsidRDefault="00D321AB" w:rsidP="005B1D39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hatásosságára és biztonságosságára vonatkozó klinikai bizonyíték két </w:t>
      </w:r>
      <w:r w:rsidR="00916C0E">
        <w:rPr>
          <w:rFonts w:eastAsia="Times New Roman"/>
          <w:snapToGrid/>
          <w:spacing w:val="-1"/>
          <w:szCs w:val="22"/>
          <w:lang w:val="hu-HU" w:eastAsia="hu-HU"/>
        </w:rPr>
        <w:t>III. fázisú</w:t>
      </w:r>
      <w:r>
        <w:rPr>
          <w:rFonts w:eastAsia="Times New Roman"/>
          <w:snapToGrid/>
          <w:spacing w:val="29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vizsgálatból származik:</w:t>
      </w:r>
    </w:p>
    <w:p w14:paraId="76C9189E" w14:textId="77777777" w:rsidR="00284377" w:rsidRDefault="00D321AB">
      <w:pPr>
        <w:widowControl w:val="0"/>
        <w:numPr>
          <w:ilvl w:val="1"/>
          <w:numId w:val="59"/>
        </w:numPr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PLATO-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[</w:t>
      </w:r>
      <w:proofErr w:type="spellStart"/>
      <w:r>
        <w:rPr>
          <w:rFonts w:eastAsia="Times New Roman"/>
          <w:snapToGrid/>
          <w:spacing w:val="-2"/>
          <w:szCs w:val="22"/>
          <w:u w:val="single"/>
          <w:lang w:val="hu-HU" w:eastAsia="hu-HU"/>
        </w:rPr>
        <w:t>PLAT</w:t>
      </w:r>
      <w:r>
        <w:rPr>
          <w:rFonts w:eastAsia="Times New Roman"/>
          <w:snapToGrid/>
          <w:spacing w:val="-2"/>
          <w:szCs w:val="22"/>
          <w:lang w:val="hu-HU" w:eastAsia="hu-HU"/>
        </w:rPr>
        <w:t>elet</w:t>
      </w:r>
      <w:proofErr w:type="spellEnd"/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Inhibition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and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Patient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>O</w:t>
      </w:r>
      <w:r>
        <w:rPr>
          <w:rFonts w:eastAsia="Times New Roman"/>
          <w:snapToGrid/>
          <w:spacing w:val="-1"/>
          <w:szCs w:val="22"/>
          <w:lang w:val="hu-HU" w:eastAsia="hu-HU"/>
        </w:rPr>
        <w:t>utcomes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] vizsgálat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összehasonlítása, mindkettőt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acetilszalicilsavval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egyéb standard kezelésekkel kombinálva.</w:t>
      </w:r>
    </w:p>
    <w:p w14:paraId="1BC26AD9" w14:textId="77777777" w:rsidR="00284377" w:rsidRDefault="00D321AB">
      <w:pPr>
        <w:widowControl w:val="0"/>
        <w:numPr>
          <w:ilvl w:val="1"/>
          <w:numId w:val="59"/>
        </w:numPr>
        <w:kinsoku w:val="0"/>
        <w:overflowPunct w:val="0"/>
        <w:autoSpaceDE w:val="0"/>
        <w:autoSpaceDN w:val="0"/>
        <w:adjustRightInd w:val="0"/>
        <w:spacing w:before="1" w:line="240" w:lineRule="auto"/>
        <w:ind w:left="567" w:hanging="567"/>
        <w:jc w:val="both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PEGASUS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TIMI-54-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[</w:t>
      </w:r>
      <w:proofErr w:type="spellStart"/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>P</w:t>
      </w:r>
      <w:r>
        <w:rPr>
          <w:rFonts w:eastAsia="Times New Roman"/>
          <w:snapToGrid/>
          <w:spacing w:val="-1"/>
          <w:szCs w:val="22"/>
          <w:lang w:val="hu-HU" w:eastAsia="hu-HU"/>
        </w:rPr>
        <w:t>r</w:t>
      </w:r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>E</w:t>
      </w:r>
      <w:r>
        <w:rPr>
          <w:rFonts w:eastAsia="Times New Roman"/>
          <w:snapToGrid/>
          <w:spacing w:val="-1"/>
          <w:szCs w:val="22"/>
          <w:lang w:val="hu-HU" w:eastAsia="hu-HU"/>
        </w:rPr>
        <w:t>vention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with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Tica</w:t>
      </w:r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>G</w:t>
      </w:r>
      <w:r>
        <w:rPr>
          <w:rFonts w:eastAsia="Times New Roman"/>
          <w:snapToGrid/>
          <w:spacing w:val="-1"/>
          <w:szCs w:val="22"/>
          <w:lang w:val="hu-HU" w:eastAsia="hu-HU"/>
        </w:rPr>
        <w:t>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of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Second</w:t>
      </w:r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>ry</w:t>
      </w:r>
      <w:proofErr w:type="spellEnd"/>
      <w:r>
        <w:rPr>
          <w:rFonts w:eastAsia="Times New Roman"/>
          <w:snapToGrid/>
          <w:spacing w:val="-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Thrombotic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Events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in</w:t>
      </w:r>
      <w:r>
        <w:rPr>
          <w:rFonts w:eastAsia="Times New Roman"/>
          <w:snapToGrid/>
          <w:spacing w:val="4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High-Ri</w:t>
      </w:r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>S</w:t>
      </w:r>
      <w:r>
        <w:rPr>
          <w:rFonts w:eastAsia="Times New Roman"/>
          <w:snapToGrid/>
          <w:spacing w:val="-1"/>
          <w:szCs w:val="22"/>
          <w:lang w:val="hu-HU" w:eastAsia="hu-HU"/>
        </w:rPr>
        <w:t>k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Akute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Coronary</w:t>
      </w:r>
      <w:proofErr w:type="spellEnd"/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u w:val="single"/>
          <w:lang w:val="hu-HU" w:eastAsia="hu-HU"/>
        </w:rPr>
        <w:t>S</w:t>
      </w:r>
      <w:r>
        <w:rPr>
          <w:rFonts w:eastAsia="Times New Roman"/>
          <w:snapToGrid/>
          <w:spacing w:val="-1"/>
          <w:szCs w:val="22"/>
          <w:lang w:val="hu-HU" w:eastAsia="hu-HU"/>
        </w:rPr>
        <w:t>yndrome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Patients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] vizsgálat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acetilszalicilsavval</w:t>
      </w:r>
      <w:proofErr w:type="spellEnd"/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kombinált</w:t>
      </w:r>
      <w:r>
        <w:rPr>
          <w:rFonts w:eastAsia="Times New Roman"/>
          <w:snapToGrid/>
          <w:spacing w:val="30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acetilszalicilsav-monoterápia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összehasonlítása.</w:t>
      </w:r>
    </w:p>
    <w:p w14:paraId="0C89CDA5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8" w:line="240" w:lineRule="auto"/>
        <w:rPr>
          <w:rFonts w:eastAsia="Times New Roman"/>
          <w:snapToGrid/>
          <w:szCs w:val="22"/>
          <w:lang w:val="hu-HU" w:eastAsia="hu-HU"/>
        </w:rPr>
      </w:pPr>
    </w:p>
    <w:p w14:paraId="1DA2D902" w14:textId="77777777" w:rsidR="00284377" w:rsidRDefault="00D321AB">
      <w:pPr>
        <w:keepNext/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pacing w:val="-2"/>
          <w:szCs w:val="22"/>
          <w:u w:val="single"/>
          <w:lang w:val="hu-HU" w:eastAsia="hu-HU"/>
        </w:rPr>
        <w:t>PLATO-vizsgálat</w:t>
      </w: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 xml:space="preserve"> (akut</w:t>
      </w:r>
      <w:r>
        <w:rPr>
          <w:rFonts w:eastAsia="Times New Roman"/>
          <w:i/>
          <w:iCs/>
          <w:snapToGrid/>
          <w:spacing w:val="2"/>
          <w:szCs w:val="22"/>
          <w:u w:val="single"/>
          <w:lang w:val="hu-HU" w:eastAsia="hu-HU"/>
        </w:rPr>
        <w:t xml:space="preserve"> </w:t>
      </w:r>
      <w:r>
        <w:rPr>
          <w:rFonts w:eastAsia="Times New Roman"/>
          <w:i/>
          <w:iCs/>
          <w:snapToGrid/>
          <w:szCs w:val="22"/>
          <w:u w:val="single"/>
          <w:lang w:val="hu-HU" w:eastAsia="hu-HU"/>
        </w:rPr>
        <w:t>coronaria</w:t>
      </w:r>
      <w:r>
        <w:rPr>
          <w:rFonts w:eastAsia="Times New Roman"/>
          <w:i/>
          <w:iCs/>
          <w:snapToGrid/>
          <w:spacing w:val="-3"/>
          <w:szCs w:val="22"/>
          <w:u w:val="single"/>
          <w:lang w:val="hu-HU" w:eastAsia="hu-HU"/>
        </w:rPr>
        <w:t xml:space="preserve"> </w:t>
      </w:r>
      <w:r>
        <w:rPr>
          <w:rFonts w:eastAsia="Times New Roman"/>
          <w:i/>
          <w:iCs/>
          <w:snapToGrid/>
          <w:spacing w:val="-1"/>
          <w:szCs w:val="22"/>
          <w:u w:val="single"/>
          <w:lang w:val="hu-HU" w:eastAsia="hu-HU"/>
        </w:rPr>
        <w:t>szindrómák)</w:t>
      </w:r>
    </w:p>
    <w:p w14:paraId="0B6BDFB2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2" w:line="240" w:lineRule="auto"/>
        <w:rPr>
          <w:rFonts w:eastAsia="Times New Roman"/>
          <w:i/>
          <w:iCs/>
          <w:snapToGrid/>
          <w:szCs w:val="22"/>
          <w:lang w:val="hu-HU" w:eastAsia="hu-HU"/>
        </w:rPr>
      </w:pPr>
    </w:p>
    <w:p w14:paraId="44716B75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72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PLATO-vizsgálatban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18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624 olyan beteg vett részt, aki instabil angina,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ST-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elevációval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nem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járó</w:t>
      </w:r>
      <w:r>
        <w:rPr>
          <w:rFonts w:eastAsia="Times New Roman"/>
          <w:snapToGrid/>
          <w:spacing w:val="58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myocardialis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infarctus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[NSTEMI] vagy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ST-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elevációval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járó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myocardialis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infarctus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[STEMI]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tüneteinek kialakulását követő 24</w:t>
      </w:r>
      <w:r>
        <w:rPr>
          <w:rFonts w:eastAsia="Times New Roman"/>
          <w:snapToGrid/>
          <w:spacing w:val="1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órán belül jelentkezett orvosnál, és elsőként gyógyszeres kezelést</w:t>
      </w:r>
      <w:r>
        <w:rPr>
          <w:rFonts w:eastAsia="Times New Roman"/>
          <w:snapToGrid/>
          <w:spacing w:val="2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kapott, vagy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percutan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coronaria intervención (PCI) vagy coronaria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by-pass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graft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műtéten (CABG)</w:t>
      </w:r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esett</w:t>
      </w:r>
      <w:r>
        <w:rPr>
          <w:rFonts w:eastAsia="Times New Roman"/>
          <w:snapToGrid/>
          <w:szCs w:val="22"/>
          <w:lang w:val="hu-HU" w:eastAsia="hu-HU"/>
        </w:rPr>
        <w:t xml:space="preserve"> át.</w:t>
      </w:r>
    </w:p>
    <w:p w14:paraId="4E343F65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7" w:line="240" w:lineRule="auto"/>
        <w:rPr>
          <w:rFonts w:eastAsia="Times New Roman"/>
          <w:snapToGrid/>
          <w:szCs w:val="22"/>
          <w:lang w:val="hu-HU" w:eastAsia="hu-HU"/>
        </w:rPr>
      </w:pPr>
    </w:p>
    <w:p w14:paraId="4570E201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pacing w:val="-1"/>
          <w:szCs w:val="22"/>
          <w:lang w:val="hu-HU" w:eastAsia="hu-HU"/>
        </w:rPr>
        <w:t>Klinikai</w:t>
      </w:r>
      <w:r>
        <w:rPr>
          <w:rFonts w:eastAsia="Times New Roman"/>
          <w:i/>
          <w:iCs/>
          <w:snapToGrid/>
          <w:szCs w:val="22"/>
          <w:lang w:val="hu-HU" w:eastAsia="hu-HU"/>
        </w:rPr>
        <w:t xml:space="preserve"> </w:t>
      </w:r>
      <w:r>
        <w:rPr>
          <w:rFonts w:eastAsia="Times New Roman"/>
          <w:i/>
          <w:iCs/>
          <w:snapToGrid/>
          <w:spacing w:val="-1"/>
          <w:szCs w:val="22"/>
          <w:lang w:val="hu-HU" w:eastAsia="hu-HU"/>
        </w:rPr>
        <w:t>hatásosság</w:t>
      </w:r>
    </w:p>
    <w:p w14:paraId="169B11D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1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Naponkénti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acetilszalicilsav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háttérkezelés mellett a naponta kétszer 90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eredetű halálozás,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myocardialis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infarctus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(MI) vagy stroke kompozit-végpont megelőzésében jobbnak bizonyult, mint a napi 75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, és a különbség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eredetű halálozásból és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myocardialis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infarctusból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adódott. A betegek egy 300 mg-os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(600 mg is lehetséges volt, ha PCI-</w:t>
      </w:r>
      <w:proofErr w:type="spellStart"/>
      <w:r>
        <w:rPr>
          <w:rFonts w:eastAsia="Times New Roman"/>
          <w:snapToGrid/>
          <w:szCs w:val="22"/>
          <w:lang w:val="hu-HU" w:eastAsia="hu-HU"/>
        </w:rPr>
        <w:t>jük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volt) vagy 180 mg-os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telítő dózist kaptak.</w:t>
      </w:r>
    </w:p>
    <w:p w14:paraId="56071D0C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5" w:line="240" w:lineRule="auto"/>
        <w:rPr>
          <w:rFonts w:eastAsia="Times New Roman"/>
          <w:snapToGrid/>
          <w:szCs w:val="22"/>
          <w:lang w:val="hu-HU" w:eastAsia="hu-HU"/>
        </w:rPr>
      </w:pPr>
    </w:p>
    <w:p w14:paraId="69F22FF2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2"/>
          <w:szCs w:val="22"/>
          <w:lang w:val="hu-HU" w:eastAsia="hu-HU"/>
        </w:rPr>
        <w:t>Az</w:t>
      </w:r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eredmény korán jelentkezett (a 30. napon az abszolút </w:t>
      </w:r>
      <w:r>
        <w:rPr>
          <w:rFonts w:eastAsia="Times New Roman"/>
          <w:snapToGrid/>
          <w:spacing w:val="-2"/>
          <w:szCs w:val="22"/>
          <w:lang w:val="hu-HU" w:eastAsia="hu-HU"/>
        </w:rPr>
        <w:t>kockázatcsökkenés</w:t>
      </w:r>
      <w: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[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absolute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risk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reduction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ARR] 0,6%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relatív</w:t>
      </w:r>
      <w:r>
        <w:rPr>
          <w:rFonts w:eastAsia="Times New Roman"/>
          <w:snapToGrid/>
          <w:spacing w:val="60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kockázatcsökkenés</w:t>
      </w:r>
      <w: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[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relative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risk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reduction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RRR] 12%),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terápiás hatás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teljes 12</w:t>
      </w:r>
      <w:r>
        <w:rPr>
          <w:rFonts w:eastAsia="Times New Roman"/>
          <w:snapToGrid/>
          <w:spacing w:val="1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hónapos időszak alatt változatlanul fennmaradt, ami egy év alatt </w:t>
      </w:r>
      <w:r>
        <w:rPr>
          <w:rFonts w:eastAsia="Times New Roman"/>
          <w:snapToGrid/>
          <w:spacing w:val="-2"/>
          <w:szCs w:val="22"/>
          <w:lang w:val="hu-HU" w:eastAsia="hu-HU"/>
        </w:rPr>
        <w:t>1,9%-os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ARR-t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16%-os</w:t>
      </w:r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RRR-t eredményezett. Ez arra utal, hogy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4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betegek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12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zCs w:val="22"/>
          <w:lang w:val="hu-HU" w:eastAsia="hu-HU"/>
        </w:rPr>
        <w:t>hónapig tartó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naponta</w:t>
      </w:r>
      <w:r>
        <w:rPr>
          <w:rFonts w:eastAsia="Times New Roman"/>
          <w:snapToGrid/>
          <w:szCs w:val="22"/>
          <w:lang w:val="hu-HU" w:eastAsia="hu-HU"/>
        </w:rPr>
        <w:t xml:space="preserve"> kétszer 90</w:t>
      </w:r>
      <w:r>
        <w:rPr>
          <w:szCs w:val="22"/>
          <w:lang w:val="hu-HU"/>
        </w:rPr>
        <w:t> </w:t>
      </w:r>
      <w:r>
        <w:rPr>
          <w:rFonts w:eastAsia="Times New Roman"/>
          <w:snapToGrid/>
          <w:spacing w:val="-4"/>
          <w:szCs w:val="22"/>
          <w:lang w:val="hu-HU" w:eastAsia="hu-HU"/>
        </w:rPr>
        <w:t>mg</w:t>
      </w:r>
      <w:r>
        <w:rPr>
          <w:rFonts w:eastAsia="Times New Roman"/>
          <w:snapToGrid/>
          <w:spacing w:val="-5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-kezelésére is alkalmas (lásd 4.2</w:t>
      </w:r>
      <w:r>
        <w:rPr>
          <w:rFonts w:eastAsia="Times New Roman"/>
          <w:snapToGrid/>
          <w:spacing w:val="1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pont). Ha</w:t>
      </w:r>
      <w:r>
        <w:rPr>
          <w:rFonts w:eastAsia="Times New Roman"/>
          <w:snapToGrid/>
          <w:spacing w:val="3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54 </w:t>
      </w:r>
      <w:r>
        <w:rPr>
          <w:rFonts w:eastAsia="Times New Roman"/>
          <w:snapToGrid/>
          <w:spacing w:val="-1"/>
          <w:szCs w:val="22"/>
          <w:lang w:val="hu-HU" w:eastAsia="hu-HU"/>
        </w:rPr>
        <w:t>akut coronaria szindrómás beteget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helyett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tikagrelorral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kezelnek, az </w:t>
      </w:r>
      <w:r>
        <w:rPr>
          <w:rFonts w:eastAsia="Times New Roman"/>
          <w:snapToGrid/>
          <w:szCs w:val="22"/>
          <w:lang w:val="hu-HU" w:eastAsia="hu-HU"/>
        </w:rPr>
        <w:t>1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atherothromboticus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eseményt fog megelőzni: 91</w:t>
      </w:r>
      <w:r>
        <w:rPr>
          <w:rFonts w:eastAsia="Times New Roman"/>
          <w:snapToGrid/>
          <w:spacing w:val="1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beteg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kezelése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1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eredetű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halálesetet</w:t>
      </w:r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fog megelőzni (lásd 1. ábra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4.</w:t>
      </w:r>
      <w:r>
        <w:rPr>
          <w:rFonts w:eastAsia="Times New Roman"/>
          <w:snapToGrid/>
          <w:spacing w:val="5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>táblázat).</w:t>
      </w:r>
    </w:p>
    <w:p w14:paraId="0B2647E9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</w:p>
    <w:p w14:paraId="56A165D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4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klopidogrelénél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kedvezőbb terápiás hatása sok alcsoportban konzisztensnek tűnik,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beleértve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testtömeget, nemet,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anamnaesisben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szereplő diabetes mellitust, átmeneti agyi keringési zavart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vagy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nem vérzéses eredetű stroke-ot vagy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revascularisatiót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, az egyidejű kezeléseket,</w:t>
      </w:r>
      <w:r>
        <w:rPr>
          <w:rFonts w:eastAsia="Times New Roman"/>
          <w:snapToGrid/>
          <w:spacing w:val="3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beleértve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heparinokat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GpIIb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/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IIIa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-inhibitorokat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protonpumpa-inhibitorokat (lásd 4.5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pont),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jellemző esemény végső diagnózisát (STEMI, NSTEMI vagy instabil </w:t>
      </w:r>
      <w:r>
        <w:rPr>
          <w:rFonts w:eastAsia="Times New Roman"/>
          <w:snapToGrid/>
          <w:spacing w:val="-2"/>
          <w:szCs w:val="22"/>
          <w:lang w:val="hu-HU" w:eastAsia="hu-HU"/>
        </w:rPr>
        <w:t>angina),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valamint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27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randomizáció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időpontjában tervezett terápiás módszert (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invazív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vagy gyógyszeres).</w:t>
      </w:r>
    </w:p>
    <w:p w14:paraId="08CC21A1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</w:p>
    <w:p w14:paraId="1A32C607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pacing w:val="-1"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lastRenderedPageBreak/>
        <w:t>A földrajzi régióval összefüggésben egy gyengén szignifikáns terápiás interakciót észleltek, melynek következtében az elsődleges végpont relatív hazárdja (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hazard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ratio, HR) a teljes vizsgált populáció mintegy 10%-át képviselő Észak-Amerikában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klopidogrelnél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míg a világ többi részén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 volt kedvezőbb (interakciós p-érték = 0,045).</w:t>
      </w:r>
    </w:p>
    <w:p w14:paraId="432195C5" w14:textId="266C6BE1" w:rsidR="00284377" w:rsidRDefault="00D321AB" w:rsidP="005B1D39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lang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 xml:space="preserve">Előzetes elemzések egy,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-dózissal való lehetséges összefüggésre utalnak, mivel az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növekvő dózisai esetén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hatásosságának csökkenését figyelték meg. 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mellett adott naponkénti fenntartó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acetilszalicilsav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>-dózisnak 75</w:t>
      </w:r>
      <w:r>
        <w:rPr>
          <w:rFonts w:eastAsia="Times New Roman"/>
          <w:snapToGrid/>
          <w:spacing w:val="-1"/>
          <w:szCs w:val="22"/>
          <w:lang w:val="hu-HU" w:eastAsia="hu-HU"/>
        </w:rPr>
        <w:noBreakHyphen/>
        <w:t>150 mg-nak kell lennie (lásd 4.2 és 4.4 pont).</w:t>
      </w:r>
    </w:p>
    <w:p w14:paraId="7A7B8AD1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Cs w:val="22"/>
          <w:lang w:eastAsia="hu-HU"/>
        </w:rPr>
      </w:pPr>
      <w:r>
        <w:rPr>
          <w:b w:val="0"/>
          <w:i w:val="0"/>
          <w:szCs w:val="22"/>
          <w:lang w:eastAsia="hu-HU"/>
        </w:rPr>
        <w:t>Az 1. ábra a kompozit végpontba tartozó bármelyik esemény első megjelenésének becsült kockázatát mutatja.</w:t>
      </w:r>
    </w:p>
    <w:p w14:paraId="70897579" w14:textId="77777777" w:rsidR="00284377" w:rsidRDefault="00284377">
      <w:pPr>
        <w:pStyle w:val="Szvegtrzs"/>
        <w:kinsoku w:val="0"/>
        <w:overflowPunct w:val="0"/>
        <w:spacing w:line="240" w:lineRule="auto"/>
        <w:rPr>
          <w:b w:val="0"/>
          <w:i w:val="0"/>
          <w:szCs w:val="22"/>
          <w:lang w:eastAsia="hu-HU"/>
        </w:rPr>
      </w:pPr>
    </w:p>
    <w:p w14:paraId="646CA568" w14:textId="77777777" w:rsidR="00284377" w:rsidRDefault="00D321AB">
      <w:pPr>
        <w:keepNext/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b/>
          <w:bCs/>
          <w:szCs w:val="22"/>
          <w:lang w:val="hu-HU"/>
        </w:rPr>
        <w:t xml:space="preserve">1. ábra –A </w:t>
      </w:r>
      <w:proofErr w:type="spellStart"/>
      <w:r>
        <w:rPr>
          <w:b/>
          <w:bCs/>
          <w:szCs w:val="22"/>
          <w:lang w:val="hu-HU"/>
        </w:rPr>
        <w:t>cardiovascularis</w:t>
      </w:r>
      <w:proofErr w:type="spellEnd"/>
      <w:r>
        <w:rPr>
          <w:b/>
          <w:bCs/>
          <w:szCs w:val="22"/>
          <w:lang w:val="hu-HU"/>
        </w:rPr>
        <w:t xml:space="preserve"> eredetű halálozásból, MI és stroke-</w:t>
      </w:r>
      <w:proofErr w:type="spellStart"/>
      <w:r>
        <w:rPr>
          <w:b/>
          <w:bCs/>
          <w:szCs w:val="22"/>
          <w:lang w:val="hu-HU"/>
        </w:rPr>
        <w:t>ból</w:t>
      </w:r>
      <w:proofErr w:type="spellEnd"/>
      <w:r>
        <w:rPr>
          <w:b/>
          <w:bCs/>
          <w:szCs w:val="22"/>
          <w:lang w:val="hu-HU"/>
        </w:rPr>
        <w:t xml:space="preserve"> álló elsődleges klinikai összetett végpont analízise (PLATO)</w:t>
      </w:r>
    </w:p>
    <w:p w14:paraId="371269C3" w14:textId="77777777" w:rsidR="00284377" w:rsidRDefault="00284377">
      <w:pPr>
        <w:keepNext/>
        <w:tabs>
          <w:tab w:val="clear" w:pos="567"/>
        </w:tabs>
        <w:spacing w:before="16" w:line="240" w:lineRule="auto"/>
        <w:rPr>
          <w:rFonts w:eastAsia="Times New Roman"/>
          <w:snapToGrid/>
          <w:szCs w:val="22"/>
          <w:lang w:val="hu-HU" w:eastAsia="sl-SI"/>
        </w:rPr>
      </w:pPr>
    </w:p>
    <w:p w14:paraId="587035A8" w14:textId="77777777" w:rsidR="00284377" w:rsidRDefault="00D321AB">
      <w:pPr>
        <w:tabs>
          <w:tab w:val="clear" w:pos="567"/>
        </w:tabs>
        <w:spacing w:before="16" w:line="240" w:lineRule="auto"/>
        <w:rPr>
          <w:rFonts w:eastAsia="Times New Roman"/>
          <w:snapToGrid/>
          <w:szCs w:val="22"/>
          <w:lang w:val="hu-HU" w:eastAsia="sl-SI"/>
        </w:rPr>
      </w:pPr>
      <w:r>
        <w:rPr>
          <w:rFonts w:eastAsia="Times New Roman"/>
          <w:noProof/>
          <w:snapToGrid/>
          <w:szCs w:val="22"/>
          <w:lang w:val="en-US" w:eastAsia="en-US"/>
        </w:rPr>
        <w:drawing>
          <wp:inline distT="0" distB="0" distL="0" distR="0" wp14:anchorId="64056138" wp14:editId="3D6F994F">
            <wp:extent cx="4730750" cy="3144520"/>
            <wp:effectExtent l="0" t="0" r="0" b="0"/>
            <wp:docPr id="240" name="Kép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314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7435F" w14:textId="77777777" w:rsidR="00284377" w:rsidRDefault="00284377">
      <w:pPr>
        <w:widowControl w:val="0"/>
        <w:tabs>
          <w:tab w:val="clear" w:pos="567"/>
        </w:tabs>
        <w:spacing w:line="240" w:lineRule="auto"/>
        <w:ind w:right="-1"/>
        <w:rPr>
          <w:rFonts w:eastAsia="Times New Roman"/>
          <w:i/>
          <w:snapToGrid/>
          <w:szCs w:val="22"/>
          <w:u w:val="single" w:color="000000"/>
          <w:lang w:val="hu-HU" w:eastAsia="en-US"/>
        </w:rPr>
      </w:pPr>
    </w:p>
    <w:p w14:paraId="6E708F71" w14:textId="77777777" w:rsidR="00284377" w:rsidRDefault="00D321AB">
      <w:pPr>
        <w:spacing w:line="240" w:lineRule="auto"/>
        <w:ind w:right="-1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tikagrelor a klopidogrelhez képest az instabil angina /NSTEMI és STEMI populációban egyaránt csökkentette az elsődleges kompozit-végpont kialakulását (4. táblázat). Így a naponta kétszer 90</w:t>
      </w:r>
      <w:r>
        <w:rPr>
          <w:szCs w:val="22"/>
          <w:lang w:val="hu-HU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mg Ticagrelor HCS-BV, kis dózisú acetilszalicilsavval együtt, alkalmazható az akut coronaria szindrómás betegeknél (instabil angina, ST-elevációval nem járó myocardialis infarctus [NSTEMI] vagy ST-elevációval járó myocardialis infarctus [STEMI]), beleértve a gyógyszeresen kezelt betegeket és azokat is, akiket percutan coronaria intervencióval (PCI) vagy coronaria by-pass grafttal (CABG) kezeltek.</w:t>
      </w:r>
    </w:p>
    <w:p w14:paraId="6F3BCC85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9A11A91" w14:textId="287362DE" w:rsidR="00284377" w:rsidRDefault="00D321AB">
      <w:pPr>
        <w:spacing w:line="240" w:lineRule="auto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4. táblázat</w:t>
      </w:r>
      <w:r>
        <w:rPr>
          <w:spacing w:val="1"/>
          <w:szCs w:val="22"/>
          <w:lang w:val="hu-HU"/>
        </w:rPr>
        <w:t xml:space="preserve"> </w:t>
      </w:r>
      <w:r>
        <w:rPr>
          <w:szCs w:val="22"/>
          <w:lang w:val="hu-HU"/>
        </w:rPr>
        <w:t>-</w:t>
      </w:r>
      <w:r>
        <w:rPr>
          <w:spacing w:val="1"/>
          <w:szCs w:val="22"/>
          <w:lang w:val="hu-HU"/>
        </w:rPr>
        <w:t xml:space="preserve"> </w:t>
      </w:r>
      <w:r>
        <w:rPr>
          <w:b/>
          <w:bCs/>
          <w:szCs w:val="22"/>
          <w:lang w:val="hu-HU"/>
        </w:rPr>
        <w:t>Az elsődleges és másodlagos hatásossági végpontok analízise (PLATO)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98"/>
        <w:gridCol w:w="1488"/>
        <w:gridCol w:w="1559"/>
        <w:gridCol w:w="992"/>
        <w:gridCol w:w="1418"/>
        <w:gridCol w:w="1417"/>
      </w:tblGrid>
      <w:tr w:rsidR="00284377" w14:paraId="6702619A" w14:textId="77777777">
        <w:trPr>
          <w:trHeight w:hRule="exact" w:val="3298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4DDD5" w14:textId="77777777" w:rsidR="00284377" w:rsidRDefault="00284377">
            <w:pPr>
              <w:widowControl w:val="0"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hu-HU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EEDD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43" w:right="136" w:hanging="17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90</w:t>
            </w:r>
            <w:r>
              <w:rPr>
                <w:b/>
                <w:bCs/>
                <w:szCs w:val="22"/>
                <w:lang w:val="hu-HU"/>
              </w:rPr>
              <w:t> </w:t>
            </w:r>
            <w:r>
              <w:rPr>
                <w:rFonts w:eastAsia="Times New Roman"/>
                <w:b/>
                <w:bCs/>
                <w:snapToGrid/>
                <w:spacing w:val="-12"/>
                <w:szCs w:val="22"/>
                <w:lang w:val="hu-HU" w:eastAsia="hu-HU"/>
              </w:rPr>
              <w:t>mg</w:t>
            </w:r>
            <w:r>
              <w:rPr>
                <w:rFonts w:eastAsia="Times New Roman"/>
                <w:b/>
                <w:bCs/>
                <w:snapToGrid/>
                <w:spacing w:val="9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tikagrelor</w:t>
            </w:r>
            <w:proofErr w:type="spellEnd"/>
            <w:r>
              <w:rPr>
                <w:rFonts w:eastAsia="Times New Roman"/>
                <w:b/>
                <w:bCs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3"/>
                <w:szCs w:val="22"/>
                <w:lang w:val="hu-HU" w:eastAsia="hu-HU"/>
              </w:rPr>
              <w:t>naponta</w:t>
            </w:r>
            <w:r>
              <w:rPr>
                <w:rFonts w:eastAsia="Times New Roman"/>
                <w:b/>
                <w:bCs/>
                <w:snapToGrid/>
                <w:spacing w:val="25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kétszer</w:t>
            </w:r>
            <w:r>
              <w:rPr>
                <w:rFonts w:eastAsia="Times New Roman"/>
                <w:b/>
                <w:bCs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(azoknak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a</w:t>
            </w:r>
            <w:r>
              <w:rPr>
                <w:rFonts w:eastAsia="Times New Roman"/>
                <w:b/>
                <w:bCs/>
                <w:snapToGrid/>
                <w:spacing w:val="2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betegeknek</w:t>
            </w:r>
            <w:r>
              <w:rPr>
                <w:rFonts w:eastAsia="Times New Roman"/>
                <w:b/>
                <w:bCs/>
                <w:snapToGrid/>
                <w:spacing w:val="19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 xml:space="preserve">a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%-aránya,</w:t>
            </w:r>
            <w:r>
              <w:rPr>
                <w:rFonts w:eastAsia="Times New Roman"/>
                <w:b/>
                <w:bCs/>
                <w:snapToGrid/>
                <w:spacing w:val="24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akiknél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az</w:t>
            </w:r>
            <w:r>
              <w:rPr>
                <w:rFonts w:eastAsia="Times New Roman"/>
                <w:b/>
                <w:bCs/>
                <w:snapToGrid/>
                <w:spacing w:val="21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esemény</w:t>
            </w:r>
            <w:r>
              <w:rPr>
                <w:rFonts w:eastAsia="Times New Roman"/>
                <w:b/>
                <w:bCs/>
                <w:snapToGrid/>
                <w:spacing w:val="19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bekövetke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softHyphen/>
              <w:t>z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ett)</w:t>
            </w:r>
          </w:p>
          <w:p w14:paraId="213783E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20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N = 9333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B5E3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33" w:right="136" w:hanging="12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75</w:t>
            </w:r>
            <w:r>
              <w:rPr>
                <w:b/>
                <w:bCs/>
                <w:szCs w:val="22"/>
                <w:lang w:val="hu-HU"/>
              </w:rPr>
              <w:t> </w:t>
            </w:r>
            <w:r>
              <w:rPr>
                <w:rFonts w:eastAsia="Times New Roman"/>
                <w:b/>
                <w:bCs/>
                <w:snapToGrid/>
                <w:spacing w:val="-12"/>
                <w:szCs w:val="22"/>
                <w:lang w:val="hu-HU" w:eastAsia="hu-HU"/>
              </w:rPr>
              <w:t>mg</w:t>
            </w:r>
            <w:r>
              <w:rPr>
                <w:rFonts w:eastAsia="Times New Roman"/>
                <w:b/>
                <w:bCs/>
                <w:snapToGrid/>
                <w:spacing w:val="9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klopidogrel</w:t>
            </w:r>
            <w:proofErr w:type="spellEnd"/>
            <w:r>
              <w:rPr>
                <w:rFonts w:eastAsia="Times New Roman"/>
                <w:b/>
                <w:bCs/>
                <w:snapToGrid/>
                <w:spacing w:val="29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naponta</w:t>
            </w:r>
            <w:r>
              <w:rPr>
                <w:rFonts w:eastAsia="Times New Roman"/>
                <w:b/>
                <w:bCs/>
                <w:snapToGrid/>
                <w:spacing w:val="19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egyszer</w:t>
            </w:r>
            <w:r>
              <w:rPr>
                <w:rFonts w:eastAsia="Times New Roman"/>
                <w:b/>
                <w:bCs/>
                <w:snapToGrid/>
                <w:spacing w:val="19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(azoknak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a</w:t>
            </w:r>
            <w:r>
              <w:rPr>
                <w:rFonts w:eastAsia="Times New Roman"/>
                <w:b/>
                <w:bCs/>
                <w:snapToGrid/>
                <w:spacing w:val="2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betegeknek</w:t>
            </w:r>
            <w:r>
              <w:rPr>
                <w:rFonts w:eastAsia="Times New Roman"/>
                <w:b/>
                <w:bCs/>
                <w:snapToGrid/>
                <w:spacing w:val="19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 xml:space="preserve">a 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%-aránya,</w:t>
            </w:r>
            <w:r>
              <w:rPr>
                <w:rFonts w:eastAsia="Times New Roman"/>
                <w:b/>
                <w:bCs/>
                <w:snapToGrid/>
                <w:spacing w:val="27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akiknél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az</w:t>
            </w:r>
            <w:r>
              <w:rPr>
                <w:rFonts w:eastAsia="Times New Roman"/>
                <w:b/>
                <w:bCs/>
                <w:snapToGrid/>
                <w:spacing w:val="21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esemény</w:t>
            </w:r>
            <w:r>
              <w:rPr>
                <w:rFonts w:eastAsia="Times New Roman"/>
                <w:b/>
                <w:bCs/>
                <w:snapToGrid/>
                <w:spacing w:val="19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bekövetke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softHyphen/>
              <w:t>z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ett)</w:t>
            </w:r>
          </w:p>
          <w:p w14:paraId="39EAAAD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4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N</w:t>
            </w:r>
            <w:r>
              <w:rPr>
                <w:rFonts w:eastAsia="Times New Roman"/>
                <w:b/>
                <w:bCs/>
                <w:snapToGrid/>
                <w:spacing w:val="1"/>
                <w:szCs w:val="22"/>
                <w:lang w:val="hu-HU" w:eastAsia="hu-HU"/>
              </w:rPr>
              <w:t> </w:t>
            </w:r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= 9291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D6CA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3A44F7A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79" w:line="240" w:lineRule="auto"/>
              <w:ind w:left="195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ARR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vertAlign w:val="superscript"/>
                <w:lang w:val="hu-HU" w:eastAsia="hu-HU"/>
              </w:rPr>
              <w:t>a</w:t>
            </w:r>
            <w:proofErr w:type="spellEnd"/>
          </w:p>
          <w:p w14:paraId="02DE57B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" w:line="240" w:lineRule="auto"/>
              <w:ind w:left="152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(%/év)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5709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548FAD4B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7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26F7E97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 w:right="255" w:firstLine="96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  <w:snapToGrid/>
                <w:spacing w:val="-2"/>
                <w:szCs w:val="22"/>
                <w:lang w:val="hu-HU" w:eastAsia="hu-HU"/>
              </w:rPr>
              <w:t>RRR</w:t>
            </w:r>
            <w:r>
              <w:rPr>
                <w:rFonts w:eastAsia="Times New Roman"/>
                <w:b/>
                <w:bCs/>
                <w:snapToGrid/>
                <w:spacing w:val="-2"/>
                <w:szCs w:val="22"/>
                <w:vertAlign w:val="superscript"/>
                <w:lang w:val="hu-HU" w:eastAsia="hu-HU"/>
              </w:rPr>
              <w:t>a</w:t>
            </w:r>
            <w:proofErr w:type="spellEnd"/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(</w:t>
            </w:r>
            <w:proofErr w:type="gramEnd"/>
            <w:r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  <w:t>%)</w:t>
            </w:r>
            <w:r>
              <w:rPr>
                <w:rFonts w:eastAsia="Times New Roman"/>
                <w:b/>
                <w:bCs/>
                <w:snapToGrid/>
                <w:spacing w:val="25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(95%-os CI)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5590C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20F5E5C5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147C8A30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08CE223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b/>
                <w:bCs/>
                <w:i/>
                <w:iCs/>
                <w:snapToGrid/>
                <w:spacing w:val="-1"/>
                <w:szCs w:val="22"/>
                <w:lang w:val="hu-HU" w:eastAsia="hu-HU"/>
              </w:rPr>
              <w:t>p-</w:t>
            </w:r>
            <w:r>
              <w:rPr>
                <w:rFonts w:eastAsia="Times New Roman"/>
                <w:b/>
                <w:bCs/>
                <w:snapToGrid/>
                <w:spacing w:val="-1"/>
                <w:szCs w:val="22"/>
                <w:lang w:val="hu-HU" w:eastAsia="hu-HU"/>
              </w:rPr>
              <w:t>érték</w:t>
            </w:r>
          </w:p>
        </w:tc>
      </w:tr>
      <w:tr w:rsidR="00284377" w14:paraId="4F961371" w14:textId="77777777">
        <w:trPr>
          <w:trHeight w:hRule="exact" w:val="1022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74CC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 w:right="231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lastRenderedPageBreak/>
              <w:t>Cardiovascularis</w:t>
            </w:r>
            <w:proofErr w:type="spellEnd"/>
            <w:r>
              <w:rPr>
                <w:rFonts w:eastAsia="Times New Roman"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halálozás, MI</w:t>
            </w:r>
            <w:r>
              <w:rPr>
                <w:rFonts w:eastAsia="Times New Roman"/>
                <w:snapToGrid/>
                <w:spacing w:val="21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(kivéve </w:t>
            </w:r>
            <w:r>
              <w:rPr>
                <w:rFonts w:eastAsia="Times New Roman"/>
                <w:snapToGrid/>
                <w:szCs w:val="22"/>
                <w:lang w:val="hu-HU" w:eastAsia="hu-HU"/>
              </w:rPr>
              <w:t>a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néma MI)</w:t>
            </w:r>
            <w:r>
              <w:rPr>
                <w:rFonts w:eastAsia="Times New Roman"/>
                <w:snapToGrid/>
                <w:spacing w:val="2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vagy stroke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A37FA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6442540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9,3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F5595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7EA30D5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12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2D49C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2EE34C00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68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761FB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27A6CD0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39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16 (8, 23)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530A8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58F87B1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0,0003</w:t>
            </w:r>
          </w:p>
        </w:tc>
      </w:tr>
      <w:tr w:rsidR="00284377" w14:paraId="2F75D339" w14:textId="77777777">
        <w:trPr>
          <w:trHeight w:hRule="exact" w:val="264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AED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59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Invazív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szándék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4514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8,5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0306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E683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DCA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01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16 (6, 25)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927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0,0025</w:t>
            </w:r>
          </w:p>
        </w:tc>
      </w:tr>
      <w:tr w:rsidR="00284377" w14:paraId="5213A80B" w14:textId="77777777">
        <w:trPr>
          <w:trHeight w:hRule="exact" w:val="514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4EC1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59" w:right="582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Gyógyszeres</w:t>
            </w:r>
            <w:r>
              <w:rPr>
                <w:rFonts w:eastAsia="Times New Roman"/>
                <w:snapToGrid/>
                <w:spacing w:val="2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>kezelés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181D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3FB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12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13,2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C402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2,3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6B90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48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15 (0,3, 27)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4B0E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95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0,0444</w:t>
            </w:r>
            <w:r>
              <w:rPr>
                <w:rFonts w:eastAsia="Times New Roman"/>
                <w:snapToGrid/>
                <w:szCs w:val="22"/>
                <w:vertAlign w:val="superscript"/>
                <w:lang w:val="hu-HU" w:eastAsia="hu-HU"/>
              </w:rPr>
              <w:t>d</w:t>
            </w:r>
          </w:p>
        </w:tc>
      </w:tr>
      <w:tr w:rsidR="00284377" w14:paraId="18161E58" w14:textId="77777777">
        <w:trPr>
          <w:trHeight w:hRule="exact" w:val="518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2A030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 w:right="491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Cardiovascularis</w:t>
            </w:r>
            <w:proofErr w:type="spellEnd"/>
            <w:r>
              <w:rPr>
                <w:rFonts w:eastAsia="Times New Roman"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halálozás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8246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8A05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78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CE4A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68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B95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39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21 (9, 31)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BCEB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0,0013</w:t>
            </w:r>
          </w:p>
        </w:tc>
      </w:tr>
      <w:tr w:rsidR="00284377" w14:paraId="43E14575" w14:textId="77777777">
        <w:trPr>
          <w:trHeight w:hRule="exact" w:val="575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6E41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 w:right="308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MI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(kivéve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zCs w:val="22"/>
                <w:lang w:val="hu-HU" w:eastAsia="hu-HU"/>
              </w:rPr>
              <w:t>a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néma</w:t>
            </w:r>
            <w:r>
              <w:rPr>
                <w:rFonts w:eastAsia="Times New Roman"/>
                <w:snapToGrid/>
                <w:spacing w:val="22"/>
                <w:szCs w:val="22"/>
                <w:lang w:val="hu-HU" w:eastAsia="hu-HU"/>
              </w:rPr>
              <w:t xml:space="preserve"> </w:t>
            </w:r>
            <w:proofErr w:type="gram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MI)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b</w:t>
            </w:r>
            <w:proofErr w:type="gramEnd"/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A3E0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5,4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B227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78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C316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78"/>
              <w:jc w:val="center"/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A021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339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16 (5, 25)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E8000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="2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0,0045</w:t>
            </w:r>
          </w:p>
        </w:tc>
      </w:tr>
      <w:tr w:rsidR="00284377" w14:paraId="1003E9C7" w14:textId="77777777">
        <w:trPr>
          <w:trHeight w:hRule="exact" w:val="264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81F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Stroke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4F6D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BDA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F53D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30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-0,2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EE7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91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-17</w:t>
            </w: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(-52,</w:t>
            </w:r>
            <w:r>
              <w:rPr>
                <w:rFonts w:eastAsia="Times New Roman"/>
                <w:snapToGrid/>
                <w:spacing w:val="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zCs w:val="22"/>
                <w:lang w:val="hu-HU" w:eastAsia="hu-HU"/>
              </w:rPr>
              <w:t>9)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A5462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0,2249</w:t>
            </w:r>
          </w:p>
        </w:tc>
      </w:tr>
      <w:tr w:rsidR="00284377" w14:paraId="7B5BDA52" w14:textId="77777777">
        <w:trPr>
          <w:trHeight w:hRule="exact" w:val="768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3749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 w:right="174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Összmortalitás</w:t>
            </w:r>
            <w:proofErr w:type="spellEnd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, MI</w:t>
            </w:r>
            <w:r>
              <w:rPr>
                <w:rFonts w:eastAsia="Times New Roman"/>
                <w:snapToGrid/>
                <w:spacing w:val="21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(kivéve </w:t>
            </w:r>
            <w:r>
              <w:rPr>
                <w:rFonts w:eastAsia="Times New Roman"/>
                <w:snapToGrid/>
                <w:szCs w:val="22"/>
                <w:lang w:val="hu-HU" w:eastAsia="hu-HU"/>
              </w:rPr>
              <w:t>a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 néma MI),</w:t>
            </w:r>
            <w:r>
              <w:rPr>
                <w:rFonts w:eastAsia="Times New Roman"/>
                <w:snapToGrid/>
                <w:spacing w:val="2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vagy stroke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1A3A5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0EFFA64B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009B56D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82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9,7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374D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537C5CFA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6507C1E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12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A803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158866EA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2CE0E12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68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2,1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B175F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722C6ECD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2DA39FC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39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16 (8, 23)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4EE41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7EA51B76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1F1B74C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0,0001</w:t>
            </w:r>
          </w:p>
        </w:tc>
      </w:tr>
      <w:tr w:rsidR="00284377" w14:paraId="7D8C4624" w14:textId="77777777">
        <w:trPr>
          <w:trHeight w:hRule="exact" w:val="1022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6870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 w:right="97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Cardiovascularis</w:t>
            </w:r>
            <w:proofErr w:type="spellEnd"/>
            <w:r>
              <w:rPr>
                <w:rFonts w:eastAsia="Times New Roman"/>
                <w:snapToGrid/>
                <w:spacing w:val="20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halálozás, összes MI,</w:t>
            </w:r>
            <w:r>
              <w:rPr>
                <w:rFonts w:eastAsia="Times New Roman"/>
                <w:snapToGrid/>
                <w:spacing w:val="2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stroke, SRI, RI, TIA,</w:t>
            </w:r>
            <w:r>
              <w:rPr>
                <w:rFonts w:eastAsia="Times New Roman"/>
                <w:snapToGrid/>
                <w:spacing w:val="23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vagy</w:t>
            </w:r>
            <w:r>
              <w:rPr>
                <w:rFonts w:eastAsia="Times New Roman"/>
                <w:snapToGrid/>
                <w:spacing w:val="-2"/>
                <w:szCs w:val="22"/>
                <w:lang w:val="hu-HU" w:eastAsia="hu-HU"/>
              </w:rPr>
              <w:t xml:space="preserve"> </w:t>
            </w: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egyéb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ATE</w:t>
            </w:r>
            <w:r>
              <w:rPr>
                <w:rFonts w:eastAsia="Times New Roman"/>
                <w:snapToGrid/>
                <w:spacing w:val="-1"/>
                <w:szCs w:val="22"/>
                <w:vertAlign w:val="superscript"/>
                <w:lang w:val="hu-HU" w:eastAsia="hu-HU"/>
              </w:rPr>
              <w:t>c</w:t>
            </w:r>
            <w:proofErr w:type="spellEnd"/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52DA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5E293795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6E46266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CDF2B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7E4A37AE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0046FDD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586E9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23957602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37DCF907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68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2,1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A5444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458F7C8F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2CAA5B35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39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12 (5, 19)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D141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425D6BA7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5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14F7B29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34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0,0006</w:t>
            </w:r>
          </w:p>
        </w:tc>
      </w:tr>
      <w:tr w:rsidR="00284377" w14:paraId="420E47BD" w14:textId="77777777">
        <w:trPr>
          <w:trHeight w:hRule="exact" w:val="518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BBEC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62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Összmortalitás</w:t>
            </w:r>
            <w:proofErr w:type="spellEnd"/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1A658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59D7223C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4,3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92E57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6B83919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4A9AB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639DC2EF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C4568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8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270F86EB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7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22 (11, 31)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79A93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4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33B1AB8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95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0,0003</w:t>
            </w:r>
            <w:r>
              <w:rPr>
                <w:rFonts w:eastAsia="Times New Roman"/>
                <w:snapToGrid/>
                <w:szCs w:val="22"/>
                <w:vertAlign w:val="superscript"/>
                <w:lang w:val="hu-HU" w:eastAsia="hu-HU"/>
              </w:rPr>
              <w:t>d</w:t>
            </w:r>
          </w:p>
        </w:tc>
      </w:tr>
      <w:tr w:rsidR="00284377" w14:paraId="5F959749" w14:textId="77777777">
        <w:trPr>
          <w:trHeight w:hRule="exact" w:val="514"/>
        </w:trPr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2F481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04" w:right="707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 xml:space="preserve">Definitív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stent</w:t>
            </w:r>
            <w:proofErr w:type="spellEnd"/>
            <w:r>
              <w:rPr>
                <w:rFonts w:eastAsia="Times New Roman"/>
                <w:snapToGrid/>
                <w:spacing w:val="21"/>
                <w:szCs w:val="22"/>
                <w:lang w:val="hu-HU" w:eastAsia="hu-HU"/>
              </w:rPr>
              <w:t xml:space="preserve"> </w:t>
            </w:r>
            <w:proofErr w:type="spellStart"/>
            <w:r>
              <w:rPr>
                <w:rFonts w:eastAsia="Times New Roman"/>
                <w:snapToGrid/>
                <w:spacing w:val="-1"/>
                <w:szCs w:val="22"/>
                <w:lang w:val="hu-HU" w:eastAsia="hu-HU"/>
              </w:rPr>
              <w:t>thrombosis</w:t>
            </w:r>
            <w:proofErr w:type="spellEnd"/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AC058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7E41D4BE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6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B8911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0A161763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"/>
              <w:jc w:val="center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1,7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BEC03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6EE9E7A8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58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pacing w:val="1"/>
                <w:szCs w:val="22"/>
                <w:lang w:val="hu-HU" w:eastAsia="hu-HU"/>
              </w:rPr>
              <w:t>0,6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91D8E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3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419F9E70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301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32 (8, 49)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DFDF7" w14:textId="77777777" w:rsidR="00284377" w:rsidRDefault="00284377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40" w:lineRule="auto"/>
              <w:rPr>
                <w:rFonts w:eastAsia="Times New Roman"/>
                <w:b/>
                <w:bCs/>
                <w:snapToGrid/>
                <w:szCs w:val="22"/>
                <w:lang w:val="hu-HU" w:eastAsia="hu-HU"/>
              </w:rPr>
            </w:pPr>
          </w:p>
          <w:p w14:paraId="1954A6F4" w14:textId="77777777" w:rsidR="00284377" w:rsidRDefault="00D321AB">
            <w:pPr>
              <w:widowControl w:val="0"/>
              <w:tabs>
                <w:tab w:val="clear" w:pos="567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195"/>
              <w:rPr>
                <w:rFonts w:eastAsia="Times New Roman"/>
                <w:snapToGrid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szCs w:val="22"/>
                <w:lang w:val="hu-HU" w:eastAsia="hu-HU"/>
              </w:rPr>
              <w:t>0,0123</w:t>
            </w:r>
            <w:r>
              <w:rPr>
                <w:rFonts w:eastAsia="Times New Roman"/>
                <w:snapToGrid/>
                <w:szCs w:val="22"/>
                <w:vertAlign w:val="superscript"/>
                <w:lang w:val="hu-HU" w:eastAsia="hu-HU"/>
              </w:rPr>
              <w:t>d</w:t>
            </w:r>
          </w:p>
        </w:tc>
      </w:tr>
    </w:tbl>
    <w:p w14:paraId="08D9B1A7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spacing w:val="-1"/>
          <w:position w:val="6"/>
          <w:sz w:val="18"/>
          <w:szCs w:val="18"/>
        </w:rPr>
        <w:t>a</w:t>
      </w:r>
      <w:r>
        <w:rPr>
          <w:b w:val="0"/>
          <w:i w:val="0"/>
          <w:spacing w:val="-1"/>
          <w:sz w:val="18"/>
          <w:szCs w:val="18"/>
        </w:rPr>
        <w:t>ARR </w:t>
      </w:r>
      <w:r>
        <w:rPr>
          <w:b w:val="0"/>
          <w:i w:val="0"/>
          <w:sz w:val="18"/>
          <w:szCs w:val="18"/>
        </w:rPr>
        <w:t>= </w:t>
      </w:r>
      <w:r>
        <w:rPr>
          <w:b w:val="0"/>
          <w:i w:val="0"/>
          <w:spacing w:val="-1"/>
          <w:sz w:val="18"/>
          <w:szCs w:val="18"/>
        </w:rPr>
        <w:t>abszolút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kockázatcsökkenés;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RRR </w:t>
      </w:r>
      <w:r>
        <w:rPr>
          <w:b w:val="0"/>
          <w:i w:val="0"/>
          <w:sz w:val="18"/>
          <w:szCs w:val="18"/>
        </w:rPr>
        <w:t>= </w:t>
      </w:r>
      <w:r>
        <w:rPr>
          <w:b w:val="0"/>
          <w:i w:val="0"/>
          <w:spacing w:val="-1"/>
          <w:sz w:val="18"/>
          <w:szCs w:val="18"/>
        </w:rPr>
        <w:t>relatív</w:t>
      </w:r>
      <w:r>
        <w:rPr>
          <w:b w:val="0"/>
          <w:i w:val="0"/>
          <w:spacing w:val="2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kockázatcsökkenés</w:t>
      </w:r>
      <w:r>
        <w:rPr>
          <w:b w:val="0"/>
          <w:i w:val="0"/>
          <w:spacing w:val="3"/>
          <w:sz w:val="18"/>
          <w:szCs w:val="18"/>
        </w:rPr>
        <w:t> </w:t>
      </w:r>
      <w:r>
        <w:rPr>
          <w:b w:val="0"/>
          <w:i w:val="0"/>
          <w:sz w:val="18"/>
          <w:szCs w:val="18"/>
        </w:rPr>
        <w:t>= </w:t>
      </w:r>
      <w:r>
        <w:rPr>
          <w:b w:val="0"/>
          <w:i w:val="0"/>
          <w:spacing w:val="-2"/>
          <w:sz w:val="18"/>
          <w:szCs w:val="18"/>
        </w:rPr>
        <w:t>(1-relatív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hazárd) </w:t>
      </w:r>
      <w:r>
        <w:rPr>
          <w:b w:val="0"/>
          <w:i w:val="0"/>
          <w:sz w:val="18"/>
          <w:szCs w:val="18"/>
        </w:rPr>
        <w:t>× </w:t>
      </w:r>
      <w:r>
        <w:rPr>
          <w:b w:val="0"/>
          <w:i w:val="0"/>
          <w:spacing w:val="-2"/>
          <w:sz w:val="18"/>
          <w:szCs w:val="18"/>
        </w:rPr>
        <w:t>100%.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2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negatív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RRR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relatív</w:t>
      </w:r>
      <w:r>
        <w:rPr>
          <w:b w:val="0"/>
          <w:i w:val="0"/>
          <w:spacing w:val="-1"/>
          <w:sz w:val="18"/>
          <w:szCs w:val="18"/>
        </w:rPr>
        <w:t>kockázat</w:t>
      </w:r>
      <w:r>
        <w:rPr>
          <w:b w:val="0"/>
          <w:i w:val="0"/>
          <w:spacing w:val="7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növekedését</w:t>
      </w:r>
      <w:r>
        <w:rPr>
          <w:b w:val="0"/>
          <w:i w:val="0"/>
          <w:spacing w:val="7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jelzi.</w:t>
      </w:r>
    </w:p>
    <w:p w14:paraId="2280F6E3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spacing w:val="-2"/>
          <w:position w:val="6"/>
          <w:sz w:val="18"/>
          <w:szCs w:val="18"/>
        </w:rPr>
        <w:t>b</w:t>
      </w:r>
      <w:r>
        <w:rPr>
          <w:b w:val="0"/>
          <w:i w:val="0"/>
          <w:spacing w:val="-2"/>
          <w:sz w:val="18"/>
          <w:szCs w:val="18"/>
        </w:rPr>
        <w:t>kivéve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néma</w:t>
      </w:r>
      <w:r>
        <w:rPr>
          <w:b w:val="0"/>
          <w:i w:val="0"/>
          <w:spacing w:val="4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2"/>
          <w:sz w:val="18"/>
          <w:szCs w:val="18"/>
        </w:rPr>
        <w:t>myocardialis</w:t>
      </w:r>
      <w:proofErr w:type="spellEnd"/>
      <w:r>
        <w:rPr>
          <w:b w:val="0"/>
          <w:i w:val="0"/>
          <w:spacing w:val="5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2"/>
          <w:sz w:val="18"/>
          <w:szCs w:val="18"/>
        </w:rPr>
        <w:t>infarctust</w:t>
      </w:r>
      <w:proofErr w:type="spellEnd"/>
      <w:r>
        <w:rPr>
          <w:b w:val="0"/>
          <w:i w:val="0"/>
          <w:spacing w:val="-2"/>
          <w:sz w:val="18"/>
          <w:szCs w:val="18"/>
        </w:rPr>
        <w:t>.</w:t>
      </w:r>
    </w:p>
    <w:p w14:paraId="488C242D" w14:textId="77777777" w:rsidR="00284377" w:rsidRDefault="00D321AB">
      <w:pPr>
        <w:pStyle w:val="Szvegtrzs"/>
        <w:kinsoku w:val="0"/>
        <w:overflowPunct w:val="0"/>
        <w:spacing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spacing w:val="-1"/>
          <w:position w:val="6"/>
          <w:sz w:val="18"/>
          <w:szCs w:val="18"/>
        </w:rPr>
        <w:t>c</w:t>
      </w:r>
      <w:r>
        <w:rPr>
          <w:b w:val="0"/>
          <w:i w:val="0"/>
          <w:spacing w:val="-1"/>
          <w:sz w:val="18"/>
          <w:szCs w:val="18"/>
        </w:rPr>
        <w:t>SRI </w:t>
      </w:r>
      <w:r>
        <w:rPr>
          <w:b w:val="0"/>
          <w:i w:val="0"/>
          <w:sz w:val="18"/>
          <w:szCs w:val="18"/>
        </w:rPr>
        <w:t>= </w:t>
      </w:r>
      <w:r>
        <w:rPr>
          <w:b w:val="0"/>
          <w:i w:val="0"/>
          <w:spacing w:val="-1"/>
          <w:sz w:val="18"/>
          <w:szCs w:val="18"/>
        </w:rPr>
        <w:t>súlyos,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visszatérő</w:t>
      </w:r>
      <w:r>
        <w:rPr>
          <w:b w:val="0"/>
          <w:i w:val="0"/>
          <w:spacing w:val="3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ischaemia</w:t>
      </w:r>
      <w:proofErr w:type="spellEnd"/>
      <w:r>
        <w:rPr>
          <w:b w:val="0"/>
          <w:i w:val="0"/>
          <w:spacing w:val="-1"/>
          <w:sz w:val="18"/>
          <w:szCs w:val="18"/>
        </w:rPr>
        <w:t>;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RI</w:t>
      </w:r>
      <w:r>
        <w:rPr>
          <w:b w:val="0"/>
          <w:i w:val="0"/>
          <w:spacing w:val="2"/>
          <w:sz w:val="18"/>
          <w:szCs w:val="18"/>
        </w:rPr>
        <w:t> </w:t>
      </w:r>
      <w:r>
        <w:rPr>
          <w:b w:val="0"/>
          <w:i w:val="0"/>
          <w:sz w:val="18"/>
          <w:szCs w:val="18"/>
        </w:rPr>
        <w:t>= </w:t>
      </w:r>
      <w:r>
        <w:rPr>
          <w:b w:val="0"/>
          <w:i w:val="0"/>
          <w:spacing w:val="-1"/>
          <w:sz w:val="18"/>
          <w:szCs w:val="18"/>
        </w:rPr>
        <w:t>visszatérő</w:t>
      </w:r>
      <w:r>
        <w:rPr>
          <w:b w:val="0"/>
          <w:i w:val="0"/>
          <w:spacing w:val="3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ischaemia</w:t>
      </w:r>
      <w:proofErr w:type="spellEnd"/>
      <w:r>
        <w:rPr>
          <w:b w:val="0"/>
          <w:i w:val="0"/>
          <w:spacing w:val="-1"/>
          <w:sz w:val="18"/>
          <w:szCs w:val="18"/>
        </w:rPr>
        <w:t>;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TIA </w:t>
      </w:r>
      <w:r>
        <w:rPr>
          <w:b w:val="0"/>
          <w:i w:val="0"/>
          <w:sz w:val="18"/>
          <w:szCs w:val="18"/>
        </w:rPr>
        <w:t>= átmeneti agyi keringési zavar</w:t>
      </w:r>
      <w:r>
        <w:rPr>
          <w:b w:val="0"/>
          <w:i w:val="0"/>
          <w:spacing w:val="-1"/>
          <w:sz w:val="18"/>
          <w:szCs w:val="18"/>
        </w:rPr>
        <w:t>;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ATE</w:t>
      </w:r>
      <w:r>
        <w:rPr>
          <w:b w:val="0"/>
          <w:i w:val="0"/>
          <w:spacing w:val="3"/>
          <w:sz w:val="18"/>
          <w:szCs w:val="18"/>
        </w:rPr>
        <w:t> </w:t>
      </w:r>
      <w:r>
        <w:rPr>
          <w:b w:val="0"/>
          <w:i w:val="0"/>
          <w:sz w:val="18"/>
          <w:szCs w:val="18"/>
        </w:rPr>
        <w:t>= </w:t>
      </w:r>
      <w:proofErr w:type="spellStart"/>
      <w:r>
        <w:rPr>
          <w:b w:val="0"/>
          <w:i w:val="0"/>
          <w:spacing w:val="-1"/>
          <w:sz w:val="18"/>
          <w:szCs w:val="18"/>
        </w:rPr>
        <w:t>arteriás</w:t>
      </w:r>
      <w:proofErr w:type="spellEnd"/>
      <w:r>
        <w:rPr>
          <w:b w:val="0"/>
          <w:i w:val="0"/>
          <w:spacing w:val="24"/>
          <w:w w:val="101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thromboticus</w:t>
      </w:r>
      <w:proofErr w:type="spellEnd"/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esemény.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Az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összes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MI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tartalmazza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néma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4"/>
          <w:sz w:val="18"/>
          <w:szCs w:val="18"/>
        </w:rPr>
        <w:t>MI-t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is,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az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esemény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bekövetkezésének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dátuma</w:t>
      </w:r>
      <w:r>
        <w:rPr>
          <w:b w:val="0"/>
          <w:i w:val="0"/>
          <w:spacing w:val="3"/>
          <w:sz w:val="18"/>
          <w:szCs w:val="18"/>
        </w:rPr>
        <w:t xml:space="preserve"> </w:t>
      </w:r>
      <w:r>
        <w:rPr>
          <w:b w:val="0"/>
          <w:i w:val="0"/>
          <w:sz w:val="18"/>
          <w:szCs w:val="18"/>
        </w:rPr>
        <w:t>a</w:t>
      </w:r>
      <w:r>
        <w:rPr>
          <w:b w:val="0"/>
          <w:i w:val="0"/>
          <w:spacing w:val="4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diagnosztizálás</w:t>
      </w:r>
      <w:r>
        <w:rPr>
          <w:b w:val="0"/>
          <w:i w:val="0"/>
          <w:spacing w:val="28"/>
          <w:w w:val="101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dátumára</w:t>
      </w:r>
      <w:r>
        <w:rPr>
          <w:b w:val="0"/>
          <w:i w:val="0"/>
          <w:spacing w:val="11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cserélve.</w:t>
      </w:r>
    </w:p>
    <w:p w14:paraId="4354B7A7" w14:textId="77777777" w:rsidR="00284377" w:rsidRDefault="00D321AB">
      <w:pPr>
        <w:pStyle w:val="Szvegtrzs"/>
        <w:kinsoku w:val="0"/>
        <w:overflowPunct w:val="0"/>
        <w:spacing w:before="2" w:line="240" w:lineRule="auto"/>
        <w:rPr>
          <w:b w:val="0"/>
          <w:i w:val="0"/>
          <w:sz w:val="18"/>
          <w:szCs w:val="18"/>
        </w:rPr>
      </w:pPr>
      <w:r>
        <w:rPr>
          <w:b w:val="0"/>
          <w:i w:val="0"/>
          <w:spacing w:val="-2"/>
          <w:position w:val="6"/>
          <w:sz w:val="18"/>
          <w:szCs w:val="18"/>
        </w:rPr>
        <w:t>d</w:t>
      </w:r>
      <w:r>
        <w:rPr>
          <w:b w:val="0"/>
          <w:i w:val="0"/>
          <w:spacing w:val="-2"/>
          <w:sz w:val="18"/>
          <w:szCs w:val="18"/>
        </w:rPr>
        <w:t>nominális</w:t>
      </w:r>
      <w:r>
        <w:rPr>
          <w:b w:val="0"/>
          <w:i w:val="0"/>
          <w:spacing w:val="6"/>
          <w:sz w:val="18"/>
          <w:szCs w:val="18"/>
        </w:rPr>
        <w:t xml:space="preserve"> </w:t>
      </w:r>
      <w:r>
        <w:rPr>
          <w:b w:val="0"/>
          <w:i w:val="0"/>
          <w:spacing w:val="-2"/>
          <w:sz w:val="18"/>
          <w:szCs w:val="18"/>
        </w:rPr>
        <w:t>szignifikancia-érték;</w:t>
      </w:r>
      <w:r>
        <w:rPr>
          <w:b w:val="0"/>
          <w:i w:val="0"/>
          <w:spacing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minden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más,</w:t>
      </w:r>
      <w:r>
        <w:rPr>
          <w:b w:val="0"/>
          <w:i w:val="0"/>
          <w:spacing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előre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definiált</w:t>
      </w:r>
      <w:r>
        <w:rPr>
          <w:b w:val="0"/>
          <w:i w:val="0"/>
          <w:spacing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hierarchikus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módszerrel</w:t>
      </w:r>
      <w:r>
        <w:rPr>
          <w:b w:val="0"/>
          <w:i w:val="0"/>
          <w:spacing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vizsgálva</w:t>
      </w:r>
      <w:r>
        <w:rPr>
          <w:b w:val="0"/>
          <w:i w:val="0"/>
          <w:spacing w:val="5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formálisan</w:t>
      </w:r>
      <w:r>
        <w:rPr>
          <w:b w:val="0"/>
          <w:i w:val="0"/>
          <w:spacing w:val="6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is</w:t>
      </w:r>
      <w:r>
        <w:rPr>
          <w:b w:val="0"/>
          <w:i w:val="0"/>
          <w:spacing w:val="5"/>
          <w:sz w:val="18"/>
          <w:szCs w:val="18"/>
        </w:rPr>
        <w:t xml:space="preserve"> </w:t>
      </w:r>
      <w:proofErr w:type="spellStart"/>
      <w:r>
        <w:rPr>
          <w:b w:val="0"/>
          <w:i w:val="0"/>
          <w:spacing w:val="-1"/>
          <w:sz w:val="18"/>
          <w:szCs w:val="18"/>
        </w:rPr>
        <w:t>statisztikailag</w:t>
      </w:r>
      <w:proofErr w:type="spellEnd"/>
      <w:r>
        <w:rPr>
          <w:b w:val="0"/>
          <w:i w:val="0"/>
          <w:spacing w:val="74"/>
          <w:w w:val="101"/>
          <w:sz w:val="18"/>
          <w:szCs w:val="18"/>
        </w:rPr>
        <w:t xml:space="preserve"> </w:t>
      </w:r>
      <w:r>
        <w:rPr>
          <w:b w:val="0"/>
          <w:i w:val="0"/>
          <w:spacing w:val="-1"/>
          <w:sz w:val="18"/>
          <w:szCs w:val="18"/>
        </w:rPr>
        <w:t>szignifikáns.</w:t>
      </w:r>
    </w:p>
    <w:p w14:paraId="24164B53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pacing w:val="-1"/>
          <w:szCs w:val="22"/>
          <w:u w:val="single"/>
          <w:lang w:val="hu-HU" w:eastAsia="hu-HU"/>
        </w:rPr>
      </w:pPr>
    </w:p>
    <w:p w14:paraId="065477D6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i/>
          <w:snapToGrid/>
          <w:szCs w:val="22"/>
          <w:lang w:val="hu-HU" w:eastAsia="hu-HU"/>
        </w:rPr>
      </w:pPr>
      <w:r>
        <w:rPr>
          <w:rFonts w:eastAsia="Times New Roman"/>
          <w:i/>
          <w:snapToGrid/>
          <w:spacing w:val="-1"/>
          <w:szCs w:val="22"/>
          <w:lang w:val="hu-HU" w:eastAsia="hu-HU"/>
        </w:rPr>
        <w:t>PLATO genetikai alvizsgálat</w:t>
      </w:r>
    </w:p>
    <w:p w14:paraId="7186078F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6" w:line="240" w:lineRule="auto"/>
        <w:rPr>
          <w:rFonts w:eastAsia="Times New Roman"/>
          <w:snapToGrid/>
          <w:spacing w:val="-1"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>PLATO-vizsgálatban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résztvevő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10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zCs w:val="22"/>
          <w:lang w:val="hu-HU" w:eastAsia="hu-HU"/>
        </w:rPr>
        <w:t>285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beteg CYP2C19 és ABCB1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genotipizálása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összefüggéseket</w:t>
      </w:r>
      <w:r>
        <w:rPr>
          <w:rFonts w:eastAsia="Times New Roman"/>
          <w:snapToGrid/>
          <w:spacing w:val="4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jelzett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genotípuscsoportok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és</w:t>
      </w:r>
      <w:r>
        <w:rPr>
          <w:rFonts w:eastAsia="Times New Roman"/>
          <w:snapToGrid/>
          <w:szCs w:val="22"/>
          <w:lang w:val="hu-HU" w:eastAsia="hu-HU"/>
        </w:rPr>
        <w:t xml:space="preserve"> a</w:t>
      </w:r>
      <w:r>
        <w:rPr>
          <w:rFonts w:eastAsia="Times New Roman"/>
          <w:snapToGrid/>
          <w:spacing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PLATO-vizsgálat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eredményei </w:t>
      </w:r>
      <w:r>
        <w:rPr>
          <w:rFonts w:eastAsia="Times New Roman"/>
          <w:snapToGrid/>
          <w:spacing w:val="-1"/>
          <w:szCs w:val="22"/>
          <w:lang w:val="hu-HU" w:eastAsia="hu-HU"/>
        </w:rPr>
        <w:t>között.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tikagrelornak</w:t>
      </w:r>
      <w:proofErr w:type="spellEnd"/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jelentős</w:t>
      </w:r>
      <w:r>
        <w:rPr>
          <w:rFonts w:eastAsia="Times New Roman"/>
          <w:snapToGrid/>
          <w:spacing w:val="42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események csökkentésében mutatott,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klopidogrelhez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viszonyított kedvezőbb hatását</w:t>
      </w:r>
      <w:r>
        <w:rPr>
          <w:rFonts w:eastAsia="Times New Roman"/>
          <w:snapToGrid/>
          <w:spacing w:val="4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nem befolyásolta jelentősen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betegek CYP2C19 vagy ABCB1 genotípusa.</w:t>
      </w:r>
      <w:r>
        <w:rPr>
          <w:rFonts w:eastAsia="Times New Roman"/>
          <w:snapToGrid/>
          <w:szCs w:val="22"/>
          <w:lang w:val="hu-HU" w:eastAsia="hu-HU"/>
        </w:rPr>
        <w:t xml:space="preserve"> A </w:t>
      </w:r>
      <w:r>
        <w:rPr>
          <w:rFonts w:eastAsia="Times New Roman"/>
          <w:snapToGrid/>
          <w:spacing w:val="-1"/>
          <w:szCs w:val="22"/>
          <w:lang w:val="hu-HU" w:eastAsia="hu-HU"/>
        </w:rPr>
        <w:t>PLATO-vizsgálat</w:t>
      </w:r>
      <w:r>
        <w:rPr>
          <w:rFonts w:eastAsia="Times New Roman"/>
          <w:snapToGrid/>
          <w:spacing w:val="3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egészéhez hasonlóan,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és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között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CYP2C19 vagy ABCB1 genotípustól</w:t>
      </w:r>
      <w:r>
        <w:rPr>
          <w:rFonts w:eastAsia="Times New Roman"/>
          <w:snapToGrid/>
          <w:spacing w:val="29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függetlenül nem volt különbség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PLATO definíció szerinti összes jelentős vérzésben.</w:t>
      </w:r>
      <w:r>
        <w:rPr>
          <w:rFonts w:eastAsia="Times New Roman"/>
          <w:snapToGrid/>
          <w:spacing w:val="5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3"/>
          <w:szCs w:val="22"/>
          <w:lang w:val="hu-HU" w:eastAsia="hu-HU"/>
        </w:rPr>
        <w:t xml:space="preserve">nem </w:t>
      </w:r>
      <w:r>
        <w:rPr>
          <w:rFonts w:eastAsia="Times New Roman"/>
          <w:snapToGrid/>
          <w:spacing w:val="-2"/>
          <w:szCs w:val="22"/>
          <w:lang w:val="hu-HU" w:eastAsia="hu-HU"/>
        </w:rPr>
        <w:t>CABG-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tal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összefüggő, jelentős vérzés gyakoribb</w:t>
      </w:r>
      <w:r>
        <w:rPr>
          <w:rFonts w:eastAsia="Times New Roman"/>
          <w:snapToGrid/>
          <w:spacing w:val="7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volt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, mint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esetén az olyan</w:t>
      </w:r>
      <w:r>
        <w:rPr>
          <w:rFonts w:eastAsia="Times New Roman"/>
          <w:snapToGrid/>
          <w:spacing w:val="3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betegeknél, akiknél egy vagy több CYP2C19 működő allél hiányzott, de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klopidogrelhez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hasonló volt</w:t>
      </w:r>
      <w:r>
        <w:rPr>
          <w:rFonts w:eastAsia="Times New Roman"/>
          <w:snapToGrid/>
          <w:spacing w:val="24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az olyan betegeknél, akiknél nem hiányzott működő allél.</w:t>
      </w:r>
    </w:p>
    <w:p w14:paraId="3DDCE958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6" w:line="240" w:lineRule="auto"/>
        <w:rPr>
          <w:rFonts w:eastAsia="Times New Roman"/>
          <w:snapToGrid/>
          <w:spacing w:val="-1"/>
          <w:szCs w:val="22"/>
          <w:lang w:val="hu-HU" w:eastAsia="hu-HU"/>
        </w:rPr>
      </w:pPr>
    </w:p>
    <w:p w14:paraId="5EF09A2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6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i/>
          <w:iCs/>
          <w:snapToGrid/>
          <w:spacing w:val="-1"/>
          <w:szCs w:val="22"/>
          <w:lang w:val="hu-HU" w:eastAsia="hu-HU"/>
        </w:rPr>
        <w:t xml:space="preserve">Kombinált hatásossági és biztonságossági </w:t>
      </w:r>
      <w:r>
        <w:rPr>
          <w:rFonts w:eastAsia="Times New Roman"/>
          <w:i/>
          <w:iCs/>
          <w:snapToGrid/>
          <w:spacing w:val="-2"/>
          <w:szCs w:val="22"/>
          <w:lang w:val="hu-HU" w:eastAsia="hu-HU"/>
        </w:rPr>
        <w:t>kompozit</w:t>
      </w:r>
    </w:p>
    <w:p w14:paraId="4F55B09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before="11"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kombinált hatásossági és biztonságossági kompozit </w:t>
      </w:r>
      <w:r>
        <w:rPr>
          <w:rFonts w:eastAsia="Times New Roman"/>
          <w:snapToGrid/>
          <w:spacing w:val="-2"/>
          <w:szCs w:val="22"/>
          <w:lang w:val="hu-HU" w:eastAsia="hu-HU"/>
        </w:rPr>
        <w:t>(</w:t>
      </w:r>
      <w:proofErr w:type="spellStart"/>
      <w:r>
        <w:rPr>
          <w:rFonts w:eastAsia="Times New Roman"/>
          <w:snapToGrid/>
          <w:spacing w:val="-2"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halálozás, MI, stroke vagy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5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PLATO definíció szerinti összes jelentős vérzés) azt jelzi, hogy az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akut coronaria szindrómát követő</w:t>
      </w:r>
      <w:r>
        <w:rPr>
          <w:rFonts w:eastAsia="Times New Roman"/>
          <w:snapToGrid/>
          <w:spacing w:val="26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12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pacing w:val="-2"/>
          <w:szCs w:val="22"/>
          <w:lang w:val="hu-HU" w:eastAsia="hu-HU"/>
        </w:rPr>
        <w:t>hónapban</w:t>
      </w:r>
      <w:r>
        <w:rPr>
          <w:rFonts w:eastAsia="Times New Roman"/>
          <w:snapToGrid/>
          <w:spacing w:val="1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tikagrelornak</w:t>
      </w:r>
      <w:proofErr w:type="spellEnd"/>
      <w:r>
        <w:rPr>
          <w:rFonts w:eastAsia="Times New Roman"/>
          <w:snapToGrid/>
          <w:spacing w:val="-3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pacing w:val="-1"/>
          <w:szCs w:val="22"/>
          <w:lang w:val="hu-HU" w:eastAsia="hu-HU"/>
        </w:rPr>
        <w:t>klopidogrelhez</w:t>
      </w:r>
      <w:proofErr w:type="spellEnd"/>
      <w:r>
        <w:rPr>
          <w:rFonts w:eastAsia="Times New Roman"/>
          <w:snapToGrid/>
          <w:spacing w:val="-1"/>
          <w:szCs w:val="22"/>
          <w:lang w:val="hu-HU" w:eastAsia="hu-HU"/>
        </w:rPr>
        <w:t xml:space="preserve"> viszonyított kedvezőbb hatásosságát nem szüntetik meg</w:t>
      </w:r>
      <w:r>
        <w:rPr>
          <w:rFonts w:eastAsia="Times New Roman"/>
          <w:snapToGrid/>
          <w:spacing w:val="3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jelentős vérzéses események (ARR 1,4%, RRR 8%, HR 0,92; </w:t>
      </w:r>
      <w:r>
        <w:rPr>
          <w:rFonts w:eastAsia="Times New Roman"/>
          <w:snapToGrid/>
          <w:szCs w:val="22"/>
          <w:lang w:val="hu-HU" w:eastAsia="hu-HU"/>
        </w:rPr>
        <w:t>p</w:t>
      </w:r>
      <w:r>
        <w:rPr>
          <w:rFonts w:eastAsia="Times New Roman"/>
          <w:snapToGrid/>
          <w:spacing w:val="2"/>
          <w:szCs w:val="22"/>
          <w:lang w:val="hu-HU" w:eastAsia="hu-HU"/>
        </w:rPr>
        <w:t> </w:t>
      </w:r>
      <w:r>
        <w:rPr>
          <w:rFonts w:eastAsia="Times New Roman"/>
          <w:snapToGrid/>
          <w:szCs w:val="22"/>
          <w:lang w:val="hu-HU" w:eastAsia="hu-HU"/>
        </w:rPr>
        <w:t>= </w:t>
      </w:r>
      <w:r>
        <w:rPr>
          <w:rFonts w:eastAsia="Times New Roman"/>
          <w:snapToGrid/>
          <w:spacing w:val="-1"/>
          <w:szCs w:val="22"/>
          <w:lang w:val="hu-HU" w:eastAsia="hu-HU"/>
        </w:rPr>
        <w:t>0,0257).</w:t>
      </w:r>
    </w:p>
    <w:p w14:paraId="25637695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C8E5AD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Klinikai biztonságosság</w:t>
      </w:r>
    </w:p>
    <w:p w14:paraId="7D201CD9" w14:textId="77777777" w:rsidR="00284377" w:rsidRDefault="00284377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</w:p>
    <w:p w14:paraId="53FFAC8A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Holter alvizsgálat:</w:t>
      </w:r>
    </w:p>
    <w:p w14:paraId="128AFFC7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PLATO-vizsgálat alatt a ventricularis pauzák és egyéb, arrhythmiás epizódok kialakulásának vizsgálata érdekében a vizsgálatot végzők közel 3000 betegből álló alcsoporton Holter-monitorral végeztek vizsgálatot, és közülük mintegy 2000 betegnél az akut coronaria szindróma akut fázisa alatt és utána egy hónappal is elvégezték a vizsgálatot. A vizsgált elsődleges változó a ≥ 3 másodperces </w:t>
      </w:r>
      <w:r>
        <w:rPr>
          <w:rFonts w:eastAsia="Times New Roman"/>
          <w:noProof/>
          <w:snapToGrid/>
          <w:szCs w:val="22"/>
          <w:lang w:val="hu-HU" w:eastAsia="en-US"/>
        </w:rPr>
        <w:lastRenderedPageBreak/>
        <w:t>ventricularis pauzák megjelenése volt. A tikagrelorral kezelt betegeknél az akut fázisban több volt a ventricularis pauza (6,0%), mint a klopidogrel mellett (3,5%), és több volt 1 hónappal később is, a tikagrelor esetén 2,2%, a klopidogrel esetén pedig 1,6% (lásd 4.4 pont). A ventricularis pauzák gyakoribbá válása az akut coronaria szindróma akut fázisában még kifejezettebb volt az olyan, tikagrelorral kezelt betegeknél, akiknek az anamnézisében krónikus szívelégtelenség szerepelt (9,2%, illetve 5,4% az olyan betegeknél, akiknek az anamnézisében nem volt krónikus szívelégtelenség; a klopidogrellel kezelt betegeknél 4,0% azoknál, akiknek az anamnézisében szerepelt, illetve 3,6% azoknál, akiknek az anamnézisében nem szerepelt krónikus szívelégtelenség). Ez a különbség nem jelentkezett 1 hónap múlva: sorrendben 2,0% a tikagrelort kapó olyan betegeknél, akiknek az anamnézisében szerepelt krónikus szívelégtelenség, illetve 2,1% azoknál, akiknél az nem szerepelt, míg ugyanez a klopidogrelt kapó betegeknél sorrendben 3,8%, illetve 1,4% volt. Ennek a különbségnek azonban ebben a betegpopulációban nem volt kedvezőtlen klinikai következménye (a pacemaker beültetést is beleértve).</w:t>
      </w:r>
    </w:p>
    <w:p w14:paraId="7983405E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B495680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PEGASUS-vizsgálat (anamnézisben szereplő myocardialis infarctus)</w:t>
      </w:r>
    </w:p>
    <w:p w14:paraId="07884C30" w14:textId="77777777" w:rsidR="00284377" w:rsidRDefault="00284377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</w:p>
    <w:p w14:paraId="231F45A8" w14:textId="6DA4A71A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PEGASUS TIMI-54-vizsgálat egy 21 162 beteggel végzett, eseményvezérelt, randomizált, kettős vak, placebokontrollos, párhuzamos csoportú, nemzetközi multicentrikus vizsgálat volt, azzal a céllal, hogy felmérje az atherothromboticus események kis dózisú acetilszalicilsavval kombinált (75</w:t>
      </w:r>
      <w:r>
        <w:rPr>
          <w:rFonts w:eastAsia="Times New Roman"/>
          <w:noProof/>
          <w:snapToGrid/>
          <w:szCs w:val="22"/>
          <w:lang w:val="hu-HU" w:eastAsia="en-US"/>
        </w:rPr>
        <w:noBreakHyphen/>
        <w:t>150</w:t>
      </w:r>
      <w:r>
        <w:rPr>
          <w:szCs w:val="22"/>
          <w:lang w:val="hu-HU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mg), 2 dózisban adott tikagrelorral történő prevencióját (vagy naponta kétszer 90</w:t>
      </w:r>
      <w:r>
        <w:rPr>
          <w:szCs w:val="22"/>
          <w:lang w:val="hu-HU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mg, vagy naponta kétszer 60</w:t>
      </w:r>
      <w:r>
        <w:rPr>
          <w:szCs w:val="22"/>
          <w:lang w:val="hu-HU"/>
        </w:rPr>
        <w:t> </w:t>
      </w:r>
      <w:r>
        <w:rPr>
          <w:rFonts w:eastAsia="Times New Roman"/>
          <w:noProof/>
          <w:snapToGrid/>
          <w:szCs w:val="22"/>
          <w:lang w:val="hu-HU" w:eastAsia="en-US"/>
        </w:rPr>
        <w:t>mg), az önmagában adott acetilszalicilsavhoz képest, olyan betegeknél, akiknek a kórelőzményében MI szerepel, és az atherothrombosis további kockázati tényezőivel is rendelkeznek.</w:t>
      </w:r>
    </w:p>
    <w:p w14:paraId="3E445B82" w14:textId="60AB8315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Azok a betegek voltak alkalmasak a részvételre, akik 50 évesek vagy idősebbek voltak, akiknek az anamnézisében MI szerepelt (a randomizáció előtt 1</w:t>
      </w:r>
      <w:r>
        <w:rPr>
          <w:rFonts w:eastAsia="Times New Roman"/>
          <w:noProof/>
          <w:snapToGrid/>
          <w:szCs w:val="22"/>
          <w:lang w:val="hu-HU" w:eastAsia="en-US"/>
        </w:rPr>
        <w:noBreakHyphen/>
        <w:t>3 évvel), és az atherothrombosis alábbi kockázati tényezői közül legalább eggyel rendelkeztek: életkor ≥ 65 év, gyógyszeres kezelést igénylő diabetes mellitus, egy második korábbi MI, több érre terjedő koszorúér-betegség vagy krónikus, nem végállapotú veseműködési zavar.</w:t>
      </w:r>
    </w:p>
    <w:p w14:paraId="5F775A40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betegek nem voltak alkalmasak a vizsgálatban való részvételre, ha P2Y</w:t>
      </w:r>
      <w:r>
        <w:rPr>
          <w:rFonts w:eastAsia="Times New Roman"/>
          <w:noProof/>
          <w:snapToGrid/>
          <w:szCs w:val="22"/>
          <w:vertAlign w:val="subscript"/>
          <w:lang w:val="hu-HU" w:eastAsia="en-US"/>
        </w:rPr>
        <w:t>12</w:t>
      </w:r>
      <w:r>
        <w:rPr>
          <w:rFonts w:eastAsia="Times New Roman"/>
          <w:noProof/>
          <w:snapToGrid/>
          <w:szCs w:val="22"/>
          <w:lang w:val="hu-HU" w:eastAsia="en-US"/>
        </w:rPr>
        <w:t>-receptor-antagonista, dipiridamol, cilosztazol vagy antikoaguláns kezelés alkalmazását tervezték náluk a vizsgálati időszak alatt, ha véralvadási zavaruk volt vagy a kórelőzményükben ischaemiás stroke vagy intracranialis vérzés, központi idegrendszeri daganat vagy intracranialis vascularis rendellenesség szerepelt, ha a megelőző 6 hónapban gastrointestinalis vérzésük, vagy az előző 30 napon belül nagy műtétjük volt.</w:t>
      </w:r>
    </w:p>
    <w:p w14:paraId="00CE39CC" w14:textId="77777777" w:rsidR="00284377" w:rsidRDefault="00284377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28BF3D8" w14:textId="77777777" w:rsidR="00284377" w:rsidRDefault="00D321AB">
      <w:pPr>
        <w:keepNext/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  <w:r>
        <w:rPr>
          <w:rFonts w:eastAsia="Times New Roman"/>
          <w:i/>
          <w:noProof/>
          <w:snapToGrid/>
          <w:szCs w:val="22"/>
          <w:lang w:val="hu-HU" w:eastAsia="en-US"/>
        </w:rPr>
        <w:t>Klinikai hatásosság</w:t>
      </w:r>
    </w:p>
    <w:p w14:paraId="4E1669CE" w14:textId="77777777" w:rsidR="00284377" w:rsidRDefault="00284377">
      <w:pPr>
        <w:keepNext/>
        <w:widowControl w:val="0"/>
        <w:tabs>
          <w:tab w:val="clear" w:pos="567"/>
          <w:tab w:val="left" w:pos="284"/>
          <w:tab w:val="left" w:pos="993"/>
        </w:tabs>
        <w:kinsoku w:val="0"/>
        <w:overflowPunct w:val="0"/>
        <w:autoSpaceDE w:val="0"/>
        <w:autoSpaceDN w:val="0"/>
        <w:adjustRightInd w:val="0"/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4CE5DBFC" w14:textId="77777777" w:rsidR="00284377" w:rsidRDefault="00D321AB">
      <w:pPr>
        <w:keepNext/>
        <w:widowControl w:val="0"/>
        <w:tabs>
          <w:tab w:val="clear" w:pos="567"/>
          <w:tab w:val="left" w:pos="284"/>
          <w:tab w:val="left" w:pos="993"/>
        </w:tabs>
        <w:kinsoku w:val="0"/>
        <w:overflowPunct w:val="0"/>
        <w:autoSpaceDE w:val="0"/>
        <w:autoSpaceDN w:val="0"/>
        <w:adjustRightInd w:val="0"/>
        <w:spacing w:line="240" w:lineRule="auto"/>
        <w:outlineLvl w:val="0"/>
        <w:rPr>
          <w:rFonts w:eastAsia="Times New Roman"/>
          <w:b/>
          <w:bCs/>
          <w:snapToGrid/>
          <w:szCs w:val="22"/>
          <w:lang w:val="sl-SI" w:eastAsia="sl-SI"/>
        </w:rPr>
      </w:pPr>
      <w:r>
        <w:rPr>
          <w:rFonts w:eastAsia="Times New Roman"/>
          <w:b/>
          <w:bCs/>
          <w:noProof/>
          <w:snapToGrid/>
          <w:szCs w:val="22"/>
          <w:lang w:val="hu-HU" w:eastAsia="en-US"/>
        </w:rPr>
        <w:t>2.</w:t>
      </w:r>
      <w:r>
        <w:rPr>
          <w:rFonts w:eastAsia="Times New Roman"/>
          <w:noProof/>
          <w:snapToGrid/>
          <w:szCs w:val="22"/>
          <w:lang w:val="hu-HU" w:eastAsia="en-US"/>
        </w:rPr>
        <w:t> </w:t>
      </w:r>
      <w:r>
        <w:rPr>
          <w:rFonts w:eastAsia="Times New Roman"/>
          <w:b/>
          <w:bCs/>
          <w:snapToGrid/>
          <w:szCs w:val="22"/>
          <w:lang w:val="sl-SI" w:eastAsia="sl-SI"/>
        </w:rPr>
        <w:t>ábra – A cardiovascularis eredetű halálozásból, MI- és stroke-ból álló elsődleges klinikai összetett végpont analízise (PEGASUS)</w:t>
      </w:r>
    </w:p>
    <w:p w14:paraId="2BEDE3EE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993" w:hanging="993"/>
        <w:outlineLvl w:val="0"/>
        <w:rPr>
          <w:b/>
          <w:bCs/>
          <w:szCs w:val="22"/>
          <w:lang w:val="hu-HU"/>
        </w:rPr>
      </w:pPr>
    </w:p>
    <w:p w14:paraId="7C14974A" w14:textId="77777777" w:rsidR="00F64EE9" w:rsidRDefault="00F64EE9">
      <w:pPr>
        <w:pStyle w:val="Default"/>
        <w:rPr>
          <w:b/>
          <w:bCs/>
          <w:szCs w:val="22"/>
        </w:rPr>
      </w:pPr>
    </w:p>
    <w:p w14:paraId="4DEE929A" w14:textId="77777777" w:rsidR="00F64EE9" w:rsidRDefault="00F64EE9">
      <w:pPr>
        <w:pStyle w:val="Default"/>
        <w:rPr>
          <w:b/>
          <w:bCs/>
          <w:szCs w:val="22"/>
        </w:rPr>
      </w:pPr>
    </w:p>
    <w:p w14:paraId="2922170C" w14:textId="0BF772C8" w:rsidR="00284377" w:rsidRDefault="00D321AB">
      <w:pPr>
        <w:pStyle w:val="Default"/>
        <w:rPr>
          <w:b/>
          <w:bCs/>
          <w:sz w:val="22"/>
          <w:szCs w:val="22"/>
          <w:highlight w:val="yellow"/>
        </w:rPr>
      </w:pPr>
      <w:r>
        <w:rPr>
          <w:noProof/>
          <w:szCs w:val="22"/>
          <w:lang w:val="en-US" w:eastAsia="en-US"/>
        </w:rPr>
        <w:drawing>
          <wp:anchor distT="0" distB="0" distL="114300" distR="114300" simplePos="0" relativeHeight="251657216" behindDoc="0" locked="0" layoutInCell="1" allowOverlap="1" wp14:anchorId="7D592EC2" wp14:editId="6163B81E">
            <wp:simplePos x="0" y="0"/>
            <wp:positionH relativeFrom="margin">
              <wp:posOffset>314325</wp:posOffset>
            </wp:positionH>
            <wp:positionV relativeFrom="paragraph">
              <wp:posOffset>-389890</wp:posOffset>
            </wp:positionV>
            <wp:extent cx="5086350" cy="3438525"/>
            <wp:effectExtent l="0" t="0" r="0" b="9525"/>
            <wp:wrapNone/>
            <wp:docPr id="236" name="Kép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DAFC68" w14:textId="77777777" w:rsidR="00284377" w:rsidRDefault="00284377">
      <w:pPr>
        <w:pStyle w:val="Default"/>
        <w:rPr>
          <w:b/>
          <w:bCs/>
          <w:sz w:val="22"/>
          <w:szCs w:val="22"/>
          <w:highlight w:val="yellow"/>
        </w:rPr>
      </w:pPr>
    </w:p>
    <w:p w14:paraId="5454D5F9" w14:textId="77777777" w:rsidR="00817B56" w:rsidRDefault="00817B56">
      <w:pPr>
        <w:pStyle w:val="Default"/>
        <w:keepNext/>
        <w:rPr>
          <w:b/>
          <w:bCs/>
          <w:sz w:val="22"/>
          <w:szCs w:val="22"/>
        </w:rPr>
      </w:pPr>
    </w:p>
    <w:p w14:paraId="339A3B10" w14:textId="77777777" w:rsidR="00817B56" w:rsidRDefault="00817B56">
      <w:pPr>
        <w:pStyle w:val="Default"/>
        <w:keepNext/>
        <w:rPr>
          <w:b/>
          <w:bCs/>
          <w:sz w:val="22"/>
          <w:szCs w:val="22"/>
        </w:rPr>
      </w:pPr>
    </w:p>
    <w:p w14:paraId="19ED6BA0" w14:textId="77777777" w:rsidR="00817B56" w:rsidRDefault="00817B56">
      <w:pPr>
        <w:pStyle w:val="Default"/>
        <w:keepNext/>
        <w:rPr>
          <w:b/>
          <w:bCs/>
          <w:sz w:val="22"/>
          <w:szCs w:val="22"/>
        </w:rPr>
      </w:pPr>
    </w:p>
    <w:p w14:paraId="65C2B11E" w14:textId="77777777" w:rsidR="00817B56" w:rsidRDefault="00817B56">
      <w:pPr>
        <w:pStyle w:val="Default"/>
        <w:keepNext/>
        <w:rPr>
          <w:b/>
          <w:bCs/>
          <w:sz w:val="22"/>
          <w:szCs w:val="22"/>
        </w:rPr>
      </w:pPr>
    </w:p>
    <w:p w14:paraId="391DC6A5" w14:textId="77777777" w:rsidR="00817B56" w:rsidRDefault="00817B56">
      <w:pPr>
        <w:pStyle w:val="Default"/>
        <w:keepNext/>
        <w:rPr>
          <w:b/>
          <w:bCs/>
          <w:sz w:val="22"/>
          <w:szCs w:val="22"/>
        </w:rPr>
      </w:pPr>
    </w:p>
    <w:p w14:paraId="1A68195D" w14:textId="77777777" w:rsidR="00817B56" w:rsidRDefault="00817B56">
      <w:pPr>
        <w:pStyle w:val="Default"/>
        <w:keepNext/>
        <w:rPr>
          <w:b/>
          <w:bCs/>
          <w:sz w:val="22"/>
          <w:szCs w:val="22"/>
        </w:rPr>
      </w:pPr>
    </w:p>
    <w:p w14:paraId="275FDA68" w14:textId="77777777" w:rsidR="00817B56" w:rsidRDefault="00817B56">
      <w:pPr>
        <w:pStyle w:val="Default"/>
        <w:keepNext/>
        <w:rPr>
          <w:b/>
          <w:bCs/>
          <w:sz w:val="22"/>
          <w:szCs w:val="22"/>
        </w:rPr>
      </w:pPr>
    </w:p>
    <w:p w14:paraId="5B3F12E4" w14:textId="77777777" w:rsidR="00817B56" w:rsidRDefault="00817B56">
      <w:pPr>
        <w:pStyle w:val="Default"/>
        <w:keepNext/>
        <w:rPr>
          <w:b/>
          <w:bCs/>
          <w:sz w:val="22"/>
          <w:szCs w:val="22"/>
        </w:rPr>
      </w:pPr>
    </w:p>
    <w:p w14:paraId="190C6303" w14:textId="77777777" w:rsidR="00817B56" w:rsidRDefault="00817B56">
      <w:pPr>
        <w:pStyle w:val="Default"/>
        <w:keepNext/>
        <w:rPr>
          <w:b/>
          <w:bCs/>
          <w:sz w:val="22"/>
          <w:szCs w:val="22"/>
        </w:rPr>
      </w:pPr>
    </w:p>
    <w:p w14:paraId="3B11DB7A" w14:textId="1DC49171" w:rsidR="00284377" w:rsidRDefault="00D321AB">
      <w:pPr>
        <w:pStyle w:val="Default"/>
        <w:keepNext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 táblázat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>
        <w:rPr>
          <w:spacing w:val="1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Az elsődleges és másodlagos hatásossági végpontok analízise (PEGASUS)</w:t>
      </w:r>
    </w:p>
    <w:p w14:paraId="371DABEA" w14:textId="77777777" w:rsidR="00284377" w:rsidRDefault="00284377">
      <w:pPr>
        <w:pStyle w:val="Default"/>
        <w:keepNext/>
        <w:rPr>
          <w:sz w:val="22"/>
          <w:szCs w:val="22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8"/>
        <w:gridCol w:w="1263"/>
        <w:gridCol w:w="988"/>
        <w:gridCol w:w="1258"/>
        <w:gridCol w:w="1354"/>
        <w:gridCol w:w="1080"/>
        <w:gridCol w:w="1166"/>
      </w:tblGrid>
      <w:tr w:rsidR="00284377" w14:paraId="28421427" w14:textId="77777777">
        <w:trPr>
          <w:trHeight w:hRule="exact" w:val="1139"/>
        </w:trPr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08590C9F" w14:textId="77777777" w:rsidR="00284377" w:rsidRDefault="00284377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3509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5F6B8" w14:textId="77777777" w:rsidR="00284377" w:rsidRDefault="00D321AB">
            <w:pPr>
              <w:pStyle w:val="TableParagraph"/>
              <w:kinsoku w:val="0"/>
              <w:overflowPunct w:val="0"/>
              <w:spacing w:before="57"/>
              <w:ind w:left="257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Naponta kétszer 60</w:t>
            </w:r>
            <w:r>
              <w:rPr>
                <w:b/>
                <w:bCs/>
                <w:sz w:val="22"/>
                <w:szCs w:val="22"/>
              </w:rPr>
              <w:t> </w:t>
            </w:r>
            <w:r>
              <w:rPr>
                <w:b/>
                <w:bCs/>
                <w:spacing w:val="-1"/>
                <w:sz w:val="22"/>
                <w:szCs w:val="22"/>
              </w:rPr>
              <w:t>mg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22"/>
                <w:szCs w:val="22"/>
              </w:rPr>
              <w:t>tikagrelor</w:t>
            </w:r>
            <w:proofErr w:type="spellEnd"/>
            <w:r>
              <w:rPr>
                <w:b/>
                <w:bCs/>
                <w:spacing w:val="-1"/>
                <w:sz w:val="22"/>
                <w:szCs w:val="22"/>
              </w:rPr>
              <w:t> + ASA</w:t>
            </w:r>
            <w:r>
              <w:rPr>
                <w:b/>
                <w:bCs/>
                <w:spacing w:val="19"/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t>N</w:t>
            </w:r>
            <w:r>
              <w:rPr>
                <w:b/>
                <w:bCs/>
                <w:spacing w:val="1"/>
                <w:sz w:val="22"/>
                <w:szCs w:val="22"/>
              </w:rPr>
              <w:t> </w:t>
            </w:r>
            <w:r>
              <w:rPr>
                <w:b/>
                <w:bCs/>
                <w:sz w:val="22"/>
                <w:szCs w:val="22"/>
              </w:rPr>
              <w:t>= 7045</w:t>
            </w:r>
          </w:p>
        </w:tc>
        <w:tc>
          <w:tcPr>
            <w:tcW w:w="2434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6CB36" w14:textId="77777777" w:rsidR="00284377" w:rsidRDefault="00D321AB">
            <w:pPr>
              <w:pStyle w:val="TableParagraph"/>
              <w:kinsoku w:val="0"/>
              <w:overflowPunct w:val="0"/>
              <w:spacing w:before="172"/>
              <w:ind w:left="438" w:right="297" w:firstLine="2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ASA</w:t>
            </w:r>
            <w:r>
              <w:rPr>
                <w:b/>
                <w:bCs/>
                <w:spacing w:val="-2"/>
                <w:sz w:val="22"/>
                <w:szCs w:val="22"/>
              </w:rPr>
              <w:t>-</w:t>
            </w:r>
            <w:proofErr w:type="spellStart"/>
            <w:r>
              <w:rPr>
                <w:b/>
                <w:bCs/>
                <w:spacing w:val="-2"/>
                <w:sz w:val="22"/>
                <w:szCs w:val="22"/>
              </w:rPr>
              <w:t>m</w:t>
            </w:r>
            <w:r>
              <w:rPr>
                <w:b/>
                <w:bCs/>
                <w:spacing w:val="-1"/>
                <w:sz w:val="22"/>
                <w:szCs w:val="22"/>
              </w:rPr>
              <w:t>onoterápia</w:t>
            </w:r>
            <w:proofErr w:type="spellEnd"/>
            <w:r>
              <w:rPr>
                <w:b/>
                <w:bCs/>
                <w:spacing w:val="21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(n = 7067)</w:t>
            </w:r>
          </w:p>
        </w:tc>
        <w:tc>
          <w:tcPr>
            <w:tcW w:w="1166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37E8C57" w14:textId="77777777" w:rsidR="00284377" w:rsidRDefault="00284377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14:paraId="38DAC883" w14:textId="77777777" w:rsidR="00284377" w:rsidRDefault="00284377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14:paraId="3C4B1A70" w14:textId="77777777" w:rsidR="00284377" w:rsidRDefault="00D321AB">
            <w:pPr>
              <w:pStyle w:val="TableParagraph"/>
              <w:kinsoku w:val="0"/>
              <w:overflowPunct w:val="0"/>
              <w:spacing w:before="125"/>
              <w:ind w:left="272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pacing w:val="-2"/>
                <w:sz w:val="22"/>
                <w:szCs w:val="22"/>
              </w:rPr>
              <w:t>p</w:t>
            </w:r>
            <w:r>
              <w:rPr>
                <w:b/>
                <w:bCs/>
                <w:spacing w:val="-2"/>
                <w:sz w:val="22"/>
                <w:szCs w:val="22"/>
              </w:rPr>
              <w:t>-érték</w:t>
            </w:r>
          </w:p>
        </w:tc>
      </w:tr>
      <w:tr w:rsidR="00284377" w14:paraId="1C0303BC" w14:textId="77777777">
        <w:trPr>
          <w:trHeight w:hRule="exact" w:val="1137"/>
        </w:trPr>
        <w:tc>
          <w:tcPr>
            <w:tcW w:w="172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0A0BF15D" w14:textId="77777777" w:rsidR="00284377" w:rsidRDefault="00284377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14:paraId="0737446C" w14:textId="77777777" w:rsidR="00284377" w:rsidRDefault="00D321AB">
            <w:pPr>
              <w:pStyle w:val="TableParagraph"/>
              <w:kinsoku w:val="0"/>
              <w:overflowPunct w:val="0"/>
              <w:ind w:left="142" w:right="156"/>
              <w:rPr>
                <w:sz w:val="22"/>
                <w:szCs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Jellemző</w:t>
            </w:r>
            <w:r>
              <w:rPr>
                <w:b/>
                <w:bCs/>
                <w:spacing w:val="2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  <w:szCs w:val="22"/>
              </w:rPr>
              <w:t>tulajdonságok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88938" w14:textId="77777777" w:rsidR="00284377" w:rsidRDefault="00D321AB">
            <w:pPr>
              <w:pStyle w:val="TableParagraph"/>
              <w:kinsoku w:val="0"/>
              <w:overflowPunct w:val="0"/>
              <w:spacing w:before="58"/>
              <w:ind w:left="115" w:right="153" w:hanging="6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b/>
                <w:bCs/>
                <w:spacing w:val="-1"/>
                <w:sz w:val="22"/>
                <w:szCs w:val="22"/>
              </w:rPr>
              <w:t>Betegek</w:t>
            </w:r>
            <w:proofErr w:type="gramEnd"/>
            <w:r>
              <w:rPr>
                <w:b/>
                <w:bCs/>
                <w:spacing w:val="2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"/>
                <w:sz w:val="22"/>
                <w:szCs w:val="22"/>
              </w:rPr>
              <w:t>akiknél</w:t>
            </w:r>
            <w:r>
              <w:rPr>
                <w:b/>
                <w:bCs/>
                <w:spacing w:val="2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"/>
                <w:sz w:val="22"/>
                <w:szCs w:val="22"/>
              </w:rPr>
              <w:t>esemény</w:t>
            </w:r>
            <w:r>
              <w:rPr>
                <w:b/>
                <w:bCs/>
                <w:spacing w:val="2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"/>
                <w:sz w:val="22"/>
                <w:szCs w:val="22"/>
              </w:rPr>
              <w:t>zajlott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52D11" w14:textId="77777777" w:rsidR="00284377" w:rsidRDefault="00284377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14:paraId="7A5ECB99" w14:textId="77777777" w:rsidR="00284377" w:rsidRDefault="00D321AB">
            <w:pPr>
              <w:pStyle w:val="TableParagraph"/>
              <w:kinsoku w:val="0"/>
              <w:overflowPunct w:val="0"/>
              <w:spacing w:before="172"/>
              <w:ind w:left="215"/>
              <w:rPr>
                <w:sz w:val="22"/>
                <w:szCs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KM%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5B87A" w14:textId="77777777" w:rsidR="00284377" w:rsidRDefault="00D321AB">
            <w:pPr>
              <w:pStyle w:val="TableParagraph"/>
              <w:kinsoku w:val="0"/>
              <w:overflowPunct w:val="0"/>
              <w:spacing w:before="172"/>
              <w:ind w:left="127" w:right="261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pacing w:val="1"/>
                <w:sz w:val="22"/>
                <w:szCs w:val="22"/>
              </w:rPr>
              <w:t xml:space="preserve">HR </w:t>
            </w:r>
            <w:r>
              <w:rPr>
                <w:b/>
                <w:bCs/>
                <w:spacing w:val="-2"/>
                <w:sz w:val="22"/>
                <w:szCs w:val="22"/>
              </w:rPr>
              <w:t>(95%-os</w:t>
            </w:r>
            <w:r>
              <w:rPr>
                <w:b/>
                <w:bCs/>
                <w:spacing w:val="21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  <w:szCs w:val="22"/>
              </w:rPr>
              <w:t>CI)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2D897" w14:textId="77777777" w:rsidR="00284377" w:rsidRDefault="00D321AB">
            <w:pPr>
              <w:pStyle w:val="TableParagraph"/>
              <w:kinsoku w:val="0"/>
              <w:overflowPunct w:val="0"/>
              <w:spacing w:before="58"/>
              <w:ind w:left="155" w:right="67" w:hanging="9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b/>
                <w:bCs/>
                <w:spacing w:val="-1"/>
                <w:sz w:val="22"/>
                <w:szCs w:val="22"/>
              </w:rPr>
              <w:t>Betegek</w:t>
            </w:r>
            <w:proofErr w:type="gramEnd"/>
            <w:r>
              <w:rPr>
                <w:b/>
                <w:bCs/>
                <w:spacing w:val="2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"/>
                <w:sz w:val="22"/>
                <w:szCs w:val="22"/>
              </w:rPr>
              <w:t>akiknél</w:t>
            </w:r>
            <w:r>
              <w:rPr>
                <w:b/>
                <w:bCs/>
                <w:spacing w:val="2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"/>
                <w:sz w:val="22"/>
                <w:szCs w:val="22"/>
              </w:rPr>
              <w:t>esemény</w:t>
            </w:r>
            <w:r>
              <w:rPr>
                <w:b/>
                <w:bCs/>
                <w:spacing w:val="2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"/>
                <w:sz w:val="22"/>
                <w:szCs w:val="22"/>
              </w:rPr>
              <w:t>zajlott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C0280" w14:textId="77777777" w:rsidR="00284377" w:rsidRDefault="00284377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</w:rPr>
            </w:pPr>
          </w:p>
          <w:p w14:paraId="3428ED0D" w14:textId="77777777" w:rsidR="00284377" w:rsidRDefault="00D321AB">
            <w:pPr>
              <w:pStyle w:val="TableParagraph"/>
              <w:kinsoku w:val="0"/>
              <w:overflowPunct w:val="0"/>
              <w:spacing w:before="172"/>
              <w:ind w:left="258"/>
              <w:rPr>
                <w:sz w:val="22"/>
                <w:szCs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KM%</w:t>
            </w:r>
          </w:p>
        </w:tc>
        <w:tc>
          <w:tcPr>
            <w:tcW w:w="1166" w:type="dxa"/>
            <w:vMerge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11ACBA4" w14:textId="77777777" w:rsidR="00284377" w:rsidRDefault="00284377">
            <w:pPr>
              <w:pStyle w:val="TableParagraph"/>
              <w:kinsoku w:val="0"/>
              <w:overflowPunct w:val="0"/>
              <w:spacing w:before="172"/>
              <w:ind w:left="258"/>
              <w:rPr>
                <w:sz w:val="22"/>
                <w:szCs w:val="22"/>
              </w:rPr>
            </w:pPr>
          </w:p>
        </w:tc>
      </w:tr>
      <w:tr w:rsidR="00284377" w14:paraId="7F97D140" w14:textId="77777777">
        <w:trPr>
          <w:trHeight w:hRule="exact" w:val="523"/>
        </w:trPr>
        <w:tc>
          <w:tcPr>
            <w:tcW w:w="8837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3AB2FCC4" w14:textId="77777777" w:rsidR="00284377" w:rsidRDefault="00D321AB">
            <w:pPr>
              <w:pStyle w:val="TableParagraph"/>
              <w:kinsoku w:val="0"/>
              <w:overflowPunct w:val="0"/>
              <w:spacing w:before="129"/>
              <w:ind w:left="10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Elsődleges végpont</w:t>
            </w:r>
          </w:p>
        </w:tc>
      </w:tr>
      <w:tr w:rsidR="00284377" w14:paraId="4205F88B" w14:textId="77777777">
        <w:trPr>
          <w:trHeight w:hRule="exact" w:val="976"/>
        </w:trPr>
        <w:tc>
          <w:tcPr>
            <w:tcW w:w="172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7E439396" w14:textId="77777777" w:rsidR="00284377" w:rsidRDefault="00D321AB">
            <w:pPr>
              <w:pStyle w:val="TableParagraph"/>
              <w:kinsoku w:val="0"/>
              <w:overflowPunct w:val="0"/>
              <w:spacing w:before="54"/>
              <w:ind w:left="147" w:right="126" w:hanging="5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CV eredetű</w:t>
            </w:r>
            <w:r>
              <w:rPr>
                <w:spacing w:val="2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halálozás/MI/</w:t>
            </w:r>
          </w:p>
          <w:p w14:paraId="0181CDC5" w14:textId="77777777" w:rsidR="00284377" w:rsidRDefault="00D321AB">
            <w:pPr>
              <w:pStyle w:val="TableParagraph"/>
              <w:kinsoku w:val="0"/>
              <w:overflowPunct w:val="0"/>
              <w:spacing w:before="54"/>
              <w:ind w:left="147" w:right="126" w:hanging="5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Stro</w:t>
            </w:r>
            <w:r>
              <w:rPr>
                <w:sz w:val="22"/>
                <w:szCs w:val="22"/>
              </w:rPr>
              <w:t>ke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F9DCF" w14:textId="77777777" w:rsidR="00284377" w:rsidRDefault="00284377">
            <w:pPr>
              <w:pStyle w:val="TableParagraph"/>
              <w:kinsoku w:val="0"/>
              <w:overflowPunct w:val="0"/>
              <w:spacing w:before="7"/>
              <w:rPr>
                <w:b/>
                <w:bCs/>
                <w:sz w:val="22"/>
                <w:szCs w:val="22"/>
              </w:rPr>
            </w:pPr>
          </w:p>
          <w:p w14:paraId="31160497" w14:textId="77777777" w:rsidR="00284377" w:rsidRDefault="00D321AB">
            <w:pPr>
              <w:pStyle w:val="TableParagraph"/>
              <w:kinsoku w:val="0"/>
              <w:overflowPunct w:val="0"/>
              <w:ind w:left="17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487 (6,9%)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AD392" w14:textId="77777777" w:rsidR="00284377" w:rsidRDefault="00284377">
            <w:pPr>
              <w:pStyle w:val="TableParagraph"/>
              <w:kinsoku w:val="0"/>
              <w:overflowPunct w:val="0"/>
              <w:spacing w:before="7"/>
              <w:rPr>
                <w:b/>
                <w:bCs/>
                <w:sz w:val="22"/>
                <w:szCs w:val="22"/>
              </w:rPr>
            </w:pPr>
          </w:p>
          <w:p w14:paraId="7E536326" w14:textId="77777777" w:rsidR="00284377" w:rsidRDefault="00D321AB">
            <w:pPr>
              <w:pStyle w:val="TableParagraph"/>
              <w:kinsoku w:val="0"/>
              <w:overflowPunct w:val="0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7,8%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FA436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0,84</w:t>
            </w:r>
          </w:p>
          <w:p w14:paraId="531B8BC0" w14:textId="77777777" w:rsidR="00284377" w:rsidRDefault="00D321AB">
            <w:pPr>
              <w:pStyle w:val="TableParagraph"/>
              <w:kinsoku w:val="0"/>
              <w:overflowPunct w:val="0"/>
              <w:ind w:left="9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(0,74, 0,95)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D2050" w14:textId="77777777" w:rsidR="00284377" w:rsidRDefault="00284377">
            <w:pPr>
              <w:pStyle w:val="TableParagraph"/>
              <w:kinsoku w:val="0"/>
              <w:overflowPunct w:val="0"/>
              <w:spacing w:before="7"/>
              <w:rPr>
                <w:b/>
                <w:bCs/>
                <w:sz w:val="22"/>
                <w:szCs w:val="22"/>
              </w:rPr>
            </w:pPr>
          </w:p>
          <w:p w14:paraId="725D758D" w14:textId="77777777" w:rsidR="00284377" w:rsidRDefault="00D321AB">
            <w:pPr>
              <w:pStyle w:val="TableParagraph"/>
              <w:kinsoku w:val="0"/>
              <w:overflowPunct w:val="0"/>
              <w:ind w:left="21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578 (8,2%)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38FEC" w14:textId="77777777" w:rsidR="00284377" w:rsidRDefault="00284377">
            <w:pPr>
              <w:pStyle w:val="TableParagraph"/>
              <w:kinsoku w:val="0"/>
              <w:overflowPunct w:val="0"/>
              <w:spacing w:before="7"/>
              <w:rPr>
                <w:b/>
                <w:bCs/>
                <w:sz w:val="22"/>
                <w:szCs w:val="22"/>
              </w:rPr>
            </w:pPr>
          </w:p>
          <w:p w14:paraId="1A650137" w14:textId="77777777" w:rsidR="00284377" w:rsidRDefault="00D321AB">
            <w:pPr>
              <w:pStyle w:val="TableParagraph"/>
              <w:kinsoku w:val="0"/>
              <w:overflowPunct w:val="0"/>
              <w:ind w:left="3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9,0%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FEC6277" w14:textId="77777777" w:rsidR="00284377" w:rsidRDefault="00284377">
            <w:pPr>
              <w:pStyle w:val="TableParagraph"/>
              <w:kinsoku w:val="0"/>
              <w:overflowPunct w:val="0"/>
              <w:spacing w:before="7"/>
              <w:rPr>
                <w:b/>
                <w:bCs/>
                <w:sz w:val="22"/>
                <w:szCs w:val="22"/>
              </w:rPr>
            </w:pPr>
          </w:p>
          <w:p w14:paraId="1A8A2DA6" w14:textId="77777777" w:rsidR="00284377" w:rsidRDefault="00D321AB">
            <w:pPr>
              <w:pStyle w:val="TableParagraph"/>
              <w:kinsoku w:val="0"/>
              <w:overflowPunct w:val="0"/>
              <w:ind w:left="171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0,0043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(s)</w:t>
            </w:r>
          </w:p>
        </w:tc>
      </w:tr>
      <w:tr w:rsidR="00284377" w14:paraId="2E279948" w14:textId="77777777">
        <w:trPr>
          <w:trHeight w:hRule="exact" w:val="595"/>
        </w:trPr>
        <w:tc>
          <w:tcPr>
            <w:tcW w:w="172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7A1CD205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33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CV halálozás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20EBD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17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174 (2,5%)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C4B7D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2,9%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8EAA7" w14:textId="77777777" w:rsidR="00284377" w:rsidRDefault="00D321AB">
            <w:pPr>
              <w:pStyle w:val="TableParagraph"/>
              <w:kinsoku w:val="0"/>
              <w:overflowPunct w:val="0"/>
              <w:spacing w:before="52"/>
              <w:ind w:left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0,83</w:t>
            </w:r>
          </w:p>
          <w:p w14:paraId="51EEE641" w14:textId="77777777" w:rsidR="00284377" w:rsidRDefault="00D321AB">
            <w:pPr>
              <w:pStyle w:val="TableParagraph"/>
              <w:kinsoku w:val="0"/>
              <w:overflowPunct w:val="0"/>
              <w:ind w:left="9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(0,68, 1,01)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4206E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21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210 (3,0%)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D0D7B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3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3,4%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EDAE246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3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0,0676</w:t>
            </w:r>
          </w:p>
        </w:tc>
      </w:tr>
      <w:tr w:rsidR="00284377" w14:paraId="4373B5C6" w14:textId="77777777">
        <w:trPr>
          <w:trHeight w:hRule="exact" w:val="595"/>
        </w:trPr>
        <w:tc>
          <w:tcPr>
            <w:tcW w:w="172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403030C1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12"/>
              <w:jc w:val="center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MI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B2E8A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17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285 (4,0%)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5101D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4,5%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81A47" w14:textId="77777777" w:rsidR="00284377" w:rsidRDefault="00D321AB">
            <w:pPr>
              <w:pStyle w:val="TableParagraph"/>
              <w:kinsoku w:val="0"/>
              <w:overflowPunct w:val="0"/>
              <w:spacing w:before="52"/>
              <w:ind w:left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0,84</w:t>
            </w:r>
          </w:p>
          <w:p w14:paraId="1CE4E572" w14:textId="77777777" w:rsidR="00284377" w:rsidRDefault="00D321AB">
            <w:pPr>
              <w:pStyle w:val="TableParagraph"/>
              <w:kinsoku w:val="0"/>
              <w:overflowPunct w:val="0"/>
              <w:ind w:left="9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(0,72, 0,98)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2FD1D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21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338 (4,8%)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50BF0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3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5,2%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BD7DE31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3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0,0314</w:t>
            </w:r>
          </w:p>
        </w:tc>
      </w:tr>
      <w:tr w:rsidR="00284377" w14:paraId="18AEF8DF" w14:textId="77777777">
        <w:trPr>
          <w:trHeight w:hRule="exact" w:val="595"/>
        </w:trPr>
        <w:tc>
          <w:tcPr>
            <w:tcW w:w="172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49113AB4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Stroke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5FA10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2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 (1,3%)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6F627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1,5%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E14CD" w14:textId="77777777" w:rsidR="00284377" w:rsidRDefault="00D321AB">
            <w:pPr>
              <w:pStyle w:val="TableParagraph"/>
              <w:kinsoku w:val="0"/>
              <w:overflowPunct w:val="0"/>
              <w:spacing w:before="52"/>
              <w:ind w:left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0,75</w:t>
            </w:r>
          </w:p>
          <w:p w14:paraId="42E0E61F" w14:textId="77777777" w:rsidR="00284377" w:rsidRDefault="00D321AB">
            <w:pPr>
              <w:pStyle w:val="TableParagraph"/>
              <w:kinsoku w:val="0"/>
              <w:overflowPunct w:val="0"/>
              <w:ind w:left="9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(0,57, 0,98)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91172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21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122 (1,7%)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F289E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3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1,9%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7D605F2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3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0,0337</w:t>
            </w:r>
          </w:p>
        </w:tc>
      </w:tr>
      <w:tr w:rsidR="00284377" w14:paraId="6B9356A5" w14:textId="77777777">
        <w:trPr>
          <w:trHeight w:hRule="exact" w:val="523"/>
        </w:trPr>
        <w:tc>
          <w:tcPr>
            <w:tcW w:w="8837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0B8E4254" w14:textId="77777777" w:rsidR="00284377" w:rsidRDefault="00D321AB">
            <w:pPr>
              <w:pStyle w:val="TableParagraph"/>
              <w:kinsoku w:val="0"/>
              <w:overflowPunct w:val="0"/>
              <w:spacing w:before="129"/>
              <w:ind w:left="10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Másodlagos végpont</w:t>
            </w:r>
          </w:p>
        </w:tc>
      </w:tr>
      <w:tr w:rsidR="00284377" w14:paraId="5A756CD0" w14:textId="77777777">
        <w:trPr>
          <w:trHeight w:hRule="exact" w:val="590"/>
        </w:trPr>
        <w:tc>
          <w:tcPr>
            <w:tcW w:w="172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0E6FF8BF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33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CV halálozás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67427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17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174 (2,5%)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2E1EC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2,9%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1E7FC" w14:textId="77777777" w:rsidR="00284377" w:rsidRDefault="00D321AB">
            <w:pPr>
              <w:pStyle w:val="TableParagraph"/>
              <w:kinsoku w:val="0"/>
              <w:overflowPunct w:val="0"/>
              <w:spacing w:before="52"/>
              <w:ind w:left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0,83</w:t>
            </w:r>
          </w:p>
          <w:p w14:paraId="3E0D92CD" w14:textId="77777777" w:rsidR="00284377" w:rsidRDefault="00D321AB">
            <w:pPr>
              <w:pStyle w:val="TableParagraph"/>
              <w:kinsoku w:val="0"/>
              <w:overflowPunct w:val="0"/>
              <w:ind w:left="9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(0,68, 1,01)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59DA9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21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210 (3,0%)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E3869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left="3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3,4%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706C9B7" w14:textId="77777777" w:rsidR="00284377" w:rsidRDefault="00D321AB">
            <w:pPr>
              <w:pStyle w:val="TableParagraph"/>
              <w:kinsoku w:val="0"/>
              <w:overflowPunct w:val="0"/>
              <w:spacing w:before="167"/>
              <w:ind w:right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84377" w14:paraId="537C89BE" w14:textId="77777777">
        <w:trPr>
          <w:trHeight w:hRule="exact" w:val="653"/>
        </w:trPr>
        <w:tc>
          <w:tcPr>
            <w:tcW w:w="17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65DC40CD" w14:textId="77777777" w:rsidR="00284377" w:rsidRDefault="00284377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2"/>
                <w:szCs w:val="22"/>
              </w:rPr>
            </w:pPr>
          </w:p>
          <w:p w14:paraId="4DAEDF20" w14:textId="77777777" w:rsidR="00284377" w:rsidRDefault="00D321AB">
            <w:pPr>
              <w:pStyle w:val="TableParagraph"/>
              <w:kinsoku w:val="0"/>
              <w:overflowPunct w:val="0"/>
              <w:ind w:left="267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Összmortalitás</w:t>
            </w:r>
            <w:proofErr w:type="spellEnd"/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8B2A29F" w14:textId="77777777" w:rsidR="00284377" w:rsidRDefault="00284377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2"/>
                <w:szCs w:val="22"/>
              </w:rPr>
            </w:pPr>
          </w:p>
          <w:p w14:paraId="081578FE" w14:textId="77777777" w:rsidR="00284377" w:rsidRDefault="00D321AB">
            <w:pPr>
              <w:pStyle w:val="TableParagraph"/>
              <w:kinsoku w:val="0"/>
              <w:overflowPunct w:val="0"/>
              <w:ind w:left="17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289 (4,1%)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ACF69D6" w14:textId="77777777" w:rsidR="00284377" w:rsidRDefault="00284377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2"/>
                <w:szCs w:val="22"/>
              </w:rPr>
            </w:pPr>
          </w:p>
          <w:p w14:paraId="421C0E1C" w14:textId="77777777" w:rsidR="00284377" w:rsidRDefault="00D321AB">
            <w:pPr>
              <w:pStyle w:val="TableParagraph"/>
              <w:kinsoku w:val="0"/>
              <w:overflowPunct w:val="0"/>
              <w:ind w:left="2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4,7%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9561A11" w14:textId="77777777" w:rsidR="00284377" w:rsidRDefault="00D321AB">
            <w:pPr>
              <w:pStyle w:val="TableParagraph"/>
              <w:kinsoku w:val="0"/>
              <w:overflowPunct w:val="0"/>
              <w:spacing w:before="57"/>
              <w:ind w:left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0,89</w:t>
            </w:r>
          </w:p>
          <w:p w14:paraId="0732EC79" w14:textId="77777777" w:rsidR="00284377" w:rsidRDefault="00D321AB">
            <w:pPr>
              <w:pStyle w:val="TableParagraph"/>
              <w:kinsoku w:val="0"/>
              <w:overflowPunct w:val="0"/>
              <w:spacing w:before="58"/>
              <w:ind w:left="9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(0,76, 1,04)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7A69FD2" w14:textId="77777777" w:rsidR="00284377" w:rsidRDefault="00284377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2"/>
                <w:szCs w:val="22"/>
              </w:rPr>
            </w:pPr>
          </w:p>
          <w:p w14:paraId="5E4E082A" w14:textId="77777777" w:rsidR="00284377" w:rsidRDefault="00D321AB">
            <w:pPr>
              <w:pStyle w:val="TableParagraph"/>
              <w:kinsoku w:val="0"/>
              <w:overflowPunct w:val="0"/>
              <w:ind w:left="21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326 (4,6%)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29C1B08" w14:textId="77777777" w:rsidR="00284377" w:rsidRDefault="00284377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2"/>
                <w:szCs w:val="22"/>
              </w:rPr>
            </w:pPr>
          </w:p>
          <w:p w14:paraId="69C5F1B2" w14:textId="77777777" w:rsidR="00284377" w:rsidRDefault="00D321AB">
            <w:pPr>
              <w:pStyle w:val="TableParagraph"/>
              <w:kinsoku w:val="0"/>
              <w:overflowPunct w:val="0"/>
              <w:ind w:left="3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5,2%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14:paraId="69D63A2A" w14:textId="77777777" w:rsidR="00284377" w:rsidRDefault="00284377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2"/>
                <w:szCs w:val="22"/>
              </w:rPr>
            </w:pPr>
          </w:p>
          <w:p w14:paraId="5A824ACD" w14:textId="77777777" w:rsidR="00284377" w:rsidRDefault="00D321AB">
            <w:pPr>
              <w:pStyle w:val="TableParagraph"/>
              <w:kinsoku w:val="0"/>
              <w:overflowPunct w:val="0"/>
              <w:ind w:right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6BBD0DBF" w14:textId="77777777" w:rsidR="00284377" w:rsidRDefault="00D321AB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A relatív hazárd és a p-érték a </w:t>
      </w:r>
      <w:proofErr w:type="spellStart"/>
      <w:r>
        <w:rPr>
          <w:sz w:val="18"/>
          <w:szCs w:val="18"/>
        </w:rPr>
        <w:t>tikagrelor</w:t>
      </w:r>
      <w:proofErr w:type="spellEnd"/>
      <w:r>
        <w:rPr>
          <w:sz w:val="18"/>
          <w:szCs w:val="18"/>
        </w:rPr>
        <w:t xml:space="preserve">- </w:t>
      </w:r>
      <w:proofErr w:type="spellStart"/>
      <w:r>
        <w:rPr>
          <w:sz w:val="18"/>
          <w:szCs w:val="18"/>
        </w:rPr>
        <w:t>vs</w:t>
      </w:r>
      <w:proofErr w:type="spellEnd"/>
      <w:r>
        <w:rPr>
          <w:sz w:val="18"/>
          <w:szCs w:val="18"/>
        </w:rPr>
        <w:t xml:space="preserve">. </w:t>
      </w:r>
      <w:proofErr w:type="spellStart"/>
      <w:r>
        <w:rPr>
          <w:sz w:val="18"/>
          <w:szCs w:val="18"/>
        </w:rPr>
        <w:t>acetilszalicilsav-monoterápia</w:t>
      </w:r>
      <w:proofErr w:type="spellEnd"/>
      <w:r>
        <w:rPr>
          <w:sz w:val="18"/>
          <w:szCs w:val="18"/>
        </w:rPr>
        <w:t xml:space="preserve"> esetén a </w:t>
      </w:r>
      <w:proofErr w:type="spellStart"/>
      <w:r>
        <w:rPr>
          <w:sz w:val="18"/>
          <w:szCs w:val="18"/>
        </w:rPr>
        <w:t>Cox</w:t>
      </w:r>
      <w:proofErr w:type="spellEnd"/>
      <w:r>
        <w:rPr>
          <w:sz w:val="18"/>
          <w:szCs w:val="18"/>
        </w:rPr>
        <w:t>-féle arányos hazárd modellből került külön-külön számításra, úgy, hogy a terápiás csoport volt az egyetlen, feltáró jellegű változó.</w:t>
      </w:r>
    </w:p>
    <w:p w14:paraId="4EC53C6A" w14:textId="77777777" w:rsidR="00284377" w:rsidRDefault="00D321AB">
      <w:pPr>
        <w:pStyle w:val="Default"/>
        <w:rPr>
          <w:sz w:val="18"/>
          <w:szCs w:val="18"/>
        </w:rPr>
      </w:pPr>
      <w:r>
        <w:rPr>
          <w:sz w:val="18"/>
          <w:szCs w:val="18"/>
        </w:rPr>
        <w:t>A KM százalékarány a 36. hónapban került kiszámításra.</w:t>
      </w:r>
    </w:p>
    <w:p w14:paraId="7FAB9B3A" w14:textId="77777777" w:rsidR="00284377" w:rsidRDefault="00D321AB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Megjegyzés: a </w:t>
      </w:r>
      <w:proofErr w:type="spellStart"/>
      <w:r>
        <w:rPr>
          <w:sz w:val="18"/>
          <w:szCs w:val="18"/>
        </w:rPr>
        <w:t>cardiovascularis</w:t>
      </w:r>
      <w:proofErr w:type="spellEnd"/>
      <w:r>
        <w:rPr>
          <w:sz w:val="18"/>
          <w:szCs w:val="18"/>
        </w:rPr>
        <w:t xml:space="preserve"> eredetű halálozás, MI és stroke összetevők esetén az első események száma minden egyes összetevő esetén az első esemény aktuális száma, és nem adódik hozzá az összetett végpontban lévő események számához.</w:t>
      </w:r>
    </w:p>
    <w:p w14:paraId="756EEF69" w14:textId="77777777" w:rsidR="00284377" w:rsidRDefault="00D321AB">
      <w:pPr>
        <w:pStyle w:val="Default"/>
        <w:rPr>
          <w:sz w:val="18"/>
          <w:szCs w:val="18"/>
        </w:rPr>
      </w:pPr>
      <w:r>
        <w:rPr>
          <w:sz w:val="18"/>
          <w:szCs w:val="18"/>
        </w:rPr>
        <w:t>(s) Statisztikai szignifikanciát jelez.</w:t>
      </w:r>
    </w:p>
    <w:p w14:paraId="3BE38C5A" w14:textId="77777777" w:rsidR="00284377" w:rsidRDefault="00D321AB">
      <w:pPr>
        <w:pStyle w:val="Default"/>
        <w:rPr>
          <w:sz w:val="18"/>
          <w:szCs w:val="18"/>
        </w:rPr>
      </w:pPr>
      <w:r>
        <w:rPr>
          <w:sz w:val="18"/>
          <w:szCs w:val="18"/>
        </w:rPr>
        <w:t>CI = konfidencia intervallum CV = </w:t>
      </w:r>
      <w:proofErr w:type="spellStart"/>
      <w:r>
        <w:rPr>
          <w:sz w:val="18"/>
          <w:szCs w:val="18"/>
        </w:rPr>
        <w:t>cardiovascularis</w:t>
      </w:r>
      <w:proofErr w:type="spellEnd"/>
      <w:r>
        <w:rPr>
          <w:sz w:val="18"/>
          <w:szCs w:val="18"/>
        </w:rPr>
        <w:t>; HR = relatív hazárd; KM = Kaplan-</w:t>
      </w:r>
      <w:proofErr w:type="spellStart"/>
      <w:r>
        <w:rPr>
          <w:sz w:val="18"/>
          <w:szCs w:val="18"/>
        </w:rPr>
        <w:t>Meier</w:t>
      </w:r>
      <w:proofErr w:type="spellEnd"/>
      <w:r>
        <w:rPr>
          <w:sz w:val="18"/>
          <w:szCs w:val="18"/>
        </w:rPr>
        <w:t>; MI = </w:t>
      </w:r>
      <w:proofErr w:type="spellStart"/>
      <w:r>
        <w:rPr>
          <w:sz w:val="18"/>
          <w:szCs w:val="18"/>
        </w:rPr>
        <w:t>myocardialis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infarctus</w:t>
      </w:r>
      <w:proofErr w:type="spellEnd"/>
      <w:r>
        <w:rPr>
          <w:sz w:val="18"/>
          <w:szCs w:val="18"/>
        </w:rPr>
        <w:t>; N = betegek száma.</w:t>
      </w:r>
    </w:p>
    <w:p w14:paraId="238C2041" w14:textId="77777777" w:rsidR="00284377" w:rsidRDefault="00284377">
      <w:pPr>
        <w:pStyle w:val="Default"/>
        <w:rPr>
          <w:sz w:val="20"/>
          <w:szCs w:val="20"/>
        </w:rPr>
      </w:pPr>
    </w:p>
    <w:p w14:paraId="51BE22FF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Mind a naponta kétszer 60 mg-os, mind a naponta kétszer 90 mg-os,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acetilszalicilsavval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kombinált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adagolási rend jobb volt az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atherothromboticus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események megelőzésében, mint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monoterápiában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adott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acetilszalicilsav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(összetett végpont: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eredetű halálozás, MI és stroke), és konzisztens terápiás hatást mutatott a teljes vizsgálati időszak alatt, ami egy 16%-os relatív kockázatcsökkenést (RRR) és egy 1,27%-os abszolút kockázatcsökkenést (ARR) eredményezett a 60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, és egy 15%-os RRR-t és egy 1,19%-os ARR-t eredményezett a 90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esetén.</w:t>
      </w:r>
    </w:p>
    <w:p w14:paraId="0651721F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7D93CECC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Habár a 90 mg és a 60 mg hatásossági profilja hasonló volt, bizonyíték van arra, hogy az alacsonyabb </w:t>
      </w:r>
      <w:r>
        <w:rPr>
          <w:rFonts w:eastAsia="Times New Roman"/>
          <w:snapToGrid/>
          <w:szCs w:val="22"/>
          <w:lang w:val="hu-HU" w:eastAsia="hu-HU"/>
        </w:rPr>
        <w:lastRenderedPageBreak/>
        <w:t xml:space="preserve">dózis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tolerabilitása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és a vérzéses kockázattal és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dyspnoéval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összefüggő biztonságossági profilja jobb. Ezért azoknál a betegeknél, akiknek az anamnézisében MI szerepel, és magas náluk az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atherothromboticus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események kialakulásának a kockázata, az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atherothromboticus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események (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eredetű halálozás, MI és stroke) megelőzésére csak az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acetilszalicilsavval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együtt adott, naponta kétszer 60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Ticagrelor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HCS-BV javasolt.</w:t>
      </w:r>
    </w:p>
    <w:p w14:paraId="2A71698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Az önmagában adott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acetilszalicilsavhoz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képest a naponta kétszer 60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jelentősen csökkentette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eredetű halálozás, MI és stroke elsődleges összetett végpontot. Az összes összetevő hozzájárult az elsődleges összetett végpont csökkenéséhez (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eredetű halálozás 17% RRR, MI 16% RRR és stroke 25% RRR).</w:t>
      </w:r>
    </w:p>
    <w:p w14:paraId="5BE994BD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2AFC01CF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Az összetett végpontra vonatkozó relatív kockázatcsökkenés az 1</w:t>
      </w:r>
      <w:r>
        <w:rPr>
          <w:rFonts w:eastAsia="Times New Roman"/>
          <w:snapToGrid/>
          <w:szCs w:val="22"/>
          <w:lang w:val="hu-HU" w:eastAsia="hu-HU"/>
        </w:rPr>
        <w:noBreakHyphen/>
        <w:t xml:space="preserve">360 nap között (17% RRR), valamint a 361. napot követően (16% RRR) hasonló volt.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hatásosságára és biztonságosságára vonatkozóan korlátozott mennyiségű adat áll rendelkezésre a 3 éven túli, kiterjesztett kezeléssel kapcsolatosan.</w:t>
      </w:r>
    </w:p>
    <w:p w14:paraId="20DE324D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073C6E1F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Klinikailag stabil betegeknél MI után 2 éven túl vagy több mint 1 évvel a korábbi ADP-receptor-inhibitor kezelés befejezése után nem volt bizonyíték a naponta kétszer 60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-kezelés bevezetésének előnyéről (nem volt csökkenés az elsődleges összetett végpontban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cardiovascularis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eredetű halálozás, MI és stroke esetében, míg növekedés volt a jelentős vérzés esetében) (szintén lásd 4.2 pont).</w:t>
      </w:r>
    </w:p>
    <w:p w14:paraId="34594CF1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60E97D6F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napToGrid/>
          <w:szCs w:val="22"/>
          <w:lang w:val="hu-HU" w:eastAsia="hu-HU"/>
        </w:rPr>
      </w:pPr>
      <w:r>
        <w:rPr>
          <w:rFonts w:eastAsia="Times New Roman"/>
          <w:i/>
          <w:snapToGrid/>
          <w:szCs w:val="22"/>
          <w:lang w:val="hu-HU" w:eastAsia="hu-HU"/>
        </w:rPr>
        <w:t>Klinikai biztonságosság</w:t>
      </w:r>
    </w:p>
    <w:p w14:paraId="787DFAE4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naponta kétszer 60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-kezelés során vérzés és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dyspnoe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következtében a kezelés abbahagyásának aránya nagyobb volt a &gt; 75 éves betegeknél (42%), mint a fiatalabb betegeknél (23</w:t>
      </w:r>
      <w:r>
        <w:rPr>
          <w:rFonts w:eastAsia="Times New Roman"/>
          <w:snapToGrid/>
          <w:szCs w:val="22"/>
          <w:lang w:val="hu-HU" w:eastAsia="hu-HU"/>
        </w:rPr>
        <w:noBreakHyphen/>
        <w:t xml:space="preserve">31%), illetve a &gt; 75 éves betegeknél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placebóhoz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viszonyítva 10%-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nál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nagyobb eltéréssel (42%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vs</w:t>
      </w:r>
      <w:proofErr w:type="spellEnd"/>
      <w:r>
        <w:rPr>
          <w:rFonts w:eastAsia="Times New Roman"/>
          <w:snapToGrid/>
          <w:szCs w:val="22"/>
          <w:lang w:val="hu-HU" w:eastAsia="hu-HU"/>
        </w:rPr>
        <w:t>. 29%).</w:t>
      </w:r>
    </w:p>
    <w:p w14:paraId="140EE86E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1AF77125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napToGrid/>
          <w:szCs w:val="22"/>
          <w:lang w:val="hu-HU" w:eastAsia="hu-HU"/>
        </w:rPr>
      </w:pPr>
      <w:r>
        <w:rPr>
          <w:rFonts w:eastAsia="Times New Roman"/>
          <w:i/>
          <w:snapToGrid/>
          <w:szCs w:val="22"/>
          <w:lang w:val="hu-HU" w:eastAsia="hu-HU"/>
        </w:rPr>
        <w:t>Gyermekek és serdülők</w:t>
      </w:r>
    </w:p>
    <w:p w14:paraId="21BC603A" w14:textId="2EFB0DA1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Egy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randomizált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, kettős vak, párhuzamos csoportos III. fázisú (HESTIA 3) vizsgálatba 193 gyermekkorú (2 évestől betöltött 18 éves korig) sarlósejtes vérszegénységben szenvedő beteget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randomizáltak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, akik vagy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placebót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vagy a testtömegüktől függően, napi kétszer 15 mg-tól 45 mg dózisig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kaptak.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dinamikus egyensúlyi állapotban a dózis bevétele előtt 35%-os és 2 órával a dózis bevétele után 56%-os átlagos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thrombocyta</w:t>
      </w:r>
      <w:r w:rsidR="009C2D29">
        <w:rPr>
          <w:rFonts w:eastAsia="Times New Roman"/>
          <w:snapToGrid/>
          <w:szCs w:val="22"/>
          <w:lang w:val="hu-HU" w:eastAsia="hu-HU"/>
        </w:rPr>
        <w:t>aggregáció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-gátlást eredményezett.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vaso-okkluzív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krízis tekintetében,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placebóhoz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képest,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tikagrelornak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nem volt terápiás előnye.</w:t>
      </w:r>
    </w:p>
    <w:p w14:paraId="52C444FF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4E97BFC1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Az Európai Gyógyszerügynökség a gyermekek esetén minden korosztálynál eltekint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vizsgálati eredményeinek benyújtási kötelezettségétől akut coronaria szindrómában és ha az anamnézisben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myocardialis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infarctus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(MI) szerepelt (lásd 4.2 pont, gyermekgyógyászati alkalmazásra vonatkozó információk).</w:t>
      </w:r>
    </w:p>
    <w:p w14:paraId="2EA43624" w14:textId="77777777" w:rsidR="00284377" w:rsidRDefault="00284377">
      <w:pPr>
        <w:pStyle w:val="Default"/>
        <w:rPr>
          <w:sz w:val="22"/>
          <w:szCs w:val="22"/>
        </w:rPr>
      </w:pPr>
    </w:p>
    <w:p w14:paraId="6CBDD38C" w14:textId="77777777" w:rsidR="00284377" w:rsidRDefault="00D321AB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>5.2</w:t>
      </w:r>
      <w:r>
        <w:rPr>
          <w:b/>
          <w:szCs w:val="22"/>
          <w:lang w:val="hu-HU"/>
        </w:rPr>
        <w:tab/>
      </w:r>
      <w:proofErr w:type="spellStart"/>
      <w:r>
        <w:rPr>
          <w:b/>
          <w:szCs w:val="22"/>
          <w:lang w:val="hu-HU"/>
        </w:rPr>
        <w:t>Farmakokinetikai</w:t>
      </w:r>
      <w:proofErr w:type="spellEnd"/>
      <w:r>
        <w:rPr>
          <w:b/>
          <w:szCs w:val="22"/>
          <w:lang w:val="hu-HU"/>
        </w:rPr>
        <w:t xml:space="preserve"> tulajdonságok</w:t>
      </w:r>
    </w:p>
    <w:p w14:paraId="4969A535" w14:textId="77777777" w:rsidR="00284377" w:rsidRDefault="00284377">
      <w:pPr>
        <w:pStyle w:val="Default"/>
        <w:rPr>
          <w:sz w:val="22"/>
          <w:szCs w:val="22"/>
          <w:u w:val="single"/>
        </w:rPr>
      </w:pPr>
    </w:p>
    <w:p w14:paraId="74F3CC2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lineáris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farmakokinetikát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mutat,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és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(AR-C124910XX) expozíciója 1260 mg-ig megközelítőleg a dózissal arányos.</w:t>
      </w:r>
    </w:p>
    <w:p w14:paraId="47EADAB7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17D5785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u w:val="single"/>
          <w:lang w:val="hu-HU" w:eastAsia="hu-HU"/>
        </w:rPr>
      </w:pPr>
      <w:r>
        <w:rPr>
          <w:rFonts w:eastAsia="Times New Roman"/>
          <w:snapToGrid/>
          <w:szCs w:val="22"/>
          <w:u w:val="single"/>
          <w:lang w:val="hu-HU" w:eastAsia="hu-HU"/>
        </w:rPr>
        <w:t>Felszívódás</w:t>
      </w:r>
    </w:p>
    <w:p w14:paraId="7375B375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felszívódása gyors, a medián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kb. 1,5 óra. A fő keringő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, az AR-C124910XX (szintén aktív)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tikagrelorból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történő képződése gyors, a medián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kb. 2,5 óra. Egyetlen 90 mg-os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adag egészséges alanyoknak, éhgyomorra történő, </w:t>
      </w:r>
      <w:r>
        <w:rPr>
          <w:rFonts w:eastAsia="Times New Roman"/>
          <w:i/>
          <w:snapToGrid/>
          <w:szCs w:val="22"/>
          <w:lang w:val="hu-HU" w:eastAsia="hu-HU"/>
        </w:rPr>
        <w:t xml:space="preserve">per </w:t>
      </w:r>
      <w:proofErr w:type="spellStart"/>
      <w:r>
        <w:rPr>
          <w:rFonts w:eastAsia="Times New Roman"/>
          <w:i/>
          <w:snapToGrid/>
          <w:szCs w:val="22"/>
          <w:lang w:val="hu-HU" w:eastAsia="hu-HU"/>
        </w:rPr>
        <w:t>os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adását követően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529 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</w:t>
      </w:r>
      <w:proofErr w:type="spellEnd"/>
      <w:r>
        <w:rPr>
          <w:rFonts w:eastAsia="Times New Roman"/>
          <w:snapToGrid/>
          <w:szCs w:val="22"/>
          <w:lang w:val="hu-HU" w:eastAsia="hu-HU"/>
        </w:rPr>
        <w:t>/ml és az AUC 3451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ng×h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/ml.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– anyavegyület arány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mellett 0,28 és az AUC esetén 0,42.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és az AR-C124910XX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farmakokinetikai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tulajdonságai azoknál a betegeknél, akiknek az anamnézisében MI szerepel, általánosságban az akut coronaria szindrómás populációéhoz hasonló volt. A PEGASUS-vizsgálat populációs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farmakokinetikai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analízise alapján a dinamikus egyensúlyi állapotú medián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391 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</w:t>
      </w:r>
      <w:proofErr w:type="spellEnd"/>
      <w:r>
        <w:rPr>
          <w:rFonts w:eastAsia="Times New Roman"/>
          <w:snapToGrid/>
          <w:szCs w:val="22"/>
          <w:lang w:val="hu-HU" w:eastAsia="hu-HU"/>
        </w:rPr>
        <w:t>/ml, az AUC pedig 3801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ng×h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/ml volt a 60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esetén. A 90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esetén a</w:t>
      </w:r>
      <w:r>
        <w:rPr>
          <w:rFonts w:eastAsia="Times New Roman"/>
          <w:snapToGrid/>
          <w:spacing w:val="-1"/>
          <w:position w:val="2"/>
          <w:szCs w:val="22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 xml:space="preserve">dinamikus egyensúlyi állapotú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627 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</w:t>
      </w:r>
      <w:proofErr w:type="spellEnd"/>
      <w:r>
        <w:rPr>
          <w:rFonts w:eastAsia="Times New Roman"/>
          <w:snapToGrid/>
          <w:szCs w:val="22"/>
          <w:lang w:val="hu-HU" w:eastAsia="hu-HU"/>
        </w:rPr>
        <w:t>/ml és az AUC 6255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ng×h</w:t>
      </w:r>
      <w:proofErr w:type="spellEnd"/>
      <w:r>
        <w:rPr>
          <w:rFonts w:eastAsia="Times New Roman"/>
          <w:snapToGrid/>
          <w:szCs w:val="22"/>
          <w:lang w:val="hu-HU" w:eastAsia="hu-HU"/>
        </w:rPr>
        <w:t>/ml volt.</w:t>
      </w:r>
    </w:p>
    <w:p w14:paraId="05728F43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16EEA548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lastRenderedPageBreak/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átlagos abszolút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biohasznosulását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36%-</w:t>
      </w:r>
      <w:proofErr w:type="spellStart"/>
      <w:r>
        <w:rPr>
          <w:rFonts w:eastAsia="Times New Roman"/>
          <w:snapToGrid/>
          <w:szCs w:val="22"/>
          <w:lang w:val="hu-HU" w:eastAsia="hu-HU"/>
        </w:rPr>
        <w:t>osnak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becsülték. Magas zsírtartalmú étel fogyasztása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AUC 21%-os növekedését, és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r>
        <w:rPr>
          <w:rFonts w:eastAsia="Times New Roman"/>
          <w:snapToGrid/>
          <w:szCs w:val="22"/>
          <w:lang w:val="hu-HU" w:eastAsia="hu-HU"/>
        </w:rPr>
        <w:t>-ának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22%-os csökkenését idézte elő, de nem befolyásolta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-át vagy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AUC-jét. Ezeknek a kis változásoknak a klinikai jelentőségét minimálisnak tartják. Ezért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étkezés közben vagy attól függetlenül is adható.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és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is P-</w:t>
      </w:r>
      <w:proofErr w:type="spellStart"/>
      <w:r>
        <w:rPr>
          <w:rFonts w:eastAsia="Times New Roman"/>
          <w:snapToGrid/>
          <w:szCs w:val="22"/>
          <w:lang w:val="hu-HU" w:eastAsia="hu-HU"/>
        </w:rPr>
        <w:t>gp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szubsztrát</w:t>
      </w:r>
      <w:proofErr w:type="spellEnd"/>
      <w:r>
        <w:rPr>
          <w:rFonts w:eastAsia="Times New Roman"/>
          <w:snapToGrid/>
          <w:szCs w:val="22"/>
          <w:lang w:val="hu-HU" w:eastAsia="hu-HU"/>
        </w:rPr>
        <w:t>.</w:t>
      </w:r>
    </w:p>
    <w:p w14:paraId="5C476783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3A5AFACF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Az összetört, vízzel elkevert tabletta formájában, szájon át beadott vagy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nazogasztrikus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szondán keresztül a gyomorba juttatott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biohasznosulása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és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AUC- és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-értékét tekintve az egészben alkalmazott tablettákéhoz hasonlítható. Az összetört, vízzel elkevert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tabletták kezdeti expozíciója (0,5 és 1 órával az adag beadása után) magasabb volt, mint az egészben alkalmazott tablettáké; ezt követően (2</w:t>
      </w:r>
      <w:r>
        <w:rPr>
          <w:rFonts w:eastAsia="Times New Roman"/>
          <w:snapToGrid/>
          <w:szCs w:val="22"/>
          <w:lang w:val="hu-HU" w:eastAsia="hu-HU"/>
        </w:rPr>
        <w:noBreakHyphen/>
        <w:t>48 óra elteltével) általánosságban azonos koncentrációs profilt mutatott.</w:t>
      </w:r>
    </w:p>
    <w:p w14:paraId="4F54B875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00353181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u w:val="single"/>
          <w:lang w:val="hu-HU" w:eastAsia="hu-HU"/>
        </w:rPr>
      </w:pPr>
      <w:r>
        <w:rPr>
          <w:rFonts w:eastAsia="Times New Roman"/>
          <w:snapToGrid/>
          <w:szCs w:val="22"/>
          <w:u w:val="single"/>
          <w:lang w:val="hu-HU" w:eastAsia="hu-HU"/>
        </w:rPr>
        <w:t>Eloszlás</w:t>
      </w:r>
    </w:p>
    <w:p w14:paraId="13B8E2E7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dinamikus egyensúlyi megoszlási térfogata 87,5 liter.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és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nagymértékben kötődik a human plazmaproteinhez (&gt; 99,0%).</w:t>
      </w:r>
    </w:p>
    <w:p w14:paraId="36E584DF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1E2735C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u w:val="single"/>
          <w:lang w:val="hu-HU" w:eastAsia="hu-HU"/>
        </w:rPr>
      </w:pPr>
      <w:proofErr w:type="spellStart"/>
      <w:r>
        <w:rPr>
          <w:rFonts w:eastAsia="Times New Roman"/>
          <w:snapToGrid/>
          <w:szCs w:val="22"/>
          <w:u w:val="single"/>
          <w:lang w:val="hu-HU" w:eastAsia="hu-HU"/>
        </w:rPr>
        <w:t>Biotranszformáció</w:t>
      </w:r>
      <w:proofErr w:type="spellEnd"/>
    </w:p>
    <w:p w14:paraId="61464238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CYP3A4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metabolizmusáért és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kialakulásáért felelős fő enzim, és más, CYP3A-szubsztrátokkal való interakciójuk az aktiváción át az inhibícióig terjed.</w:t>
      </w:r>
    </w:p>
    <w:p w14:paraId="5F674A04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188F55F8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fő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metabolitja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az AR-C124910XX, ami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thrombocyta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P2Y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12</w:t>
      </w:r>
      <w:r>
        <w:rPr>
          <w:rFonts w:eastAsia="Times New Roman"/>
          <w:snapToGrid/>
          <w:szCs w:val="22"/>
          <w:lang w:val="hu-HU" w:eastAsia="hu-HU"/>
        </w:rPr>
        <w:t xml:space="preserve"> ADP-receptorához történő </w:t>
      </w:r>
      <w:r>
        <w:rPr>
          <w:rFonts w:eastAsia="Times New Roman"/>
          <w:i/>
          <w:snapToGrid/>
          <w:szCs w:val="22"/>
          <w:lang w:val="hu-HU" w:eastAsia="hu-HU"/>
        </w:rPr>
        <w:t>in vitro</w:t>
      </w:r>
      <w:r>
        <w:rPr>
          <w:rFonts w:eastAsia="Times New Roman"/>
          <w:snapToGrid/>
          <w:szCs w:val="22"/>
          <w:lang w:val="hu-HU" w:eastAsia="hu-HU"/>
        </w:rPr>
        <w:t xml:space="preserve"> kötődés mérése alapján szintén aktív.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szisztémás expozíciója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esetén elértnek megközelítőleg a 30</w:t>
      </w:r>
      <w:r>
        <w:rPr>
          <w:rFonts w:eastAsia="Times New Roman"/>
          <w:snapToGrid/>
          <w:szCs w:val="22"/>
          <w:lang w:val="hu-HU" w:eastAsia="hu-HU"/>
        </w:rPr>
        <w:noBreakHyphen/>
        <w:t>40%-a.</w:t>
      </w:r>
    </w:p>
    <w:p w14:paraId="4DE1CEC1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6AC59CC6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u w:val="single"/>
          <w:lang w:val="hu-HU" w:eastAsia="hu-HU"/>
        </w:rPr>
      </w:pPr>
      <w:r>
        <w:rPr>
          <w:rFonts w:eastAsia="Times New Roman"/>
          <w:snapToGrid/>
          <w:szCs w:val="22"/>
          <w:u w:val="single"/>
          <w:lang w:val="hu-HU" w:eastAsia="hu-HU"/>
        </w:rPr>
        <w:t>Elimináció</w:t>
      </w:r>
    </w:p>
    <w:p w14:paraId="3A1C4FE4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eliminációjának elsődleges útvonala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hepaticus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metabolizmus. Radioaktív izotóppal jelölt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adásakor az átlagosan visszanyerhető radioaktivitás mintegy 84% (57,8%-a székletből, 26,5%-a vizeletből). A vizeletből visszanyerhető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és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egyaránt kevesebb mint a dózis 1%-a.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eliminációjának elsődleges útvonala legnagyobb valószínűséggel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biliáris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szekréció. Az átlagos t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 xml:space="preserve">1/2 </w:t>
      </w: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esetén mintegy 7 óra, és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esetén kb. 8,5 óra volt.</w:t>
      </w:r>
    </w:p>
    <w:p w14:paraId="6B31B052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bookmarkStart w:id="1" w:name="_Hlk35941069"/>
    </w:p>
    <w:p w14:paraId="6C463977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u w:val="single"/>
          <w:lang w:val="hu-HU" w:eastAsia="hu-HU"/>
        </w:rPr>
      </w:pPr>
      <w:r>
        <w:rPr>
          <w:rFonts w:eastAsia="Times New Roman"/>
          <w:snapToGrid/>
          <w:szCs w:val="22"/>
          <w:u w:val="single"/>
          <w:lang w:val="hu-HU" w:eastAsia="hu-HU"/>
        </w:rPr>
        <w:t>Különleges betegcsoportok</w:t>
      </w:r>
    </w:p>
    <w:bookmarkEnd w:id="1"/>
    <w:p w14:paraId="5D1777D9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685DB624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napToGrid/>
          <w:szCs w:val="22"/>
          <w:u w:val="single"/>
          <w:lang w:val="hu-HU" w:eastAsia="hu-HU"/>
        </w:rPr>
      </w:pPr>
      <w:r>
        <w:rPr>
          <w:rFonts w:eastAsia="Times New Roman"/>
          <w:i/>
          <w:snapToGrid/>
          <w:szCs w:val="22"/>
          <w:u w:val="single"/>
          <w:lang w:val="hu-HU" w:eastAsia="hu-HU"/>
        </w:rPr>
        <w:t>Idősek</w:t>
      </w:r>
    </w:p>
    <w:p w14:paraId="6E217C03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populációs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farmakokinetikai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analízisek során idős (≥ 75 év), akut coronaria szindrómás betegeknél magasabb expozíciót észleltek mind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(a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és az AUC esetén is egyaránt kb. 25%-kal), mind pedig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esetén, mint a fiatalabb betegeknél. Ezeket a különbségeket nem tartják klinikailag jelentősnek (lásd 4.2 pont).</w:t>
      </w:r>
    </w:p>
    <w:p w14:paraId="159F5F60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1E1AA917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napToGrid/>
          <w:szCs w:val="22"/>
          <w:u w:val="single"/>
          <w:lang w:val="hu-HU" w:eastAsia="hu-HU"/>
        </w:rPr>
      </w:pPr>
      <w:r>
        <w:rPr>
          <w:rFonts w:eastAsia="Times New Roman"/>
          <w:i/>
          <w:snapToGrid/>
          <w:szCs w:val="22"/>
          <w:u w:val="single"/>
          <w:lang w:val="hu-HU" w:eastAsia="hu-HU"/>
        </w:rPr>
        <w:t>Gyermekek és serdülők</w:t>
      </w:r>
    </w:p>
    <w:p w14:paraId="7FD58835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Sarlósejtes vérszegénységben szenvedő gyermekeknél korlátozott mennyiségű adat áll rendelkezésre (lásd 4.2 és 5.1 pont).</w:t>
      </w:r>
    </w:p>
    <w:p w14:paraId="3DD74394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06485505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HESTIA 3-vizsgálatban 2 évestől a betöltött 18 éves korig vettek részt betegek, akik </w:t>
      </w:r>
      <w:r>
        <w:rPr>
          <w:rFonts w:eastAsia="Times New Roman" w:hint="eastAsia"/>
          <w:snapToGrid/>
          <w:szCs w:val="22"/>
          <w:lang w:val="hu-HU" w:eastAsia="hu-HU"/>
        </w:rPr>
        <w:t>testtömege</w:t>
      </w:r>
      <w:r>
        <w:rPr>
          <w:rFonts w:eastAsia="Times New Roman"/>
          <w:snapToGrid/>
          <w:szCs w:val="22"/>
          <w:lang w:val="hu-HU" w:eastAsia="hu-HU"/>
        </w:rPr>
        <w:t xml:space="preserve"> </w:t>
      </w:r>
      <w:r>
        <w:rPr>
          <w:rFonts w:eastAsia="Times New Roman" w:hint="eastAsia"/>
          <w:snapToGrid/>
          <w:szCs w:val="22"/>
          <w:lang w:val="hu-HU" w:eastAsia="hu-HU"/>
        </w:rPr>
        <w:t>≥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12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kg</w:t>
      </w:r>
      <w:r>
        <w:rPr>
          <w:rFonts w:eastAsia="Times New Roman"/>
          <w:snapToGrid/>
          <w:szCs w:val="22"/>
          <w:lang w:val="hu-HU" w:eastAsia="hu-HU"/>
        </w:rPr>
        <w:t> – </w:t>
      </w:r>
      <w:r>
        <w:rPr>
          <w:rFonts w:eastAsia="Times New Roman" w:hint="eastAsia"/>
          <w:snapToGrid/>
          <w:szCs w:val="22"/>
          <w:lang w:val="hu-HU" w:eastAsia="hu-HU"/>
        </w:rPr>
        <w:t>≤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24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kg, &gt;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24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kg</w:t>
      </w:r>
      <w:r>
        <w:rPr>
          <w:rFonts w:eastAsia="Times New Roman"/>
          <w:snapToGrid/>
          <w:szCs w:val="22"/>
          <w:lang w:val="hu-HU" w:eastAsia="hu-HU"/>
        </w:rPr>
        <w:t> – </w:t>
      </w:r>
      <w:r>
        <w:rPr>
          <w:rFonts w:eastAsia="Times New Roman" w:hint="eastAsia"/>
          <w:snapToGrid/>
          <w:szCs w:val="22"/>
          <w:lang w:val="hu-HU" w:eastAsia="hu-HU"/>
        </w:rPr>
        <w:t>≤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48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kg és &gt;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48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kg volt, 15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 xml:space="preserve">mg-os szájban </w:t>
      </w:r>
      <w:proofErr w:type="spellStart"/>
      <w:r>
        <w:rPr>
          <w:rFonts w:eastAsia="Times New Roman" w:hint="eastAsia"/>
          <w:snapToGrid/>
          <w:szCs w:val="22"/>
          <w:lang w:val="hu-HU" w:eastAsia="hu-HU"/>
        </w:rPr>
        <w:t>diszpergálódó</w:t>
      </w:r>
      <w:proofErr w:type="spellEnd"/>
      <w:r>
        <w:rPr>
          <w:rFonts w:eastAsia="Times New Roman" w:hint="eastAsia"/>
          <w:snapToGrid/>
          <w:szCs w:val="22"/>
          <w:lang w:val="hu-HU" w:eastAsia="hu-HU"/>
        </w:rPr>
        <w:t xml:space="preserve">, gyermekeknek való tabletta formájában kaptak </w:t>
      </w:r>
      <w:proofErr w:type="spellStart"/>
      <w:r>
        <w:rPr>
          <w:rFonts w:eastAsia="Times New Roman" w:hint="eastAsia"/>
          <w:snapToGrid/>
          <w:szCs w:val="22"/>
          <w:lang w:val="hu-HU" w:eastAsia="hu-HU"/>
        </w:rPr>
        <w:t>ti</w:t>
      </w:r>
      <w:r>
        <w:rPr>
          <w:rFonts w:eastAsia="Times New Roman"/>
          <w:snapToGrid/>
          <w:szCs w:val="22"/>
          <w:lang w:val="hu-HU" w:eastAsia="hu-HU"/>
        </w:rPr>
        <w:t>k</w:t>
      </w:r>
      <w:r>
        <w:rPr>
          <w:rFonts w:eastAsia="Times New Roman" w:hint="eastAsia"/>
          <w:snapToGrid/>
          <w:szCs w:val="22"/>
          <w:lang w:val="hu-HU" w:eastAsia="hu-HU"/>
        </w:rPr>
        <w:t>agrelort</w:t>
      </w:r>
      <w:proofErr w:type="spellEnd"/>
      <w:r>
        <w:rPr>
          <w:rFonts w:eastAsia="Times New Roman" w:hint="eastAsia"/>
          <w:snapToGrid/>
          <w:szCs w:val="22"/>
          <w:lang w:val="hu-HU" w:eastAsia="hu-HU"/>
        </w:rPr>
        <w:t>, rendre 15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mg, 30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>mg és 45</w:t>
      </w:r>
      <w:r>
        <w:rPr>
          <w:rFonts w:eastAsia="Times New Roman"/>
          <w:snapToGrid/>
          <w:szCs w:val="22"/>
          <w:lang w:val="hu-HU" w:eastAsia="hu-HU"/>
        </w:rPr>
        <w:t> </w:t>
      </w:r>
      <w:r>
        <w:rPr>
          <w:rFonts w:eastAsia="Times New Roman" w:hint="eastAsia"/>
          <w:snapToGrid/>
          <w:szCs w:val="22"/>
          <w:lang w:val="hu-HU" w:eastAsia="hu-HU"/>
        </w:rPr>
        <w:t xml:space="preserve">mg dózisban naponta kétszer. A populációs </w:t>
      </w:r>
      <w:proofErr w:type="spellStart"/>
      <w:r>
        <w:rPr>
          <w:rFonts w:eastAsia="Times New Roman" w:hint="eastAsia"/>
          <w:snapToGrid/>
          <w:szCs w:val="22"/>
          <w:lang w:val="hu-HU" w:eastAsia="hu-HU"/>
        </w:rPr>
        <w:t>farmakokinetikai</w:t>
      </w:r>
      <w:proofErr w:type="spellEnd"/>
      <w:r>
        <w:rPr>
          <w:rFonts w:eastAsia="Times New Roman" w:hint="eastAsia"/>
          <w:snapToGrid/>
          <w:szCs w:val="22"/>
          <w:lang w:val="hu-HU" w:eastAsia="hu-HU"/>
        </w:rPr>
        <w:t xml:space="preserve"> analízis alapján</w:t>
      </w:r>
      <w:r>
        <w:rPr>
          <w:rFonts w:eastAsia="Times New Roman"/>
          <w:snapToGrid/>
          <w:szCs w:val="22"/>
          <w:lang w:val="hu-HU" w:eastAsia="hu-HU"/>
        </w:rPr>
        <w:t>, dinamikus egyensúlyi állapotban az átlagos AUC-érték 1095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ng×óra</w:t>
      </w:r>
      <w:proofErr w:type="spellEnd"/>
      <w:r>
        <w:rPr>
          <w:rFonts w:eastAsia="Times New Roman"/>
          <w:snapToGrid/>
          <w:szCs w:val="22"/>
          <w:lang w:val="hu-HU" w:eastAsia="hu-HU"/>
        </w:rPr>
        <w:t>/ml és 1458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ng×óra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/ml között volt, és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>-érték 143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</w:t>
      </w:r>
      <w:proofErr w:type="spellEnd"/>
      <w:r>
        <w:rPr>
          <w:rFonts w:eastAsia="Times New Roman"/>
          <w:snapToGrid/>
          <w:szCs w:val="22"/>
          <w:lang w:val="hu-HU" w:eastAsia="hu-HU"/>
        </w:rPr>
        <w:t>/ml és 206 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ng</w:t>
      </w:r>
      <w:proofErr w:type="spellEnd"/>
      <w:r>
        <w:rPr>
          <w:rFonts w:eastAsia="Times New Roman"/>
          <w:snapToGrid/>
          <w:szCs w:val="22"/>
          <w:lang w:val="hu-HU" w:eastAsia="hu-HU"/>
        </w:rPr>
        <w:t>/ml között volt.</w:t>
      </w:r>
    </w:p>
    <w:p w14:paraId="1FF24289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2BEF5192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napToGrid/>
          <w:szCs w:val="22"/>
          <w:u w:val="single"/>
          <w:lang w:val="hu-HU" w:eastAsia="hu-HU"/>
        </w:rPr>
      </w:pPr>
      <w:r>
        <w:rPr>
          <w:rFonts w:eastAsia="Times New Roman"/>
          <w:i/>
          <w:snapToGrid/>
          <w:szCs w:val="22"/>
          <w:u w:val="single"/>
          <w:lang w:val="hu-HU" w:eastAsia="hu-HU"/>
        </w:rPr>
        <w:t>Nem</w:t>
      </w:r>
    </w:p>
    <w:p w14:paraId="171912AD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Nőknél magasabb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 és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>-expozíciót észleltek, mint a férfiaknál. A különbségeket nem tartják klinikailag jelentősnek.</w:t>
      </w:r>
    </w:p>
    <w:p w14:paraId="37EE3903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490DEA7A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napToGrid/>
          <w:szCs w:val="22"/>
          <w:u w:val="single"/>
          <w:lang w:val="hu-HU" w:eastAsia="hu-HU"/>
        </w:rPr>
      </w:pPr>
      <w:r>
        <w:rPr>
          <w:rFonts w:eastAsia="Times New Roman"/>
          <w:i/>
          <w:snapToGrid/>
          <w:szCs w:val="22"/>
          <w:u w:val="single"/>
          <w:lang w:val="hu-HU" w:eastAsia="hu-HU"/>
        </w:rPr>
        <w:t>Vesekárosodás</w:t>
      </w:r>
    </w:p>
    <w:p w14:paraId="35E9219D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lastRenderedPageBreak/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expozíciója megközelítőleg 20%-kal alacsonyabb, és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expozíciója megközelítőleg 17%-kal magasabb volt a súlyos vesekárosodásban szenvedő betegeknél (kreatinin-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clearance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gramStart"/>
      <w:r>
        <w:rPr>
          <w:rFonts w:eastAsia="Times New Roman"/>
          <w:snapToGrid/>
          <w:szCs w:val="22"/>
          <w:lang w:val="hu-HU" w:eastAsia="hu-HU"/>
        </w:rPr>
        <w:t>&lt; 30</w:t>
      </w:r>
      <w:proofErr w:type="gramEnd"/>
      <w:r>
        <w:rPr>
          <w:rFonts w:eastAsia="Times New Roman"/>
          <w:snapToGrid/>
          <w:szCs w:val="22"/>
          <w:lang w:val="hu-HU" w:eastAsia="hu-HU"/>
        </w:rPr>
        <w:t> ml/perc), mint az egészséges veseműködésűeknél.</w:t>
      </w:r>
    </w:p>
    <w:p w14:paraId="4BBB4EF7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6BD125C8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Az olyan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haemodialysis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-kezelésben részesülő, végstádiumú vesebetegségben szenvedő betegeknél, akiknek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dialysis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-mentes napon 90 mg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adtak, az AUC- és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-értékük 38%-kal és 51%-kal magasabb volt, a normális veseműködésű alanyokhoz képest. Az expozíció hasonló növekedését figyelték meg, amikor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közvetlenül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dialysis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-kezelés előtt adták (sorrendben 49% és 61%), azt mutatva, hogy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nem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dializálható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. Az aktív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expozíciója kisebb mértékben emelkedett (AUC 13</w:t>
      </w:r>
      <w:r>
        <w:rPr>
          <w:rFonts w:eastAsia="Times New Roman"/>
          <w:snapToGrid/>
          <w:szCs w:val="22"/>
          <w:lang w:val="hu-HU" w:eastAsia="hu-HU"/>
        </w:rPr>
        <w:noBreakHyphen/>
        <w:t xml:space="preserve">14% és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vertAlign w:val="subscript"/>
          <w:lang w:val="hu-HU" w:eastAsia="hu-HU"/>
        </w:rPr>
        <w:t xml:space="preserve"> </w:t>
      </w:r>
      <w:r>
        <w:rPr>
          <w:rFonts w:eastAsia="Times New Roman"/>
          <w:snapToGrid/>
          <w:szCs w:val="22"/>
          <w:lang w:val="hu-HU" w:eastAsia="hu-HU"/>
        </w:rPr>
        <w:t>17</w:t>
      </w:r>
      <w:r>
        <w:rPr>
          <w:rFonts w:eastAsia="Times New Roman"/>
          <w:snapToGrid/>
          <w:szCs w:val="22"/>
          <w:lang w:val="hu-HU" w:eastAsia="hu-HU"/>
        </w:rPr>
        <w:noBreakHyphen/>
        <w:t xml:space="preserve">36%).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thrombocyta-aggregációt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gátló (</w:t>
      </w:r>
      <w:proofErr w:type="spellStart"/>
      <w:r>
        <w:rPr>
          <w:rFonts w:eastAsia="Times New Roman"/>
          <w:snapToGrid/>
          <w:szCs w:val="22"/>
          <w:lang w:val="hu-HU" w:eastAsia="hu-HU"/>
        </w:rPr>
        <w:t>inhibition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of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platelet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aggregation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– IPA) hatása a végstádiumú vesebetegségben szenvedő betegeknél független volt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dialysis</w:t>
      </w:r>
      <w:proofErr w:type="spellEnd"/>
      <w:r>
        <w:rPr>
          <w:rFonts w:eastAsia="Times New Roman"/>
          <w:snapToGrid/>
          <w:szCs w:val="22"/>
          <w:lang w:val="hu-HU" w:eastAsia="hu-HU"/>
        </w:rPr>
        <w:t>-kezeléstől, és hasonló volt a normális veseműködésű alanyokéhoz (lásd 4.2 pont).</w:t>
      </w:r>
    </w:p>
    <w:p w14:paraId="51A35182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017AB8C7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napToGrid/>
          <w:szCs w:val="22"/>
          <w:u w:val="single"/>
          <w:lang w:val="hu-HU" w:eastAsia="hu-HU"/>
        </w:rPr>
      </w:pPr>
      <w:r>
        <w:rPr>
          <w:rFonts w:eastAsia="Times New Roman"/>
          <w:i/>
          <w:snapToGrid/>
          <w:szCs w:val="22"/>
          <w:u w:val="single"/>
          <w:lang w:val="hu-HU" w:eastAsia="hu-HU"/>
        </w:rPr>
        <w:t>Májkárosodás</w:t>
      </w:r>
    </w:p>
    <w:p w14:paraId="5C0F67E2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-a 12%-kal és AUC-je 23%-kal volt magasabb a közepes fokú májkárosodásban szenvedő betegeknél, mint a nekik megfelelő, de egészséges egyéneknél, ugyanakkor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IPA hatása a két csoport esetén hasonló volt. Az enyhe fokú májkárosodásban szenvedő betegeknél a dózis módosítása nem szükséges.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tikagrelort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súlyos fokú májkárosodásban szenvedő betegeknél nem vizsgálták, és a közepes fokú májkárosodásban szenvedő betegeknél nincs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farmakokinetikai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információ. Azoknál a betegeknél, akiknél a vizsgálat megkezdésekor egy vagy több májfunkciós vizsgálati eredmény közepes vagy súlyos mértékben megemelkedett,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plazmakoncentráció átlagosan hasonló vagy kissé magasabb volt, mint azoknál, akiknél a kiindulási értékek nem voltak emelkedettek. A közepes fokú májkárosodásban szenvedő betegek esetén nem javasolt a dózis módosítása (lásd 4.2 és 4.4 pont).</w:t>
      </w:r>
    </w:p>
    <w:p w14:paraId="56112EC8" w14:textId="77777777" w:rsidR="00284377" w:rsidRDefault="00284377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6C3C8040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i/>
          <w:snapToGrid/>
          <w:szCs w:val="22"/>
          <w:u w:val="single"/>
          <w:lang w:val="hu-HU" w:eastAsia="hu-HU"/>
        </w:rPr>
      </w:pPr>
      <w:r>
        <w:rPr>
          <w:rFonts w:eastAsia="Times New Roman"/>
          <w:i/>
          <w:snapToGrid/>
          <w:szCs w:val="22"/>
          <w:u w:val="single"/>
          <w:lang w:val="hu-HU" w:eastAsia="hu-HU"/>
        </w:rPr>
        <w:t>Etnikai hovatartozás</w:t>
      </w:r>
    </w:p>
    <w:p w14:paraId="68111008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Ázsiai eredetű betegeknél az átlagos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biohasznosulás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39%-kal magasabb, mint a fehér betegeknél. A magukat fekete bőrűnek mondó betegeknél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biohasznosulása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18%-kal alacsonyabb volt, mint a fehér betegeknél. Klinikai farmakológiai vizsgálatokban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>-expozíció (</w:t>
      </w:r>
      <w:proofErr w:type="spellStart"/>
      <w:r>
        <w:rPr>
          <w:rFonts w:eastAsia="Times New Roman"/>
          <w:snapToGrid/>
          <w:szCs w:val="22"/>
          <w:lang w:val="hu-HU" w:eastAsia="hu-HU"/>
        </w:rPr>
        <w:t>C</w:t>
      </w:r>
      <w:r>
        <w:rPr>
          <w:rFonts w:eastAsia="Times New Roman"/>
          <w:snapToGrid/>
          <w:szCs w:val="22"/>
          <w:vertAlign w:val="subscript"/>
          <w:lang w:val="hu-HU" w:eastAsia="hu-HU"/>
        </w:rPr>
        <w:t>max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és AUC) a japán személyeknél mintegy 40%-kal (testtömegre történő korrekciót követően 20%-kal) magasabb volt, mint a fehéreknél. A saját magukat spanyolajkúnak vagy latinamerikainak azonosító betegeknél az expozíció hasonló volt, mint a fehér bőrűeknél.</w:t>
      </w:r>
    </w:p>
    <w:p w14:paraId="71A0FB9D" w14:textId="77777777" w:rsidR="00284377" w:rsidRDefault="00284377">
      <w:pPr>
        <w:numPr>
          <w:ilvl w:val="12"/>
          <w:numId w:val="0"/>
        </w:numPr>
        <w:spacing w:line="240" w:lineRule="auto"/>
        <w:ind w:right="-1"/>
        <w:rPr>
          <w:i/>
          <w:noProof/>
          <w:szCs w:val="22"/>
          <w:lang w:val="hu-HU"/>
        </w:rPr>
      </w:pPr>
    </w:p>
    <w:p w14:paraId="47E1A7C7" w14:textId="77777777" w:rsidR="00284377" w:rsidRDefault="00D321AB">
      <w:pPr>
        <w:spacing w:line="240" w:lineRule="auto"/>
        <w:ind w:left="567" w:right="-1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36EE4CF1" w14:textId="77777777" w:rsidR="00284377" w:rsidRPr="005B1D39" w:rsidRDefault="00284377">
      <w:pPr>
        <w:spacing w:line="240" w:lineRule="auto"/>
        <w:ind w:left="567" w:right="-1" w:hanging="567"/>
        <w:outlineLvl w:val="0"/>
        <w:rPr>
          <w:bCs/>
          <w:szCs w:val="22"/>
          <w:lang w:val="hu-HU"/>
        </w:rPr>
      </w:pPr>
    </w:p>
    <w:p w14:paraId="6F0A969C" w14:textId="77777777" w:rsidR="00284377" w:rsidRDefault="00D321AB">
      <w:pPr>
        <w:pStyle w:val="Default"/>
        <w:ind w:right="-1"/>
        <w:rPr>
          <w:rFonts w:eastAsia="Times New Roman"/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 xml:space="preserve">A hagyományos – farmakológiai biztonságossági, egyszeri és ismételt dózistoxicitási, </w:t>
      </w:r>
      <w:proofErr w:type="spellStart"/>
      <w:r>
        <w:rPr>
          <w:rFonts w:eastAsia="Times New Roman"/>
          <w:color w:val="auto"/>
          <w:sz w:val="22"/>
          <w:szCs w:val="22"/>
        </w:rPr>
        <w:t>genotoxicitási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vizsgálatokból származó, a </w:t>
      </w:r>
      <w:proofErr w:type="spellStart"/>
      <w:r>
        <w:rPr>
          <w:rFonts w:eastAsia="Times New Roman"/>
          <w:color w:val="auto"/>
          <w:sz w:val="22"/>
          <w:szCs w:val="22"/>
        </w:rPr>
        <w:t>tikagrelorral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és annak fő </w:t>
      </w:r>
      <w:proofErr w:type="spellStart"/>
      <w:r>
        <w:rPr>
          <w:rFonts w:eastAsia="Times New Roman"/>
          <w:color w:val="auto"/>
          <w:sz w:val="22"/>
          <w:szCs w:val="22"/>
        </w:rPr>
        <w:t>metabolitjával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kapcsolatos </w:t>
      </w:r>
      <w:proofErr w:type="spellStart"/>
      <w:r>
        <w:rPr>
          <w:rFonts w:eastAsia="Times New Roman"/>
          <w:color w:val="auto"/>
          <w:sz w:val="22"/>
          <w:szCs w:val="22"/>
        </w:rPr>
        <w:t>preklinikai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adatok embernél nem igazolták a mellékhatások elfogadhatatlan kockázatát.</w:t>
      </w:r>
    </w:p>
    <w:p w14:paraId="0440CF71" w14:textId="77777777" w:rsidR="00284377" w:rsidRDefault="00284377">
      <w:pPr>
        <w:pStyle w:val="Default"/>
        <w:ind w:right="-1"/>
        <w:rPr>
          <w:rFonts w:eastAsia="Times New Roman"/>
          <w:color w:val="auto"/>
          <w:sz w:val="22"/>
          <w:szCs w:val="22"/>
        </w:rPr>
      </w:pPr>
    </w:p>
    <w:p w14:paraId="4562E3C3" w14:textId="77777777" w:rsidR="00284377" w:rsidRDefault="00D321AB">
      <w:pPr>
        <w:pStyle w:val="Default"/>
        <w:ind w:right="-1"/>
        <w:rPr>
          <w:rFonts w:eastAsia="Times New Roman"/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 xml:space="preserve">Több állatfajnál a klinikailag </w:t>
      </w:r>
      <w:proofErr w:type="spellStart"/>
      <w:r>
        <w:rPr>
          <w:rFonts w:eastAsia="Times New Roman"/>
          <w:color w:val="auto"/>
          <w:sz w:val="22"/>
          <w:szCs w:val="22"/>
        </w:rPr>
        <w:t>relaváns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expozíciós szintek mellett </w:t>
      </w:r>
      <w:proofErr w:type="spellStart"/>
      <w:r>
        <w:rPr>
          <w:rFonts w:eastAsia="Times New Roman"/>
          <w:color w:val="auto"/>
          <w:sz w:val="22"/>
          <w:szCs w:val="22"/>
        </w:rPr>
        <w:t>gastrointestinalis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irritációt figyeltek meg (lásd 4.8 pont).</w:t>
      </w:r>
    </w:p>
    <w:p w14:paraId="7DC89524" w14:textId="77777777" w:rsidR="00284377" w:rsidRDefault="00284377">
      <w:pPr>
        <w:pStyle w:val="Default"/>
        <w:ind w:right="-1"/>
        <w:rPr>
          <w:rFonts w:eastAsia="Times New Roman"/>
          <w:color w:val="auto"/>
          <w:sz w:val="22"/>
          <w:szCs w:val="22"/>
        </w:rPr>
      </w:pPr>
    </w:p>
    <w:p w14:paraId="130E7619" w14:textId="77777777" w:rsidR="00284377" w:rsidRDefault="00D321AB">
      <w:pPr>
        <w:pStyle w:val="Default"/>
        <w:ind w:right="-1"/>
        <w:rPr>
          <w:rFonts w:eastAsia="Times New Roman"/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 xml:space="preserve">Nőstény patkányoknál a </w:t>
      </w:r>
      <w:proofErr w:type="spellStart"/>
      <w:r>
        <w:rPr>
          <w:rFonts w:eastAsia="Times New Roman"/>
          <w:color w:val="auto"/>
          <w:sz w:val="22"/>
          <w:szCs w:val="22"/>
        </w:rPr>
        <w:t>tikagrelor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nagy dózisban a méhdaganatok (</w:t>
      </w:r>
      <w:proofErr w:type="spellStart"/>
      <w:r>
        <w:rPr>
          <w:rFonts w:eastAsia="Times New Roman"/>
          <w:color w:val="auto"/>
          <w:sz w:val="22"/>
          <w:szCs w:val="22"/>
        </w:rPr>
        <w:t>adenocarcinomák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) és a máj </w:t>
      </w:r>
      <w:proofErr w:type="spellStart"/>
      <w:r>
        <w:rPr>
          <w:rFonts w:eastAsia="Times New Roman"/>
          <w:color w:val="auto"/>
          <w:sz w:val="22"/>
          <w:szCs w:val="22"/>
        </w:rPr>
        <w:t>adenomák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magasabb előfordulási gyakoriságát mutatta. A méhdaganatok kialakulásának mechanizmusa valószínűleg a hormonális egyensúly felborulása, ami patkányoknál tumorok kialakulásához vezethet. A máj </w:t>
      </w:r>
      <w:proofErr w:type="spellStart"/>
      <w:r>
        <w:rPr>
          <w:rFonts w:eastAsia="Times New Roman"/>
          <w:color w:val="auto"/>
          <w:sz w:val="22"/>
          <w:szCs w:val="22"/>
        </w:rPr>
        <w:t>adenomák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kialakulási mechanizmusa valószínűleg egy, a májban lévő, a rágcsálókra specifikus enzim indukciója. Ezért a </w:t>
      </w:r>
      <w:proofErr w:type="spellStart"/>
      <w:r>
        <w:rPr>
          <w:rFonts w:eastAsia="Times New Roman"/>
          <w:color w:val="auto"/>
          <w:sz w:val="22"/>
          <w:szCs w:val="22"/>
        </w:rPr>
        <w:t>karcinogenitási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 eredmények emberek esetében valószínűleg irrelevánsnak tekinthetők.</w:t>
      </w:r>
    </w:p>
    <w:p w14:paraId="2CD565D7" w14:textId="77777777" w:rsidR="00284377" w:rsidRDefault="00284377">
      <w:pPr>
        <w:pStyle w:val="Default"/>
        <w:ind w:right="-1"/>
        <w:rPr>
          <w:rFonts w:eastAsia="Times New Roman"/>
          <w:color w:val="auto"/>
          <w:sz w:val="22"/>
          <w:szCs w:val="22"/>
        </w:rPr>
      </w:pPr>
    </w:p>
    <w:p w14:paraId="11B0AAE5" w14:textId="77777777" w:rsidR="00284377" w:rsidRDefault="00D321AB">
      <w:pPr>
        <w:pStyle w:val="Default"/>
        <w:ind w:right="-1"/>
        <w:rPr>
          <w:rFonts w:eastAsia="Times New Roman"/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>Patkányoknál anyai toxicitást okozó dózisok mellett (5,1-es biztonságossági határ) minor fejlődési anomáliákat észleltek. Nyulaknál anyai toxicitást nem okozó, magas dózisok mellett a magzatoknál a máj érésének és a csontváz fejlődésének kisfokú késését észlelték (4,5-es biztonságossági határ).</w:t>
      </w:r>
    </w:p>
    <w:p w14:paraId="4198D91A" w14:textId="77777777" w:rsidR="00284377" w:rsidRDefault="00284377">
      <w:pPr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</w:p>
    <w:p w14:paraId="1FCD7FFB" w14:textId="77777777" w:rsidR="00284377" w:rsidRDefault="00D321AB">
      <w:pPr>
        <w:spacing w:line="240" w:lineRule="auto"/>
        <w:ind w:right="-1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 xml:space="preserve">Patkányokkal és nyulakkal végzett vizsgálatok az anyai testtömeg-növekedés enyhe csökkenésével, valamint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neonatális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életképesség és a születési súly csökkenésével, és lassabb növekedéssel járó reproduktív toxicitást mutattak. A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nőstény patkányoknál szabálytalan ciklusokat (elsősorban </w:t>
      </w:r>
      <w:r>
        <w:rPr>
          <w:rFonts w:eastAsia="Times New Roman"/>
          <w:snapToGrid/>
          <w:szCs w:val="22"/>
          <w:lang w:val="hu-HU" w:eastAsia="hu-HU"/>
        </w:rPr>
        <w:lastRenderedPageBreak/>
        <w:t xml:space="preserve">megnyúlt ciklusokat) idézett elő, de összességében nem befolyásolta a hím és a nőstény patkányok fertilitását. A radioaktív izotóppal jelölt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tikagrelorral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végzett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farmakokinetikai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vizsgálatok azt mutatták, hogy az anyavegyület és annak </w:t>
      </w:r>
      <w:proofErr w:type="spellStart"/>
      <w:r>
        <w:rPr>
          <w:rFonts w:eastAsia="Times New Roman"/>
          <w:snapToGrid/>
          <w:szCs w:val="22"/>
          <w:lang w:val="hu-HU" w:eastAsia="hu-HU"/>
        </w:rPr>
        <w:t>metabolitjai</w:t>
      </w:r>
      <w:proofErr w:type="spellEnd"/>
      <w:r>
        <w:rPr>
          <w:rFonts w:eastAsia="Times New Roman"/>
          <w:snapToGrid/>
          <w:szCs w:val="22"/>
          <w:lang w:val="hu-HU" w:eastAsia="hu-HU"/>
        </w:rPr>
        <w:t xml:space="preserve"> patkányoknál kiválasztódnak az anyatejbe (lásd 4.6 pont).</w:t>
      </w:r>
    </w:p>
    <w:p w14:paraId="29B3893E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67A4C6D2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376C4214" w14:textId="77777777" w:rsidR="00284377" w:rsidRDefault="00D321AB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4F2FC04C" w14:textId="77777777" w:rsidR="00284377" w:rsidRPr="005B1D39" w:rsidRDefault="00284377">
      <w:pPr>
        <w:keepNext/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75F104F0" w14:textId="77777777" w:rsidR="00284377" w:rsidRDefault="00D321AB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A576984" w14:textId="77777777" w:rsidR="00284377" w:rsidRPr="005B1D39" w:rsidRDefault="00284377">
      <w:pPr>
        <w:keepNext/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4677D062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u w:val="single"/>
          <w:lang w:val="hu-HU"/>
        </w:rPr>
        <w:t>Tablettamag:</w:t>
      </w:r>
    </w:p>
    <w:p w14:paraId="7D821ADC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mikrokristályos cellulóz (E460)</w:t>
      </w:r>
    </w:p>
    <w:p w14:paraId="034D7345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kalcium-hidrogén-foszfát-</w:t>
      </w:r>
      <w:proofErr w:type="spellStart"/>
      <w:r>
        <w:rPr>
          <w:szCs w:val="22"/>
          <w:lang w:val="hu-HU"/>
        </w:rPr>
        <w:t>dihidrát</w:t>
      </w:r>
      <w:proofErr w:type="spellEnd"/>
      <w:r>
        <w:rPr>
          <w:szCs w:val="22"/>
          <w:lang w:val="hu-HU"/>
        </w:rPr>
        <w:t xml:space="preserve"> (E341)</w:t>
      </w:r>
    </w:p>
    <w:p w14:paraId="4D4BCF98" w14:textId="77777777" w:rsidR="00284377" w:rsidRDefault="00D321AB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hipromellóz</w:t>
      </w:r>
      <w:proofErr w:type="spellEnd"/>
      <w:r>
        <w:rPr>
          <w:szCs w:val="22"/>
          <w:lang w:val="hu-HU"/>
        </w:rPr>
        <w:t xml:space="preserve"> 2910 (E464)</w:t>
      </w:r>
    </w:p>
    <w:p w14:paraId="7067D688" w14:textId="77777777" w:rsidR="00284377" w:rsidRDefault="00D321AB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kroszkarmellóz</w:t>
      </w:r>
      <w:proofErr w:type="spellEnd"/>
      <w:r>
        <w:rPr>
          <w:szCs w:val="22"/>
          <w:lang w:val="hu-HU"/>
        </w:rPr>
        <w:t>-nátrium (E468)</w:t>
      </w:r>
    </w:p>
    <w:p w14:paraId="5A9E07DB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magnézium-</w:t>
      </w:r>
      <w:proofErr w:type="spellStart"/>
      <w:r>
        <w:rPr>
          <w:szCs w:val="22"/>
          <w:lang w:val="hu-HU"/>
        </w:rPr>
        <w:t>sztearát</w:t>
      </w:r>
      <w:proofErr w:type="spellEnd"/>
      <w:r>
        <w:rPr>
          <w:szCs w:val="22"/>
          <w:lang w:val="hu-HU"/>
        </w:rPr>
        <w:t xml:space="preserve"> (E470b)</w:t>
      </w:r>
    </w:p>
    <w:p w14:paraId="7BA03E7D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4D8A2AC2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u w:val="single"/>
          <w:lang w:val="hu-HU"/>
        </w:rPr>
        <w:t>Filmbevonat:</w:t>
      </w:r>
    </w:p>
    <w:p w14:paraId="48973D4D" w14:textId="77777777" w:rsidR="00284377" w:rsidRDefault="00D321AB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hipromellóz</w:t>
      </w:r>
      <w:proofErr w:type="spellEnd"/>
      <w:r>
        <w:rPr>
          <w:szCs w:val="22"/>
          <w:lang w:val="hu-HU"/>
        </w:rPr>
        <w:t xml:space="preserve"> (E464)</w:t>
      </w:r>
    </w:p>
    <w:p w14:paraId="6D17913B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titán-dioxid (E171)</w:t>
      </w:r>
    </w:p>
    <w:p w14:paraId="3C2B719B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talkum (E553b)</w:t>
      </w:r>
    </w:p>
    <w:p w14:paraId="69B213CF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propilén-</w:t>
      </w:r>
      <w:proofErr w:type="spellStart"/>
      <w:r>
        <w:rPr>
          <w:szCs w:val="22"/>
          <w:lang w:val="hu-HU"/>
        </w:rPr>
        <w:t>glikol</w:t>
      </w:r>
      <w:proofErr w:type="spellEnd"/>
      <w:r>
        <w:rPr>
          <w:szCs w:val="22"/>
          <w:lang w:val="hu-HU"/>
        </w:rPr>
        <w:t xml:space="preserve"> (E1520)</w:t>
      </w:r>
    </w:p>
    <w:p w14:paraId="6FAED77E" w14:textId="77777777" w:rsidR="00284377" w:rsidRDefault="00D321AB">
      <w:pPr>
        <w:spacing w:line="240" w:lineRule="auto"/>
        <w:rPr>
          <w:i/>
          <w:szCs w:val="22"/>
          <w:lang w:val="hu-HU"/>
        </w:rPr>
      </w:pPr>
      <w:r>
        <w:rPr>
          <w:szCs w:val="22"/>
          <w:lang w:val="hu-HU"/>
        </w:rPr>
        <w:t xml:space="preserve">sárga vas-oxid (E172) </w:t>
      </w:r>
      <w:r>
        <w:rPr>
          <w:i/>
          <w:szCs w:val="22"/>
          <w:lang w:val="hu-HU"/>
        </w:rPr>
        <w:t>– csak a 90</w:t>
      </w:r>
      <w:r>
        <w:rPr>
          <w:i/>
          <w:noProof/>
          <w:szCs w:val="22"/>
          <w:lang w:val="hu-HU" w:eastAsia="en-US"/>
        </w:rPr>
        <w:t> </w:t>
      </w:r>
      <w:r>
        <w:rPr>
          <w:i/>
          <w:szCs w:val="22"/>
          <w:lang w:val="hu-HU"/>
        </w:rPr>
        <w:t>mg-ban</w:t>
      </w:r>
    </w:p>
    <w:p w14:paraId="218E012D" w14:textId="77777777" w:rsidR="00284377" w:rsidRDefault="00D321AB">
      <w:pPr>
        <w:spacing w:line="240" w:lineRule="auto"/>
        <w:rPr>
          <w:i/>
          <w:szCs w:val="22"/>
          <w:lang w:val="hu-HU"/>
        </w:rPr>
      </w:pPr>
      <w:r>
        <w:rPr>
          <w:szCs w:val="22"/>
          <w:lang w:val="hu-HU"/>
        </w:rPr>
        <w:t>vörös vas-oxid (E172)</w:t>
      </w:r>
      <w:r>
        <w:rPr>
          <w:i/>
          <w:szCs w:val="22"/>
          <w:lang w:val="hu-HU"/>
        </w:rPr>
        <w:t xml:space="preserve"> – csak a 60</w:t>
      </w:r>
      <w:r>
        <w:rPr>
          <w:i/>
          <w:noProof/>
          <w:szCs w:val="22"/>
          <w:lang w:val="hu-HU" w:eastAsia="en-US"/>
        </w:rPr>
        <w:t> </w:t>
      </w:r>
      <w:r>
        <w:rPr>
          <w:i/>
          <w:szCs w:val="22"/>
          <w:lang w:val="hu-HU"/>
        </w:rPr>
        <w:t>mg-ban</w:t>
      </w:r>
    </w:p>
    <w:p w14:paraId="5FCFCD53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fekete vas-oxid (E172)</w:t>
      </w:r>
      <w:r>
        <w:rPr>
          <w:i/>
          <w:szCs w:val="22"/>
          <w:lang w:val="hu-HU"/>
        </w:rPr>
        <w:t xml:space="preserve"> – csak a 60</w:t>
      </w:r>
      <w:r>
        <w:rPr>
          <w:i/>
          <w:noProof/>
          <w:szCs w:val="22"/>
          <w:lang w:val="hu-HU" w:eastAsia="en-US"/>
        </w:rPr>
        <w:t> </w:t>
      </w:r>
      <w:r>
        <w:rPr>
          <w:i/>
          <w:szCs w:val="22"/>
          <w:lang w:val="hu-HU"/>
        </w:rPr>
        <w:t>mg-ban</w:t>
      </w:r>
    </w:p>
    <w:p w14:paraId="4204C8E9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C9C71BA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28C3D9AB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823A94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2B0E2838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5929A7E9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2E1B7EFF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E3BEF2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 év</w:t>
      </w:r>
    </w:p>
    <w:p w14:paraId="0F21409B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9B82300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8235C50" w14:textId="77777777" w:rsidR="00284377" w:rsidRDefault="00284377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F99546E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Ez a gyógyszer nem igényel különleges tárolást.</w:t>
      </w:r>
    </w:p>
    <w:p w14:paraId="38490B67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547499B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7ADF9B51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5674B9" w14:textId="77777777" w:rsidR="00284377" w:rsidRDefault="00D321AB">
      <w:pPr>
        <w:spacing w:line="240" w:lineRule="auto"/>
        <w:rPr>
          <w:i/>
          <w:szCs w:val="22"/>
          <w:u w:val="single"/>
          <w:lang w:val="hu-HU"/>
        </w:rPr>
      </w:pPr>
      <w:proofErr w:type="spellStart"/>
      <w:r>
        <w:rPr>
          <w:i/>
          <w:szCs w:val="22"/>
          <w:u w:val="single"/>
          <w:lang w:val="hu-HU"/>
        </w:rPr>
        <w:t>Ticagrelor</w:t>
      </w:r>
      <w:proofErr w:type="spellEnd"/>
      <w:r>
        <w:rPr>
          <w:i/>
          <w:szCs w:val="22"/>
          <w:u w:val="single"/>
          <w:lang w:val="hu-HU"/>
        </w:rPr>
        <w:t xml:space="preserve"> HCS-BV 60</w:t>
      </w:r>
      <w:r>
        <w:rPr>
          <w:i/>
          <w:szCs w:val="22"/>
          <w:u w:val="single"/>
          <w:lang w:val="hu-HU" w:eastAsia="en-US"/>
        </w:rPr>
        <w:t> </w:t>
      </w:r>
      <w:r>
        <w:rPr>
          <w:i/>
          <w:szCs w:val="22"/>
          <w:u w:val="single"/>
          <w:lang w:val="hu-HU"/>
        </w:rPr>
        <w:t>mg filmtabletta</w:t>
      </w:r>
    </w:p>
    <w:p w14:paraId="62C8D89D" w14:textId="7046A6B3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Buborékcsomagolás (PVC/PVDC//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fólia): 14, 56, 60, 100, 168 vagy 200 db filmtabletta, dobozban.</w:t>
      </w:r>
    </w:p>
    <w:p w14:paraId="4E2ADF2B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Adagonként perforált buborékcsomagolás (PVC/PVDC//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fólia): 30 </w:t>
      </w:r>
      <w:r>
        <w:rPr>
          <w:szCs w:val="22"/>
          <w:lang w:val="en-US" w:eastAsia="en-US"/>
        </w:rPr>
        <w:t xml:space="preserve">× 1 </w:t>
      </w:r>
      <w:proofErr w:type="spellStart"/>
      <w:r>
        <w:rPr>
          <w:szCs w:val="22"/>
          <w:lang w:val="en-US" w:eastAsia="en-US"/>
        </w:rPr>
        <w:t>vagy</w:t>
      </w:r>
      <w:proofErr w:type="spellEnd"/>
      <w:r>
        <w:rPr>
          <w:szCs w:val="22"/>
          <w:lang w:val="en-US" w:eastAsia="en-US"/>
        </w:rPr>
        <w:t xml:space="preserve"> </w:t>
      </w:r>
      <w:r>
        <w:rPr>
          <w:szCs w:val="22"/>
          <w:lang w:val="hu-HU"/>
        </w:rPr>
        <w:t>60 </w:t>
      </w:r>
      <w:r>
        <w:rPr>
          <w:szCs w:val="22"/>
          <w:lang w:val="en-US" w:eastAsia="en-US"/>
        </w:rPr>
        <w:t>× 1</w:t>
      </w:r>
      <w:r>
        <w:rPr>
          <w:szCs w:val="22"/>
          <w:lang w:val="hu-HU"/>
        </w:rPr>
        <w:t> db filmtabletta, dobozban.</w:t>
      </w:r>
    </w:p>
    <w:p w14:paraId="5DC0502F" w14:textId="77777777" w:rsidR="00284377" w:rsidRDefault="00D321AB">
      <w:pPr>
        <w:spacing w:line="240" w:lineRule="auto"/>
        <w:rPr>
          <w:i/>
          <w:szCs w:val="22"/>
          <w:u w:val="single"/>
          <w:lang w:val="hu-HU"/>
        </w:rPr>
      </w:pPr>
      <w:proofErr w:type="spellStart"/>
      <w:r>
        <w:rPr>
          <w:i/>
          <w:szCs w:val="22"/>
          <w:u w:val="single"/>
          <w:lang w:val="hu-HU"/>
        </w:rPr>
        <w:t>Ticagrelor</w:t>
      </w:r>
      <w:proofErr w:type="spellEnd"/>
      <w:r>
        <w:rPr>
          <w:i/>
          <w:szCs w:val="22"/>
          <w:u w:val="single"/>
          <w:lang w:val="hu-HU"/>
        </w:rPr>
        <w:t xml:space="preserve"> HCS-BV 90</w:t>
      </w:r>
      <w:r>
        <w:rPr>
          <w:i/>
          <w:szCs w:val="22"/>
          <w:u w:val="single"/>
          <w:lang w:val="hu-HU" w:eastAsia="en-US"/>
        </w:rPr>
        <w:t> </w:t>
      </w:r>
      <w:r>
        <w:rPr>
          <w:i/>
          <w:szCs w:val="22"/>
          <w:u w:val="single"/>
          <w:lang w:val="hu-HU"/>
        </w:rPr>
        <w:t>mg filmtabletta</w:t>
      </w:r>
    </w:p>
    <w:p w14:paraId="35D0F391" w14:textId="617614FA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Buborékcsomagolás (PVC/PVDC//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fólia): 14, 56, 60, 100, 168 vagy 200 db filmtabletta, dobozban.</w:t>
      </w:r>
    </w:p>
    <w:p w14:paraId="2C1CC902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Adagonként perforált buborékcsomagolás (PVC/PVDC//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fólia): 30 </w:t>
      </w:r>
      <w:r>
        <w:rPr>
          <w:szCs w:val="22"/>
          <w:lang w:val="en-US" w:eastAsia="en-US"/>
        </w:rPr>
        <w:t xml:space="preserve">× 1, </w:t>
      </w:r>
      <w:r>
        <w:rPr>
          <w:szCs w:val="22"/>
          <w:lang w:val="hu-HU"/>
        </w:rPr>
        <w:t>60 </w:t>
      </w:r>
      <w:r>
        <w:rPr>
          <w:szCs w:val="22"/>
          <w:lang w:val="en-US" w:eastAsia="en-US"/>
        </w:rPr>
        <w:t xml:space="preserve">× 1, </w:t>
      </w:r>
      <w:r>
        <w:rPr>
          <w:szCs w:val="22"/>
          <w:lang w:val="hu-HU"/>
        </w:rPr>
        <w:t>90 </w:t>
      </w:r>
      <w:r>
        <w:rPr>
          <w:szCs w:val="22"/>
          <w:lang w:val="en-US" w:eastAsia="en-US"/>
        </w:rPr>
        <w:t>× 1</w:t>
      </w:r>
      <w:r>
        <w:rPr>
          <w:szCs w:val="22"/>
          <w:lang w:val="hu-HU"/>
        </w:rPr>
        <w:t xml:space="preserve"> vagy 100 </w:t>
      </w:r>
      <w:r>
        <w:rPr>
          <w:szCs w:val="22"/>
          <w:lang w:val="en-US" w:eastAsia="en-US"/>
        </w:rPr>
        <w:t>× 1 </w:t>
      </w:r>
      <w:proofErr w:type="spellStart"/>
      <w:r>
        <w:rPr>
          <w:szCs w:val="22"/>
          <w:lang w:val="en-US" w:eastAsia="en-US"/>
        </w:rPr>
        <w:t>db</w:t>
      </w:r>
      <w:proofErr w:type="spellEnd"/>
      <w:r>
        <w:rPr>
          <w:szCs w:val="22"/>
          <w:lang w:val="en-US" w:eastAsia="en-US"/>
        </w:rPr>
        <w:t xml:space="preserve"> </w:t>
      </w:r>
      <w:r>
        <w:rPr>
          <w:szCs w:val="22"/>
          <w:lang w:val="hu-HU"/>
        </w:rPr>
        <w:t>filmtabletta, dobozban.</w:t>
      </w:r>
    </w:p>
    <w:p w14:paraId="3C193085" w14:textId="77777777" w:rsidR="00284377" w:rsidRDefault="00284377">
      <w:pPr>
        <w:spacing w:line="240" w:lineRule="auto"/>
        <w:rPr>
          <w:szCs w:val="22"/>
          <w:lang w:val="hu-HU"/>
        </w:rPr>
      </w:pPr>
    </w:p>
    <w:p w14:paraId="2D674319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6D85D552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2559051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678E520F" w14:textId="77777777" w:rsidR="00284377" w:rsidRPr="005B1D39" w:rsidRDefault="00284377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59EEF319" w14:textId="77777777" w:rsidR="00284377" w:rsidRDefault="00D321AB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222"/>
        <w:rPr>
          <w:rFonts w:eastAsia="Times New Roman"/>
          <w:snapToGrid/>
          <w:szCs w:val="22"/>
          <w:lang w:val="hu-HU" w:eastAsia="hu-HU"/>
        </w:rPr>
      </w:pPr>
      <w:r>
        <w:rPr>
          <w:rFonts w:eastAsia="Times New Roman"/>
          <w:snapToGrid/>
          <w:spacing w:val="-1"/>
          <w:szCs w:val="22"/>
          <w:lang w:val="hu-HU" w:eastAsia="hu-HU"/>
        </w:rPr>
        <w:t xml:space="preserve">Bármilyen fel nem használt gyógyszer, illetve hulladékanyag megsemmisítését </w:t>
      </w:r>
      <w:r>
        <w:rPr>
          <w:rFonts w:eastAsia="Times New Roman"/>
          <w:snapToGrid/>
          <w:szCs w:val="22"/>
          <w:lang w:val="hu-HU" w:eastAsia="hu-HU"/>
        </w:rPr>
        <w:t>a</w:t>
      </w:r>
      <w:r>
        <w:rPr>
          <w:rFonts w:eastAsia="Times New Roman"/>
          <w:snapToGrid/>
          <w:spacing w:val="-1"/>
          <w:szCs w:val="22"/>
          <w:lang w:val="hu-HU" w:eastAsia="hu-HU"/>
        </w:rPr>
        <w:t xml:space="preserve"> gyógyszerekre</w:t>
      </w:r>
      <w:r>
        <w:rPr>
          <w:rFonts w:eastAsia="Times New Roman"/>
          <w:snapToGrid/>
          <w:spacing w:val="28"/>
          <w:szCs w:val="22"/>
          <w:lang w:val="hu-HU" w:eastAsia="hu-HU"/>
        </w:rPr>
        <w:t xml:space="preserve"> </w:t>
      </w:r>
      <w:r>
        <w:rPr>
          <w:rFonts w:eastAsia="Times New Roman"/>
          <w:snapToGrid/>
          <w:spacing w:val="-1"/>
          <w:szCs w:val="22"/>
          <w:lang w:val="hu-HU" w:eastAsia="hu-HU"/>
        </w:rPr>
        <w:t>vonatkozó előírások szerint kell végrehajtani.</w:t>
      </w:r>
    </w:p>
    <w:p w14:paraId="3EF0E444" w14:textId="77777777" w:rsidR="00284377" w:rsidRDefault="00284377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  <w:lang w:val="hu-HU"/>
        </w:rPr>
      </w:pPr>
    </w:p>
    <w:p w14:paraId="3A71EAE8" w14:textId="77777777" w:rsidR="00284377" w:rsidRDefault="00D321AB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  <w:lang w:val="hu-HU"/>
        </w:rPr>
      </w:pPr>
      <w:r>
        <w:rPr>
          <w:szCs w:val="22"/>
          <w:lang w:val="hu-HU"/>
        </w:rPr>
        <w:lastRenderedPageBreak/>
        <w:t>Azoknak a betegeknek, akik nem tudják egészben lenyelni a tablettá(</w:t>
      </w:r>
      <w:proofErr w:type="spellStart"/>
      <w:r>
        <w:rPr>
          <w:szCs w:val="22"/>
          <w:lang w:val="hu-HU"/>
        </w:rPr>
        <w:t>ka</w:t>
      </w:r>
      <w:proofErr w:type="spellEnd"/>
      <w:r>
        <w:rPr>
          <w:szCs w:val="22"/>
          <w:lang w:val="hu-HU"/>
        </w:rPr>
        <w:t xml:space="preserve">)t, a tabletták finom porrá törhetők, és fél pohár vízben elkeverve azonnal megihatók. A poharat további félpohárnyi vízzel ki kell öblíteni, és a pohár tartalmát meg kell inni. A keverék </w:t>
      </w:r>
      <w:proofErr w:type="spellStart"/>
      <w:r>
        <w:rPr>
          <w:szCs w:val="22"/>
          <w:lang w:val="hu-HU"/>
        </w:rPr>
        <w:t>nazogasztrikus</w:t>
      </w:r>
      <w:proofErr w:type="spellEnd"/>
      <w:r>
        <w:rPr>
          <w:szCs w:val="22"/>
          <w:lang w:val="hu-HU"/>
        </w:rPr>
        <w:t xml:space="preserve"> szondán (CH8 vagy nagyobb) át is beadható. Fontos, hogy a keverék beadása után a </w:t>
      </w:r>
      <w:proofErr w:type="spellStart"/>
      <w:r>
        <w:rPr>
          <w:szCs w:val="22"/>
          <w:lang w:val="hu-HU"/>
        </w:rPr>
        <w:t>nazogasztrikus</w:t>
      </w:r>
      <w:proofErr w:type="spellEnd"/>
      <w:r>
        <w:rPr>
          <w:szCs w:val="22"/>
          <w:lang w:val="hu-HU"/>
        </w:rPr>
        <w:t xml:space="preserve"> szondát 50 ml vízzel kétszer öblítse át.</w:t>
      </w:r>
    </w:p>
    <w:p w14:paraId="3F4D96D4" w14:textId="77777777" w:rsidR="00284377" w:rsidRDefault="00284377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EA026F9" w14:textId="77777777" w:rsidR="00284377" w:rsidRDefault="00D321AB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Megjegyzés</w:t>
      </w:r>
      <w:r>
        <w:rPr>
          <w:rFonts w:eastAsia="Times New Roman"/>
          <w:noProof/>
          <w:snapToGrid/>
          <w:szCs w:val="22"/>
          <w:lang w:val="hu-HU" w:eastAsia="en-US"/>
        </w:rPr>
        <w:t>: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>
        <w:rPr>
          <w:rFonts w:eastAsia="Times New Roman"/>
          <w:noProof/>
          <w:snapToGrid/>
          <w:szCs w:val="22"/>
          <w:lang w:eastAsia="en-US"/>
        </w:rPr>
        <w:sym w:font="Wingdings" w:char="F058"/>
      </w:r>
      <w:r>
        <w:rPr>
          <w:rFonts w:eastAsia="Times New Roman"/>
          <w:noProof/>
          <w:snapToGrid/>
          <w:szCs w:val="22"/>
          <w:lang w:eastAsia="en-US"/>
        </w:rPr>
        <w:t xml:space="preserve"> (egy keresztes)</w:t>
      </w:r>
    </w:p>
    <w:p w14:paraId="0103DDC7" w14:textId="77777777" w:rsidR="00284377" w:rsidRDefault="00D321AB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Osztályozás: II./1. csoport</w:t>
      </w:r>
    </w:p>
    <w:p w14:paraId="0C5FBB11" w14:textId="77777777" w:rsidR="00284377" w:rsidRDefault="00D321AB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Korlátozott érvényű orvosi rendelvényhez kötött, szakorvosi/kórházi diagnózist követő járóbeteg-ellátásban alkalmazható gyógyszer (J).</w:t>
      </w:r>
    </w:p>
    <w:p w14:paraId="4F982F40" w14:textId="77777777" w:rsidR="00284377" w:rsidRDefault="00284377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1C5998CF" w14:textId="77777777" w:rsidR="00284377" w:rsidRDefault="00284377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3448043B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49D72CC4" w14:textId="77777777" w:rsidR="00284377" w:rsidRPr="005B1D39" w:rsidRDefault="0028437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5EDD332B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HCS BV</w:t>
      </w:r>
    </w:p>
    <w:p w14:paraId="6700DBE6" w14:textId="77777777" w:rsidR="00284377" w:rsidRDefault="00D321AB">
      <w:pPr>
        <w:spacing w:line="240" w:lineRule="auto"/>
        <w:rPr>
          <w:szCs w:val="22"/>
          <w:lang w:val="hu-HU"/>
        </w:rPr>
      </w:pPr>
      <w:bookmarkStart w:id="2" w:name="_Hlk156821166"/>
      <w:proofErr w:type="spellStart"/>
      <w:r>
        <w:rPr>
          <w:szCs w:val="22"/>
          <w:lang w:val="hu-HU"/>
        </w:rPr>
        <w:t>Hendrik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Kennisstraat</w:t>
      </w:r>
      <w:proofErr w:type="spellEnd"/>
      <w:r>
        <w:rPr>
          <w:szCs w:val="22"/>
          <w:lang w:val="hu-HU"/>
        </w:rPr>
        <w:t xml:space="preserve"> 53</w:t>
      </w:r>
      <w:bookmarkEnd w:id="2"/>
    </w:p>
    <w:p w14:paraId="2700FA3F" w14:textId="77777777" w:rsidR="00284377" w:rsidRDefault="00D321AB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2650 Antwerpen</w:t>
      </w:r>
    </w:p>
    <w:p w14:paraId="6B8D07BE" w14:textId="77777777" w:rsidR="00284377" w:rsidRDefault="00D321AB">
      <w:pPr>
        <w:spacing w:line="240" w:lineRule="auto"/>
        <w:ind w:left="567" w:hanging="567"/>
        <w:outlineLvl w:val="0"/>
        <w:rPr>
          <w:szCs w:val="22"/>
          <w:lang w:val="hu-HU"/>
        </w:rPr>
      </w:pPr>
      <w:r>
        <w:rPr>
          <w:szCs w:val="22"/>
          <w:lang w:val="hu-HU"/>
        </w:rPr>
        <w:t>Belgium</w:t>
      </w:r>
    </w:p>
    <w:p w14:paraId="1C6F0175" w14:textId="77777777" w:rsidR="00284377" w:rsidRPr="005B1D39" w:rsidRDefault="0028437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69979BAD" w14:textId="77777777" w:rsidR="00284377" w:rsidRPr="005B1D39" w:rsidRDefault="0028437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783C2232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5F8DD03" w14:textId="77777777" w:rsidR="00284377" w:rsidRPr="005B1D39" w:rsidRDefault="0028437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274397E1" w14:textId="77777777" w:rsidR="00284377" w:rsidRDefault="00D321AB">
      <w:pPr>
        <w:rPr>
          <w:szCs w:val="22"/>
          <w:u w:val="single"/>
        </w:rPr>
      </w:pPr>
      <w:r>
        <w:rPr>
          <w:szCs w:val="22"/>
          <w:u w:val="single"/>
        </w:rPr>
        <w:t xml:space="preserve">Ticagrelor HCS-BV 60 mg </w:t>
      </w:r>
      <w:proofErr w:type="spellStart"/>
      <w:r>
        <w:rPr>
          <w:szCs w:val="22"/>
          <w:u w:val="single"/>
        </w:rPr>
        <w:t>filmtabletta</w:t>
      </w:r>
      <w:proofErr w:type="spellEnd"/>
    </w:p>
    <w:p w14:paraId="672659C5" w14:textId="77777777" w:rsidR="00284377" w:rsidRDefault="00D321AB">
      <w:pPr>
        <w:rPr>
          <w:szCs w:val="22"/>
        </w:rPr>
      </w:pPr>
      <w:r>
        <w:rPr>
          <w:szCs w:val="22"/>
        </w:rPr>
        <w:t>OGYI-T-24353/01</w:t>
      </w:r>
      <w:r>
        <w:rPr>
          <w:szCs w:val="22"/>
        </w:rPr>
        <w:tab/>
        <w:t>14×</w:t>
      </w:r>
      <w:r>
        <w:rPr>
          <w:szCs w:val="22"/>
        </w:rPr>
        <w:tab/>
        <w:t xml:space="preserve">PVC/PVDC//Al </w:t>
      </w:r>
      <w:proofErr w:type="spellStart"/>
      <w:r>
        <w:rPr>
          <w:szCs w:val="22"/>
        </w:rPr>
        <w:t>buborékcsomagolásban</w:t>
      </w:r>
      <w:proofErr w:type="spellEnd"/>
    </w:p>
    <w:p w14:paraId="454EBBE6" w14:textId="77777777" w:rsidR="00284377" w:rsidRDefault="00D321AB">
      <w:pPr>
        <w:rPr>
          <w:szCs w:val="22"/>
        </w:rPr>
      </w:pPr>
      <w:r>
        <w:rPr>
          <w:szCs w:val="22"/>
        </w:rPr>
        <w:t>OGYI-T-24353/02</w:t>
      </w:r>
      <w:r>
        <w:rPr>
          <w:szCs w:val="22"/>
        </w:rPr>
        <w:tab/>
        <w:t>30×1</w:t>
      </w:r>
      <w:r>
        <w:rPr>
          <w:szCs w:val="22"/>
        </w:rPr>
        <w:tab/>
      </w:r>
      <w:proofErr w:type="spellStart"/>
      <w:r>
        <w:rPr>
          <w:szCs w:val="22"/>
        </w:rPr>
        <w:t>adagonként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perforált</w:t>
      </w:r>
      <w:proofErr w:type="spellEnd"/>
      <w:r>
        <w:rPr>
          <w:szCs w:val="22"/>
        </w:rPr>
        <w:t xml:space="preserve"> PVC/PVDC//Al </w:t>
      </w:r>
      <w:proofErr w:type="spellStart"/>
      <w:r>
        <w:rPr>
          <w:szCs w:val="22"/>
        </w:rPr>
        <w:t>buborékcsomagolásban</w:t>
      </w:r>
      <w:proofErr w:type="spellEnd"/>
    </w:p>
    <w:p w14:paraId="788B3E84" w14:textId="77777777" w:rsidR="00284377" w:rsidRDefault="00D321AB">
      <w:pPr>
        <w:rPr>
          <w:szCs w:val="22"/>
        </w:rPr>
      </w:pPr>
      <w:r>
        <w:rPr>
          <w:szCs w:val="22"/>
        </w:rPr>
        <w:t>OGYI-T-24353/03</w:t>
      </w:r>
      <w:r>
        <w:rPr>
          <w:szCs w:val="22"/>
        </w:rPr>
        <w:tab/>
        <w:t>56×</w:t>
      </w:r>
      <w:r>
        <w:rPr>
          <w:szCs w:val="22"/>
        </w:rPr>
        <w:tab/>
        <w:t xml:space="preserve">PVC/PVDC//Al </w:t>
      </w:r>
      <w:proofErr w:type="spellStart"/>
      <w:r>
        <w:rPr>
          <w:szCs w:val="22"/>
        </w:rPr>
        <w:t>buborékcsomagolásban</w:t>
      </w:r>
      <w:proofErr w:type="spellEnd"/>
    </w:p>
    <w:p w14:paraId="10EA5799" w14:textId="77777777" w:rsidR="00284377" w:rsidRDefault="00D321AB">
      <w:pPr>
        <w:rPr>
          <w:szCs w:val="22"/>
        </w:rPr>
      </w:pPr>
      <w:r>
        <w:rPr>
          <w:szCs w:val="22"/>
        </w:rPr>
        <w:t>OGYI-T-24353/04</w:t>
      </w:r>
      <w:r>
        <w:rPr>
          <w:szCs w:val="22"/>
        </w:rPr>
        <w:tab/>
        <w:t>60×1</w:t>
      </w:r>
      <w:r>
        <w:rPr>
          <w:szCs w:val="22"/>
        </w:rPr>
        <w:tab/>
      </w:r>
      <w:proofErr w:type="spellStart"/>
      <w:r>
        <w:rPr>
          <w:szCs w:val="22"/>
        </w:rPr>
        <w:t>adagonként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perforált</w:t>
      </w:r>
      <w:proofErr w:type="spellEnd"/>
      <w:r>
        <w:rPr>
          <w:szCs w:val="22"/>
        </w:rPr>
        <w:t xml:space="preserve"> PVC/PVDC//Al </w:t>
      </w:r>
      <w:proofErr w:type="spellStart"/>
      <w:r>
        <w:rPr>
          <w:szCs w:val="22"/>
        </w:rPr>
        <w:t>buborékcsomagolásban</w:t>
      </w:r>
      <w:proofErr w:type="spellEnd"/>
    </w:p>
    <w:p w14:paraId="092F55FD" w14:textId="77777777" w:rsidR="00284377" w:rsidRDefault="00D321AB">
      <w:pPr>
        <w:rPr>
          <w:szCs w:val="22"/>
        </w:rPr>
      </w:pPr>
      <w:r>
        <w:rPr>
          <w:szCs w:val="22"/>
        </w:rPr>
        <w:t>OGYI-T-24353/05</w:t>
      </w:r>
      <w:r>
        <w:rPr>
          <w:szCs w:val="22"/>
        </w:rPr>
        <w:tab/>
        <w:t>168×</w:t>
      </w:r>
      <w:r>
        <w:rPr>
          <w:szCs w:val="22"/>
        </w:rPr>
        <w:tab/>
        <w:t xml:space="preserve">PVC/PVDC//Al </w:t>
      </w:r>
      <w:proofErr w:type="spellStart"/>
      <w:r>
        <w:rPr>
          <w:szCs w:val="22"/>
        </w:rPr>
        <w:t>buborékcsomagolásban</w:t>
      </w:r>
      <w:proofErr w:type="spellEnd"/>
    </w:p>
    <w:p w14:paraId="37CD5A1F" w14:textId="77777777" w:rsidR="00265EEF" w:rsidRDefault="00265EEF" w:rsidP="00265EEF">
      <w:pPr>
        <w:rPr>
          <w:szCs w:val="22"/>
        </w:rPr>
      </w:pPr>
      <w:r>
        <w:rPr>
          <w:szCs w:val="22"/>
        </w:rPr>
        <w:t>OGYI-T-24353/13</w:t>
      </w:r>
      <w:r>
        <w:rPr>
          <w:szCs w:val="22"/>
        </w:rPr>
        <w:tab/>
        <w:t>60×</w:t>
      </w:r>
      <w:r>
        <w:rPr>
          <w:szCs w:val="22"/>
        </w:rPr>
        <w:tab/>
        <w:t xml:space="preserve">PVC/PVDC//Al </w:t>
      </w:r>
      <w:proofErr w:type="spellStart"/>
      <w:r>
        <w:rPr>
          <w:szCs w:val="22"/>
        </w:rPr>
        <w:t>buborékcsomagolásban</w:t>
      </w:r>
      <w:proofErr w:type="spellEnd"/>
    </w:p>
    <w:p w14:paraId="5C073B84" w14:textId="77777777" w:rsidR="00265EEF" w:rsidRDefault="00265EEF" w:rsidP="00265EEF">
      <w:pPr>
        <w:rPr>
          <w:szCs w:val="22"/>
        </w:rPr>
      </w:pPr>
      <w:r>
        <w:rPr>
          <w:szCs w:val="22"/>
        </w:rPr>
        <w:t>OGYI-T-24353/14</w:t>
      </w:r>
      <w:r>
        <w:rPr>
          <w:szCs w:val="22"/>
        </w:rPr>
        <w:tab/>
        <w:t>100×</w:t>
      </w:r>
      <w:r>
        <w:rPr>
          <w:szCs w:val="22"/>
        </w:rPr>
        <w:tab/>
        <w:t xml:space="preserve">PVC/PVDC//Al </w:t>
      </w:r>
      <w:proofErr w:type="spellStart"/>
      <w:r>
        <w:rPr>
          <w:szCs w:val="22"/>
        </w:rPr>
        <w:t>buborékcsomagolásban</w:t>
      </w:r>
      <w:proofErr w:type="spellEnd"/>
    </w:p>
    <w:p w14:paraId="1C831225" w14:textId="77777777" w:rsidR="00265EEF" w:rsidRDefault="00265EEF" w:rsidP="00265EEF">
      <w:pPr>
        <w:rPr>
          <w:szCs w:val="22"/>
        </w:rPr>
      </w:pPr>
      <w:r>
        <w:rPr>
          <w:szCs w:val="22"/>
        </w:rPr>
        <w:t>OGYI-T-24353/17</w:t>
      </w:r>
      <w:r>
        <w:rPr>
          <w:szCs w:val="22"/>
        </w:rPr>
        <w:tab/>
        <w:t>200×</w:t>
      </w:r>
      <w:r>
        <w:rPr>
          <w:szCs w:val="22"/>
        </w:rPr>
        <w:tab/>
        <w:t xml:space="preserve">PVC/PVDC//Al </w:t>
      </w:r>
      <w:proofErr w:type="spellStart"/>
      <w:r>
        <w:rPr>
          <w:szCs w:val="22"/>
        </w:rPr>
        <w:t>buborékcsomagolásban</w:t>
      </w:r>
      <w:proofErr w:type="spellEnd"/>
    </w:p>
    <w:p w14:paraId="7802705F" w14:textId="77777777" w:rsidR="00284377" w:rsidRDefault="00284377">
      <w:pPr>
        <w:rPr>
          <w:szCs w:val="22"/>
          <w:u w:val="single"/>
        </w:rPr>
      </w:pPr>
    </w:p>
    <w:p w14:paraId="109DE5D3" w14:textId="77777777" w:rsidR="00284377" w:rsidRDefault="00D321AB">
      <w:pPr>
        <w:rPr>
          <w:szCs w:val="22"/>
          <w:u w:val="single"/>
        </w:rPr>
      </w:pPr>
      <w:r>
        <w:rPr>
          <w:szCs w:val="22"/>
          <w:u w:val="single"/>
        </w:rPr>
        <w:t xml:space="preserve">Ticagrelor HCS-BV 90 mg </w:t>
      </w:r>
      <w:proofErr w:type="spellStart"/>
      <w:r>
        <w:rPr>
          <w:szCs w:val="22"/>
          <w:u w:val="single"/>
        </w:rPr>
        <w:t>filmtabletta</w:t>
      </w:r>
      <w:proofErr w:type="spellEnd"/>
    </w:p>
    <w:p w14:paraId="14868621" w14:textId="77777777" w:rsidR="00284377" w:rsidRDefault="00D321AB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OGYI-T-24353/06</w:t>
      </w:r>
      <w:r>
        <w:rPr>
          <w:szCs w:val="22"/>
          <w:lang w:val="hu-HU"/>
        </w:rPr>
        <w:tab/>
        <w:t>14×</w:t>
      </w:r>
      <w:r>
        <w:rPr>
          <w:szCs w:val="22"/>
          <w:lang w:val="hu-HU"/>
        </w:rPr>
        <w:tab/>
        <w:t>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07D4557E" w14:textId="77777777" w:rsidR="00284377" w:rsidRDefault="00D321AB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OGYI-T-24353/07</w:t>
      </w:r>
      <w:r>
        <w:rPr>
          <w:szCs w:val="22"/>
          <w:lang w:val="hu-HU"/>
        </w:rPr>
        <w:tab/>
        <w:t>30×1</w:t>
      </w:r>
      <w:r>
        <w:rPr>
          <w:szCs w:val="22"/>
          <w:lang w:val="hu-HU"/>
        </w:rPr>
        <w:tab/>
        <w:t>adagonként perforált 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77E06A68" w14:textId="77777777" w:rsidR="00284377" w:rsidRDefault="00D321AB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OGYI-T-24353/08</w:t>
      </w:r>
      <w:r>
        <w:rPr>
          <w:szCs w:val="22"/>
          <w:lang w:val="hu-HU"/>
        </w:rPr>
        <w:tab/>
        <w:t>56×</w:t>
      </w:r>
      <w:r>
        <w:rPr>
          <w:szCs w:val="22"/>
          <w:lang w:val="hu-HU"/>
        </w:rPr>
        <w:tab/>
        <w:t>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775F1B5A" w14:textId="77777777" w:rsidR="00284377" w:rsidRDefault="00D321AB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OGYI-T-24353/09</w:t>
      </w:r>
      <w:r>
        <w:rPr>
          <w:szCs w:val="22"/>
          <w:lang w:val="hu-HU"/>
        </w:rPr>
        <w:tab/>
        <w:t>60×1</w:t>
      </w:r>
      <w:r>
        <w:rPr>
          <w:szCs w:val="22"/>
          <w:lang w:val="hu-HU"/>
        </w:rPr>
        <w:tab/>
        <w:t>adagonként perforált 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16A94A67" w14:textId="77777777" w:rsidR="00284377" w:rsidRDefault="00D321AB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OGYI-T-24353/10</w:t>
      </w:r>
      <w:r>
        <w:rPr>
          <w:szCs w:val="22"/>
          <w:lang w:val="hu-HU"/>
        </w:rPr>
        <w:tab/>
        <w:t>90×1</w:t>
      </w:r>
      <w:r>
        <w:rPr>
          <w:szCs w:val="22"/>
          <w:lang w:val="hu-HU"/>
        </w:rPr>
        <w:tab/>
        <w:t>adagonként perforált 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77980AE3" w14:textId="77777777" w:rsidR="00284377" w:rsidRDefault="00D321AB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OGYI-T-24353/11</w:t>
      </w:r>
      <w:r>
        <w:rPr>
          <w:szCs w:val="22"/>
          <w:lang w:val="hu-HU"/>
        </w:rPr>
        <w:tab/>
        <w:t>100×1</w:t>
      </w:r>
      <w:r>
        <w:rPr>
          <w:szCs w:val="22"/>
          <w:lang w:val="hu-HU"/>
        </w:rPr>
        <w:tab/>
        <w:t>adagonként perforált 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1EE68C85" w14:textId="77777777" w:rsidR="00284377" w:rsidRDefault="00D321AB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OGYI-T-24353/12</w:t>
      </w:r>
      <w:r>
        <w:rPr>
          <w:szCs w:val="22"/>
          <w:lang w:val="hu-HU"/>
        </w:rPr>
        <w:tab/>
        <w:t>168×</w:t>
      </w:r>
      <w:r>
        <w:rPr>
          <w:szCs w:val="22"/>
          <w:lang w:val="hu-HU"/>
        </w:rPr>
        <w:tab/>
        <w:t>PVC/PVDC//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70983082" w14:textId="77777777" w:rsidR="00265EEF" w:rsidRDefault="00265EEF" w:rsidP="00265EEF">
      <w:pPr>
        <w:rPr>
          <w:szCs w:val="22"/>
        </w:rPr>
      </w:pPr>
      <w:r>
        <w:rPr>
          <w:szCs w:val="22"/>
        </w:rPr>
        <w:t>OGYI-T-24353/15</w:t>
      </w:r>
      <w:r>
        <w:rPr>
          <w:szCs w:val="22"/>
        </w:rPr>
        <w:tab/>
        <w:t>60×</w:t>
      </w:r>
      <w:r>
        <w:rPr>
          <w:szCs w:val="22"/>
        </w:rPr>
        <w:tab/>
        <w:t xml:space="preserve">PVC/PVDC//Al </w:t>
      </w:r>
      <w:proofErr w:type="spellStart"/>
      <w:r>
        <w:rPr>
          <w:szCs w:val="22"/>
        </w:rPr>
        <w:t>buborékcsomagolásban</w:t>
      </w:r>
      <w:proofErr w:type="spellEnd"/>
    </w:p>
    <w:p w14:paraId="1989CE22" w14:textId="77777777" w:rsidR="00265EEF" w:rsidRDefault="00265EEF" w:rsidP="00265EEF">
      <w:pPr>
        <w:rPr>
          <w:szCs w:val="22"/>
        </w:rPr>
      </w:pPr>
      <w:r>
        <w:rPr>
          <w:szCs w:val="22"/>
        </w:rPr>
        <w:t>OGYI-T-24353/16</w:t>
      </w:r>
      <w:r>
        <w:rPr>
          <w:szCs w:val="22"/>
        </w:rPr>
        <w:tab/>
        <w:t>100×</w:t>
      </w:r>
      <w:r>
        <w:rPr>
          <w:szCs w:val="22"/>
        </w:rPr>
        <w:tab/>
        <w:t xml:space="preserve">PVC/PVDC//Al </w:t>
      </w:r>
      <w:proofErr w:type="spellStart"/>
      <w:r>
        <w:rPr>
          <w:szCs w:val="22"/>
        </w:rPr>
        <w:t>buborékcsomagolásban</w:t>
      </w:r>
      <w:proofErr w:type="spellEnd"/>
    </w:p>
    <w:p w14:paraId="0DA98D15" w14:textId="56B5BF33" w:rsidR="00284377" w:rsidRDefault="00265EEF" w:rsidP="00265EEF">
      <w:pPr>
        <w:spacing w:line="240" w:lineRule="auto"/>
        <w:ind w:right="-2"/>
        <w:rPr>
          <w:szCs w:val="22"/>
          <w:lang w:val="hu-HU"/>
        </w:rPr>
      </w:pPr>
      <w:r>
        <w:rPr>
          <w:szCs w:val="22"/>
        </w:rPr>
        <w:t>OGYI-T-24353/18</w:t>
      </w:r>
      <w:r>
        <w:rPr>
          <w:szCs w:val="22"/>
        </w:rPr>
        <w:tab/>
        <w:t>200×</w:t>
      </w:r>
      <w:r>
        <w:rPr>
          <w:szCs w:val="22"/>
        </w:rPr>
        <w:tab/>
        <w:t xml:space="preserve">PVC/PVDC//Al </w:t>
      </w:r>
      <w:proofErr w:type="spellStart"/>
      <w:r>
        <w:rPr>
          <w:szCs w:val="22"/>
        </w:rPr>
        <w:t>buborékcsomagolásban</w:t>
      </w:r>
      <w:proofErr w:type="spellEnd"/>
    </w:p>
    <w:p w14:paraId="3C960C09" w14:textId="77777777" w:rsidR="00284377" w:rsidRDefault="00284377">
      <w:pPr>
        <w:spacing w:line="240" w:lineRule="auto"/>
        <w:ind w:right="-2"/>
        <w:rPr>
          <w:szCs w:val="22"/>
          <w:lang w:val="hu-HU"/>
        </w:rPr>
      </w:pPr>
    </w:p>
    <w:p w14:paraId="635891F4" w14:textId="77777777" w:rsidR="00284377" w:rsidRDefault="00D321AB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>
        <w:rPr>
          <w:b/>
          <w:szCs w:val="22"/>
          <w:lang w:val="hu-HU"/>
        </w:rPr>
        <w:t xml:space="preserve"> DÁTUMA</w:t>
      </w:r>
    </w:p>
    <w:p w14:paraId="57E431EE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85C4DB4" w14:textId="77777777" w:rsidR="00284377" w:rsidRDefault="00D321A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dátuma: 2024. március 08.</w:t>
      </w:r>
    </w:p>
    <w:p w14:paraId="381DCEDA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956094" w14:textId="77777777" w:rsidR="00284377" w:rsidRDefault="0028437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FA6F05E" w14:textId="77777777" w:rsidR="00284377" w:rsidRDefault="00D321AB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426047D9" w14:textId="77777777" w:rsidR="00284377" w:rsidRDefault="00284377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02B139DC" w14:textId="0A0FAB4B" w:rsidR="00284377" w:rsidRDefault="00E87848">
      <w:pPr>
        <w:spacing w:line="240" w:lineRule="auto"/>
        <w:ind w:left="567" w:hanging="567"/>
        <w:outlineLvl w:val="0"/>
        <w:rPr>
          <w:szCs w:val="22"/>
          <w:lang w:val="hu-HU"/>
        </w:rPr>
      </w:pPr>
      <w:r>
        <w:rPr>
          <w:szCs w:val="22"/>
          <w:lang w:val="hu-HU"/>
        </w:rPr>
        <w:t>2025. szeptember 15.</w:t>
      </w:r>
    </w:p>
    <w:p w14:paraId="048F0A4E" w14:textId="77777777" w:rsidR="00E87848" w:rsidRDefault="00E87848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sectPr w:rsidR="00E87848">
      <w:head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5A7281" w14:textId="77777777" w:rsidR="00D321AB" w:rsidRDefault="00D321AB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00AE8E23" w14:textId="77777777" w:rsidR="00D321AB" w:rsidRDefault="00D321AB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ED5F48" w14:textId="77777777" w:rsidR="00A82E25" w:rsidRPr="005B1D39" w:rsidRDefault="00A82E25" w:rsidP="005B1D39">
    <w:pPr>
      <w:pStyle w:val="Nincstrkz"/>
      <w:rPr>
        <w:sz w:val="18"/>
        <w:szCs w:val="18"/>
      </w:rPr>
    </w:pPr>
    <w:r w:rsidRPr="005B1D39">
      <w:rPr>
        <w:sz w:val="18"/>
        <w:szCs w:val="18"/>
      </w:rPr>
      <w:t>NNGYK/ETGY/6266/2025</w:t>
    </w:r>
  </w:p>
  <w:p w14:paraId="6D6D354E" w14:textId="77777777" w:rsidR="00A82E25" w:rsidRPr="005B1D39" w:rsidRDefault="00A82E25" w:rsidP="005B1D39">
    <w:pPr>
      <w:pStyle w:val="Nincstrkz"/>
      <w:rPr>
        <w:sz w:val="18"/>
        <w:szCs w:val="18"/>
      </w:rPr>
    </w:pPr>
    <w:r w:rsidRPr="005B1D39">
      <w:rPr>
        <w:sz w:val="18"/>
        <w:szCs w:val="18"/>
      </w:rPr>
      <w:t>NNGYK/ETGY/6268/2025</w:t>
    </w:r>
  </w:p>
  <w:p w14:paraId="11A2DD9C" w14:textId="77777777" w:rsidR="00A82E25" w:rsidRPr="005B1D39" w:rsidRDefault="00A82E25" w:rsidP="005B1D39">
    <w:pPr>
      <w:pStyle w:val="Nincstrkz"/>
      <w:rPr>
        <w:sz w:val="18"/>
        <w:szCs w:val="18"/>
      </w:rPr>
    </w:pPr>
    <w:r w:rsidRPr="005B1D39">
      <w:rPr>
        <w:sz w:val="18"/>
        <w:szCs w:val="18"/>
      </w:rPr>
      <w:t>NNGYK/ETGY/9576/2025</w:t>
    </w:r>
  </w:p>
  <w:p w14:paraId="31828C81" w14:textId="7B759F34" w:rsidR="00D321AB" w:rsidRDefault="00A82E25" w:rsidP="005B1D39">
    <w:pPr>
      <w:pStyle w:val="Nincstrkz"/>
    </w:pPr>
    <w:r w:rsidRPr="005B1D39">
      <w:rPr>
        <w:sz w:val="18"/>
        <w:szCs w:val="18"/>
      </w:rPr>
      <w:t>NNGYK/ETGY/9577/2025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B499D" w14:textId="77777777" w:rsidR="00D321AB" w:rsidRDefault="00D321AB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44FDADF8" w14:textId="77777777" w:rsidR="00D321AB" w:rsidRDefault="00D321AB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2E8B3" w14:textId="77777777" w:rsidR="00D321AB" w:rsidRDefault="00D321AB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  <w:lang w:val="hu-HU"/>
      </w:rPr>
      <w:t>3</w:t>
    </w:r>
    <w:r>
      <w:rPr>
        <w:sz w:val="18"/>
        <w:szCs w:val="18"/>
      </w:rPr>
      <w:fldChar w:fldCharType="end"/>
    </w:r>
  </w:p>
  <w:p w14:paraId="14C5F146" w14:textId="77777777" w:rsidR="00D321AB" w:rsidRDefault="00D321A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402"/>
    <w:multiLevelType w:val="multilevel"/>
    <w:tmpl w:val="01822798"/>
    <w:lvl w:ilvl="0">
      <w:start w:val="1"/>
      <w:numFmt w:val="bullet"/>
      <w:lvlText w:val=""/>
      <w:lvlJc w:val="left"/>
      <w:pPr>
        <w:ind w:left="785" w:hanging="567"/>
      </w:pPr>
      <w:rPr>
        <w:rFonts w:ascii="Symbol" w:hAnsi="Symbol" w:hint="default"/>
        <w:b/>
        <w:bCs/>
        <w:w w:val="100"/>
        <w:sz w:val="22"/>
        <w:szCs w:val="22"/>
      </w:rPr>
    </w:lvl>
    <w:lvl w:ilvl="1">
      <w:start w:val="1"/>
      <w:numFmt w:val="bullet"/>
      <w:lvlText w:val=""/>
      <w:lvlJc w:val="left"/>
      <w:pPr>
        <w:ind w:left="785" w:hanging="567"/>
      </w:pPr>
      <w:rPr>
        <w:rFonts w:ascii="Symbol" w:hAnsi="Symbol" w:hint="default"/>
        <w:b/>
        <w:bCs/>
        <w:spacing w:val="0"/>
        <w:w w:val="100"/>
        <w:sz w:val="22"/>
        <w:szCs w:val="22"/>
      </w:rPr>
    </w:lvl>
    <w:lvl w:ilvl="2">
      <w:start w:val="3"/>
      <w:numFmt w:val="bullet"/>
      <w:lvlText w:val="-"/>
      <w:lvlJc w:val="left"/>
      <w:pPr>
        <w:ind w:left="568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3331" w:hanging="284"/>
      </w:pPr>
    </w:lvl>
    <w:lvl w:ilvl="4">
      <w:numFmt w:val="bullet"/>
      <w:lvlText w:val="•"/>
      <w:lvlJc w:val="left"/>
      <w:pPr>
        <w:ind w:left="4182" w:hanging="284"/>
      </w:pPr>
    </w:lvl>
    <w:lvl w:ilvl="5">
      <w:numFmt w:val="bullet"/>
      <w:lvlText w:val="•"/>
      <w:lvlJc w:val="left"/>
      <w:pPr>
        <w:ind w:left="5032" w:hanging="284"/>
      </w:pPr>
    </w:lvl>
    <w:lvl w:ilvl="6">
      <w:numFmt w:val="bullet"/>
      <w:lvlText w:val="•"/>
      <w:lvlJc w:val="left"/>
      <w:pPr>
        <w:ind w:left="5883" w:hanging="284"/>
      </w:pPr>
    </w:lvl>
    <w:lvl w:ilvl="7">
      <w:numFmt w:val="bullet"/>
      <w:lvlText w:val="•"/>
      <w:lvlJc w:val="left"/>
      <w:pPr>
        <w:ind w:left="6733" w:hanging="284"/>
      </w:pPr>
    </w:lvl>
    <w:lvl w:ilvl="8">
      <w:numFmt w:val="bullet"/>
      <w:lvlText w:val="•"/>
      <w:lvlJc w:val="left"/>
      <w:pPr>
        <w:ind w:left="7584" w:hanging="284"/>
      </w:pPr>
    </w:lvl>
  </w:abstractNum>
  <w:abstractNum w:abstractNumId="12" w15:restartNumberingAfterBreak="0">
    <w:nsid w:val="00000404"/>
    <w:multiLevelType w:val="multilevel"/>
    <w:tmpl w:val="00000887"/>
    <w:lvl w:ilvl="0">
      <w:start w:val="5"/>
      <w:numFmt w:val="decimal"/>
      <w:lvlText w:val="%1"/>
      <w:lvlJc w:val="left"/>
      <w:pPr>
        <w:ind w:left="116" w:hanging="336"/>
      </w:pPr>
    </w:lvl>
    <w:lvl w:ilvl="1">
      <w:start w:val="1"/>
      <w:numFmt w:val="decimal"/>
      <w:lvlText w:val="%1.%2"/>
      <w:lvlJc w:val="left"/>
      <w:pPr>
        <w:ind w:left="116" w:hanging="336"/>
      </w:pPr>
      <w:rPr>
        <w:rFonts w:ascii="Times New Roman" w:hAnsi="Times New Roman" w:cs="Times New Roman"/>
        <w:b w:val="0"/>
        <w:bCs w:val="0"/>
        <w:spacing w:val="1"/>
        <w:sz w:val="22"/>
        <w:szCs w:val="22"/>
      </w:rPr>
    </w:lvl>
    <w:lvl w:ilvl="2">
      <w:numFmt w:val="bullet"/>
      <w:lvlText w:val=""/>
      <w:lvlJc w:val="left"/>
      <w:pPr>
        <w:ind w:left="682" w:hanging="284"/>
      </w:pPr>
      <w:rPr>
        <w:rFonts w:ascii="Symbol" w:hAnsi="Symbol" w:cs="Symbol"/>
        <w:b w:val="0"/>
        <w:bCs w:val="0"/>
        <w:sz w:val="22"/>
        <w:szCs w:val="22"/>
      </w:rPr>
    </w:lvl>
    <w:lvl w:ilvl="3">
      <w:numFmt w:val="bullet"/>
      <w:lvlText w:val="•"/>
      <w:lvlJc w:val="left"/>
      <w:pPr>
        <w:ind w:left="2580" w:hanging="284"/>
      </w:pPr>
    </w:lvl>
    <w:lvl w:ilvl="4">
      <w:numFmt w:val="bullet"/>
      <w:lvlText w:val="•"/>
      <w:lvlJc w:val="left"/>
      <w:pPr>
        <w:ind w:left="3530" w:hanging="284"/>
      </w:pPr>
    </w:lvl>
    <w:lvl w:ilvl="5">
      <w:numFmt w:val="bullet"/>
      <w:lvlText w:val="•"/>
      <w:lvlJc w:val="left"/>
      <w:pPr>
        <w:ind w:left="4479" w:hanging="284"/>
      </w:pPr>
    </w:lvl>
    <w:lvl w:ilvl="6">
      <w:numFmt w:val="bullet"/>
      <w:lvlText w:val="•"/>
      <w:lvlJc w:val="left"/>
      <w:pPr>
        <w:ind w:left="5428" w:hanging="284"/>
      </w:pPr>
    </w:lvl>
    <w:lvl w:ilvl="7">
      <w:numFmt w:val="bullet"/>
      <w:lvlText w:val="•"/>
      <w:lvlJc w:val="left"/>
      <w:pPr>
        <w:ind w:left="6377" w:hanging="284"/>
      </w:pPr>
    </w:lvl>
    <w:lvl w:ilvl="8">
      <w:numFmt w:val="bullet"/>
      <w:lvlText w:val="•"/>
      <w:lvlJc w:val="left"/>
      <w:pPr>
        <w:ind w:left="7327" w:hanging="284"/>
      </w:pPr>
    </w:lvl>
  </w:abstractNum>
  <w:abstractNum w:abstractNumId="13" w15:restartNumberingAfterBreak="0">
    <w:nsid w:val="00000406"/>
    <w:multiLevelType w:val="multilevel"/>
    <w:tmpl w:val="CFAA2D3A"/>
    <w:lvl w:ilvl="0">
      <w:start w:val="16"/>
      <w:numFmt w:val="upperLetter"/>
      <w:lvlText w:val="%1-"/>
      <w:lvlJc w:val="left"/>
      <w:pPr>
        <w:ind w:left="116" w:hanging="197"/>
      </w:pPr>
      <w:rPr>
        <w:rFonts w:ascii="Times New Roman" w:hAnsi="Times New Roman" w:cs="Times New Roman"/>
        <w:b w:val="0"/>
        <w:bCs w:val="0"/>
        <w:spacing w:val="2"/>
        <w:sz w:val="22"/>
        <w:szCs w:val="22"/>
      </w:rPr>
    </w:lvl>
    <w:lvl w:ilvl="1">
      <w:start w:val="1"/>
      <w:numFmt w:val="bullet"/>
      <w:lvlText w:val="-"/>
      <w:lvlJc w:val="left"/>
      <w:pPr>
        <w:ind w:left="682" w:hanging="284"/>
      </w:pPr>
      <w:rPr>
        <w:rFonts w:ascii="Times New Roman" w:eastAsia="Times New Roman" w:hAnsi="Times New Roman" w:cs="Times New Roman" w:hint="default"/>
        <w:b w:val="0"/>
        <w:bCs w:val="0"/>
        <w:sz w:val="22"/>
        <w:szCs w:val="22"/>
      </w:rPr>
    </w:lvl>
    <w:lvl w:ilvl="2">
      <w:numFmt w:val="bullet"/>
      <w:lvlText w:val="•"/>
      <w:lvlJc w:val="left"/>
      <w:pPr>
        <w:ind w:left="1638" w:hanging="284"/>
      </w:pPr>
    </w:lvl>
    <w:lvl w:ilvl="3">
      <w:numFmt w:val="bullet"/>
      <w:lvlText w:val="•"/>
      <w:lvlJc w:val="left"/>
      <w:pPr>
        <w:ind w:left="2594" w:hanging="284"/>
      </w:pPr>
    </w:lvl>
    <w:lvl w:ilvl="4">
      <w:numFmt w:val="bullet"/>
      <w:lvlText w:val="•"/>
      <w:lvlJc w:val="left"/>
      <w:pPr>
        <w:ind w:left="3550" w:hanging="284"/>
      </w:pPr>
    </w:lvl>
    <w:lvl w:ilvl="5">
      <w:numFmt w:val="bullet"/>
      <w:lvlText w:val="•"/>
      <w:lvlJc w:val="left"/>
      <w:pPr>
        <w:ind w:left="4506" w:hanging="284"/>
      </w:pPr>
    </w:lvl>
    <w:lvl w:ilvl="6">
      <w:numFmt w:val="bullet"/>
      <w:lvlText w:val="•"/>
      <w:lvlJc w:val="left"/>
      <w:pPr>
        <w:ind w:left="5461" w:hanging="284"/>
      </w:pPr>
    </w:lvl>
    <w:lvl w:ilvl="7">
      <w:numFmt w:val="bullet"/>
      <w:lvlText w:val="•"/>
      <w:lvlJc w:val="left"/>
      <w:pPr>
        <w:ind w:left="6417" w:hanging="284"/>
      </w:pPr>
    </w:lvl>
    <w:lvl w:ilvl="8">
      <w:numFmt w:val="bullet"/>
      <w:lvlText w:val="•"/>
      <w:lvlJc w:val="left"/>
      <w:pPr>
        <w:ind w:left="7373" w:hanging="284"/>
      </w:pPr>
    </w:lvl>
  </w:abstractNum>
  <w:abstractNum w:abstractNumId="14" w15:restartNumberingAfterBreak="0">
    <w:nsid w:val="00000408"/>
    <w:multiLevelType w:val="multilevel"/>
    <w:tmpl w:val="0000088B"/>
    <w:lvl w:ilvl="0">
      <w:numFmt w:val="bullet"/>
      <w:lvlText w:val="–"/>
      <w:lvlJc w:val="left"/>
      <w:pPr>
        <w:ind w:left="284" w:hanging="168"/>
      </w:pPr>
      <w:rPr>
        <w:rFonts w:ascii="Times New Roman" w:hAnsi="Times New Roman"/>
        <w:b w:val="0"/>
        <w:sz w:val="22"/>
      </w:rPr>
    </w:lvl>
    <w:lvl w:ilvl="1">
      <w:numFmt w:val="bullet"/>
      <w:lvlText w:val=""/>
      <w:lvlJc w:val="left"/>
      <w:pPr>
        <w:ind w:left="682" w:hanging="284"/>
      </w:pPr>
      <w:rPr>
        <w:rFonts w:ascii="Symbol" w:hAnsi="Symbol"/>
        <w:b w:val="0"/>
        <w:sz w:val="22"/>
      </w:rPr>
    </w:lvl>
    <w:lvl w:ilvl="2">
      <w:numFmt w:val="bullet"/>
      <w:lvlText w:val="•"/>
      <w:lvlJc w:val="left"/>
      <w:pPr>
        <w:ind w:left="1624" w:hanging="284"/>
      </w:pPr>
    </w:lvl>
    <w:lvl w:ilvl="3">
      <w:numFmt w:val="bullet"/>
      <w:lvlText w:val="•"/>
      <w:lvlJc w:val="left"/>
      <w:pPr>
        <w:ind w:left="2567" w:hanging="284"/>
      </w:pPr>
    </w:lvl>
    <w:lvl w:ilvl="4">
      <w:numFmt w:val="bullet"/>
      <w:lvlText w:val="•"/>
      <w:lvlJc w:val="left"/>
      <w:pPr>
        <w:ind w:left="3510" w:hanging="284"/>
      </w:pPr>
    </w:lvl>
    <w:lvl w:ilvl="5">
      <w:numFmt w:val="bullet"/>
      <w:lvlText w:val="•"/>
      <w:lvlJc w:val="left"/>
      <w:pPr>
        <w:ind w:left="4452" w:hanging="284"/>
      </w:pPr>
    </w:lvl>
    <w:lvl w:ilvl="6">
      <w:numFmt w:val="bullet"/>
      <w:lvlText w:val="•"/>
      <w:lvlJc w:val="left"/>
      <w:pPr>
        <w:ind w:left="5395" w:hanging="284"/>
      </w:pPr>
    </w:lvl>
    <w:lvl w:ilvl="7">
      <w:numFmt w:val="bullet"/>
      <w:lvlText w:val="•"/>
      <w:lvlJc w:val="left"/>
      <w:pPr>
        <w:ind w:left="6337" w:hanging="284"/>
      </w:pPr>
    </w:lvl>
    <w:lvl w:ilvl="8">
      <w:numFmt w:val="bullet"/>
      <w:lvlText w:val="•"/>
      <w:lvlJc w:val="left"/>
      <w:pPr>
        <w:ind w:left="7280" w:hanging="284"/>
      </w:pPr>
    </w:lvl>
  </w:abstractNum>
  <w:abstractNum w:abstractNumId="15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7C4471"/>
    <w:multiLevelType w:val="multilevel"/>
    <w:tmpl w:val="E76EE836"/>
    <w:lvl w:ilvl="0">
      <w:start w:val="5"/>
      <w:numFmt w:val="decimal"/>
      <w:lvlText w:val="%1"/>
      <w:lvlJc w:val="left"/>
      <w:pPr>
        <w:ind w:left="116" w:hanging="336"/>
      </w:pPr>
    </w:lvl>
    <w:lvl w:ilvl="1">
      <w:start w:val="1"/>
      <w:numFmt w:val="decimal"/>
      <w:lvlText w:val="%1.%2"/>
      <w:lvlJc w:val="left"/>
      <w:pPr>
        <w:ind w:left="116" w:hanging="336"/>
      </w:pPr>
      <w:rPr>
        <w:rFonts w:ascii="Times New Roman" w:hAnsi="Times New Roman" w:cs="Times New Roman"/>
        <w:b w:val="0"/>
        <w:bCs w:val="0"/>
        <w:spacing w:val="1"/>
        <w:sz w:val="22"/>
        <w:szCs w:val="22"/>
      </w:rPr>
    </w:lvl>
    <w:lvl w:ilvl="2">
      <w:start w:val="1"/>
      <w:numFmt w:val="bullet"/>
      <w:lvlText w:val="-"/>
      <w:lvlJc w:val="left"/>
      <w:pPr>
        <w:ind w:left="682" w:hanging="284"/>
      </w:pPr>
      <w:rPr>
        <w:rFonts w:ascii="Times New Roman" w:eastAsia="Times New Roman" w:hAnsi="Times New Roman" w:cs="Times New Roman" w:hint="default"/>
        <w:b w:val="0"/>
        <w:bCs w:val="0"/>
        <w:sz w:val="22"/>
        <w:szCs w:val="22"/>
      </w:rPr>
    </w:lvl>
    <w:lvl w:ilvl="3">
      <w:numFmt w:val="bullet"/>
      <w:lvlText w:val="•"/>
      <w:lvlJc w:val="left"/>
      <w:pPr>
        <w:ind w:left="2580" w:hanging="284"/>
      </w:pPr>
    </w:lvl>
    <w:lvl w:ilvl="4">
      <w:numFmt w:val="bullet"/>
      <w:lvlText w:val="•"/>
      <w:lvlJc w:val="left"/>
      <w:pPr>
        <w:ind w:left="3530" w:hanging="284"/>
      </w:pPr>
    </w:lvl>
    <w:lvl w:ilvl="5">
      <w:numFmt w:val="bullet"/>
      <w:lvlText w:val="•"/>
      <w:lvlJc w:val="left"/>
      <w:pPr>
        <w:ind w:left="4479" w:hanging="284"/>
      </w:pPr>
    </w:lvl>
    <w:lvl w:ilvl="6">
      <w:numFmt w:val="bullet"/>
      <w:lvlText w:val="•"/>
      <w:lvlJc w:val="left"/>
      <w:pPr>
        <w:ind w:left="5428" w:hanging="284"/>
      </w:pPr>
    </w:lvl>
    <w:lvl w:ilvl="7">
      <w:numFmt w:val="bullet"/>
      <w:lvlText w:val="•"/>
      <w:lvlJc w:val="left"/>
      <w:pPr>
        <w:ind w:left="6377" w:hanging="284"/>
      </w:pPr>
    </w:lvl>
    <w:lvl w:ilvl="8">
      <w:numFmt w:val="bullet"/>
      <w:lvlText w:val="•"/>
      <w:lvlJc w:val="left"/>
      <w:pPr>
        <w:ind w:left="7327" w:hanging="284"/>
      </w:pPr>
    </w:lvl>
  </w:abstractNum>
  <w:abstractNum w:abstractNumId="21" w15:restartNumberingAfterBreak="0">
    <w:nsid w:val="1AB666F0"/>
    <w:multiLevelType w:val="hybridMultilevel"/>
    <w:tmpl w:val="4BFEC7A0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4E0D43"/>
    <w:multiLevelType w:val="hybridMultilevel"/>
    <w:tmpl w:val="078012BA"/>
    <w:lvl w:ilvl="0" w:tplc="F72E47DA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4" w15:restartNumberingAfterBreak="0">
    <w:nsid w:val="20BA27C5"/>
    <w:multiLevelType w:val="hybridMultilevel"/>
    <w:tmpl w:val="074AE12C"/>
    <w:lvl w:ilvl="0" w:tplc="845890DE">
      <w:numFmt w:val="bullet"/>
      <w:lvlText w:val="•"/>
      <w:lvlJc w:val="left"/>
      <w:pPr>
        <w:ind w:left="359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5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31AB19EC"/>
    <w:multiLevelType w:val="hybridMultilevel"/>
    <w:tmpl w:val="663452FA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394F4AFB"/>
    <w:multiLevelType w:val="hybridMultilevel"/>
    <w:tmpl w:val="9D6480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30" w15:restartNumberingAfterBreak="0">
    <w:nsid w:val="4A3B7AD2"/>
    <w:multiLevelType w:val="hybridMultilevel"/>
    <w:tmpl w:val="225A19FC"/>
    <w:lvl w:ilvl="0" w:tplc="2710E934">
      <w:start w:val="1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4" w15:restartNumberingAfterBreak="0">
    <w:nsid w:val="56D33232"/>
    <w:multiLevelType w:val="multilevel"/>
    <w:tmpl w:val="E07E0416"/>
    <w:lvl w:ilvl="0">
      <w:numFmt w:val="bullet"/>
      <w:lvlText w:val="–"/>
      <w:lvlJc w:val="left"/>
      <w:pPr>
        <w:ind w:left="284" w:hanging="168"/>
      </w:pPr>
      <w:rPr>
        <w:rFonts w:ascii="Times New Roman" w:hAnsi="Times New Roman"/>
        <w:b w:val="0"/>
        <w:sz w:val="22"/>
      </w:rPr>
    </w:lvl>
    <w:lvl w:ilvl="1">
      <w:start w:val="1"/>
      <w:numFmt w:val="bullet"/>
      <w:lvlText w:val="-"/>
      <w:lvlJc w:val="left"/>
      <w:pPr>
        <w:ind w:left="682" w:hanging="284"/>
      </w:pPr>
      <w:rPr>
        <w:b w:val="0"/>
        <w:sz w:val="22"/>
      </w:rPr>
    </w:lvl>
    <w:lvl w:ilvl="2">
      <w:numFmt w:val="bullet"/>
      <w:lvlText w:val="•"/>
      <w:lvlJc w:val="left"/>
      <w:pPr>
        <w:ind w:left="1624" w:hanging="284"/>
      </w:pPr>
    </w:lvl>
    <w:lvl w:ilvl="3">
      <w:numFmt w:val="bullet"/>
      <w:lvlText w:val="•"/>
      <w:lvlJc w:val="left"/>
      <w:pPr>
        <w:ind w:left="2567" w:hanging="284"/>
      </w:pPr>
    </w:lvl>
    <w:lvl w:ilvl="4">
      <w:numFmt w:val="bullet"/>
      <w:lvlText w:val="•"/>
      <w:lvlJc w:val="left"/>
      <w:pPr>
        <w:ind w:left="3510" w:hanging="284"/>
      </w:pPr>
    </w:lvl>
    <w:lvl w:ilvl="5">
      <w:numFmt w:val="bullet"/>
      <w:lvlText w:val="•"/>
      <w:lvlJc w:val="left"/>
      <w:pPr>
        <w:ind w:left="4452" w:hanging="284"/>
      </w:pPr>
    </w:lvl>
    <w:lvl w:ilvl="6">
      <w:numFmt w:val="bullet"/>
      <w:lvlText w:val="•"/>
      <w:lvlJc w:val="left"/>
      <w:pPr>
        <w:ind w:left="5395" w:hanging="284"/>
      </w:pPr>
    </w:lvl>
    <w:lvl w:ilvl="7">
      <w:numFmt w:val="bullet"/>
      <w:lvlText w:val="•"/>
      <w:lvlJc w:val="left"/>
      <w:pPr>
        <w:ind w:left="6337" w:hanging="284"/>
      </w:pPr>
    </w:lvl>
    <w:lvl w:ilvl="8">
      <w:numFmt w:val="bullet"/>
      <w:lvlText w:val="•"/>
      <w:lvlJc w:val="left"/>
      <w:pPr>
        <w:ind w:left="7280" w:hanging="284"/>
      </w:pPr>
    </w:lvl>
  </w:abstractNum>
  <w:abstractNum w:abstractNumId="3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E70366C"/>
    <w:multiLevelType w:val="hybridMultilevel"/>
    <w:tmpl w:val="2974CFEE"/>
    <w:lvl w:ilvl="0" w:tplc="845890DE">
      <w:numFmt w:val="bullet"/>
      <w:lvlText w:val="•"/>
      <w:lvlJc w:val="left"/>
      <w:pPr>
        <w:ind w:left="358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4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1" w15:restartNumberingAfterBreak="0">
    <w:nsid w:val="6B3A5D4F"/>
    <w:multiLevelType w:val="hybridMultilevel"/>
    <w:tmpl w:val="60F4C940"/>
    <w:lvl w:ilvl="0" w:tplc="3D425FC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3D425FC0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43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59D5610"/>
    <w:multiLevelType w:val="hybridMultilevel"/>
    <w:tmpl w:val="91EE024E"/>
    <w:lvl w:ilvl="0" w:tplc="ED0A1B6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C415EE"/>
    <w:multiLevelType w:val="hybridMultilevel"/>
    <w:tmpl w:val="04BE54D0"/>
    <w:lvl w:ilvl="0" w:tplc="040E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9"/>
  </w:num>
  <w:num w:numId="6">
    <w:abstractNumId w:val="35"/>
  </w:num>
  <w:num w:numId="7">
    <w:abstractNumId w:val="25"/>
  </w:num>
  <w:num w:numId="8">
    <w:abstractNumId w:val="29"/>
  </w:num>
  <w:num w:numId="9">
    <w:abstractNumId w:val="43"/>
  </w:num>
  <w:num w:numId="10">
    <w:abstractNumId w:val="15"/>
  </w:num>
  <w:num w:numId="11">
    <w:abstractNumId w:val="40"/>
  </w:num>
  <w:num w:numId="12">
    <w:abstractNumId w:val="27"/>
  </w:num>
  <w:num w:numId="13">
    <w:abstractNumId w:val="23"/>
  </w:num>
  <w:num w:numId="14">
    <w:abstractNumId w:val="19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42"/>
  </w:num>
  <w:num w:numId="17">
    <w:abstractNumId w:val="31"/>
  </w:num>
  <w:num w:numId="18">
    <w:abstractNumId w:val="33"/>
  </w:num>
  <w:num w:numId="19">
    <w:abstractNumId w:val="18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32"/>
  </w:num>
  <w:num w:numId="40">
    <w:abstractNumId w:val="17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36"/>
  </w:num>
  <w:num w:numId="43">
    <w:abstractNumId w:val="4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</w:num>
  <w:num w:numId="45">
    <w:abstractNumId w:val="46"/>
  </w:num>
  <w:num w:numId="46">
    <w:abstractNumId w:val="24"/>
  </w:num>
  <w:num w:numId="47">
    <w:abstractNumId w:val="37"/>
  </w:num>
  <w:num w:numId="48">
    <w:abstractNumId w:val="28"/>
  </w:num>
  <w:num w:numId="49">
    <w:abstractNumId w:val="22"/>
  </w:num>
  <w:num w:numId="50">
    <w:abstractNumId w:val="41"/>
  </w:num>
  <w:num w:numId="51">
    <w:abstractNumId w:val="44"/>
  </w:num>
  <w:num w:numId="52">
    <w:abstractNumId w:val="26"/>
  </w:num>
  <w:num w:numId="53">
    <w:abstractNumId w:val="11"/>
  </w:num>
  <w:num w:numId="54">
    <w:abstractNumId w:val="12"/>
  </w:num>
  <w:num w:numId="55">
    <w:abstractNumId w:val="20"/>
  </w:num>
  <w:num w:numId="56">
    <w:abstractNumId w:val="13"/>
  </w:num>
  <w:num w:numId="57">
    <w:abstractNumId w:val="21"/>
  </w:num>
  <w:num w:numId="58">
    <w:abstractNumId w:val="14"/>
  </w:num>
  <w:num w:numId="59">
    <w:abstractNumId w:val="3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84377"/>
    <w:rsid w:val="000120A6"/>
    <w:rsid w:val="000F17A4"/>
    <w:rsid w:val="00265EEF"/>
    <w:rsid w:val="00284377"/>
    <w:rsid w:val="00521F1B"/>
    <w:rsid w:val="00555844"/>
    <w:rsid w:val="00561E04"/>
    <w:rsid w:val="005B1D39"/>
    <w:rsid w:val="005B3F62"/>
    <w:rsid w:val="005D4FB9"/>
    <w:rsid w:val="007A48A1"/>
    <w:rsid w:val="00817B56"/>
    <w:rsid w:val="00916C0E"/>
    <w:rsid w:val="009C2D29"/>
    <w:rsid w:val="00A82E25"/>
    <w:rsid w:val="00B13354"/>
    <w:rsid w:val="00CE239E"/>
    <w:rsid w:val="00D321AB"/>
    <w:rsid w:val="00E87848"/>
    <w:rsid w:val="00EF6B45"/>
    <w:rsid w:val="00F64EE9"/>
    <w:rsid w:val="00FA2822"/>
    <w:rsid w:val="00FA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4:docId w14:val="3E4A7ED5"/>
  <w15:chartTrackingRefBased/>
  <w15:docId w15:val="{731EE0E5-1E83-4BFA-8F66-5AA1BCF83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Pr>
      <w:rFonts w:eastAsia="Calibri"/>
      <w:sz w:val="22"/>
      <w:szCs w:val="22"/>
      <w:lang w:eastAsia="en-US"/>
    </w:rPr>
  </w:style>
  <w:style w:type="paragraph" w:styleId="Vltozat">
    <w:name w:val="Revision"/>
    <w:hidden/>
    <w:uiPriority w:val="99"/>
    <w:semiHidden/>
    <w:rPr>
      <w:snapToGrid w:val="0"/>
      <w:sz w:val="22"/>
      <w:lang w:val="en-GB" w:eastAsia="zh-CN"/>
    </w:rPr>
  </w:style>
  <w:style w:type="character" w:customStyle="1" w:styleId="lfejChar">
    <w:name w:val="Élőfej Char"/>
    <w:link w:val="lfej"/>
    <w:uiPriority w:val="99"/>
    <w:rPr>
      <w:snapToGrid w:val="0"/>
      <w:sz w:val="22"/>
      <w:lang w:val="en-GB" w:eastAsia="zh-CN"/>
    </w:rPr>
  </w:style>
  <w:style w:type="paragraph" w:styleId="Listaszerbekezds">
    <w:name w:val="List Paragraph"/>
    <w:basedOn w:val="Norml"/>
    <w:uiPriority w:val="1"/>
    <w:qFormat/>
    <w:pPr>
      <w:widowControl w:val="0"/>
      <w:tabs>
        <w:tab w:val="clear" w:pos="567"/>
      </w:tabs>
      <w:autoSpaceDE w:val="0"/>
      <w:autoSpaceDN w:val="0"/>
      <w:adjustRightInd w:val="0"/>
      <w:spacing w:line="240" w:lineRule="auto"/>
      <w:ind w:left="785" w:hanging="283"/>
    </w:pPr>
    <w:rPr>
      <w:rFonts w:eastAsia="Times New Roman"/>
      <w:snapToGrid/>
      <w:sz w:val="24"/>
      <w:szCs w:val="24"/>
      <w:lang w:val="sl-SI" w:eastAsia="sl-SI"/>
    </w:rPr>
  </w:style>
  <w:style w:type="paragraph" w:customStyle="1" w:styleId="TableParagraph">
    <w:name w:val="Table Paragraph"/>
    <w:basedOn w:val="Norml"/>
    <w:uiPriority w:val="1"/>
    <w:qFormat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Times New Roman"/>
      <w:snapToGrid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9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D50FD-E964-4F98-96FC-EE902832A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24</Pages>
  <Words>9411</Words>
  <Characters>66123</Characters>
  <Application>Microsoft Office Word</Application>
  <DocSecurity>0</DocSecurity>
  <Lines>551</Lines>
  <Paragraphs>150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75384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Horvath, Judit</dc:creator>
  <cp:keywords/>
  <dc:description/>
  <cp:lastModifiedBy>HU_OGYI_62.1</cp:lastModifiedBy>
  <cp:revision>42</cp:revision>
  <dcterms:created xsi:type="dcterms:W3CDTF">2024-02-26T11:25:00Z</dcterms:created>
  <dcterms:modified xsi:type="dcterms:W3CDTF">2025-09-17T14:54:00Z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/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/>
  </property>
  <property fmtid="{D5CDD505-2E9C-101B-9397-08002B2CF9AE}" pid="12" name="DM_emea_received_date">
    <vt:lpwstr/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/>
  </property>
  <property fmtid="{D5CDD505-2E9C-101B-9397-08002B2CF9AE}" pid="18" name="DM_emea_from">
    <vt:lpwstr/>
  </property>
  <property fmtid="{D5CDD505-2E9C-101B-9397-08002B2CF9AE}" pid="19" name="DM_emea_internal_label">
    <vt:lpwstr/>
  </property>
  <property fmtid="{D5CDD505-2E9C-101B-9397-08002B2CF9AE}" pid="20" name="DM_emea_legal_date">
    <vt:lpwstr/>
  </property>
  <property fmtid="{D5CDD505-2E9C-101B-9397-08002B2CF9AE}" pid="21" name="DM_emea_year">
    <vt:lpwstr/>
  </property>
  <property fmtid="{D5CDD505-2E9C-101B-9397-08002B2CF9AE}" pid="22" name="DM_emea_sent_date">
    <vt:lpwstr/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/>
  </property>
  <property fmtid="{D5CDD505-2E9C-101B-9397-08002B2CF9AE}" pid="31" name="DM_Name">
    <vt:lpwstr/>
  </property>
  <property fmtid="{D5CDD505-2E9C-101B-9397-08002B2CF9AE}" pid="32" name="DM_Creation_Date">
    <vt:lpwstr/>
  </property>
  <property fmtid="{D5CDD505-2E9C-101B-9397-08002B2CF9AE}" pid="33" name="DM_Modify_Date">
    <vt:lpwstr/>
  </property>
  <property fmtid="{D5CDD505-2E9C-101B-9397-08002B2CF9AE}" pid="34" name="DM_Creator_Name">
    <vt:lpwstr/>
  </property>
  <property fmtid="{D5CDD505-2E9C-101B-9397-08002B2CF9AE}" pid="35" name="DM_Modifier_Name">
    <vt:lpwstr/>
  </property>
  <property fmtid="{D5CDD505-2E9C-101B-9397-08002B2CF9AE}" pid="36" name="DM_Type">
    <vt:lpwstr/>
  </property>
  <property fmtid="{D5CDD505-2E9C-101B-9397-08002B2CF9AE}" pid="37" name="DM_DocRefId">
    <vt:lpwstr/>
  </property>
  <property fmtid="{D5CDD505-2E9C-101B-9397-08002B2CF9AE}" pid="38" name="DM_Category">
    <vt:lpwstr/>
  </property>
  <property fmtid="{D5CDD505-2E9C-101B-9397-08002B2CF9AE}" pid="39" name="DM_Path">
    <vt:lpwstr/>
  </property>
  <property fmtid="{D5CDD505-2E9C-101B-9397-08002B2CF9AE}" pid="40" name="DM_emea_doc_ref_id">
    <vt:lpwstr/>
  </property>
  <property fmtid="{D5CDD505-2E9C-101B-9397-08002B2CF9AE}" pid="41" name="DM_Modifer_Name">
    <vt:lpwstr/>
  </property>
  <property fmtid="{D5CDD505-2E9C-101B-9397-08002B2CF9AE}" pid="42" name="DM_Modified_Date">
    <vt:lpwstr/>
  </property>
</Properties>
</file>